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407A8" w14:textId="77777777" w:rsidR="008D46BA" w:rsidRDefault="008D46BA" w:rsidP="008D46BA">
      <w:pPr>
        <w:bidi/>
        <w:spacing w:line="240" w:lineRule="auto"/>
        <w:ind w:hanging="283"/>
        <w:jc w:val="both"/>
        <w:rPr>
          <w:rFonts w:ascii="ae_Cortoba" w:hAnsi="ae_Cortoba" w:cs="ae_Cortoba"/>
          <w:b/>
          <w:bCs/>
          <w:color w:val="2C7FCE"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3F63EB2E" wp14:editId="77420E1D">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13D67973" w14:textId="77777777" w:rsidR="008D46BA" w:rsidRDefault="008D46BA" w:rsidP="008D46BA">
      <w:pPr>
        <w:bidi/>
        <w:spacing w:line="240" w:lineRule="auto"/>
        <w:jc w:val="both"/>
        <w:rPr>
          <w:rFonts w:ascii="Calibri" w:hAnsi="Calibri" w:cs="Calibri"/>
          <w:b/>
          <w:bCs/>
          <w:color w:val="2C7FCE" w:themeColor="text2" w:themeTint="99"/>
          <w:sz w:val="40"/>
          <w:szCs w:val="40"/>
          <w:rtl/>
        </w:rPr>
      </w:pPr>
    </w:p>
    <w:p w14:paraId="25FDDF59" w14:textId="77777777" w:rsidR="008D46BA" w:rsidRDefault="008D46BA" w:rsidP="008D46BA">
      <w:pPr>
        <w:pStyle w:val="NormalWeb"/>
        <w:bidi/>
        <w:spacing w:before="0" w:beforeAutospacing="0" w:after="0" w:afterAutospacing="0"/>
        <w:ind w:right="-270"/>
        <w:rPr>
          <w:rFonts w:ascii="Arial" w:hAnsi="Arial" w:cs="Arial"/>
          <w:b/>
          <w:bCs/>
          <w:color w:val="0000FF"/>
          <w:sz w:val="32"/>
          <w:szCs w:val="32"/>
        </w:rPr>
      </w:pPr>
    </w:p>
    <w:p w14:paraId="176E1BC2" w14:textId="77777777" w:rsidR="008D46BA" w:rsidRPr="00395E1F" w:rsidRDefault="008D46BA" w:rsidP="008D46BA">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762BA911" w14:textId="285CF9D4" w:rsidR="008D46BA" w:rsidRPr="00BE609B" w:rsidRDefault="008D46BA" w:rsidP="008D46BA">
      <w:pPr>
        <w:bidi/>
        <w:jc w:val="center"/>
        <w:rPr>
          <w:rFonts w:ascii="Arial" w:hAnsi="Arial" w:cs="Monotype Koufi"/>
          <w:b/>
          <w:bCs/>
          <w:sz w:val="44"/>
          <w:szCs w:val="44"/>
          <w:rtl/>
        </w:rPr>
      </w:pPr>
      <w:r>
        <w:rPr>
          <w:rFonts w:ascii="Arial" w:hAnsi="Arial" w:cs="Monotype Koufi" w:hint="cs"/>
          <w:b/>
          <w:bCs/>
          <w:sz w:val="44"/>
          <w:szCs w:val="44"/>
          <w:rtl/>
        </w:rPr>
        <w:t>الفصل الأول والثاني</w:t>
      </w:r>
      <w:r w:rsidR="00DE731D">
        <w:rPr>
          <w:rFonts w:ascii="Arial" w:hAnsi="Arial" w:cs="Monotype Koufi" w:hint="cs"/>
          <w:b/>
          <w:bCs/>
          <w:sz w:val="44"/>
          <w:szCs w:val="44"/>
          <w:rtl/>
        </w:rPr>
        <w:t xml:space="preserve"> والثالث</w:t>
      </w:r>
      <w:r>
        <w:rPr>
          <w:rFonts w:ascii="Arial" w:hAnsi="Arial" w:cs="Monotype Koufi" w:hint="cs"/>
          <w:b/>
          <w:bCs/>
          <w:sz w:val="44"/>
          <w:szCs w:val="44"/>
          <w:rtl/>
        </w:rPr>
        <w:t xml:space="preserve"> لرسالة الدكتوراة</w:t>
      </w:r>
    </w:p>
    <w:p w14:paraId="0401F398" w14:textId="77777777" w:rsidR="008D46BA" w:rsidRDefault="008D46BA" w:rsidP="008D46BA">
      <w:pPr>
        <w:pStyle w:val="NormalWeb"/>
        <w:bidi/>
        <w:spacing w:before="0" w:beforeAutospacing="0" w:after="0" w:afterAutospacing="0"/>
        <w:ind w:right="-270"/>
        <w:jc w:val="both"/>
        <w:rPr>
          <w:rFonts w:ascii="Arial" w:hAnsi="Arial" w:cs="Arial"/>
          <w:b/>
          <w:bCs/>
          <w:color w:val="0000FF"/>
          <w:sz w:val="32"/>
          <w:szCs w:val="32"/>
          <w:rtl/>
          <w:lang w:bidi="ar-JO"/>
        </w:rPr>
      </w:pPr>
      <w:bookmarkStart w:id="0" w:name="_Hlk169901069"/>
    </w:p>
    <w:p w14:paraId="59EAB435" w14:textId="682102B3" w:rsidR="008D46BA" w:rsidRPr="004C1AE1" w:rsidRDefault="008D46BA" w:rsidP="008D46BA">
      <w:pPr>
        <w:spacing w:line="360" w:lineRule="auto"/>
        <w:jc w:val="center"/>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p>
    <w:p w14:paraId="2B23AF95" w14:textId="56E41505" w:rsidR="008D46BA" w:rsidRDefault="008D46BA" w:rsidP="008D46BA">
      <w:pPr>
        <w:spacing w:line="360" w:lineRule="auto"/>
        <w:rPr>
          <w:rFonts w:asciiTheme="majorBidi" w:hAnsiTheme="majorBidi" w:cstheme="majorBidi"/>
          <w:b/>
          <w:bCs/>
          <w:sz w:val="44"/>
          <w:szCs w:val="44"/>
        </w:rPr>
      </w:pPr>
      <w:r w:rsidRPr="00BA4F8A">
        <w:rPr>
          <w:rFonts w:asciiTheme="majorBidi" w:hAnsiTheme="majorBidi" w:cstheme="majorBidi"/>
          <w:b/>
          <w:bCs/>
          <w:sz w:val="44"/>
          <w:szCs w:val="44"/>
          <w:rtl/>
        </w:rPr>
        <w:t>أثر أنظمة العمل عالية الأداء على الإبداع الوظيفي: الدور الوسيط للثقافة التنظيمية في قطاعي الفنادق والمطاعم بمدينة الرياض</w:t>
      </w:r>
      <w:r w:rsidRPr="00BA4F8A">
        <w:rPr>
          <w:rFonts w:asciiTheme="majorBidi" w:hAnsiTheme="majorBidi" w:cstheme="majorBidi" w:hint="cs"/>
          <w:b/>
          <w:bCs/>
          <w:sz w:val="44"/>
          <w:szCs w:val="44"/>
          <w:rtl/>
        </w:rPr>
        <w:t>.</w:t>
      </w:r>
    </w:p>
    <w:p w14:paraId="5FE2ED3A" w14:textId="77777777" w:rsidR="008D46BA" w:rsidRPr="004C1AE1" w:rsidRDefault="008D46BA" w:rsidP="008D46BA">
      <w:pPr>
        <w:spacing w:line="360" w:lineRule="auto"/>
        <w:rPr>
          <w:rFonts w:ascii="Arial" w:hAnsi="Arial" w:cs="Arial"/>
          <w:noProof/>
          <w:sz w:val="20"/>
          <w:szCs w:val="20"/>
          <w:rtl/>
        </w:rPr>
      </w:pPr>
    </w:p>
    <w:p w14:paraId="1313A09A" w14:textId="7EAE9456" w:rsidR="008D46BA" w:rsidRPr="004C1AE1" w:rsidRDefault="008D46BA" w:rsidP="008D46BA">
      <w:pPr>
        <w:spacing w:line="360" w:lineRule="auto"/>
        <w:ind w:left="534" w:hanging="340"/>
        <w:jc w:val="center"/>
        <w:rPr>
          <w:rFonts w:ascii="Arial" w:hAnsi="Arial" w:cs="Arial"/>
          <w:b/>
          <w:bCs/>
          <w:noProof/>
          <w:sz w:val="20"/>
          <w:szCs w:val="20"/>
          <w:rtl/>
        </w:rPr>
      </w:pPr>
      <w:r w:rsidRPr="004C1AE1">
        <w:rPr>
          <w:rFonts w:ascii="Arial" w:hAnsi="Arial" w:cs="Arial"/>
          <w:b/>
          <w:bCs/>
          <w:noProof/>
          <w:sz w:val="20"/>
          <w:szCs w:val="28"/>
          <w:rtl/>
        </w:rPr>
        <w:t xml:space="preserve">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p>
    <w:bookmarkEnd w:id="0"/>
    <w:p w14:paraId="200376D4" w14:textId="3824B9D7" w:rsidR="008D46BA" w:rsidRDefault="008D46BA" w:rsidP="008D46BA">
      <w:pPr>
        <w:pStyle w:val="NormalWeb"/>
        <w:spacing w:before="0" w:beforeAutospacing="0" w:after="0" w:afterAutospacing="0"/>
        <w:ind w:right="-270"/>
        <w:jc w:val="center"/>
        <w:rPr>
          <w:rFonts w:ascii="Arial" w:hAnsi="Arial" w:cs="Arial"/>
          <w:b/>
          <w:bCs/>
          <w:szCs w:val="28"/>
        </w:rPr>
      </w:pPr>
      <w:r w:rsidRPr="008D46BA">
        <w:rPr>
          <w:rFonts w:ascii="Arial" w:hAnsi="Arial" w:cs="Arial"/>
          <w:b/>
          <w:bCs/>
          <w:szCs w:val="28"/>
        </w:rPr>
        <w:t>The impact of high-performance work systems on job creativity: The mediating role of organizational culture in the hotel and restaurant sectors in Riyadh</w:t>
      </w:r>
      <w:r w:rsidRPr="008D46BA">
        <w:rPr>
          <w:rFonts w:ascii="Arial" w:hAnsi="Arial" w:cs="Arial"/>
          <w:b/>
          <w:bCs/>
          <w:szCs w:val="28"/>
          <w:rtl/>
        </w:rPr>
        <w:t>.</w:t>
      </w:r>
    </w:p>
    <w:p w14:paraId="4EBC261E" w14:textId="77777777" w:rsidR="008D46BA" w:rsidRDefault="008D46BA" w:rsidP="008D46BA">
      <w:pPr>
        <w:pStyle w:val="NormalWeb"/>
        <w:spacing w:before="0" w:beforeAutospacing="0" w:after="0" w:afterAutospacing="0"/>
        <w:ind w:right="-270"/>
        <w:jc w:val="center"/>
        <w:rPr>
          <w:rFonts w:ascii="Sakkal Majalla" w:hAnsi="Sakkal Majalla" w:cs="Arial"/>
          <w:b/>
          <w:bCs/>
          <w:szCs w:val="28"/>
        </w:rPr>
      </w:pPr>
    </w:p>
    <w:p w14:paraId="357DB0D1" w14:textId="77777777" w:rsidR="00F806C7" w:rsidRPr="00957FBB" w:rsidRDefault="00F806C7" w:rsidP="00F806C7">
      <w:pPr>
        <w:pStyle w:val="NormalWeb"/>
        <w:bidi/>
        <w:spacing w:before="0" w:beforeAutospacing="0" w:after="0" w:afterAutospacing="0"/>
        <w:ind w:right="-270"/>
        <w:jc w:val="center"/>
        <w:rPr>
          <w:rFonts w:ascii="Sakkal Majalla" w:hAnsi="Sakkal Majalla" w:cs="Sakkal Majalla"/>
          <w:b/>
          <w:bCs/>
          <w:sz w:val="36"/>
          <w:szCs w:val="36"/>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F806C7" w14:paraId="3DF85496" w14:textId="77777777" w:rsidTr="00F806C7">
        <w:tc>
          <w:tcPr>
            <w:tcW w:w="1763" w:type="dxa"/>
          </w:tcPr>
          <w:p w14:paraId="31F5152C" w14:textId="77777777" w:rsidR="00F806C7" w:rsidRPr="004B484B" w:rsidRDefault="00F806C7" w:rsidP="00F110A3">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223A0B42" w14:textId="77777777" w:rsidR="00F806C7" w:rsidRPr="004B484B" w:rsidRDefault="00F806C7" w:rsidP="00F110A3">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27CEA763" w14:textId="77777777" w:rsidR="00F806C7" w:rsidRDefault="00F806C7" w:rsidP="00F110A3">
            <w:pPr>
              <w:pStyle w:val="NormalWeb"/>
              <w:bidi/>
              <w:spacing w:before="0" w:beforeAutospacing="0" w:after="0" w:afterAutospacing="0"/>
              <w:ind w:right="-270"/>
              <w:jc w:val="center"/>
              <w:rPr>
                <w:rFonts w:ascii="Sakkal Majalla" w:hAnsi="Sakkal Majalla" w:cs="Sakkal Majalla"/>
                <w:b/>
                <w:bCs/>
                <w:color w:val="0000FF"/>
                <w:sz w:val="36"/>
                <w:szCs w:val="36"/>
                <w:rtl/>
              </w:rPr>
            </w:pPr>
            <w:r w:rsidRPr="00A821A3">
              <w:rPr>
                <w:rFonts w:ascii="Sakkal Majalla" w:hAnsi="Sakkal Majalla" w:cs="Sakkal Majalla" w:hint="cs"/>
                <w:b/>
                <w:bCs/>
                <w:sz w:val="36"/>
                <w:szCs w:val="36"/>
                <w:rtl/>
              </w:rPr>
              <w:t xml:space="preserve">فيصل </w:t>
            </w:r>
            <w:proofErr w:type="gramStart"/>
            <w:r w:rsidRPr="00A821A3">
              <w:rPr>
                <w:rFonts w:ascii="Sakkal Majalla" w:hAnsi="Sakkal Majalla" w:cs="Sakkal Majalla" w:hint="cs"/>
                <w:b/>
                <w:bCs/>
                <w:sz w:val="36"/>
                <w:szCs w:val="36"/>
                <w:rtl/>
              </w:rPr>
              <w:t>عبدالعزيز</w:t>
            </w:r>
            <w:proofErr w:type="gramEnd"/>
            <w:r w:rsidRPr="00A821A3">
              <w:rPr>
                <w:rFonts w:ascii="Sakkal Majalla" w:hAnsi="Sakkal Majalla" w:cs="Sakkal Majalla" w:hint="cs"/>
                <w:b/>
                <w:bCs/>
                <w:sz w:val="36"/>
                <w:szCs w:val="36"/>
                <w:rtl/>
              </w:rPr>
              <w:t xml:space="preserve"> </w:t>
            </w:r>
            <w:proofErr w:type="gramStart"/>
            <w:r w:rsidRPr="00A821A3">
              <w:rPr>
                <w:rFonts w:ascii="Sakkal Majalla" w:hAnsi="Sakkal Majalla" w:cs="Sakkal Majalla" w:hint="cs"/>
                <w:b/>
                <w:bCs/>
                <w:sz w:val="36"/>
                <w:szCs w:val="36"/>
                <w:rtl/>
              </w:rPr>
              <w:t>عبدالسلام</w:t>
            </w:r>
            <w:proofErr w:type="gramEnd"/>
            <w:r w:rsidRPr="00A821A3">
              <w:rPr>
                <w:rFonts w:ascii="Sakkal Majalla" w:hAnsi="Sakkal Majalla" w:cs="Sakkal Majalla" w:hint="cs"/>
                <w:b/>
                <w:bCs/>
                <w:sz w:val="36"/>
                <w:szCs w:val="36"/>
                <w:rtl/>
              </w:rPr>
              <w:t xml:space="preserve"> سليم</w:t>
            </w:r>
          </w:p>
        </w:tc>
      </w:tr>
      <w:tr w:rsidR="00F806C7" w14:paraId="0F397F41" w14:textId="77777777" w:rsidTr="00F806C7">
        <w:tc>
          <w:tcPr>
            <w:tcW w:w="1763" w:type="dxa"/>
          </w:tcPr>
          <w:p w14:paraId="7AD1CD3D" w14:textId="77777777" w:rsidR="00F806C7" w:rsidRPr="004B484B" w:rsidRDefault="00F806C7" w:rsidP="00F110A3">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287" w:type="dxa"/>
          </w:tcPr>
          <w:p w14:paraId="5DBB99B1" w14:textId="77777777" w:rsidR="00F806C7" w:rsidRPr="004B484B" w:rsidRDefault="00F806C7" w:rsidP="00F110A3">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0103F0CC" w14:textId="77777777" w:rsidR="00F806C7" w:rsidRPr="008A5D43" w:rsidRDefault="00F806C7" w:rsidP="00F110A3">
            <w:pPr>
              <w:pStyle w:val="NormalWeb"/>
              <w:bidi/>
              <w:spacing w:before="0" w:beforeAutospacing="0" w:after="0" w:afterAutospacing="0"/>
              <w:ind w:right="-270"/>
              <w:jc w:val="center"/>
              <w:rPr>
                <w:rFonts w:ascii="Sakkal Majalla" w:hAnsi="Sakkal Majalla" w:cs="Sakkal Majalla"/>
                <w:b/>
                <w:bCs/>
                <w:sz w:val="36"/>
                <w:szCs w:val="36"/>
                <w:rtl/>
              </w:rPr>
            </w:pPr>
            <w:hyperlink r:id="rId9" w:history="1">
              <w:r w:rsidRPr="00B17179">
                <w:rPr>
                  <w:rStyle w:val="Hyperlink"/>
                  <w:rFonts w:ascii="Sakkal Majalla" w:hAnsi="Sakkal Majalla" w:cs="Sakkal Majalla"/>
                  <w:b/>
                  <w:bCs/>
                  <w:sz w:val="36"/>
                  <w:szCs w:val="36"/>
                </w:rPr>
                <w:t>20212005099</w:t>
              </w:r>
            </w:hyperlink>
          </w:p>
        </w:tc>
      </w:tr>
      <w:tr w:rsidR="00F806C7" w14:paraId="3091ACF1" w14:textId="77777777" w:rsidTr="00F806C7">
        <w:tc>
          <w:tcPr>
            <w:tcW w:w="1763" w:type="dxa"/>
          </w:tcPr>
          <w:p w14:paraId="2BD39C7C" w14:textId="77777777" w:rsidR="00F806C7" w:rsidRPr="004B484B" w:rsidRDefault="00F806C7" w:rsidP="00F110A3">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7027050B" w14:textId="77777777" w:rsidR="00F806C7" w:rsidRPr="004B484B" w:rsidRDefault="00F806C7" w:rsidP="00F110A3">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23F95DD6" w14:textId="77777777" w:rsidR="00F806C7" w:rsidRDefault="00F806C7" w:rsidP="00F110A3">
            <w:pPr>
              <w:pStyle w:val="NormalWeb"/>
              <w:bidi/>
              <w:spacing w:before="0" w:beforeAutospacing="0" w:after="0" w:afterAutospacing="0"/>
              <w:ind w:right="-270"/>
              <w:jc w:val="center"/>
              <w:rPr>
                <w:rFonts w:ascii="Sakkal Majalla" w:hAnsi="Sakkal Majalla" w:cs="Sakkal Majalla"/>
                <w:b/>
                <w:bCs/>
                <w:color w:val="0000FF"/>
                <w:sz w:val="36"/>
                <w:szCs w:val="36"/>
                <w:rtl/>
              </w:rPr>
            </w:pPr>
            <w:r w:rsidRPr="00A821A3">
              <w:rPr>
                <w:rFonts w:ascii="Sakkal Majalla" w:hAnsi="Sakkal Majalla" w:cs="Sakkal Majalla" w:hint="cs"/>
                <w:b/>
                <w:bCs/>
                <w:sz w:val="36"/>
                <w:szCs w:val="36"/>
                <w:rtl/>
              </w:rPr>
              <w:t>ادارة</w:t>
            </w:r>
          </w:p>
        </w:tc>
      </w:tr>
      <w:tr w:rsidR="00F806C7" w14:paraId="17FADFB5" w14:textId="77777777" w:rsidTr="00F806C7">
        <w:tc>
          <w:tcPr>
            <w:tcW w:w="1763" w:type="dxa"/>
          </w:tcPr>
          <w:p w14:paraId="5FA456FE" w14:textId="77777777" w:rsidR="00F806C7" w:rsidRPr="004B484B" w:rsidRDefault="00F806C7" w:rsidP="00F110A3">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3EAA2604" w14:textId="77777777" w:rsidR="00F806C7" w:rsidRPr="004B484B" w:rsidRDefault="00F806C7" w:rsidP="00F110A3">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208135D5" w14:textId="77777777" w:rsidR="00F806C7" w:rsidRDefault="00F806C7" w:rsidP="00F110A3">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0B1F78B7" w14:textId="5A972593" w:rsidR="008D46BA" w:rsidRDefault="00F806C7" w:rsidP="00F806C7">
      <w:pPr>
        <w:pStyle w:val="NormalWeb"/>
        <w:bidi/>
        <w:spacing w:before="0" w:beforeAutospacing="0" w:after="0" w:afterAutospacing="0"/>
        <w:ind w:right="-270"/>
        <w:jc w:val="center"/>
        <w:rPr>
          <w:rFonts w:ascii="Sakkal Majalla" w:hAnsi="Sakkal Majalla" w:cs="Sakkal Majalla"/>
          <w:b/>
          <w:bCs/>
          <w:color w:val="0000FF"/>
          <w:sz w:val="36"/>
          <w:szCs w:val="36"/>
          <w:rtl/>
        </w:rPr>
      </w:pPr>
      <w:r w:rsidRPr="00A821A3">
        <w:rPr>
          <w:rFonts w:ascii="Calibri" w:hAnsi="Calibri" w:cs="Calibri"/>
          <w:b/>
          <w:bCs/>
          <w:sz w:val="28"/>
          <w:szCs w:val="28"/>
        </w:rPr>
        <w:t>144</w:t>
      </w:r>
      <w:r>
        <w:rPr>
          <w:rFonts w:ascii="Calibri" w:hAnsi="Calibri" w:cs="Calibri"/>
          <w:b/>
          <w:bCs/>
          <w:sz w:val="28"/>
          <w:szCs w:val="28"/>
        </w:rPr>
        <w:t>7</w:t>
      </w:r>
      <w:r w:rsidRPr="00A821A3">
        <w:rPr>
          <w:rFonts w:ascii="Calibri" w:hAnsi="Calibri" w:cs="Calibri"/>
          <w:b/>
          <w:bCs/>
          <w:sz w:val="28"/>
          <w:szCs w:val="28"/>
        </w:rPr>
        <w:t xml:space="preserve">  -  202</w:t>
      </w:r>
      <w:r w:rsidR="00EB39A8">
        <w:rPr>
          <w:rFonts w:ascii="Calibri" w:hAnsi="Calibri" w:cs="Calibri"/>
          <w:b/>
          <w:bCs/>
          <w:sz w:val="28"/>
          <w:szCs w:val="28"/>
        </w:rPr>
        <w:t>6</w:t>
      </w:r>
    </w:p>
    <w:p w14:paraId="5166BED9" w14:textId="77777777" w:rsidR="008D46BA" w:rsidRPr="004C1AE1" w:rsidRDefault="008D46BA" w:rsidP="008D46BA">
      <w:pPr>
        <w:spacing w:line="240" w:lineRule="auto"/>
        <w:rPr>
          <w:rFonts w:ascii="Arial" w:hAnsi="Arial" w:cs="Arial"/>
          <w:noProof/>
          <w:rtl/>
          <w:lang w:bidi="ar-JO"/>
        </w:rPr>
      </w:pPr>
    </w:p>
    <w:p w14:paraId="6521222B" w14:textId="77777777" w:rsidR="00F14E97" w:rsidRPr="00BA4F8A" w:rsidRDefault="00F14E97" w:rsidP="00F14E97">
      <w:pPr>
        <w:bidi/>
        <w:jc w:val="center"/>
        <w:rPr>
          <w:rFonts w:asciiTheme="majorBidi" w:hAnsiTheme="majorBidi" w:cstheme="majorBidi"/>
          <w:b/>
          <w:bCs/>
          <w:sz w:val="44"/>
          <w:szCs w:val="44"/>
          <w:rtl/>
        </w:rPr>
      </w:pPr>
    </w:p>
    <w:p w14:paraId="1860B2C7" w14:textId="77777777" w:rsidR="00404A54" w:rsidRDefault="00404A54" w:rsidP="00404A54">
      <w:pPr>
        <w:bidi/>
        <w:rPr>
          <w:rFonts w:asciiTheme="majorBidi" w:hAnsiTheme="majorBidi" w:cstheme="majorBidi"/>
          <w:b/>
          <w:bCs/>
          <w:sz w:val="28"/>
          <w:szCs w:val="28"/>
          <w:rtl/>
        </w:rPr>
      </w:pPr>
    </w:p>
    <w:p w14:paraId="7746D466" w14:textId="77777777" w:rsidR="00404A54" w:rsidRDefault="00404A54" w:rsidP="00404A54">
      <w:pPr>
        <w:bidi/>
        <w:rPr>
          <w:rFonts w:asciiTheme="majorBidi" w:hAnsiTheme="majorBidi" w:cstheme="majorBidi"/>
          <w:b/>
          <w:bCs/>
          <w:sz w:val="28"/>
          <w:szCs w:val="28"/>
          <w:rtl/>
        </w:rPr>
      </w:pPr>
    </w:p>
    <w:p w14:paraId="422327DE" w14:textId="77777777" w:rsidR="00404A54" w:rsidRDefault="00404A54" w:rsidP="00404A54">
      <w:pPr>
        <w:bidi/>
        <w:rPr>
          <w:rFonts w:asciiTheme="majorBidi" w:hAnsiTheme="majorBidi" w:cstheme="majorBidi"/>
          <w:b/>
          <w:bCs/>
          <w:sz w:val="28"/>
          <w:szCs w:val="28"/>
          <w:rtl/>
        </w:rPr>
      </w:pPr>
    </w:p>
    <w:p w14:paraId="16BE6CCD" w14:textId="58F8C983" w:rsidR="00404A54" w:rsidRPr="00F806C7" w:rsidRDefault="00404A54" w:rsidP="00F806C7">
      <w:pPr>
        <w:bidi/>
        <w:jc w:val="center"/>
        <w:rPr>
          <w:rFonts w:asciiTheme="majorBidi" w:hAnsiTheme="majorBidi" w:cstheme="majorBidi"/>
          <w:b/>
          <w:bCs/>
          <w:sz w:val="44"/>
          <w:szCs w:val="44"/>
          <w:rtl/>
        </w:rPr>
      </w:pPr>
      <w:r w:rsidRPr="00E9695E">
        <w:rPr>
          <w:rFonts w:asciiTheme="majorBidi" w:hAnsiTheme="majorBidi" w:cstheme="majorBidi" w:hint="cs"/>
          <w:b/>
          <w:bCs/>
          <w:sz w:val="44"/>
          <w:szCs w:val="44"/>
          <w:rtl/>
        </w:rPr>
        <w:t>الفصل الأول: المقدمة</w:t>
      </w:r>
    </w:p>
    <w:p w14:paraId="2260A062" w14:textId="77777777" w:rsidR="00404A54" w:rsidRDefault="00404A54" w:rsidP="00404A54">
      <w:pPr>
        <w:bidi/>
        <w:rPr>
          <w:rFonts w:asciiTheme="majorBidi" w:hAnsiTheme="majorBidi" w:cstheme="majorBidi"/>
          <w:b/>
          <w:bCs/>
          <w:sz w:val="28"/>
          <w:szCs w:val="28"/>
          <w:rtl/>
        </w:rPr>
      </w:pPr>
    </w:p>
    <w:p w14:paraId="373B38D1" w14:textId="77777777" w:rsidR="00404A54" w:rsidRDefault="00404A54" w:rsidP="00404A54">
      <w:pPr>
        <w:bidi/>
        <w:rPr>
          <w:rFonts w:asciiTheme="majorBidi" w:hAnsiTheme="majorBidi" w:cstheme="majorBidi"/>
          <w:b/>
          <w:bCs/>
          <w:sz w:val="28"/>
          <w:szCs w:val="28"/>
          <w:rtl/>
        </w:rPr>
      </w:pPr>
    </w:p>
    <w:p w14:paraId="75FF7F6A" w14:textId="77777777" w:rsidR="00404A54" w:rsidRPr="0009445F" w:rsidRDefault="00404A54" w:rsidP="00404A54">
      <w:pPr>
        <w:bidi/>
        <w:rPr>
          <w:rFonts w:asciiTheme="majorBidi" w:hAnsiTheme="majorBidi" w:cstheme="majorBidi"/>
          <w:b/>
          <w:bCs/>
          <w:sz w:val="28"/>
          <w:szCs w:val="28"/>
        </w:rPr>
      </w:pPr>
      <w:r>
        <w:rPr>
          <w:rFonts w:asciiTheme="majorBidi" w:hAnsiTheme="majorBidi" w:cstheme="majorBidi" w:hint="cs"/>
          <w:b/>
          <w:bCs/>
          <w:sz w:val="28"/>
          <w:szCs w:val="28"/>
          <w:rtl/>
        </w:rPr>
        <w:t xml:space="preserve">1.1. </w:t>
      </w:r>
      <w:r w:rsidRPr="0009445F">
        <w:rPr>
          <w:rFonts w:asciiTheme="majorBidi" w:hAnsiTheme="majorBidi" w:cstheme="majorBidi"/>
          <w:b/>
          <w:bCs/>
          <w:sz w:val="28"/>
          <w:szCs w:val="28"/>
          <w:rtl/>
        </w:rPr>
        <w:t>المقدمة العامة للدراسة</w:t>
      </w:r>
    </w:p>
    <w:p w14:paraId="65C80F60" w14:textId="27585199" w:rsidR="00404A54" w:rsidRDefault="00404A54" w:rsidP="00D42BB2">
      <w:pPr>
        <w:bidi/>
        <w:jc w:val="both"/>
        <w:rPr>
          <w:rFonts w:asciiTheme="majorBidi" w:hAnsiTheme="majorBidi" w:cstheme="majorBidi"/>
          <w:sz w:val="28"/>
          <w:szCs w:val="28"/>
          <w:rtl/>
          <w:lang w:bidi="ar-EG"/>
        </w:rPr>
      </w:pPr>
      <w:r w:rsidRPr="00135E1D">
        <w:rPr>
          <w:rFonts w:asciiTheme="majorBidi" w:hAnsiTheme="majorBidi" w:cstheme="majorBidi"/>
          <w:sz w:val="28"/>
          <w:szCs w:val="28"/>
          <w:rtl/>
        </w:rPr>
        <w:t>تشكل أنظمة العمل عالية الأداء</w:t>
      </w:r>
      <w:r w:rsidRPr="00135E1D">
        <w:rPr>
          <w:rFonts w:asciiTheme="majorBidi" w:hAnsiTheme="majorBidi" w:cstheme="majorBidi"/>
          <w:sz w:val="28"/>
          <w:szCs w:val="28"/>
        </w:rPr>
        <w:t xml:space="preserve"> (High-Performance Work Systems - HPWS) </w:t>
      </w:r>
      <w:r w:rsidRPr="00135E1D">
        <w:rPr>
          <w:rFonts w:asciiTheme="majorBidi" w:hAnsiTheme="majorBidi" w:cstheme="majorBidi"/>
          <w:sz w:val="28"/>
          <w:szCs w:val="28"/>
          <w:rtl/>
        </w:rPr>
        <w:t>إطارًا استراتيجيًا متكاملاً في إدارة الموارد البشرية، يهدف إلى تمكين الموظفين وخلق بيئة داعمة للأداء المتميز من خلال ممارسات تشمل التوظيف الانتقائي، التدريب والتطوير المستمر، المكافآت التحفيزية، ومشاركة الموظفين في اتخاذ القرار</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&lt;EndNote&gt;&lt;Cite&gt;&lt;Author&gt;Combs&lt;/Author&gt;&lt;Year&gt;2006&lt;/Year&gt;&lt;RecNum&gt;1344&lt;/RecNum&gt;&lt;DisplayText&gt;(Combs et al., 2006, Kehoe and Wright, 2013)&lt;/DisplayText&gt;&lt;record&gt;&lt;rec-number&gt;1344&lt;/rec-number&gt;&lt;foreign-keys&gt;&lt;key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high‐performance work practices matter? A meta‐analysis of their effects on organizational performance&lt;/title&gt;&lt;secondary-title&gt;Personnel psychology&lt;/secondary-title&gt;&lt;/titles&gt;&lt;periodical&gt;&lt;full-title&gt;Personnel</w:instrText>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psychology&lt;/full-title&gt;&lt;/periodical&gt;&lt;pages&gt;501-528&lt;/pages&gt;&lt;volume&gt;59&lt;/volume&gt;&lt;number&gt;3&lt;/number&gt;&lt;dates&gt;&lt;year&gt;2006&lt;/year&gt;&lt;/dates&gt;&lt;isbn&gt;0031-5826&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Combs et al., 2006, Kehoe and Wright, 2013</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lang w:bidi="ar-EG"/>
        </w:rPr>
        <w:t>.</w:t>
      </w:r>
    </w:p>
    <w:p w14:paraId="4702B81B" w14:textId="180EF93F" w:rsidR="00404A54" w:rsidRDefault="00404A54" w:rsidP="00D42BB2">
      <w:pPr>
        <w:bidi/>
        <w:jc w:val="both"/>
        <w:rPr>
          <w:rFonts w:asciiTheme="majorBidi" w:hAnsiTheme="majorBidi" w:cstheme="majorBidi"/>
          <w:sz w:val="28"/>
          <w:szCs w:val="28"/>
          <w:rtl/>
        </w:rPr>
      </w:pPr>
      <w:r w:rsidRPr="00135E1D">
        <w:rPr>
          <w:rFonts w:asciiTheme="majorBidi" w:hAnsiTheme="majorBidi" w:cstheme="majorBidi"/>
          <w:sz w:val="28"/>
          <w:szCs w:val="28"/>
        </w:rPr>
        <w:t xml:space="preserve"> </w:t>
      </w:r>
      <w:r w:rsidRPr="00135E1D">
        <w:rPr>
          <w:rFonts w:asciiTheme="majorBidi" w:hAnsiTheme="majorBidi" w:cstheme="majorBidi"/>
          <w:sz w:val="28"/>
          <w:szCs w:val="28"/>
          <w:rtl/>
        </w:rPr>
        <w:t>وقد أثبتت الدراسات أن تطبيق هذه الأنظمة يسهم في رفع الالتزام الوظيفي وتحقيق الميزة التنافسية وتعزيز التكيف مع التغيرات التنظيمية، غير أن تأثيرها على الإبداع الوظيفي لا يزال محل جدل، لا سيما في السياقات الخدمية ذات التفاعل المكثف مع العملاء</w:t>
      </w:r>
      <w:r w:rsidRPr="00135E1D">
        <w:rPr>
          <w:rFonts w:asciiTheme="majorBidi" w:hAnsiTheme="majorBidi" w:cstheme="majorBidi"/>
          <w:sz w:val="28"/>
          <w:szCs w:val="28"/>
        </w:rPr>
        <w:t xml:space="preserve"> </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&lt;EndNote&gt;&lt;Cite&gt;&lt;Author&gt;Lepak&lt;/Author&gt;&lt;Year&gt;2006&lt;/Year&gt;&lt;RecNum&gt;1346&lt;/RecNum&gt;&lt;DisplayText&gt;(Lepak et al., 2006, Kabangire and Korir, 2023)&lt;/DisplayText&gt;&lt;record&gt;&lt;rec-number&gt;1346&lt;/rec-number&gt;&lt;foreign-keys&gt;&lt;key app="EN" db-id="t5vttv59or5xwbe2zdm</w:instrText>
      </w:r>
      <w:r w:rsidR="00FB6AAE">
        <w:rPr>
          <w:rFonts w:asciiTheme="majorBidi" w:hAnsiTheme="majorBidi" w:cstheme="majorBidi"/>
          <w:sz w:val="28"/>
          <w:szCs w:val="28"/>
          <w:rtl/>
        </w:rPr>
        <w:instrText>5</w:instrText>
      </w:r>
      <w:r w:rsidR="00FB6AAE">
        <w:rPr>
          <w:rFonts w:asciiTheme="majorBidi" w:hAnsiTheme="majorBidi" w:cstheme="majorBidi"/>
          <w:sz w:val="28"/>
          <w:szCs w:val="28"/>
        </w:rPr>
        <w:instrText>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E&lt;/author&gt;&lt;/authors&gt;&lt;/contributors&gt;&lt;titles&gt;&lt;title&gt;A conceptual review of human resource management systems in strategic human resource management research&lt;/title&gt;&lt;secondary-title&gt;Research in personnel and human resources management&lt;/secondary-title&gt;&lt;/titles&gt;&lt;periodical&gt;&lt;full-title&gt;Research in personnel and human resources management&lt;/full-title&gt;&lt;/periodical&gt;&lt;pages&gt;217-271&lt;/pages&gt;&lt;dates&gt;&lt;year&gt;2006&lt;/year&gt;&lt;/dates&gt;&lt;isbn&gt;0742-7301&lt;/isbn&gt;&lt;urls&gt;&lt;/urls&gt;&lt;/record&gt;&lt;/Cite&gt;&lt;Cite&gt;&lt;Author&gt;Kabangire&lt;/Author&gt;&lt;Year&gt;2023&lt;/Year&gt;&lt;RecNum&gt;1349&lt;/RecNum&gt;&lt;record&gt;&lt;rec-number&gt;1349&lt;/rec-number&gt;&lt;foreign-keys&gt;&lt;key app="EN" db-id="t5vttv59or5xwbe2zdm5ewrxd905arrpawff" timestamp="1730934105"&gt;1349&lt;/key&gt;&lt;/foreign-keys&gt;&lt;ref-type name="Journal Article"&gt;17&lt;/ref-type&gt;&lt;contributors&gt;&lt;authors&gt;&lt;author&gt;Kabangire, Julius&lt;/author&gt;&lt;author&gt;Korir, Jacqueline&lt;/author&gt;&lt;/authors&gt;&lt;/contributors&gt;&lt;titles&gt;&lt;title&gt;Innovation and creativity in hospitality management&lt;/title&gt;&lt;secondary-title&gt;Journal of Hospitality and Tourism&lt;/secondary-title&gt;&lt;/titles&gt;&lt;periodical&gt;&lt;full-title&gt;Journal of Hospitality and Tourism&lt;/full-title&gt;&lt;/periodical&gt;&lt;pages&gt;20-41&lt;/pages&gt;&lt;volume&gt;3&lt;/volume&gt;&lt;number&gt;3&lt;/number&gt;&lt;dates&gt;&lt;year&gt;2023&lt;/year&gt;&lt;/dates&gt;&lt;isbn&gt;2789-7052&lt;/isbn&gt;&lt;urls&gt;&lt;/urls&gt;&lt;/record&gt;&lt;/Cite&gt;&lt;/EndNote</w:instrText>
      </w:r>
      <w:r w:rsidR="00FB6AAE">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Lepak et al., 2006, Kabangire and Korir, 2023</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rPr>
        <w:t>.</w:t>
      </w:r>
    </w:p>
    <w:p w14:paraId="4E5DC2AB" w14:textId="26B57826" w:rsidR="00404A54" w:rsidRDefault="00404A54" w:rsidP="00D42BB2">
      <w:pPr>
        <w:bidi/>
        <w:jc w:val="both"/>
        <w:rPr>
          <w:rFonts w:asciiTheme="majorBidi" w:hAnsiTheme="majorBidi" w:cstheme="majorBidi"/>
          <w:sz w:val="28"/>
          <w:szCs w:val="28"/>
          <w:rtl/>
        </w:rPr>
      </w:pPr>
      <w:r w:rsidRPr="00135E1D">
        <w:rPr>
          <w:rFonts w:asciiTheme="majorBidi" w:hAnsiTheme="majorBidi" w:cstheme="majorBidi"/>
          <w:sz w:val="28"/>
          <w:szCs w:val="28"/>
        </w:rPr>
        <w:t xml:space="preserve"> </w:t>
      </w:r>
      <w:r w:rsidRPr="00135E1D">
        <w:rPr>
          <w:rFonts w:asciiTheme="majorBidi" w:hAnsiTheme="majorBidi" w:cstheme="majorBidi"/>
          <w:sz w:val="28"/>
          <w:szCs w:val="28"/>
          <w:rtl/>
        </w:rPr>
        <w:t>ويُعرف الإبداع الوظيفي بأنه قدرة الأفراد على إنتاج أفكار جديدة قابلة للتطبيق تسهم في تحسين جودة الأداء وتطوير العمليات التنظيمية</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00FB6AAE">
        <w:rPr>
          <w:rFonts w:asciiTheme="majorBidi" w:hAnsiTheme="majorBidi" w:cstheme="majorBidi"/>
          <w:sz w:val="28"/>
          <w:szCs w:val="28"/>
          <w:rtl/>
        </w:rPr>
        <w:instrText>&gt;&lt;</w:instrText>
      </w:r>
      <w:r w:rsidR="00FB6AAE">
        <w:rPr>
          <w:rFonts w:asciiTheme="majorBidi" w:hAnsiTheme="majorBidi" w:cstheme="majorBidi"/>
          <w:sz w:val="28"/>
          <w:szCs w:val="28"/>
        </w:rPr>
        <w:instrText>publisher&gt;Boulder, CO: Westview Press&lt;/publisher&gt;&lt;urls&gt;&lt;/urls&gt;&lt;/record&gt;&lt;/Cite&gt;&lt;/EndNote</w:instrText>
      </w:r>
      <w:r w:rsidR="00FB6AAE">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Amabile Teresa, 1996</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135E1D">
        <w:rPr>
          <w:rFonts w:asciiTheme="majorBidi" w:hAnsiTheme="majorBidi" w:cstheme="majorBidi"/>
          <w:sz w:val="28"/>
          <w:szCs w:val="28"/>
          <w:rtl/>
        </w:rPr>
        <w:t>، ويعد اليوم من أهم مكونات التميز المؤسسي في بيئات العمل الديناميكية. وقد أشارت أدبيات البحث إلى أن ممارسات الموارد البشرية الفعالة يمكن أن تعزز التفكير الابتكاري لدى الأفراد من خلال خلق بيئة تدعم الاستقلالية والمشاركة والمخاطرة المحسوبة</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&lt;EndNote&gt;&lt;Cite&gt;&lt;Author&gt;Jiang&lt;/Author&gt;&lt;Year&gt;2012&lt;/Year&gt;&lt;RecNum&gt;1364&lt;/RecNum&gt;&lt;DisplayText&gt;(Jiang et al., 2012, Sun et al., 2007)&lt;/DisplayText&gt;&lt;record&gt;&lt;rec-number&gt;1364&lt;/rec-number&gt;&lt;foreign-keys&gt;&lt;key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w:instrText>
      </w:r>
      <w:r w:rsidR="00FB6AAE">
        <w:rPr>
          <w:rFonts w:asciiTheme="majorBidi" w:hAnsiTheme="majorBidi" w:cstheme="majorBidi"/>
          <w:sz w:val="28"/>
          <w:szCs w:val="28"/>
          <w:rtl/>
        </w:rPr>
        <w:instrText>&gt;&lt;/</w:instrText>
      </w:r>
      <w:r w:rsidR="00FB6AAE">
        <w:rPr>
          <w:rFonts w:asciiTheme="majorBidi" w:hAnsiTheme="majorBidi" w:cstheme="majorBidi"/>
          <w:sz w:val="28"/>
          <w:szCs w:val="28"/>
        </w:rPr>
        <w:instrTex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Cite&gt;&lt;Author&gt;Sun&lt;/Author&gt;&lt;Year&gt;2007&lt;/Year&gt;&lt;RecNum&gt;134</w:instrText>
      </w:r>
      <w:r w:rsidR="00FB6AAE">
        <w:rPr>
          <w:rFonts w:asciiTheme="majorBidi" w:hAnsiTheme="majorBidi" w:cstheme="majorBidi"/>
          <w:sz w:val="28"/>
          <w:szCs w:val="28"/>
          <w:rtl/>
        </w:rPr>
        <w:instrText>5&lt;/</w:instrText>
      </w:r>
      <w:r w:rsidR="00FB6AAE">
        <w:rPr>
          <w:rFonts w:asciiTheme="majorBidi" w:hAnsiTheme="majorBidi" w:cstheme="majorBidi"/>
          <w:sz w:val="28"/>
          <w:szCs w:val="28"/>
        </w:rPr>
        <w:instrText>RecNum&gt;&lt;record&gt;&lt;rec-number&gt;1345&lt;/rec-number&gt;&lt;foreign-keys&gt;&lt;key app="EN" db-id="t5vttv59or5xwbe2zdm5ewrxd905arrpawff" timestamp="1730932472"&gt;1345&lt;/key&gt;&lt;/foreign-keys&gt;&lt;ref-type name="Journal Article"&gt;17&lt;/ref-type&gt;&lt;contributors&gt;&lt;authors&gt;&lt;author&gt;Sun, Li-Yun&lt;/author&gt;&lt;author&gt;Aryee, Samuel&lt;/author&gt;&lt;author&gt;Law, Kenneth S&lt;/author&gt;&lt;/authors&gt;&lt;/contributors&gt;&lt;titles&gt;&lt;title&gt;High-performance human resource practices, citizenship behavior, and organizational performance: A relational perspective&lt;/title&gt;&lt;secondary-title&gt;Academy of management Journal&lt;/secondary-title&gt;&lt;/titles&gt;&lt;periodical&gt;&lt;full-title&gt;Academy of management journal&lt;/full-title&gt;&lt;/periodical&gt;&lt;pages&gt;558-577&lt;/pages&gt;&lt;volume&gt;50&lt;/volume&gt;&lt;number&gt;3&lt;/number&gt;&lt;dates&gt;&lt;year&gt;2007&lt;/year&gt;&lt;/dates&gt;&lt;isbn&gt;0001-4273&lt;/isbn&gt;&lt;urls</w:instrText>
      </w:r>
      <w:r w:rsidR="00FB6AAE">
        <w:rPr>
          <w:rFonts w:asciiTheme="majorBidi" w:hAnsiTheme="majorBidi" w:cstheme="majorBidi"/>
          <w:sz w:val="28"/>
          <w:szCs w:val="28"/>
          <w:rtl/>
        </w:rPr>
        <w:instrText>&gt;&lt;/</w:instrText>
      </w:r>
      <w:r w:rsidR="00FB6AAE">
        <w:rPr>
          <w:rFonts w:asciiTheme="majorBidi" w:hAnsiTheme="majorBidi" w:cstheme="majorBidi"/>
          <w:sz w:val="28"/>
          <w:szCs w:val="28"/>
        </w:rPr>
        <w:instrText>urls&gt;&lt;/record&gt;&lt;/Cite&gt;&lt;/EndNote</w:instrText>
      </w:r>
      <w:r w:rsidR="00FB6AAE">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Jiang et al., 2012, Sun et al., 2007</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rPr>
        <w:t>.</w:t>
      </w:r>
    </w:p>
    <w:p w14:paraId="7E01F24F" w14:textId="78ED130C" w:rsidR="00404A54" w:rsidRDefault="00404A54" w:rsidP="00D42BB2">
      <w:pPr>
        <w:bidi/>
        <w:jc w:val="both"/>
        <w:rPr>
          <w:rFonts w:asciiTheme="majorBidi" w:hAnsiTheme="majorBidi" w:cstheme="majorBidi"/>
          <w:sz w:val="28"/>
          <w:szCs w:val="28"/>
          <w:rtl/>
        </w:rPr>
      </w:pPr>
      <w:r w:rsidRPr="00135E1D">
        <w:rPr>
          <w:rFonts w:asciiTheme="majorBidi" w:hAnsiTheme="majorBidi" w:cstheme="majorBidi"/>
          <w:sz w:val="28"/>
          <w:szCs w:val="28"/>
        </w:rPr>
        <w:t xml:space="preserve"> </w:t>
      </w:r>
      <w:r w:rsidRPr="00135E1D">
        <w:rPr>
          <w:rFonts w:asciiTheme="majorBidi" w:hAnsiTheme="majorBidi" w:cstheme="majorBidi"/>
          <w:sz w:val="28"/>
          <w:szCs w:val="28"/>
          <w:rtl/>
        </w:rPr>
        <w:t>في هذا السياق، تبرز الثقافة التنظيمية بوصفها أحد العوامل الوسيطة الجوهرية، حيث تؤثر في تفسير وتوجيه سلوكيات الموظفين واستجابتهم لممارسات الموارد البشرية، وتمثل القيم والمعتقدات والمعايير التي تحكم أسلوب العمل والتواصل داخل المنظمة</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Pr>
          <w:rFonts w:asciiTheme="majorBidi" w:hAnsiTheme="majorBidi" w:cstheme="majorBidi"/>
          <w:sz w:val="28"/>
          <w:szCs w:val="28"/>
          <w:rtl/>
        </w:rPr>
        <w:instrText>-</w:instrText>
      </w:r>
      <w:r w:rsidR="00FB6AAE">
        <w:rPr>
          <w:rFonts w:asciiTheme="majorBidi" w:hAnsiTheme="majorBidi" w:cstheme="majorBidi"/>
          <w:sz w:val="28"/>
          <w:szCs w:val="28"/>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Takeuchi et al., 2007</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rPr>
        <w:t>.</w:t>
      </w:r>
      <w:r w:rsidRPr="00135E1D">
        <w:rPr>
          <w:rFonts w:asciiTheme="majorBidi" w:hAnsiTheme="majorBidi" w:cstheme="majorBidi"/>
          <w:sz w:val="28"/>
          <w:szCs w:val="28"/>
        </w:rPr>
        <w:t xml:space="preserve"> </w:t>
      </w:r>
      <w:r w:rsidRPr="00135E1D">
        <w:rPr>
          <w:rFonts w:asciiTheme="majorBidi" w:hAnsiTheme="majorBidi" w:cstheme="majorBidi"/>
          <w:sz w:val="28"/>
          <w:szCs w:val="28"/>
          <w:rtl/>
        </w:rPr>
        <w:t>وتُظهر بعض الدراسات أن الثقافة التنظيمية الداعمة تُعزز العلاقة بين</w:t>
      </w:r>
      <w:r w:rsidRPr="00135E1D">
        <w:rPr>
          <w:rFonts w:asciiTheme="majorBidi" w:hAnsiTheme="majorBidi" w:cstheme="majorBidi"/>
          <w:sz w:val="28"/>
          <w:szCs w:val="28"/>
        </w:rPr>
        <w:t xml:space="preserve"> HPWS </w:t>
      </w:r>
      <w:r w:rsidRPr="00135E1D">
        <w:rPr>
          <w:rFonts w:asciiTheme="majorBidi" w:hAnsiTheme="majorBidi" w:cstheme="majorBidi"/>
          <w:sz w:val="28"/>
          <w:szCs w:val="28"/>
          <w:rtl/>
        </w:rPr>
        <w:t>والإبداع من خلال تحفيز الموظفين على التفاعل والمشاركة والابتكار، ما يدفع باتجاه نتائج تنظيمية أكثر إيجابية</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00FB6AAE">
        <w:rPr>
          <w:rFonts w:asciiTheme="majorBidi" w:hAnsiTheme="majorBidi" w:cstheme="majorBidi"/>
          <w:sz w:val="28"/>
          <w:szCs w:val="28"/>
          <w:rtl/>
        </w:rPr>
        <w:instrText>05</w:instrText>
      </w:r>
      <w:r w:rsidR="00FB6AAE">
        <w:rPr>
          <w:rFonts w:asciiTheme="majorBidi" w:hAnsiTheme="majorBidi" w:cstheme="majorBidi"/>
          <w:sz w:val="28"/>
          <w:szCs w:val="28"/>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00FB6AAE">
        <w:rPr>
          <w:rFonts w:asciiTheme="majorBidi" w:hAnsiTheme="majorBidi" w:cstheme="majorBidi"/>
          <w:sz w:val="28"/>
          <w:szCs w:val="28"/>
          <w:rtl/>
        </w:rPr>
        <w:instrText>&gt;&lt;/</w:instrText>
      </w:r>
      <w:r w:rsidR="00FB6AAE">
        <w:rPr>
          <w:rFonts w:asciiTheme="majorBidi" w:hAnsiTheme="majorBidi" w:cstheme="majorBidi"/>
          <w:sz w:val="28"/>
          <w:szCs w:val="28"/>
        </w:rPr>
        <w:instrText>periodical&gt;&lt;pages&gt;102610&lt;/pages&gt;&lt;volume&gt;90&lt;/volume&gt;&lt;dates&gt;&lt;year&gt;2020&lt;/year&gt;&lt;/dates&gt;&lt;isbn&gt;0278-4319&lt;/isbn&gt;&lt;urls&gt;&lt;/urls&gt;&lt;/record&gt;&lt;/Cite&gt;&lt;/EndNote</w:instrText>
      </w:r>
      <w:r w:rsidR="00FB6AAE">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Kloutsiniotis and Mihail, 2020</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rPr>
        <w:t>.</w:t>
      </w:r>
    </w:p>
    <w:p w14:paraId="2BB9B8E3" w14:textId="68751A5C" w:rsidR="00404A54" w:rsidRDefault="00404A54" w:rsidP="00D42BB2">
      <w:pPr>
        <w:bidi/>
        <w:jc w:val="both"/>
        <w:rPr>
          <w:rFonts w:asciiTheme="majorBidi" w:hAnsiTheme="majorBidi" w:cstheme="majorBidi"/>
          <w:sz w:val="28"/>
          <w:szCs w:val="28"/>
          <w:rtl/>
        </w:rPr>
      </w:pPr>
      <w:r w:rsidRPr="00135E1D">
        <w:rPr>
          <w:rFonts w:asciiTheme="majorBidi" w:hAnsiTheme="majorBidi" w:cstheme="majorBidi"/>
          <w:sz w:val="28"/>
          <w:szCs w:val="28"/>
        </w:rPr>
        <w:t xml:space="preserve"> </w:t>
      </w:r>
      <w:r w:rsidRPr="00135E1D">
        <w:rPr>
          <w:rFonts w:asciiTheme="majorBidi" w:hAnsiTheme="majorBidi" w:cstheme="majorBidi"/>
          <w:sz w:val="28"/>
          <w:szCs w:val="28"/>
          <w:rtl/>
        </w:rPr>
        <w:t>وفي ظل التحولات التي يشهدها قطاع الضيافة في المملكة العربية السعودية، وبالأخص قطاعي الفنادق والمطاعم، نتيجة رؤية 2030 التي تسعى إلى تعزيز جودة الخدمات وتنويع الاقتصاد، تزداد أهمية فهم العلاقة بين ممارسات الموارد البشرية والإبداع الوظيفي في بيئة عمل شديدة التنافس والتغير</w:t>
      </w:r>
      <w:r w:rsidRPr="00135E1D">
        <w:rPr>
          <w:rFonts w:asciiTheme="majorBidi" w:hAnsiTheme="majorBidi" w:cstheme="majorBidi"/>
          <w:sz w:val="28"/>
          <w:szCs w:val="28"/>
        </w:rPr>
        <w:t xml:space="preserve"> </w:t>
      </w:r>
      <w:r>
        <w:rPr>
          <w:rFonts w:asciiTheme="majorBidi" w:hAnsiTheme="majorBidi" w:cstheme="majorBidi"/>
          <w:sz w:val="28"/>
          <w:szCs w:val="28"/>
        </w:rPr>
        <w:fldChar w:fldCharType="begin"/>
      </w:r>
      <w:r w:rsidR="00FB6AAE">
        <w:rPr>
          <w:rFonts w:asciiTheme="majorBidi" w:hAnsiTheme="majorBidi" w:cstheme="majorBidi"/>
          <w:sz w:val="28"/>
          <w:szCs w:val="28"/>
        </w:rPr>
        <w:instrText xml:space="preserve"> ADDIN EN.CITE &lt;EndNote&gt;&lt;Cite&gt;&lt;Author&gt;Arabia&lt;/Author&gt;&lt;Year&gt;2016&lt;/Year&gt;&lt;RecNum&gt;515&lt;/RecNum&gt;&lt;DisplayText&gt;(Arabia, 2016)&lt;/DisplayText&gt;&lt;record&gt;&lt;rec-number&gt;515&lt;/rec-number&gt;&lt;foreign-keys&gt;&lt;key app="EN" db-id="t5vttv59or5xwbe2zdm5ewrxd905arrpawff" timestamp="1722610128"&gt;515&lt;/key&gt;&lt;/foreign-keys&gt;&lt;ref-type name="Web Page"&gt;12&lt;/ref-type&gt;&lt;contributors&gt;&lt;authors&gt;&lt;author&gt;Kingdom of Saudi Arabia&lt;/author&gt;&lt;/authors&gt;&lt;/contributors&gt;&lt;titles&gt;&lt;title&gt;Vision 2030. Kingdom of Saudi Arabia.&lt;/title&gt;&lt;/titles&gt;&lt;dates&gt;&lt;year&gt;2016&lt;/year&gt;&lt;/dates&gt;&lt;urls&gt;&lt;related-urls&gt;&lt;url&gt;https://www.vision2030.gov.sa/en&lt;/url&gt;&lt;/related-urls&gt;&lt;/urls&gt;&lt;/record&gt;&lt;/Cite&gt;&lt;/EndNote&gt;</w:instrText>
      </w:r>
      <w:r>
        <w:rPr>
          <w:rFonts w:asciiTheme="majorBidi" w:hAnsiTheme="majorBidi" w:cstheme="majorBidi"/>
          <w:sz w:val="28"/>
          <w:szCs w:val="28"/>
        </w:rPr>
        <w:fldChar w:fldCharType="separate"/>
      </w:r>
      <w:r>
        <w:rPr>
          <w:rFonts w:asciiTheme="majorBidi" w:hAnsiTheme="majorBidi" w:cstheme="majorBidi"/>
          <w:noProof/>
          <w:sz w:val="28"/>
          <w:szCs w:val="28"/>
        </w:rPr>
        <w:t>(Arabia, 2016)</w:t>
      </w:r>
      <w:r>
        <w:rPr>
          <w:rFonts w:asciiTheme="majorBidi" w:hAnsiTheme="majorBidi" w:cstheme="majorBidi"/>
          <w:sz w:val="28"/>
          <w:szCs w:val="28"/>
        </w:rPr>
        <w:fldChar w:fldCharType="end"/>
      </w:r>
      <w:r>
        <w:rPr>
          <w:rFonts w:asciiTheme="majorBidi" w:hAnsiTheme="majorBidi" w:cstheme="majorBidi" w:hint="cs"/>
          <w:sz w:val="28"/>
          <w:szCs w:val="28"/>
          <w:rtl/>
        </w:rPr>
        <w:t>.</w:t>
      </w:r>
    </w:p>
    <w:p w14:paraId="02BDB7CF" w14:textId="5B577E1B" w:rsidR="00404A54" w:rsidRDefault="00404A54" w:rsidP="00F806C7">
      <w:pPr>
        <w:bidi/>
        <w:jc w:val="both"/>
        <w:rPr>
          <w:rFonts w:asciiTheme="majorBidi" w:hAnsiTheme="majorBidi" w:cstheme="majorBidi"/>
          <w:sz w:val="28"/>
          <w:szCs w:val="28"/>
          <w:rtl/>
        </w:rPr>
      </w:pPr>
      <w:r w:rsidRPr="00135E1D">
        <w:rPr>
          <w:rFonts w:asciiTheme="majorBidi" w:hAnsiTheme="majorBidi" w:cstheme="majorBidi"/>
          <w:sz w:val="28"/>
          <w:szCs w:val="28"/>
        </w:rPr>
        <w:t xml:space="preserve"> </w:t>
      </w:r>
      <w:r w:rsidRPr="00135E1D">
        <w:rPr>
          <w:rFonts w:asciiTheme="majorBidi" w:hAnsiTheme="majorBidi" w:cstheme="majorBidi"/>
          <w:sz w:val="28"/>
          <w:szCs w:val="28"/>
          <w:rtl/>
        </w:rPr>
        <w:t>وعليه، تهدف هذه الدراسة إلى استكشاف أثر أنظمة العمل عالية الأداء على الإبداع الوظيفي، مع تحليل الدور الوسيط الذي تلعبه الثقافة التنظيمية في هذه العلاقة، من خلال دراسة تطبيقية تستهدف قطاعي الفنادق والمطاعم في مدينة الرياض. وتُركز الدراسة على ثلاث مجموعات من المتغيرات: أنظمة العمل عالية الأداء كمجموعة من الممارسات المتكاملة (المتغير المستقل)، والإبداع الوظيفي بوصفه ناتجًا سلوكيًا وتنظيميًا (المتغير التابع)، والثقافة التنظيمية كعامل وسيط يعكس القيم والممارسات السائدة داخل المؤسسات الخدمية</w:t>
      </w:r>
      <w:r w:rsidRPr="00135E1D">
        <w:rPr>
          <w:rFonts w:asciiTheme="majorBidi" w:hAnsiTheme="majorBidi" w:cstheme="majorBidi"/>
          <w:sz w:val="28"/>
          <w:szCs w:val="28"/>
        </w:rPr>
        <w:t>.</w:t>
      </w:r>
    </w:p>
    <w:p w14:paraId="3CA3EC8D" w14:textId="77777777" w:rsidR="00D42BB2" w:rsidRPr="00135E1D" w:rsidRDefault="00D42BB2" w:rsidP="00D42BB2">
      <w:pPr>
        <w:bidi/>
        <w:rPr>
          <w:rFonts w:asciiTheme="majorBidi" w:hAnsiTheme="majorBidi" w:cstheme="majorBidi"/>
          <w:sz w:val="28"/>
          <w:szCs w:val="28"/>
        </w:rPr>
      </w:pPr>
    </w:p>
    <w:p w14:paraId="434137DF"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1.2. مشكلة الدراسة</w:t>
      </w:r>
    </w:p>
    <w:p w14:paraId="38093E48" w14:textId="36417704" w:rsidR="00404A54" w:rsidRPr="00DE731D" w:rsidRDefault="00404A54" w:rsidP="00D42BB2">
      <w:pPr>
        <w:bidi/>
        <w:jc w:val="both"/>
        <w:rPr>
          <w:rFonts w:asciiTheme="majorBidi" w:hAnsiTheme="majorBidi" w:cstheme="majorBidi"/>
          <w:sz w:val="28"/>
          <w:szCs w:val="28"/>
        </w:rPr>
      </w:pPr>
      <w:r w:rsidRPr="00DE731D">
        <w:rPr>
          <w:rFonts w:asciiTheme="majorBidi" w:hAnsiTheme="majorBidi" w:cstheme="majorBidi"/>
          <w:sz w:val="28"/>
          <w:szCs w:val="28"/>
          <w:rtl/>
        </w:rPr>
        <w:t>يُعد قطاع الضيافة، الذي يشمل الفنادق والمطاعم، من أكثر القطاعات تفاعلًا مع احتياجات العملاء وتوقعاتهم المتغيرة، مما يتطلب اعتماد أساليب عمل مرنة ومحفزة للإبداع لضمان تقديم خدمات متجددة تلبي هذه الاحتياجات</w:t>
      </w:r>
      <w:r w:rsidRPr="00DE731D">
        <w:rPr>
          <w:rFonts w:asciiTheme="majorBidi" w:hAnsiTheme="majorBidi" w:cstheme="majorBidi" w:hint="cs"/>
          <w:sz w:val="28"/>
          <w:szCs w:val="28"/>
          <w:rtl/>
        </w:rPr>
        <w:t xml:space="preserve"> </w:t>
      </w:r>
      <w:r w:rsidRPr="00DE731D">
        <w:rPr>
          <w:rFonts w:asciiTheme="majorBidi" w:hAnsiTheme="majorBidi" w:cstheme="majorBidi"/>
          <w:sz w:val="28"/>
          <w:szCs w:val="28"/>
          <w:rtl/>
        </w:rPr>
        <w:fldChar w:fldCharType="begin"/>
      </w:r>
      <w:r w:rsidR="00FB6AAE" w:rsidRPr="00DE731D">
        <w:rPr>
          <w:rFonts w:asciiTheme="majorBidi" w:hAnsiTheme="majorBidi" w:cstheme="majorBidi"/>
          <w:sz w:val="28"/>
          <w:szCs w:val="28"/>
          <w:rtl/>
        </w:rPr>
        <w:instrText xml:space="preserve"> </w:instrText>
      </w:r>
      <w:r w:rsidR="00FB6AAE" w:rsidRPr="00DE731D">
        <w:rPr>
          <w:rFonts w:asciiTheme="majorBidi" w:hAnsiTheme="majorBidi" w:cstheme="majorBidi"/>
          <w:sz w:val="28"/>
          <w:szCs w:val="28"/>
        </w:rPr>
        <w:instrText>ADDIN EN.CITE &lt;EndNote&gt;&lt;Cite&gt;&lt;Author</w:instrText>
      </w:r>
      <w:r w:rsidR="00FB6AAE" w:rsidRPr="00DE731D">
        <w:rPr>
          <w:rFonts w:asciiTheme="majorBidi" w:hAnsiTheme="majorBidi" w:cstheme="majorBidi"/>
          <w:sz w:val="28"/>
          <w:szCs w:val="28"/>
          <w:rtl/>
        </w:rPr>
        <w:instrText>&gt;الحبيب.&lt;/</w:instrText>
      </w:r>
      <w:r w:rsidR="00FB6AAE" w:rsidRPr="00DE731D">
        <w:rPr>
          <w:rFonts w:asciiTheme="majorBidi" w:hAnsiTheme="majorBidi" w:cstheme="majorBidi"/>
          <w:sz w:val="28"/>
          <w:szCs w:val="28"/>
        </w:rPr>
        <w:instrText>Author&gt;&lt;Year&gt;2017&lt;/Year&gt;&lt;RecNum&gt;2221&lt;/RecNum&gt;&lt;DisplayText</w:instrText>
      </w:r>
      <w:r w:rsidR="00FB6AAE" w:rsidRPr="00DE731D">
        <w:rPr>
          <w:rFonts w:asciiTheme="majorBidi" w:hAnsiTheme="majorBidi" w:cstheme="majorBidi"/>
          <w:sz w:val="28"/>
          <w:szCs w:val="28"/>
          <w:rtl/>
        </w:rPr>
        <w:instrText>&gt;(الحبيب., 2017)&lt;/</w:instrText>
      </w:r>
      <w:r w:rsidR="00FB6AAE" w:rsidRPr="00DE731D">
        <w:rPr>
          <w:rFonts w:asciiTheme="majorBidi" w:hAnsiTheme="majorBidi" w:cstheme="majorBidi"/>
          <w:sz w:val="28"/>
          <w:szCs w:val="28"/>
        </w:rPr>
        <w:instrText>DisplayText&gt;&lt;record&gt;&lt;rec-number&gt;2221&lt;/rec-number&gt;&lt;foreign-keys&gt;&lt;key app="EN" db-id="t5vttv59or5xwbe2zdm5ewrxd905arrpawff" timestamp</w:instrText>
      </w:r>
      <w:r w:rsidR="00FB6AAE" w:rsidRPr="00DE731D">
        <w:rPr>
          <w:rFonts w:asciiTheme="majorBidi" w:hAnsiTheme="majorBidi" w:cstheme="majorBidi"/>
          <w:sz w:val="28"/>
          <w:szCs w:val="28"/>
          <w:rtl/>
        </w:rPr>
        <w:instrText>="1743467736"&gt;2221&lt;/</w:instrText>
      </w:r>
      <w:r w:rsidR="00FB6AAE" w:rsidRPr="00DE731D">
        <w:rPr>
          <w:rFonts w:asciiTheme="majorBidi" w:hAnsiTheme="majorBidi" w:cstheme="majorBidi"/>
          <w:sz w:val="28"/>
          <w:szCs w:val="28"/>
        </w:rPr>
        <w:instrText>key&gt;&lt;/foreign-keys&gt;&lt;ref-type name="Thesis"&gt;32&lt;/ref-type&gt;&lt;contributors&gt;&lt;authors&gt;&lt;author</w:instrText>
      </w:r>
      <w:r w:rsidR="00FB6AAE" w:rsidRPr="00DE731D">
        <w:rPr>
          <w:rFonts w:asciiTheme="majorBidi" w:hAnsiTheme="majorBidi" w:cstheme="majorBidi"/>
          <w:sz w:val="28"/>
          <w:szCs w:val="28"/>
          <w:rtl/>
        </w:rPr>
        <w:instrText>&gt;محسن، بن الحبيب.&lt;/</w:instrText>
      </w:r>
      <w:r w:rsidR="00FB6AAE" w:rsidRPr="00DE731D">
        <w:rPr>
          <w:rFonts w:asciiTheme="majorBidi" w:hAnsiTheme="majorBidi" w:cstheme="majorBidi"/>
          <w:sz w:val="28"/>
          <w:szCs w:val="28"/>
        </w:rPr>
        <w:instrText>author&gt;&lt;/authors&gt;&lt;/contributors&gt;&lt;titles&gt;&lt;title</w:instrText>
      </w:r>
      <w:r w:rsidR="00FB6AAE" w:rsidRPr="00DE731D">
        <w:rPr>
          <w:rFonts w:asciiTheme="majorBidi" w:hAnsiTheme="majorBidi" w:cstheme="majorBidi"/>
          <w:sz w:val="28"/>
          <w:szCs w:val="28"/>
          <w:rtl/>
        </w:rPr>
        <w:instrText>&gt;أثر إدارة العلاقة مع العملاء في تنافسية المؤسسات السياحية بالجزائر-دراسة عينة من الوكالات السياحية بالجزائر&lt;/</w:instrText>
      </w:r>
      <w:r w:rsidR="00FB6AAE" w:rsidRPr="00DE731D">
        <w:rPr>
          <w:rFonts w:asciiTheme="majorBidi" w:hAnsiTheme="majorBidi" w:cstheme="majorBidi"/>
          <w:sz w:val="28"/>
          <w:szCs w:val="28"/>
        </w:rPr>
        <w:instrText>title&gt;&lt;/titles&gt;&lt;dates&gt;&lt;year&gt;2017&lt;/year&gt;&lt;/dates&gt;&lt;urls&gt;&lt;/urls&gt;&lt;/record&gt;&lt;/Cite&gt;&lt;/EndNote</w:instrText>
      </w:r>
      <w:r w:rsidR="00FB6AAE" w:rsidRPr="00DE731D">
        <w:rPr>
          <w:rFonts w:asciiTheme="majorBidi" w:hAnsiTheme="majorBidi" w:cstheme="majorBidi"/>
          <w:sz w:val="28"/>
          <w:szCs w:val="28"/>
          <w:rtl/>
        </w:rPr>
        <w:instrText>&gt;</w:instrText>
      </w:r>
      <w:r w:rsidRPr="00DE731D">
        <w:rPr>
          <w:rFonts w:asciiTheme="majorBidi" w:hAnsiTheme="majorBidi" w:cstheme="majorBidi"/>
          <w:sz w:val="28"/>
          <w:szCs w:val="28"/>
          <w:rtl/>
        </w:rPr>
        <w:fldChar w:fldCharType="separate"/>
      </w:r>
      <w:r w:rsidRPr="00DE731D">
        <w:rPr>
          <w:rFonts w:asciiTheme="majorBidi" w:hAnsiTheme="majorBidi" w:cstheme="majorBidi"/>
          <w:noProof/>
          <w:sz w:val="28"/>
          <w:szCs w:val="28"/>
          <w:rtl/>
        </w:rPr>
        <w:t>(الحبيب., 2017)</w:t>
      </w:r>
      <w:r w:rsidRPr="00DE731D">
        <w:rPr>
          <w:rFonts w:asciiTheme="majorBidi" w:hAnsiTheme="majorBidi" w:cstheme="majorBidi"/>
          <w:sz w:val="28"/>
          <w:szCs w:val="28"/>
          <w:rtl/>
        </w:rPr>
        <w:fldChar w:fldCharType="end"/>
      </w:r>
      <w:r w:rsidRPr="00DE731D">
        <w:rPr>
          <w:rFonts w:asciiTheme="majorBidi" w:hAnsiTheme="majorBidi" w:cstheme="majorBidi"/>
          <w:sz w:val="28"/>
          <w:szCs w:val="28"/>
          <w:rtl/>
        </w:rPr>
        <w:t>. إلا أن الواقع العملي يشير إلى وجود تحديات حقيقية تُعيق الأداء الإبداعي في هذا القطاع، خاصةً على مستوى الموظفين الذين يمثلون الواجهة التشغيلية للمؤسسات</w:t>
      </w:r>
      <w:r w:rsidRPr="00DE731D">
        <w:rPr>
          <w:rFonts w:asciiTheme="majorBidi" w:hAnsiTheme="majorBidi" w:cstheme="majorBidi"/>
          <w:sz w:val="28"/>
          <w:szCs w:val="28"/>
        </w:rPr>
        <w:t>.</w:t>
      </w:r>
    </w:p>
    <w:p w14:paraId="55A71996" w14:textId="77777777" w:rsidR="00404A54" w:rsidRPr="00DE731D" w:rsidRDefault="00404A54" w:rsidP="00D42BB2">
      <w:pPr>
        <w:bidi/>
        <w:jc w:val="both"/>
        <w:rPr>
          <w:rFonts w:asciiTheme="majorBidi" w:hAnsiTheme="majorBidi" w:cstheme="majorBidi"/>
          <w:sz w:val="28"/>
          <w:szCs w:val="28"/>
        </w:rPr>
      </w:pPr>
      <w:r w:rsidRPr="00DE731D">
        <w:rPr>
          <w:rFonts w:asciiTheme="majorBidi" w:hAnsiTheme="majorBidi" w:cstheme="majorBidi"/>
          <w:sz w:val="28"/>
          <w:szCs w:val="28"/>
          <w:rtl/>
        </w:rPr>
        <w:t xml:space="preserve">تشير تقارير الهيئة العامة للإحصاء (2024) إلى أن قطاع الضيافة والخدمات الغذائية في المملكة العربية السعودية يوظف أكثر من </w:t>
      </w:r>
      <w:r w:rsidRPr="00DE731D">
        <w:rPr>
          <w:rFonts w:asciiTheme="majorBidi" w:hAnsiTheme="majorBidi" w:cstheme="majorBidi"/>
          <w:b/>
          <w:bCs/>
          <w:sz w:val="28"/>
          <w:szCs w:val="28"/>
        </w:rPr>
        <w:t>680,000</w:t>
      </w:r>
      <w:r w:rsidRPr="00DE731D">
        <w:rPr>
          <w:rFonts w:asciiTheme="majorBidi" w:hAnsiTheme="majorBidi" w:cstheme="majorBidi" w:hint="cs"/>
          <w:b/>
          <w:bCs/>
          <w:sz w:val="28"/>
          <w:szCs w:val="28"/>
          <w:rtl/>
        </w:rPr>
        <w:t xml:space="preserve"> </w:t>
      </w:r>
      <w:r w:rsidRPr="00DE731D">
        <w:rPr>
          <w:rFonts w:asciiTheme="majorBidi" w:hAnsiTheme="majorBidi" w:cstheme="majorBidi"/>
          <w:b/>
          <w:bCs/>
          <w:sz w:val="28"/>
          <w:szCs w:val="28"/>
          <w:rtl/>
        </w:rPr>
        <w:t>عامل</w:t>
      </w:r>
      <w:r w:rsidRPr="00DE731D">
        <w:rPr>
          <w:rFonts w:asciiTheme="majorBidi" w:hAnsiTheme="majorBidi" w:cstheme="majorBidi"/>
          <w:sz w:val="28"/>
          <w:szCs w:val="28"/>
          <w:rtl/>
        </w:rPr>
        <w:t>، إلا أن هذا النمو في عدد العاملين لا ينعكس بالضرورة في جودة الخدمة أو في الابتكار داخل بيئة العمل، وهو ما تبرزه تقارير وزارة السياحة حول الحاجة إلى تحسين الكفاءة والابتكار بما يتماشى مع مستهدفات رؤية 2030</w:t>
      </w:r>
      <w:r w:rsidRPr="00DE731D">
        <w:rPr>
          <w:rFonts w:asciiTheme="majorBidi" w:hAnsiTheme="majorBidi" w:cstheme="majorBidi"/>
          <w:sz w:val="28"/>
          <w:szCs w:val="28"/>
        </w:rPr>
        <w:t>.</w:t>
      </w:r>
    </w:p>
    <w:p w14:paraId="068D69A2" w14:textId="77777777" w:rsidR="00404A54" w:rsidRPr="00DE731D" w:rsidRDefault="00404A54" w:rsidP="00D42BB2">
      <w:pPr>
        <w:bidi/>
        <w:jc w:val="both"/>
        <w:rPr>
          <w:rFonts w:asciiTheme="majorBidi" w:hAnsiTheme="majorBidi" w:cstheme="majorBidi"/>
          <w:sz w:val="28"/>
          <w:szCs w:val="28"/>
        </w:rPr>
      </w:pPr>
      <w:r w:rsidRPr="00DE731D">
        <w:rPr>
          <w:rFonts w:asciiTheme="majorBidi" w:hAnsiTheme="majorBidi" w:cstheme="majorBidi"/>
          <w:sz w:val="28"/>
          <w:szCs w:val="28"/>
          <w:rtl/>
        </w:rPr>
        <w:t>ومن أبرز التحديات التي تُضعف الأداء الإبداعي في هذا القطاع</w:t>
      </w:r>
      <w:r w:rsidRPr="00DE731D">
        <w:rPr>
          <w:rFonts w:asciiTheme="majorBidi" w:hAnsiTheme="majorBidi" w:cstheme="majorBidi"/>
          <w:sz w:val="28"/>
          <w:szCs w:val="28"/>
        </w:rPr>
        <w:t>:</w:t>
      </w:r>
    </w:p>
    <w:p w14:paraId="7A1A3308" w14:textId="58DF4CCA" w:rsidR="00404A54" w:rsidRPr="00DE731D" w:rsidRDefault="00404A54" w:rsidP="00D42BB2">
      <w:pPr>
        <w:numPr>
          <w:ilvl w:val="0"/>
          <w:numId w:val="28"/>
        </w:numPr>
        <w:bidi/>
        <w:jc w:val="both"/>
        <w:rPr>
          <w:rFonts w:asciiTheme="majorBidi" w:hAnsiTheme="majorBidi" w:cstheme="majorBidi"/>
          <w:sz w:val="28"/>
          <w:szCs w:val="28"/>
        </w:rPr>
      </w:pPr>
      <w:r w:rsidRPr="00DE731D">
        <w:rPr>
          <w:rFonts w:asciiTheme="majorBidi" w:hAnsiTheme="majorBidi" w:cstheme="majorBidi"/>
          <w:b/>
          <w:bCs/>
          <w:sz w:val="28"/>
          <w:szCs w:val="28"/>
          <w:rtl/>
        </w:rPr>
        <w:t>بيئة العمل القائمة على الإجراءات الروتينية</w:t>
      </w:r>
      <w:r w:rsidRPr="00DE731D">
        <w:rPr>
          <w:rFonts w:asciiTheme="majorBidi" w:hAnsiTheme="majorBidi" w:cstheme="majorBidi"/>
          <w:sz w:val="28"/>
          <w:szCs w:val="28"/>
        </w:rPr>
        <w:t xml:space="preserve">: </w:t>
      </w:r>
      <w:r w:rsidRPr="00DE731D">
        <w:rPr>
          <w:rFonts w:asciiTheme="majorBidi" w:hAnsiTheme="majorBidi" w:cstheme="majorBidi"/>
          <w:sz w:val="28"/>
          <w:szCs w:val="28"/>
          <w:rtl/>
        </w:rPr>
        <w:t xml:space="preserve">حيث غالبًا ما تُفضل المؤسسات في قطاع الضيافة الامتثال الصارم للمعايير التشغيلية، مما قد يحد من حرية الموظفين في الابتكار </w:t>
      </w:r>
      <w:r w:rsidRPr="00DE731D">
        <w:rPr>
          <w:rFonts w:asciiTheme="majorBidi" w:hAnsiTheme="majorBidi" w:cstheme="majorBidi"/>
          <w:sz w:val="28"/>
          <w:szCs w:val="28"/>
          <w:rtl/>
        </w:rPr>
        <w:fldChar w:fldCharType="begin"/>
      </w:r>
      <w:r w:rsidR="00FB6AAE" w:rsidRPr="00DE731D">
        <w:rPr>
          <w:rFonts w:asciiTheme="majorBidi" w:hAnsiTheme="majorBidi" w:cstheme="majorBidi"/>
          <w:sz w:val="28"/>
          <w:szCs w:val="28"/>
          <w:rtl/>
        </w:rPr>
        <w:instrText xml:space="preserve"> </w:instrText>
      </w:r>
      <w:r w:rsidR="00FB6AAE" w:rsidRPr="00DE731D">
        <w:rPr>
          <w:rFonts w:asciiTheme="majorBidi" w:hAnsiTheme="majorBidi" w:cstheme="majorBidi"/>
          <w:sz w:val="28"/>
          <w:szCs w:val="28"/>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00FB6AAE" w:rsidRPr="00DE731D">
        <w:rPr>
          <w:rFonts w:asciiTheme="majorBidi" w:hAnsiTheme="majorBidi" w:cstheme="majorBidi"/>
          <w:sz w:val="28"/>
          <w:szCs w:val="28"/>
          <w:rtl/>
        </w:rPr>
        <w:instrText>&gt;</w:instrText>
      </w:r>
      <w:r w:rsidRPr="00DE731D">
        <w:rPr>
          <w:rFonts w:asciiTheme="majorBidi" w:hAnsiTheme="majorBidi" w:cstheme="majorBidi"/>
          <w:sz w:val="28"/>
          <w:szCs w:val="28"/>
          <w:rtl/>
        </w:rPr>
        <w:fldChar w:fldCharType="separate"/>
      </w:r>
      <w:r w:rsidRPr="00DE731D">
        <w:rPr>
          <w:rFonts w:asciiTheme="majorBidi" w:hAnsiTheme="majorBidi" w:cstheme="majorBidi"/>
          <w:noProof/>
          <w:sz w:val="28"/>
          <w:szCs w:val="28"/>
          <w:rtl/>
        </w:rPr>
        <w:t>(</w:t>
      </w:r>
      <w:r w:rsidRPr="00DE731D">
        <w:rPr>
          <w:rFonts w:asciiTheme="majorBidi" w:hAnsiTheme="majorBidi" w:cstheme="majorBidi"/>
          <w:noProof/>
          <w:sz w:val="28"/>
          <w:szCs w:val="28"/>
        </w:rPr>
        <w:t>Jiang et al., 2012</w:t>
      </w:r>
      <w:r w:rsidRPr="00DE731D">
        <w:rPr>
          <w:rFonts w:asciiTheme="majorBidi" w:hAnsiTheme="majorBidi" w:cstheme="majorBidi"/>
          <w:noProof/>
          <w:sz w:val="28"/>
          <w:szCs w:val="28"/>
          <w:rtl/>
        </w:rPr>
        <w:t>)</w:t>
      </w:r>
      <w:r w:rsidRPr="00DE731D">
        <w:rPr>
          <w:rFonts w:asciiTheme="majorBidi" w:hAnsiTheme="majorBidi" w:cstheme="majorBidi"/>
          <w:sz w:val="28"/>
          <w:szCs w:val="28"/>
          <w:rtl/>
        </w:rPr>
        <w:fldChar w:fldCharType="end"/>
      </w:r>
      <w:r w:rsidRPr="00DE731D">
        <w:rPr>
          <w:rFonts w:asciiTheme="majorBidi" w:hAnsiTheme="majorBidi" w:cstheme="majorBidi"/>
          <w:sz w:val="28"/>
          <w:szCs w:val="28"/>
          <w:rtl/>
        </w:rPr>
        <w:t>.</w:t>
      </w:r>
    </w:p>
    <w:p w14:paraId="5A24A92C" w14:textId="24E80AC6" w:rsidR="00404A54" w:rsidRPr="00DE731D" w:rsidRDefault="00404A54" w:rsidP="00D42BB2">
      <w:pPr>
        <w:numPr>
          <w:ilvl w:val="0"/>
          <w:numId w:val="28"/>
        </w:numPr>
        <w:bidi/>
        <w:jc w:val="both"/>
        <w:rPr>
          <w:rFonts w:asciiTheme="majorBidi" w:hAnsiTheme="majorBidi" w:cstheme="majorBidi"/>
          <w:sz w:val="28"/>
          <w:szCs w:val="28"/>
        </w:rPr>
      </w:pPr>
      <w:r w:rsidRPr="00DE731D">
        <w:rPr>
          <w:rFonts w:asciiTheme="majorBidi" w:hAnsiTheme="majorBidi" w:cstheme="majorBidi"/>
          <w:b/>
          <w:bCs/>
          <w:sz w:val="28"/>
          <w:szCs w:val="28"/>
          <w:rtl/>
        </w:rPr>
        <w:t>نقص التحفيز والمكافآت المرتبطة بالإبداع</w:t>
      </w:r>
      <w:r w:rsidRPr="00DE731D">
        <w:rPr>
          <w:rFonts w:asciiTheme="majorBidi" w:hAnsiTheme="majorBidi" w:cstheme="majorBidi"/>
          <w:sz w:val="28"/>
          <w:szCs w:val="28"/>
        </w:rPr>
        <w:t xml:space="preserve">: </w:t>
      </w:r>
      <w:r w:rsidRPr="00DE731D">
        <w:rPr>
          <w:rFonts w:asciiTheme="majorBidi" w:hAnsiTheme="majorBidi" w:cstheme="majorBidi"/>
          <w:sz w:val="28"/>
          <w:szCs w:val="28"/>
          <w:rtl/>
        </w:rPr>
        <w:t xml:space="preserve">لا تولي بعض المؤسسات اهتمامًا كافيًا لمكافأة الإبداع الوظيفي، مما يؤدي إلى إحجام الموظفين عن تبني أفكار جديدة </w:t>
      </w:r>
      <w:r w:rsidRPr="00DE731D">
        <w:rPr>
          <w:rFonts w:asciiTheme="majorBidi" w:hAnsiTheme="majorBidi" w:cstheme="majorBidi"/>
          <w:sz w:val="28"/>
          <w:szCs w:val="28"/>
          <w:rtl/>
        </w:rPr>
        <w:fldChar w:fldCharType="begin"/>
      </w:r>
      <w:r w:rsidR="00FB6AAE" w:rsidRPr="00DE731D">
        <w:rPr>
          <w:rFonts w:asciiTheme="majorBidi" w:hAnsiTheme="majorBidi" w:cstheme="majorBidi"/>
          <w:sz w:val="28"/>
          <w:szCs w:val="28"/>
          <w:rtl/>
        </w:rPr>
        <w:instrText xml:space="preserve"> </w:instrText>
      </w:r>
      <w:r w:rsidR="00FB6AAE" w:rsidRPr="00DE731D">
        <w:rPr>
          <w:rFonts w:asciiTheme="majorBidi" w:hAnsiTheme="majorBidi" w:cstheme="majorBidi"/>
          <w:sz w:val="28"/>
          <w:szCs w:val="28"/>
        </w:rPr>
        <w:instrText>ADDIN EN.CITE &lt;EndNote&gt;&lt;Cite&gt;&lt;Author&gt;Kehoe&lt;/Author&gt;&lt;Year&gt;2013&lt;/Year&gt;&lt;RecNum&gt;1362&lt;/RecNum&gt;&lt;DisplayText&gt;(Kehoe and Wright, 2013)&lt;/DisplayText&gt;&lt;record&gt;&lt;rec-number&gt;1362&lt;/rec-number&gt;&lt;foreign-keys&gt;&lt;key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DE731D">
        <w:rPr>
          <w:rFonts w:asciiTheme="majorBidi" w:hAnsiTheme="majorBidi" w:cstheme="majorBidi"/>
          <w:sz w:val="28"/>
          <w:szCs w:val="28"/>
          <w:rtl/>
        </w:rPr>
        <w:instrText>&gt;</w:instrText>
      </w:r>
      <w:r w:rsidRPr="00DE731D">
        <w:rPr>
          <w:rFonts w:asciiTheme="majorBidi" w:hAnsiTheme="majorBidi" w:cstheme="majorBidi"/>
          <w:sz w:val="28"/>
          <w:szCs w:val="28"/>
          <w:rtl/>
        </w:rPr>
        <w:fldChar w:fldCharType="separate"/>
      </w:r>
      <w:r w:rsidRPr="00DE731D">
        <w:rPr>
          <w:rFonts w:asciiTheme="majorBidi" w:hAnsiTheme="majorBidi" w:cstheme="majorBidi"/>
          <w:noProof/>
          <w:sz w:val="28"/>
          <w:szCs w:val="28"/>
          <w:rtl/>
        </w:rPr>
        <w:t>(</w:t>
      </w:r>
      <w:r w:rsidRPr="00DE731D">
        <w:rPr>
          <w:rFonts w:asciiTheme="majorBidi" w:hAnsiTheme="majorBidi" w:cstheme="majorBidi"/>
          <w:noProof/>
          <w:sz w:val="28"/>
          <w:szCs w:val="28"/>
        </w:rPr>
        <w:t>Kehoe and Wright, 2013</w:t>
      </w:r>
      <w:r w:rsidRPr="00DE731D">
        <w:rPr>
          <w:rFonts w:asciiTheme="majorBidi" w:hAnsiTheme="majorBidi" w:cstheme="majorBidi"/>
          <w:noProof/>
          <w:sz w:val="28"/>
          <w:szCs w:val="28"/>
          <w:rtl/>
        </w:rPr>
        <w:t>)</w:t>
      </w:r>
      <w:r w:rsidRPr="00DE731D">
        <w:rPr>
          <w:rFonts w:asciiTheme="majorBidi" w:hAnsiTheme="majorBidi" w:cstheme="majorBidi"/>
          <w:sz w:val="28"/>
          <w:szCs w:val="28"/>
          <w:rtl/>
        </w:rPr>
        <w:fldChar w:fldCharType="end"/>
      </w:r>
      <w:r w:rsidRPr="00DE731D">
        <w:rPr>
          <w:rFonts w:asciiTheme="majorBidi" w:hAnsiTheme="majorBidi" w:cstheme="majorBidi"/>
          <w:sz w:val="28"/>
          <w:szCs w:val="28"/>
          <w:rtl/>
        </w:rPr>
        <w:t>.</w:t>
      </w:r>
    </w:p>
    <w:p w14:paraId="4B7AF325" w14:textId="4833FD60" w:rsidR="00404A54" w:rsidRPr="00DE731D" w:rsidRDefault="00404A54" w:rsidP="00D42BB2">
      <w:pPr>
        <w:numPr>
          <w:ilvl w:val="0"/>
          <w:numId w:val="28"/>
        </w:numPr>
        <w:bidi/>
        <w:jc w:val="both"/>
        <w:rPr>
          <w:rFonts w:asciiTheme="majorBidi" w:hAnsiTheme="majorBidi" w:cstheme="majorBidi"/>
          <w:sz w:val="28"/>
          <w:szCs w:val="28"/>
        </w:rPr>
      </w:pPr>
      <w:r w:rsidRPr="00DE731D">
        <w:rPr>
          <w:rFonts w:asciiTheme="majorBidi" w:hAnsiTheme="majorBidi" w:cstheme="majorBidi"/>
          <w:b/>
          <w:bCs/>
          <w:sz w:val="28"/>
          <w:szCs w:val="28"/>
          <w:rtl/>
        </w:rPr>
        <w:t>غياب الفرص التدريبية التي تعزز التفكير الإبداعي</w:t>
      </w:r>
      <w:r w:rsidRPr="00DE731D">
        <w:rPr>
          <w:rFonts w:asciiTheme="majorBidi" w:hAnsiTheme="majorBidi" w:cstheme="majorBidi"/>
          <w:sz w:val="28"/>
          <w:szCs w:val="28"/>
        </w:rPr>
        <w:t xml:space="preserve">: </w:t>
      </w:r>
      <w:r w:rsidRPr="00DE731D">
        <w:rPr>
          <w:rFonts w:asciiTheme="majorBidi" w:hAnsiTheme="majorBidi" w:cstheme="majorBidi"/>
          <w:sz w:val="28"/>
          <w:szCs w:val="28"/>
          <w:rtl/>
        </w:rPr>
        <w:t>تركز برامج التدريب التقليدية في قطاعي الفنادق والمطاعم على الجوانب التشغيلية أكثر من تطوير مهارات حل المشكلات بطريقة ابتكارية</w:t>
      </w:r>
      <w:r w:rsidRPr="00DE731D">
        <w:rPr>
          <w:rFonts w:asciiTheme="majorBidi" w:hAnsiTheme="majorBidi" w:cstheme="majorBidi"/>
          <w:sz w:val="28"/>
          <w:szCs w:val="28"/>
        </w:rPr>
        <w:t xml:space="preserve"> </w:t>
      </w:r>
      <w:r w:rsidRPr="00DE731D">
        <w:rPr>
          <w:rFonts w:asciiTheme="majorBidi" w:hAnsiTheme="majorBidi" w:cstheme="majorBidi"/>
          <w:sz w:val="28"/>
          <w:szCs w:val="28"/>
          <w:rtl/>
        </w:rPr>
        <w:t xml:space="preserve"> </w:t>
      </w:r>
      <w:r w:rsidRPr="00DE731D">
        <w:rPr>
          <w:rFonts w:asciiTheme="majorBidi" w:hAnsiTheme="majorBidi" w:cstheme="majorBidi"/>
          <w:sz w:val="28"/>
          <w:szCs w:val="28"/>
          <w:rtl/>
        </w:rPr>
        <w:fldChar w:fldCharType="begin"/>
      </w:r>
      <w:r w:rsidR="00FB6AAE" w:rsidRPr="00DE731D">
        <w:rPr>
          <w:rFonts w:asciiTheme="majorBidi" w:hAnsiTheme="majorBidi" w:cstheme="majorBidi"/>
          <w:sz w:val="28"/>
          <w:szCs w:val="28"/>
          <w:rtl/>
        </w:rPr>
        <w:instrText xml:space="preserve"> </w:instrText>
      </w:r>
      <w:r w:rsidR="00FB6AAE" w:rsidRPr="00DE731D">
        <w:rPr>
          <w:rFonts w:asciiTheme="majorBidi" w:hAnsiTheme="majorBidi" w:cstheme="majorBidi"/>
          <w:sz w:val="28"/>
          <w:szCs w:val="28"/>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00FB6AAE" w:rsidRPr="00DE731D">
        <w:rPr>
          <w:rFonts w:asciiTheme="majorBidi" w:hAnsiTheme="majorBidi" w:cstheme="majorBidi"/>
          <w:sz w:val="28"/>
          <w:szCs w:val="28"/>
          <w:rtl/>
        </w:rPr>
        <w:instrText>&gt;&lt;</w:instrText>
      </w:r>
      <w:r w:rsidR="00FB6AAE" w:rsidRPr="00DE731D">
        <w:rPr>
          <w:rFonts w:asciiTheme="majorBidi" w:hAnsiTheme="majorBidi" w:cstheme="majorBidi"/>
          <w:sz w:val="28"/>
          <w:szCs w:val="28"/>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00FB6AAE" w:rsidRPr="00DE731D">
        <w:rPr>
          <w:rFonts w:asciiTheme="majorBidi" w:hAnsiTheme="majorBidi" w:cstheme="majorBidi"/>
          <w:sz w:val="28"/>
          <w:szCs w:val="28"/>
          <w:rtl/>
        </w:rPr>
        <w:instrText xml:space="preserve"> </w:instrText>
      </w:r>
      <w:r w:rsidR="00FB6AAE" w:rsidRPr="00DE731D">
        <w:rPr>
          <w:rFonts w:asciiTheme="majorBidi" w:hAnsiTheme="majorBidi" w:cstheme="majorBidi"/>
          <w:sz w:val="28"/>
          <w:szCs w:val="28"/>
        </w:rPr>
        <w:instrText>in personnel and human resources management&lt;/full-title&gt;&lt;/periodical&gt;&lt;pages&gt;217-271&lt;/pages&gt;&lt;dates&gt;&lt;year&gt;2006&lt;/year&gt;&lt;/dates&gt;&lt;isbn&gt;0742-7301&lt;/isbn&gt;&lt;urls&gt;&lt;/urls&gt;&lt;/record&gt;&lt;/Cite&gt;&lt;/EndNote</w:instrText>
      </w:r>
      <w:r w:rsidR="00FB6AAE" w:rsidRPr="00DE731D">
        <w:rPr>
          <w:rFonts w:asciiTheme="majorBidi" w:hAnsiTheme="majorBidi" w:cstheme="majorBidi"/>
          <w:sz w:val="28"/>
          <w:szCs w:val="28"/>
          <w:rtl/>
        </w:rPr>
        <w:instrText>&gt;</w:instrText>
      </w:r>
      <w:r w:rsidRPr="00DE731D">
        <w:rPr>
          <w:rFonts w:asciiTheme="majorBidi" w:hAnsiTheme="majorBidi" w:cstheme="majorBidi"/>
          <w:sz w:val="28"/>
          <w:szCs w:val="28"/>
          <w:rtl/>
        </w:rPr>
        <w:fldChar w:fldCharType="separate"/>
      </w:r>
      <w:r w:rsidRPr="00DE731D">
        <w:rPr>
          <w:rFonts w:asciiTheme="majorBidi" w:hAnsiTheme="majorBidi" w:cstheme="majorBidi"/>
          <w:noProof/>
          <w:sz w:val="28"/>
          <w:szCs w:val="28"/>
          <w:rtl/>
        </w:rPr>
        <w:t>(</w:t>
      </w:r>
      <w:r w:rsidRPr="00DE731D">
        <w:rPr>
          <w:rFonts w:asciiTheme="majorBidi" w:hAnsiTheme="majorBidi" w:cstheme="majorBidi"/>
          <w:noProof/>
          <w:sz w:val="28"/>
          <w:szCs w:val="28"/>
        </w:rPr>
        <w:t>Lepak et al., 2006</w:t>
      </w:r>
      <w:r w:rsidRPr="00DE731D">
        <w:rPr>
          <w:rFonts w:asciiTheme="majorBidi" w:hAnsiTheme="majorBidi" w:cstheme="majorBidi"/>
          <w:noProof/>
          <w:sz w:val="28"/>
          <w:szCs w:val="28"/>
          <w:rtl/>
        </w:rPr>
        <w:t>)</w:t>
      </w:r>
      <w:r w:rsidRPr="00DE731D">
        <w:rPr>
          <w:rFonts w:asciiTheme="majorBidi" w:hAnsiTheme="majorBidi" w:cstheme="majorBidi"/>
          <w:sz w:val="28"/>
          <w:szCs w:val="28"/>
          <w:rtl/>
        </w:rPr>
        <w:fldChar w:fldCharType="end"/>
      </w:r>
      <w:r w:rsidRPr="00DE731D">
        <w:rPr>
          <w:rFonts w:asciiTheme="majorBidi" w:hAnsiTheme="majorBidi" w:cstheme="majorBidi"/>
          <w:sz w:val="28"/>
          <w:szCs w:val="28"/>
          <w:rtl/>
        </w:rPr>
        <w:t>.</w:t>
      </w:r>
    </w:p>
    <w:p w14:paraId="46CEBD70" w14:textId="529A2F43" w:rsidR="00404A54" w:rsidRPr="00DE731D" w:rsidRDefault="00404A54" w:rsidP="00D42BB2">
      <w:pPr>
        <w:numPr>
          <w:ilvl w:val="0"/>
          <w:numId w:val="28"/>
        </w:numPr>
        <w:bidi/>
        <w:jc w:val="both"/>
        <w:rPr>
          <w:rFonts w:asciiTheme="majorBidi" w:hAnsiTheme="majorBidi" w:cstheme="majorBidi"/>
          <w:sz w:val="28"/>
          <w:szCs w:val="28"/>
        </w:rPr>
      </w:pPr>
      <w:r w:rsidRPr="00DE731D">
        <w:rPr>
          <w:rFonts w:asciiTheme="majorBidi" w:hAnsiTheme="majorBidi" w:cstheme="majorBidi"/>
          <w:b/>
          <w:bCs/>
          <w:sz w:val="28"/>
          <w:szCs w:val="28"/>
          <w:rtl/>
        </w:rPr>
        <w:t>ضغط العمل العالي وتقلب طبيعة الوظائف</w:t>
      </w:r>
      <w:r w:rsidRPr="00DE731D">
        <w:rPr>
          <w:rFonts w:asciiTheme="majorBidi" w:hAnsiTheme="majorBidi" w:cstheme="majorBidi"/>
          <w:sz w:val="28"/>
          <w:szCs w:val="28"/>
        </w:rPr>
        <w:t xml:space="preserve">: </w:t>
      </w:r>
      <w:r w:rsidRPr="00DE731D">
        <w:rPr>
          <w:rFonts w:asciiTheme="majorBidi" w:hAnsiTheme="majorBidi" w:cstheme="majorBidi"/>
          <w:sz w:val="28"/>
          <w:szCs w:val="28"/>
          <w:rtl/>
        </w:rPr>
        <w:t xml:space="preserve">بيئة العمل السريعة والطلب المتزايد على الخدمات قد تؤدي إلى استنزاف الموظفين، مما يقلل من فرص التفكير الابتكاري </w:t>
      </w:r>
      <w:r w:rsidRPr="00DE731D">
        <w:rPr>
          <w:rFonts w:asciiTheme="majorBidi" w:hAnsiTheme="majorBidi" w:cstheme="majorBidi"/>
          <w:sz w:val="28"/>
          <w:szCs w:val="28"/>
          <w:rtl/>
        </w:rPr>
        <w:fldChar w:fldCharType="begin"/>
      </w:r>
      <w:r w:rsidR="00FB6AAE" w:rsidRPr="00DE731D">
        <w:rPr>
          <w:rFonts w:asciiTheme="majorBidi" w:hAnsiTheme="majorBidi" w:cstheme="majorBidi"/>
          <w:sz w:val="28"/>
          <w:szCs w:val="28"/>
          <w:rtl/>
        </w:rPr>
        <w:instrText xml:space="preserve"> </w:instrText>
      </w:r>
      <w:r w:rsidR="00FB6AAE" w:rsidRPr="00DE731D">
        <w:rPr>
          <w:rFonts w:asciiTheme="majorBidi" w:hAnsiTheme="majorBidi" w:cstheme="majorBidi"/>
          <w:sz w:val="28"/>
          <w:szCs w:val="28"/>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sidRPr="00DE731D">
        <w:rPr>
          <w:rFonts w:asciiTheme="majorBidi" w:hAnsiTheme="majorBidi" w:cstheme="majorBidi"/>
          <w:sz w:val="28"/>
          <w:szCs w:val="28"/>
          <w:rtl/>
        </w:rPr>
        <w:instrText>-</w:instrText>
      </w:r>
      <w:r w:rsidR="00FB6AAE" w:rsidRPr="00DE731D">
        <w:rPr>
          <w:rFonts w:asciiTheme="majorBidi" w:hAnsiTheme="majorBidi" w:cstheme="majorBidi"/>
          <w:sz w:val="28"/>
          <w:szCs w:val="28"/>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sidRPr="00DE731D">
        <w:rPr>
          <w:rFonts w:asciiTheme="majorBidi" w:hAnsiTheme="majorBidi" w:cstheme="majorBidi"/>
          <w:sz w:val="28"/>
          <w:szCs w:val="28"/>
          <w:rtl/>
        </w:rPr>
        <w:instrText>&gt;</w:instrText>
      </w:r>
      <w:r w:rsidRPr="00DE731D">
        <w:rPr>
          <w:rFonts w:asciiTheme="majorBidi" w:hAnsiTheme="majorBidi" w:cstheme="majorBidi"/>
          <w:sz w:val="28"/>
          <w:szCs w:val="28"/>
          <w:rtl/>
        </w:rPr>
        <w:fldChar w:fldCharType="separate"/>
      </w:r>
      <w:r w:rsidRPr="00DE731D">
        <w:rPr>
          <w:rFonts w:asciiTheme="majorBidi" w:hAnsiTheme="majorBidi" w:cstheme="majorBidi"/>
          <w:noProof/>
          <w:sz w:val="28"/>
          <w:szCs w:val="28"/>
          <w:rtl/>
        </w:rPr>
        <w:t>(</w:t>
      </w:r>
      <w:r w:rsidRPr="00DE731D">
        <w:rPr>
          <w:rFonts w:asciiTheme="majorBidi" w:hAnsiTheme="majorBidi" w:cstheme="majorBidi"/>
          <w:noProof/>
          <w:sz w:val="28"/>
          <w:szCs w:val="28"/>
        </w:rPr>
        <w:t>Takeuchi et al., 2007</w:t>
      </w:r>
      <w:r w:rsidRPr="00DE731D">
        <w:rPr>
          <w:rFonts w:asciiTheme="majorBidi" w:hAnsiTheme="majorBidi" w:cstheme="majorBidi"/>
          <w:noProof/>
          <w:sz w:val="28"/>
          <w:szCs w:val="28"/>
          <w:rtl/>
        </w:rPr>
        <w:t>)</w:t>
      </w:r>
      <w:r w:rsidRPr="00DE731D">
        <w:rPr>
          <w:rFonts w:asciiTheme="majorBidi" w:hAnsiTheme="majorBidi" w:cstheme="majorBidi"/>
          <w:sz w:val="28"/>
          <w:szCs w:val="28"/>
          <w:rtl/>
        </w:rPr>
        <w:fldChar w:fldCharType="end"/>
      </w:r>
      <w:r w:rsidRPr="00DE731D">
        <w:rPr>
          <w:rFonts w:asciiTheme="majorBidi" w:hAnsiTheme="majorBidi" w:cstheme="majorBidi"/>
          <w:sz w:val="28"/>
          <w:szCs w:val="28"/>
          <w:rtl/>
        </w:rPr>
        <w:t>.</w:t>
      </w:r>
    </w:p>
    <w:p w14:paraId="04465A37" w14:textId="6F90613F" w:rsidR="00404A54" w:rsidRPr="00DE731D" w:rsidRDefault="00404A54" w:rsidP="00D42BB2">
      <w:pPr>
        <w:bidi/>
        <w:jc w:val="both"/>
        <w:rPr>
          <w:rFonts w:asciiTheme="majorBidi" w:hAnsiTheme="majorBidi" w:cstheme="majorBidi"/>
          <w:sz w:val="28"/>
          <w:szCs w:val="28"/>
          <w:rtl/>
        </w:rPr>
      </w:pPr>
      <w:r w:rsidRPr="00DE731D">
        <w:rPr>
          <w:rFonts w:asciiTheme="majorBidi" w:hAnsiTheme="majorBidi" w:cstheme="majorBidi"/>
          <w:sz w:val="28"/>
          <w:szCs w:val="28"/>
          <w:rtl/>
        </w:rPr>
        <w:t xml:space="preserve">رغم </w:t>
      </w:r>
      <w:r w:rsidRPr="00611E7E">
        <w:rPr>
          <w:rFonts w:asciiTheme="majorBidi" w:hAnsiTheme="majorBidi" w:cstheme="majorBidi"/>
          <w:sz w:val="28"/>
          <w:szCs w:val="28"/>
          <w:rtl/>
        </w:rPr>
        <w:t>أن الأدبيات تناولت العلاقة بين أنظمة العمل عالية الأداء</w:t>
      </w:r>
      <w:r w:rsidRPr="00611E7E">
        <w:rPr>
          <w:rFonts w:asciiTheme="majorBidi" w:hAnsiTheme="majorBidi" w:cstheme="majorBidi"/>
          <w:sz w:val="28"/>
          <w:szCs w:val="28"/>
        </w:rPr>
        <w:t xml:space="preserve"> (HPWS) </w:t>
      </w:r>
      <w:r w:rsidRPr="00611E7E">
        <w:rPr>
          <w:rFonts w:asciiTheme="majorBidi" w:hAnsiTheme="majorBidi" w:cstheme="majorBidi"/>
          <w:sz w:val="28"/>
          <w:szCs w:val="28"/>
          <w:rtl/>
        </w:rPr>
        <w:t>والأداء المؤسسي، فإن هناك قصورًا في تحليل العلاقة بين</w:t>
      </w:r>
      <w:r w:rsidRPr="00611E7E">
        <w:rPr>
          <w:rFonts w:asciiTheme="majorBidi" w:hAnsiTheme="majorBidi" w:cstheme="majorBidi"/>
          <w:sz w:val="28"/>
          <w:szCs w:val="28"/>
        </w:rPr>
        <w:t xml:space="preserve"> HPWS </w:t>
      </w:r>
      <w:r w:rsidRPr="00611E7E">
        <w:rPr>
          <w:rFonts w:asciiTheme="majorBidi" w:hAnsiTheme="majorBidi" w:cstheme="majorBidi"/>
          <w:sz w:val="28"/>
          <w:szCs w:val="28"/>
          <w:rtl/>
        </w:rPr>
        <w:t>والأداء الإبداعي، خصوصًا في البيئات الخدمية غير الغربية</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معظم الأبحاث أُجريت</w:t>
      </w:r>
      <w:r w:rsidRPr="00DE731D">
        <w:rPr>
          <w:rFonts w:asciiTheme="majorBidi" w:hAnsiTheme="majorBidi" w:cstheme="majorBidi"/>
          <w:sz w:val="28"/>
          <w:szCs w:val="28"/>
          <w:rtl/>
        </w:rPr>
        <w:t xml:space="preserve"> في دول صناعية، ولم تأخذ بالاعتبار الخصوصية الثقافية والتنظيمية للسوق السعودي</w:t>
      </w:r>
      <w:r w:rsidRPr="00DE731D">
        <w:rPr>
          <w:rFonts w:asciiTheme="majorBidi" w:hAnsiTheme="majorBidi" w:cstheme="majorBidi"/>
          <w:sz w:val="28"/>
          <w:szCs w:val="28"/>
        </w:rPr>
        <w:t xml:space="preserve"> </w:t>
      </w:r>
      <w:r w:rsidRPr="00DE731D">
        <w:rPr>
          <w:rFonts w:asciiTheme="majorBidi" w:hAnsiTheme="majorBidi" w:cstheme="majorBidi" w:hint="cs"/>
          <w:sz w:val="28"/>
          <w:szCs w:val="28"/>
          <w:rtl/>
        </w:rPr>
        <w:t xml:space="preserve"> </w:t>
      </w:r>
      <w:r w:rsidRPr="00DE731D">
        <w:rPr>
          <w:rFonts w:asciiTheme="majorBidi" w:hAnsiTheme="majorBidi" w:cstheme="majorBidi"/>
          <w:sz w:val="28"/>
          <w:szCs w:val="28"/>
          <w:rtl/>
        </w:rPr>
        <w:fldChar w:fldCharType="begin"/>
      </w:r>
      <w:r w:rsidR="00FB6AAE" w:rsidRPr="00DE731D">
        <w:rPr>
          <w:rFonts w:asciiTheme="majorBidi" w:hAnsiTheme="majorBidi" w:cstheme="majorBidi"/>
          <w:sz w:val="28"/>
          <w:szCs w:val="28"/>
          <w:rtl/>
        </w:rPr>
        <w:instrText xml:space="preserve"> </w:instrText>
      </w:r>
      <w:r w:rsidR="00FB6AAE" w:rsidRPr="00DE731D">
        <w:rPr>
          <w:rFonts w:asciiTheme="majorBidi" w:hAnsiTheme="majorBidi" w:cstheme="majorBidi"/>
          <w:sz w:val="28"/>
          <w:szCs w:val="28"/>
        </w:rPr>
        <w:instrText>ADDIN EN.CITE &lt;EndNote&gt;&lt;Cite&gt;&lt;Author&gt;Kabangire&lt;/Author&gt;&lt;Year&gt;2023&lt;/Year&gt;&lt;RecNum&gt;1349&lt;/RecNum&gt;&lt;DisplayText&gt;(Kabangire and Korir, 2023)&lt;/DisplayText&gt;&lt;record&gt;&lt;rec-number&gt;1349&lt;/rec-number&gt;&lt;foreign-keys&gt;&lt;key app="EN" db-id="t5vttv59or5xwbe2zdm5ewrxd905arrpawff" timestamp="1730934105"&gt;1349&lt;/key&gt;&lt;/foreign-keys&gt;&lt;ref-type name="Journal Article"&gt;17&lt;/ref-type&gt;&lt;contributors&gt;&lt;authors&gt;&lt;author&gt;Kabangire, Julius&lt;/author&gt;&lt;author&gt;Korir, Jacqueline&lt;/author&gt;&lt;/authors&gt;&lt;/contributors&gt;&lt;titles&gt;&lt;title&gt;Innovation and creativity in hospitality management&lt;/title&gt;&lt;secondary-title&gt;Journal of Hospitality and Tourism&lt;/secondary-title&gt;&lt;/titles&gt;&lt;periodical&gt;&lt;full-title&gt;Journal of Hospitality and Tourism&lt;/full-title&gt;&lt;/periodical&gt;&lt;pages&gt;20-41&lt;/pages&gt;&lt;volume&gt;3&lt;/volume&gt;&lt;number&gt;3&lt;/number&gt;&lt;dates&gt;&lt;year&gt;2023&lt;/year&gt;&lt;/dates&gt;&lt;isbn&gt;2789-7052&lt;/isbn&gt;&lt;urls&gt;&lt;/urls&gt;&lt;/record&gt;&lt;/Cite&gt;&lt;/EndNote</w:instrText>
      </w:r>
      <w:r w:rsidR="00FB6AAE" w:rsidRPr="00DE731D">
        <w:rPr>
          <w:rFonts w:asciiTheme="majorBidi" w:hAnsiTheme="majorBidi" w:cstheme="majorBidi"/>
          <w:sz w:val="28"/>
          <w:szCs w:val="28"/>
          <w:rtl/>
        </w:rPr>
        <w:instrText>&gt;</w:instrText>
      </w:r>
      <w:r w:rsidRPr="00DE731D">
        <w:rPr>
          <w:rFonts w:asciiTheme="majorBidi" w:hAnsiTheme="majorBidi" w:cstheme="majorBidi"/>
          <w:sz w:val="28"/>
          <w:szCs w:val="28"/>
          <w:rtl/>
        </w:rPr>
        <w:fldChar w:fldCharType="separate"/>
      </w:r>
      <w:r w:rsidRPr="00DE731D">
        <w:rPr>
          <w:rFonts w:asciiTheme="majorBidi" w:hAnsiTheme="majorBidi" w:cstheme="majorBidi"/>
          <w:noProof/>
          <w:sz w:val="28"/>
          <w:szCs w:val="28"/>
          <w:rtl/>
        </w:rPr>
        <w:t>(</w:t>
      </w:r>
      <w:r w:rsidRPr="00DE731D">
        <w:rPr>
          <w:rFonts w:asciiTheme="majorBidi" w:hAnsiTheme="majorBidi" w:cstheme="majorBidi"/>
          <w:noProof/>
          <w:sz w:val="28"/>
          <w:szCs w:val="28"/>
        </w:rPr>
        <w:t>Kabangire and Korir, 2023</w:t>
      </w:r>
      <w:r w:rsidRPr="00DE731D">
        <w:rPr>
          <w:rFonts w:asciiTheme="majorBidi" w:hAnsiTheme="majorBidi" w:cstheme="majorBidi"/>
          <w:noProof/>
          <w:sz w:val="28"/>
          <w:szCs w:val="28"/>
          <w:rtl/>
        </w:rPr>
        <w:t>)</w:t>
      </w:r>
      <w:r w:rsidRPr="00DE731D">
        <w:rPr>
          <w:rFonts w:asciiTheme="majorBidi" w:hAnsiTheme="majorBidi" w:cstheme="majorBidi"/>
          <w:sz w:val="28"/>
          <w:szCs w:val="28"/>
          <w:rtl/>
        </w:rPr>
        <w:fldChar w:fldCharType="end"/>
      </w:r>
      <w:r w:rsidRPr="00DE731D">
        <w:rPr>
          <w:rFonts w:asciiTheme="majorBidi" w:hAnsiTheme="majorBidi" w:cstheme="majorBidi" w:hint="cs"/>
          <w:sz w:val="28"/>
          <w:szCs w:val="28"/>
          <w:rtl/>
        </w:rPr>
        <w:t>.</w:t>
      </w:r>
    </w:p>
    <w:p w14:paraId="19FFB25F" w14:textId="49E9C0CD" w:rsidR="00404A54" w:rsidRPr="00DE731D" w:rsidRDefault="00404A54" w:rsidP="00D42BB2">
      <w:pPr>
        <w:bidi/>
        <w:jc w:val="both"/>
        <w:rPr>
          <w:rFonts w:asciiTheme="majorBidi" w:hAnsiTheme="majorBidi" w:cstheme="majorBidi"/>
          <w:sz w:val="28"/>
          <w:szCs w:val="28"/>
        </w:rPr>
      </w:pPr>
      <w:r w:rsidRPr="00DE731D">
        <w:rPr>
          <w:rFonts w:asciiTheme="majorBidi" w:hAnsiTheme="majorBidi" w:cstheme="majorBidi"/>
          <w:sz w:val="28"/>
          <w:szCs w:val="28"/>
          <w:rtl/>
        </w:rPr>
        <w:t>على الرغم من وفرة الدراسات التي تناولت العلاقة بين أنظمة العمل عالية الأداء</w:t>
      </w:r>
      <w:r w:rsidRPr="00DE731D">
        <w:rPr>
          <w:rFonts w:asciiTheme="majorBidi" w:hAnsiTheme="majorBidi" w:cstheme="majorBidi"/>
          <w:sz w:val="28"/>
          <w:szCs w:val="28"/>
        </w:rPr>
        <w:t xml:space="preserve"> (HPWS) </w:t>
      </w:r>
      <w:r w:rsidRPr="00DE731D">
        <w:rPr>
          <w:rFonts w:asciiTheme="majorBidi" w:hAnsiTheme="majorBidi" w:cstheme="majorBidi"/>
          <w:sz w:val="28"/>
          <w:szCs w:val="28"/>
          <w:rtl/>
        </w:rPr>
        <w:t>ومخرجات الأداء التنظيمي التقليدية، كالإنتاجية والربحية والالتزام الوظيفي</w:t>
      </w:r>
      <w:r w:rsidRPr="00DE731D">
        <w:rPr>
          <w:rFonts w:asciiTheme="majorBidi" w:hAnsiTheme="majorBidi" w:cstheme="majorBidi" w:hint="cs"/>
          <w:sz w:val="28"/>
          <w:szCs w:val="28"/>
          <w:rtl/>
        </w:rPr>
        <w:t xml:space="preserve"> </w:t>
      </w:r>
      <w:r w:rsidRPr="00DE731D">
        <w:rPr>
          <w:rFonts w:asciiTheme="majorBidi" w:hAnsiTheme="majorBidi" w:cstheme="majorBidi"/>
          <w:sz w:val="28"/>
          <w:szCs w:val="28"/>
          <w:rtl/>
        </w:rPr>
        <w:fldChar w:fldCharType="begin"/>
      </w:r>
      <w:r w:rsidR="00FB6AAE" w:rsidRPr="00DE731D">
        <w:rPr>
          <w:rFonts w:asciiTheme="majorBidi" w:hAnsiTheme="majorBidi" w:cstheme="majorBidi"/>
          <w:sz w:val="28"/>
          <w:szCs w:val="28"/>
          <w:rtl/>
        </w:rPr>
        <w:instrText xml:space="preserve"> </w:instrText>
      </w:r>
      <w:r w:rsidR="00FB6AAE" w:rsidRPr="00DE731D">
        <w:rPr>
          <w:rFonts w:asciiTheme="majorBidi" w:hAnsiTheme="majorBidi" w:cstheme="majorBidi"/>
          <w:sz w:val="28"/>
          <w:szCs w:val="28"/>
        </w:rPr>
        <w:instrText>ADDIN EN.CITE &lt;EndNote&gt;&lt;Cite&gt;&lt;Author&gt;Combs&lt;/Author&gt;&lt;Year&gt;2006&lt;/Year&gt;&lt;RecNum&gt;1344&lt;/RecNum&gt;&lt;DisplayText&gt;(Combs et al., 2006, Kehoe and Wright, 2013)&lt;/DisplayText&gt;&lt;record&gt;&lt;rec-number&gt;1344&lt;/rec-number&gt;&lt;foreign-keys&gt;&lt;key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high‐performance work practices matter? A meta‐analysis of their effects on organizational performance&lt;/title&gt;&lt;secondary-title&gt;Personnel psychology&lt;/secondary-title&gt;&lt;/titles&gt;&lt;periodical&gt;&lt;full-title&gt;Personnel</w:instrText>
      </w:r>
      <w:r w:rsidR="00FB6AAE" w:rsidRPr="00DE731D">
        <w:rPr>
          <w:rFonts w:asciiTheme="majorBidi" w:hAnsiTheme="majorBidi" w:cstheme="majorBidi"/>
          <w:sz w:val="28"/>
          <w:szCs w:val="28"/>
          <w:rtl/>
        </w:rPr>
        <w:instrText xml:space="preserve"> </w:instrText>
      </w:r>
      <w:r w:rsidR="00FB6AAE" w:rsidRPr="00DE731D">
        <w:rPr>
          <w:rFonts w:asciiTheme="majorBidi" w:hAnsiTheme="majorBidi" w:cstheme="majorBidi"/>
          <w:sz w:val="28"/>
          <w:szCs w:val="28"/>
        </w:rPr>
        <w:instrText>psychology&lt;/full-title&gt;&lt;/periodical&gt;&lt;pages&gt;501-528&lt;/pages&gt;&lt;volume&gt;59&lt;/volume&gt;&lt;number&gt;3&lt;/number&gt;&lt;dates&gt;&lt;year&gt;2006&lt;/year&gt;&lt;/dates&gt;&lt;isbn&gt;0031-5826&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DE731D">
        <w:rPr>
          <w:rFonts w:asciiTheme="majorBidi" w:hAnsiTheme="majorBidi" w:cstheme="majorBidi"/>
          <w:sz w:val="28"/>
          <w:szCs w:val="28"/>
          <w:rtl/>
        </w:rPr>
        <w:instrText>&gt;</w:instrText>
      </w:r>
      <w:r w:rsidRPr="00DE731D">
        <w:rPr>
          <w:rFonts w:asciiTheme="majorBidi" w:hAnsiTheme="majorBidi" w:cstheme="majorBidi"/>
          <w:sz w:val="28"/>
          <w:szCs w:val="28"/>
          <w:rtl/>
        </w:rPr>
        <w:fldChar w:fldCharType="separate"/>
      </w:r>
      <w:r w:rsidRPr="00DE731D">
        <w:rPr>
          <w:rFonts w:asciiTheme="majorBidi" w:hAnsiTheme="majorBidi" w:cstheme="majorBidi"/>
          <w:noProof/>
          <w:sz w:val="28"/>
          <w:szCs w:val="28"/>
          <w:rtl/>
        </w:rPr>
        <w:t>(</w:t>
      </w:r>
      <w:r w:rsidRPr="00DE731D">
        <w:rPr>
          <w:rFonts w:asciiTheme="majorBidi" w:hAnsiTheme="majorBidi" w:cstheme="majorBidi"/>
          <w:noProof/>
          <w:sz w:val="28"/>
          <w:szCs w:val="28"/>
        </w:rPr>
        <w:t>Combs et al., 2006, Kehoe and Wright, 2013</w:t>
      </w:r>
      <w:r w:rsidRPr="00DE731D">
        <w:rPr>
          <w:rFonts w:asciiTheme="majorBidi" w:hAnsiTheme="majorBidi" w:cstheme="majorBidi"/>
          <w:noProof/>
          <w:sz w:val="28"/>
          <w:szCs w:val="28"/>
          <w:rtl/>
        </w:rPr>
        <w:t>)</w:t>
      </w:r>
      <w:r w:rsidRPr="00DE731D">
        <w:rPr>
          <w:rFonts w:asciiTheme="majorBidi" w:hAnsiTheme="majorBidi" w:cstheme="majorBidi"/>
          <w:sz w:val="28"/>
          <w:szCs w:val="28"/>
          <w:rtl/>
        </w:rPr>
        <w:fldChar w:fldCharType="end"/>
      </w:r>
      <w:r w:rsidRPr="00DE731D">
        <w:rPr>
          <w:rFonts w:asciiTheme="majorBidi" w:hAnsiTheme="majorBidi" w:cstheme="majorBidi" w:hint="cs"/>
          <w:sz w:val="28"/>
          <w:szCs w:val="28"/>
          <w:rtl/>
        </w:rPr>
        <w:t xml:space="preserve">، </w:t>
      </w:r>
      <w:r w:rsidRPr="00DE731D">
        <w:rPr>
          <w:rFonts w:asciiTheme="majorBidi" w:hAnsiTheme="majorBidi" w:cstheme="majorBidi"/>
          <w:sz w:val="28"/>
          <w:szCs w:val="28"/>
          <w:rtl/>
        </w:rPr>
        <w:t>إلا أن العلاقة المباشرة بين</w:t>
      </w:r>
      <w:r w:rsidRPr="00DE731D">
        <w:rPr>
          <w:rFonts w:asciiTheme="majorBidi" w:hAnsiTheme="majorBidi" w:cstheme="majorBidi"/>
          <w:sz w:val="28"/>
          <w:szCs w:val="28"/>
        </w:rPr>
        <w:t xml:space="preserve"> HPWS </w:t>
      </w:r>
      <w:r w:rsidRPr="00DE731D">
        <w:rPr>
          <w:rFonts w:asciiTheme="majorBidi" w:hAnsiTheme="majorBidi" w:cstheme="majorBidi"/>
          <w:sz w:val="28"/>
          <w:szCs w:val="28"/>
          <w:rtl/>
        </w:rPr>
        <w:t>والإبداع الوظيفي لا تزال تعاني من قصور واضح في المعالجة البحثية. فقد ركزت غالبية الأبحاث السابقة، خاصة في قطاع الضيافة، على دور ممارسات الموارد البشرية في تحسين جودة الخدمة ورضا العملاء دون التطرق الكافي لتأثيرها على السلوكيات الإبداعية داخل بيئة العمل</w:t>
      </w:r>
      <w:r w:rsidRPr="00DE731D">
        <w:rPr>
          <w:rFonts w:asciiTheme="majorBidi" w:hAnsiTheme="majorBidi" w:cstheme="majorBidi" w:hint="cs"/>
          <w:sz w:val="28"/>
          <w:szCs w:val="28"/>
          <w:rtl/>
        </w:rPr>
        <w:t xml:space="preserve"> </w:t>
      </w:r>
      <w:r w:rsidRPr="00DE731D">
        <w:rPr>
          <w:rFonts w:asciiTheme="majorBidi" w:hAnsiTheme="majorBidi" w:cstheme="majorBidi"/>
          <w:sz w:val="28"/>
          <w:szCs w:val="28"/>
        </w:rPr>
        <w:lastRenderedPageBreak/>
        <w:fldChar w:fldCharType="begin"/>
      </w:r>
      <w:r w:rsidR="00FB6AAE" w:rsidRPr="00DE731D">
        <w:rPr>
          <w:rFonts w:asciiTheme="majorBidi" w:hAnsiTheme="majorBidi" w:cstheme="majorBidi"/>
          <w:sz w:val="28"/>
          <w:szCs w:val="28"/>
        </w:rPr>
        <w:instrText xml:space="preserve"> ADDIN EN.CITE &lt;EndNote&gt;&lt;Cite&gt;&lt;Author&gt;Sun&lt;/Author&gt;&lt;Year&gt;2007&lt;/Year&gt;&lt;RecNum&gt;1345&lt;/RecNum&gt;&lt;DisplayText&gt;(Sun et al., 2007)&lt;/DisplayText&gt;&lt;record&gt;&lt;rec-number&gt;1345&lt;/rec-number&gt;&lt;foreign-keys&gt;&lt;key app="EN" db-id="t5vttv59or5xwbe2zdm5ewrxd905arrpawff" timestamp="1730932472"&gt;1345&lt;/key&gt;&lt;/foreign-keys&gt;&lt;ref-type name="Journal Article"&gt;17&lt;/ref-type&gt;&lt;contributors&gt;&lt;authors&gt;&lt;author&gt;Sun, Li-Yun&lt;/author&gt;&lt;author&gt;Aryee, Samuel&lt;/author&gt;&lt;author&gt;Law, Kenneth S&lt;/author&gt;&lt;/authors&gt;&lt;/contributors&gt;&lt;titles&gt;&lt;title&gt;High-performance human resource practices, citizenship behavior, and organizational performance: A relational perspective&lt;/title&gt;&lt;secondary-title&gt;Academy of management Journal&lt;/secondary-title&gt;&lt;/titles&gt;&lt;periodical&gt;&lt;full-title&gt;Academy of management journal&lt;/full-title&gt;&lt;/periodical&gt;&lt;pages&gt;558-577&lt;/pages&gt;&lt;volume&gt;50&lt;/volume&gt;&lt;number&gt;3&lt;/number&gt;&lt;dates&gt;&lt;year&gt;2007&lt;/year&gt;&lt;/dates&gt;&lt;isbn&gt;0001-4273&lt;/isbn&gt;&lt;urls&gt;&lt;/urls&gt;&lt;/record&gt;&lt;/Cite&gt;&lt;/EndNote&gt;</w:instrText>
      </w:r>
      <w:r w:rsidRPr="00DE731D">
        <w:rPr>
          <w:rFonts w:asciiTheme="majorBidi" w:hAnsiTheme="majorBidi" w:cstheme="majorBidi"/>
          <w:sz w:val="28"/>
          <w:szCs w:val="28"/>
        </w:rPr>
        <w:fldChar w:fldCharType="separate"/>
      </w:r>
      <w:r w:rsidRPr="00DE731D">
        <w:rPr>
          <w:rFonts w:asciiTheme="majorBidi" w:hAnsiTheme="majorBidi" w:cstheme="majorBidi"/>
          <w:noProof/>
          <w:sz w:val="28"/>
          <w:szCs w:val="28"/>
        </w:rPr>
        <w:t>(Sun et al., 2007)</w:t>
      </w:r>
      <w:r w:rsidRPr="00DE731D">
        <w:rPr>
          <w:rFonts w:asciiTheme="majorBidi" w:hAnsiTheme="majorBidi" w:cstheme="majorBidi"/>
          <w:sz w:val="28"/>
          <w:szCs w:val="28"/>
        </w:rPr>
        <w:fldChar w:fldCharType="end"/>
      </w:r>
      <w:r w:rsidRPr="00DE731D">
        <w:rPr>
          <w:rFonts w:asciiTheme="majorBidi" w:hAnsiTheme="majorBidi" w:cstheme="majorBidi" w:hint="cs"/>
          <w:sz w:val="28"/>
          <w:szCs w:val="28"/>
          <w:rtl/>
        </w:rPr>
        <w:t>.</w:t>
      </w:r>
      <w:r w:rsidRPr="00DE731D">
        <w:rPr>
          <w:rFonts w:asciiTheme="majorBidi" w:hAnsiTheme="majorBidi" w:cstheme="majorBidi"/>
          <w:sz w:val="28"/>
          <w:szCs w:val="28"/>
        </w:rPr>
        <w:t xml:space="preserve"> </w:t>
      </w:r>
      <w:r w:rsidRPr="00DE731D">
        <w:rPr>
          <w:rFonts w:asciiTheme="majorBidi" w:hAnsiTheme="majorBidi" w:cstheme="majorBidi"/>
          <w:sz w:val="28"/>
          <w:szCs w:val="28"/>
          <w:rtl/>
        </w:rPr>
        <w:t xml:space="preserve">إضافة إلى ذلك، يلاحظ غياب </w:t>
      </w:r>
      <w:r w:rsidRPr="00611E7E">
        <w:rPr>
          <w:rFonts w:asciiTheme="majorBidi" w:hAnsiTheme="majorBidi" w:cstheme="majorBidi"/>
          <w:sz w:val="28"/>
          <w:szCs w:val="28"/>
          <w:rtl/>
        </w:rPr>
        <w:t>إدراج الثقافة التنظيمية كمتغير وسيط في فهم الآلية التي تربط بين</w:t>
      </w:r>
      <w:r w:rsidRPr="00611E7E">
        <w:rPr>
          <w:rFonts w:asciiTheme="majorBidi" w:hAnsiTheme="majorBidi" w:cstheme="majorBidi"/>
          <w:sz w:val="28"/>
          <w:szCs w:val="28"/>
        </w:rPr>
        <w:t xml:space="preserve"> HPWS </w:t>
      </w:r>
      <w:r w:rsidRPr="00611E7E">
        <w:rPr>
          <w:rFonts w:asciiTheme="majorBidi" w:hAnsiTheme="majorBidi" w:cstheme="majorBidi"/>
          <w:sz w:val="28"/>
          <w:szCs w:val="28"/>
          <w:rtl/>
        </w:rPr>
        <w:t>والإبداع، رغم الأدلة التي تشير إلى</w:t>
      </w:r>
      <w:r w:rsidRPr="00DE731D">
        <w:rPr>
          <w:rFonts w:asciiTheme="majorBidi" w:hAnsiTheme="majorBidi" w:cstheme="majorBidi"/>
          <w:sz w:val="28"/>
          <w:szCs w:val="28"/>
          <w:rtl/>
        </w:rPr>
        <w:t xml:space="preserve"> دور الثقافة في تعزيز التفاعل الإيجابي بين الموظفين والممارسات المؤسسية</w:t>
      </w:r>
      <w:r w:rsidRPr="00DE731D">
        <w:rPr>
          <w:rFonts w:asciiTheme="majorBidi" w:hAnsiTheme="majorBidi" w:cstheme="majorBidi" w:hint="cs"/>
          <w:sz w:val="28"/>
          <w:szCs w:val="28"/>
          <w:rtl/>
        </w:rPr>
        <w:t xml:space="preserve"> </w:t>
      </w:r>
      <w:r w:rsidRPr="00DE731D">
        <w:rPr>
          <w:rFonts w:asciiTheme="majorBidi" w:hAnsiTheme="majorBidi" w:cstheme="majorBidi"/>
          <w:sz w:val="28"/>
          <w:szCs w:val="28"/>
          <w:rtl/>
        </w:rPr>
        <w:fldChar w:fldCharType="begin"/>
      </w:r>
      <w:r w:rsidR="00FB6AAE" w:rsidRPr="00DE731D">
        <w:rPr>
          <w:rFonts w:asciiTheme="majorBidi" w:hAnsiTheme="majorBidi" w:cstheme="majorBidi"/>
          <w:sz w:val="28"/>
          <w:szCs w:val="28"/>
          <w:rtl/>
        </w:rPr>
        <w:instrText xml:space="preserve"> </w:instrText>
      </w:r>
      <w:r w:rsidR="00FB6AAE" w:rsidRPr="00DE731D">
        <w:rPr>
          <w:rFonts w:asciiTheme="majorBidi" w:hAnsiTheme="majorBidi" w:cstheme="majorBidi"/>
          <w:sz w:val="28"/>
          <w:szCs w:val="28"/>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sidRPr="00DE731D">
        <w:rPr>
          <w:rFonts w:asciiTheme="majorBidi" w:hAnsiTheme="majorBidi" w:cstheme="majorBidi"/>
          <w:sz w:val="28"/>
          <w:szCs w:val="28"/>
          <w:rtl/>
        </w:rPr>
        <w:instrText>-</w:instrText>
      </w:r>
      <w:r w:rsidR="00FB6AAE" w:rsidRPr="00DE731D">
        <w:rPr>
          <w:rFonts w:asciiTheme="majorBidi" w:hAnsiTheme="majorBidi" w:cstheme="majorBidi"/>
          <w:sz w:val="28"/>
          <w:szCs w:val="28"/>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sidRPr="00DE731D">
        <w:rPr>
          <w:rFonts w:asciiTheme="majorBidi" w:hAnsiTheme="majorBidi" w:cstheme="majorBidi"/>
          <w:sz w:val="28"/>
          <w:szCs w:val="28"/>
          <w:rtl/>
        </w:rPr>
        <w:instrText>&gt;</w:instrText>
      </w:r>
      <w:r w:rsidRPr="00DE731D">
        <w:rPr>
          <w:rFonts w:asciiTheme="majorBidi" w:hAnsiTheme="majorBidi" w:cstheme="majorBidi"/>
          <w:sz w:val="28"/>
          <w:szCs w:val="28"/>
          <w:rtl/>
        </w:rPr>
        <w:fldChar w:fldCharType="separate"/>
      </w:r>
      <w:r w:rsidRPr="00DE731D">
        <w:rPr>
          <w:rFonts w:asciiTheme="majorBidi" w:hAnsiTheme="majorBidi" w:cstheme="majorBidi"/>
          <w:noProof/>
          <w:sz w:val="28"/>
          <w:szCs w:val="28"/>
          <w:rtl/>
        </w:rPr>
        <w:t>(</w:t>
      </w:r>
      <w:r w:rsidRPr="00DE731D">
        <w:rPr>
          <w:rFonts w:asciiTheme="majorBidi" w:hAnsiTheme="majorBidi" w:cstheme="majorBidi"/>
          <w:noProof/>
          <w:sz w:val="28"/>
          <w:szCs w:val="28"/>
        </w:rPr>
        <w:t>Takeuchi et al., 2007</w:t>
      </w:r>
      <w:r w:rsidRPr="00DE731D">
        <w:rPr>
          <w:rFonts w:asciiTheme="majorBidi" w:hAnsiTheme="majorBidi" w:cstheme="majorBidi"/>
          <w:noProof/>
          <w:sz w:val="28"/>
          <w:szCs w:val="28"/>
          <w:rtl/>
        </w:rPr>
        <w:t>)</w:t>
      </w:r>
      <w:r w:rsidRPr="00DE731D">
        <w:rPr>
          <w:rFonts w:asciiTheme="majorBidi" w:hAnsiTheme="majorBidi" w:cstheme="majorBidi"/>
          <w:sz w:val="28"/>
          <w:szCs w:val="28"/>
          <w:rtl/>
        </w:rPr>
        <w:fldChar w:fldCharType="end"/>
      </w:r>
      <w:r w:rsidRPr="00DE731D">
        <w:rPr>
          <w:rFonts w:asciiTheme="majorBidi" w:hAnsiTheme="majorBidi" w:cstheme="majorBidi" w:hint="cs"/>
          <w:sz w:val="28"/>
          <w:szCs w:val="28"/>
          <w:rtl/>
        </w:rPr>
        <w:t>.</w:t>
      </w:r>
    </w:p>
    <w:p w14:paraId="016A9772" w14:textId="605A1F32" w:rsidR="00404A54" w:rsidRPr="00DE731D" w:rsidRDefault="00404A54" w:rsidP="00D42BB2">
      <w:pPr>
        <w:bidi/>
        <w:jc w:val="both"/>
        <w:rPr>
          <w:rFonts w:asciiTheme="majorBidi" w:hAnsiTheme="majorBidi" w:cstheme="majorBidi"/>
          <w:sz w:val="28"/>
          <w:szCs w:val="28"/>
        </w:rPr>
      </w:pPr>
      <w:r w:rsidRPr="00DE731D">
        <w:rPr>
          <w:rFonts w:asciiTheme="majorBidi" w:hAnsiTheme="majorBidi" w:cstheme="majorBidi"/>
          <w:sz w:val="28"/>
          <w:szCs w:val="28"/>
          <w:rtl/>
        </w:rPr>
        <w:t xml:space="preserve">ويُضاف إلى ذلك محدودية الدراسات التي </w:t>
      </w:r>
      <w:r w:rsidRPr="00611E7E">
        <w:rPr>
          <w:rFonts w:asciiTheme="majorBidi" w:hAnsiTheme="majorBidi" w:cstheme="majorBidi"/>
          <w:sz w:val="28"/>
          <w:szCs w:val="28"/>
          <w:rtl/>
        </w:rPr>
        <w:t>تُجري مقارنات قطاعية داخل بيئة الضيافة نفسها،</w:t>
      </w:r>
      <w:r w:rsidRPr="00DE731D">
        <w:rPr>
          <w:rFonts w:asciiTheme="majorBidi" w:hAnsiTheme="majorBidi" w:cstheme="majorBidi"/>
          <w:sz w:val="28"/>
          <w:szCs w:val="28"/>
          <w:rtl/>
        </w:rPr>
        <w:t xml:space="preserve"> مثل المقارنة بين الفنادق والمطاعم، من حيث تأثير أنظمة العمل على تحفيز الإبداع، مما يقلل من فهم الفروقات التشغيلية والثقافية بين هذه المؤسسات</w:t>
      </w:r>
      <w:r w:rsidRPr="00DE731D">
        <w:rPr>
          <w:rFonts w:asciiTheme="majorBidi" w:hAnsiTheme="majorBidi" w:cstheme="majorBidi"/>
          <w:sz w:val="28"/>
          <w:szCs w:val="28"/>
        </w:rPr>
        <w:t xml:space="preserve"> </w:t>
      </w:r>
      <w:r w:rsidRPr="00DE731D">
        <w:rPr>
          <w:rFonts w:asciiTheme="majorBidi" w:hAnsiTheme="majorBidi" w:cstheme="majorBidi" w:hint="cs"/>
          <w:sz w:val="28"/>
          <w:szCs w:val="28"/>
          <w:rtl/>
        </w:rPr>
        <w:t xml:space="preserve"> </w:t>
      </w:r>
      <w:r w:rsidRPr="00DE731D">
        <w:rPr>
          <w:rFonts w:asciiTheme="majorBidi" w:hAnsiTheme="majorBidi" w:cstheme="majorBidi"/>
          <w:sz w:val="28"/>
          <w:szCs w:val="28"/>
          <w:rtl/>
        </w:rPr>
        <w:fldChar w:fldCharType="begin"/>
      </w:r>
      <w:r w:rsidR="00FB6AAE" w:rsidRPr="00DE731D">
        <w:rPr>
          <w:rFonts w:asciiTheme="majorBidi" w:hAnsiTheme="majorBidi" w:cstheme="majorBidi"/>
          <w:sz w:val="28"/>
          <w:szCs w:val="28"/>
          <w:rtl/>
        </w:rPr>
        <w:instrText xml:space="preserve"> </w:instrText>
      </w:r>
      <w:r w:rsidR="00FB6AAE" w:rsidRPr="00DE731D">
        <w:rPr>
          <w:rFonts w:asciiTheme="majorBidi" w:hAnsiTheme="majorBidi" w:cstheme="majorBidi"/>
          <w:sz w:val="28"/>
          <w:szCs w:val="28"/>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00FB6AAE" w:rsidRPr="00DE731D">
        <w:rPr>
          <w:rFonts w:asciiTheme="majorBidi" w:hAnsiTheme="majorBidi" w:cstheme="majorBidi"/>
          <w:sz w:val="28"/>
          <w:szCs w:val="28"/>
          <w:rtl/>
        </w:rPr>
        <w:instrText>&gt;</w:instrText>
      </w:r>
      <w:r w:rsidRPr="00DE731D">
        <w:rPr>
          <w:rFonts w:asciiTheme="majorBidi" w:hAnsiTheme="majorBidi" w:cstheme="majorBidi"/>
          <w:sz w:val="28"/>
          <w:szCs w:val="28"/>
          <w:rtl/>
        </w:rPr>
        <w:fldChar w:fldCharType="separate"/>
      </w:r>
      <w:r w:rsidRPr="00DE731D">
        <w:rPr>
          <w:rFonts w:asciiTheme="majorBidi" w:hAnsiTheme="majorBidi" w:cstheme="majorBidi"/>
          <w:noProof/>
          <w:sz w:val="28"/>
          <w:szCs w:val="28"/>
          <w:rtl/>
        </w:rPr>
        <w:t>(</w:t>
      </w:r>
      <w:r w:rsidRPr="00DE731D">
        <w:rPr>
          <w:rFonts w:asciiTheme="majorBidi" w:hAnsiTheme="majorBidi" w:cstheme="majorBidi"/>
          <w:noProof/>
          <w:sz w:val="28"/>
          <w:szCs w:val="28"/>
        </w:rPr>
        <w:t>Jiang et al., 2012</w:t>
      </w:r>
      <w:r w:rsidRPr="00DE731D">
        <w:rPr>
          <w:rFonts w:asciiTheme="majorBidi" w:hAnsiTheme="majorBidi" w:cstheme="majorBidi"/>
          <w:noProof/>
          <w:sz w:val="28"/>
          <w:szCs w:val="28"/>
          <w:rtl/>
        </w:rPr>
        <w:t>)</w:t>
      </w:r>
      <w:r w:rsidRPr="00DE731D">
        <w:rPr>
          <w:rFonts w:asciiTheme="majorBidi" w:hAnsiTheme="majorBidi" w:cstheme="majorBidi"/>
          <w:sz w:val="28"/>
          <w:szCs w:val="28"/>
          <w:rtl/>
        </w:rPr>
        <w:fldChar w:fldCharType="end"/>
      </w:r>
      <w:r w:rsidRPr="00DE731D">
        <w:rPr>
          <w:rFonts w:asciiTheme="majorBidi" w:hAnsiTheme="majorBidi" w:cstheme="majorBidi" w:hint="cs"/>
          <w:sz w:val="28"/>
          <w:szCs w:val="28"/>
          <w:rtl/>
        </w:rPr>
        <w:t xml:space="preserve">. </w:t>
      </w:r>
      <w:r w:rsidRPr="00DE731D">
        <w:rPr>
          <w:rFonts w:asciiTheme="majorBidi" w:hAnsiTheme="majorBidi" w:cstheme="majorBidi"/>
          <w:sz w:val="28"/>
          <w:szCs w:val="28"/>
          <w:rtl/>
        </w:rPr>
        <w:t>كما أن معظم هذه الدراسات أُجريت في بيئات صناعية أو خدمية غربية، مما يُضعف من إمكانية تعميم نتائجها على السياقات العربية ذات الخصوصيات الثقافية والتنظيمية المختلفة، لا سيما في المملكة العربية السعودية التي تشهد تحولًا اقتصاديًا ومؤسسيًا جذريًا ضمن رؤية 2030</w:t>
      </w:r>
      <w:r w:rsidRPr="00DE731D">
        <w:rPr>
          <w:rFonts w:asciiTheme="majorBidi" w:hAnsiTheme="majorBidi" w:cstheme="majorBidi" w:hint="cs"/>
          <w:sz w:val="28"/>
          <w:szCs w:val="28"/>
          <w:rtl/>
        </w:rPr>
        <w:t>.</w:t>
      </w:r>
    </w:p>
    <w:p w14:paraId="714094FA" w14:textId="77777777" w:rsidR="00404A54" w:rsidRPr="00DE731D" w:rsidRDefault="00404A54" w:rsidP="00D42BB2">
      <w:pPr>
        <w:bidi/>
        <w:jc w:val="both"/>
        <w:rPr>
          <w:rFonts w:asciiTheme="majorBidi" w:hAnsiTheme="majorBidi" w:cstheme="majorBidi"/>
          <w:sz w:val="28"/>
          <w:szCs w:val="28"/>
        </w:rPr>
      </w:pPr>
      <w:r w:rsidRPr="00DE731D">
        <w:rPr>
          <w:rFonts w:asciiTheme="majorBidi" w:hAnsiTheme="majorBidi" w:cstheme="majorBidi"/>
          <w:sz w:val="28"/>
          <w:szCs w:val="28"/>
          <w:rtl/>
        </w:rPr>
        <w:t xml:space="preserve">قام الباحث </w:t>
      </w:r>
      <w:r w:rsidRPr="00611E7E">
        <w:rPr>
          <w:rFonts w:asciiTheme="majorBidi" w:hAnsiTheme="majorBidi" w:cstheme="majorBidi"/>
          <w:sz w:val="28"/>
          <w:szCs w:val="28"/>
          <w:rtl/>
        </w:rPr>
        <w:t xml:space="preserve">بتنفيذ دراسة استكشافية ميدانية أولية في مدينة الرياض، استهدفت عينة ميسرة من العاملين في </w:t>
      </w:r>
      <w:r w:rsidRPr="00611E7E">
        <w:rPr>
          <w:rFonts w:asciiTheme="majorBidi" w:hAnsiTheme="majorBidi" w:cstheme="majorBidi"/>
          <w:b/>
          <w:bCs/>
          <w:sz w:val="28"/>
          <w:szCs w:val="28"/>
        </w:rPr>
        <w:t>12</w:t>
      </w:r>
      <w:r w:rsidRPr="00611E7E">
        <w:rPr>
          <w:rFonts w:asciiTheme="majorBidi" w:hAnsiTheme="majorBidi" w:cstheme="majorBidi" w:hint="cs"/>
          <w:b/>
          <w:bCs/>
          <w:sz w:val="28"/>
          <w:szCs w:val="28"/>
          <w:rtl/>
        </w:rPr>
        <w:t xml:space="preserve"> </w:t>
      </w:r>
      <w:r w:rsidRPr="00611E7E">
        <w:rPr>
          <w:rFonts w:asciiTheme="majorBidi" w:hAnsiTheme="majorBidi" w:cstheme="majorBidi"/>
          <w:b/>
          <w:bCs/>
          <w:sz w:val="28"/>
          <w:szCs w:val="28"/>
          <w:rtl/>
        </w:rPr>
        <w:t>منشأة</w:t>
      </w:r>
      <w:r w:rsidRPr="00611E7E">
        <w:rPr>
          <w:rFonts w:asciiTheme="majorBidi" w:hAnsiTheme="majorBidi" w:cstheme="majorBidi"/>
          <w:sz w:val="28"/>
          <w:szCs w:val="28"/>
          <w:rtl/>
        </w:rPr>
        <w:t xml:space="preserve"> ضمن قطاعي الفنادق والمطاعم</w:t>
      </w:r>
      <w:r w:rsidRPr="00DE731D">
        <w:rPr>
          <w:rFonts w:asciiTheme="majorBidi" w:hAnsiTheme="majorBidi" w:cstheme="majorBidi"/>
          <w:sz w:val="28"/>
          <w:szCs w:val="28"/>
          <w:rtl/>
        </w:rPr>
        <w:t xml:space="preserve">، شملت فنادق متوسطة ومرتفعة التصنيف، بالإضافة إلى مطاعم مستقلة وسلاسل مطاعم. بلغ عدد المشاركين في هذه الدراسة </w:t>
      </w:r>
      <w:r w:rsidRPr="00DE731D">
        <w:rPr>
          <w:rFonts w:asciiTheme="majorBidi" w:hAnsiTheme="majorBidi" w:cstheme="majorBidi"/>
          <w:b/>
          <w:bCs/>
          <w:sz w:val="28"/>
          <w:szCs w:val="28"/>
        </w:rPr>
        <w:t>54</w:t>
      </w:r>
      <w:r w:rsidRPr="00DE731D">
        <w:rPr>
          <w:rFonts w:asciiTheme="majorBidi" w:hAnsiTheme="majorBidi" w:cstheme="majorBidi" w:hint="cs"/>
          <w:b/>
          <w:bCs/>
          <w:sz w:val="28"/>
          <w:szCs w:val="28"/>
          <w:rtl/>
        </w:rPr>
        <w:t xml:space="preserve"> </w:t>
      </w:r>
      <w:r w:rsidRPr="00DE731D">
        <w:rPr>
          <w:rFonts w:asciiTheme="majorBidi" w:hAnsiTheme="majorBidi" w:cstheme="majorBidi"/>
          <w:b/>
          <w:bCs/>
          <w:sz w:val="28"/>
          <w:szCs w:val="28"/>
          <w:rtl/>
        </w:rPr>
        <w:t>موظفًا</w:t>
      </w:r>
      <w:r w:rsidRPr="00DE731D">
        <w:rPr>
          <w:rFonts w:asciiTheme="majorBidi" w:hAnsiTheme="majorBidi" w:cstheme="majorBidi"/>
          <w:sz w:val="28"/>
          <w:szCs w:val="28"/>
          <w:rtl/>
        </w:rPr>
        <w:t xml:space="preserve">، منهم </w:t>
      </w:r>
      <w:r w:rsidRPr="00DE731D">
        <w:rPr>
          <w:rFonts w:asciiTheme="majorBidi" w:hAnsiTheme="majorBidi" w:cstheme="majorBidi"/>
          <w:b/>
          <w:bCs/>
          <w:sz w:val="28"/>
          <w:szCs w:val="28"/>
        </w:rPr>
        <w:t>29</w:t>
      </w:r>
      <w:r w:rsidRPr="00DE731D">
        <w:rPr>
          <w:rFonts w:asciiTheme="majorBidi" w:hAnsiTheme="majorBidi" w:cstheme="majorBidi" w:hint="cs"/>
          <w:b/>
          <w:bCs/>
          <w:sz w:val="28"/>
          <w:szCs w:val="28"/>
          <w:rtl/>
        </w:rPr>
        <w:t xml:space="preserve"> </w:t>
      </w:r>
      <w:r w:rsidRPr="00DE731D">
        <w:rPr>
          <w:rFonts w:asciiTheme="majorBidi" w:hAnsiTheme="majorBidi" w:cstheme="majorBidi"/>
          <w:b/>
          <w:bCs/>
          <w:sz w:val="28"/>
          <w:szCs w:val="28"/>
          <w:rtl/>
        </w:rPr>
        <w:t>يعملون في الفنادق</w:t>
      </w:r>
      <w:r w:rsidRPr="00DE731D">
        <w:rPr>
          <w:rFonts w:asciiTheme="majorBidi" w:hAnsiTheme="majorBidi" w:cstheme="majorBidi"/>
          <w:sz w:val="28"/>
          <w:szCs w:val="28"/>
          <w:rtl/>
        </w:rPr>
        <w:t xml:space="preserve"> و</w:t>
      </w:r>
      <w:r w:rsidRPr="00DE731D">
        <w:rPr>
          <w:rFonts w:asciiTheme="majorBidi" w:hAnsiTheme="majorBidi" w:cstheme="majorBidi"/>
          <w:b/>
          <w:bCs/>
          <w:sz w:val="28"/>
          <w:szCs w:val="28"/>
        </w:rPr>
        <w:t>25</w:t>
      </w:r>
      <w:r w:rsidRPr="00DE731D">
        <w:rPr>
          <w:rFonts w:asciiTheme="majorBidi" w:hAnsiTheme="majorBidi" w:cstheme="majorBidi" w:hint="cs"/>
          <w:b/>
          <w:bCs/>
          <w:sz w:val="28"/>
          <w:szCs w:val="28"/>
          <w:rtl/>
        </w:rPr>
        <w:t xml:space="preserve"> </w:t>
      </w:r>
      <w:r w:rsidRPr="00DE731D">
        <w:rPr>
          <w:rFonts w:asciiTheme="majorBidi" w:hAnsiTheme="majorBidi" w:cstheme="majorBidi"/>
          <w:b/>
          <w:bCs/>
          <w:sz w:val="28"/>
          <w:szCs w:val="28"/>
          <w:rtl/>
        </w:rPr>
        <w:t>في المطاعم</w:t>
      </w:r>
      <w:r w:rsidRPr="00DE731D">
        <w:rPr>
          <w:rFonts w:asciiTheme="majorBidi" w:hAnsiTheme="majorBidi" w:cstheme="majorBidi"/>
          <w:sz w:val="28"/>
          <w:szCs w:val="28"/>
          <w:rtl/>
        </w:rPr>
        <w:t>، وشمل الاستطلاع موظفي الخطوط الأمامية، والمشرفين، ومديري الموارد البشرية</w:t>
      </w:r>
      <w:r w:rsidRPr="00DE731D">
        <w:rPr>
          <w:rFonts w:asciiTheme="majorBidi" w:hAnsiTheme="majorBidi" w:cstheme="majorBidi"/>
          <w:sz w:val="28"/>
          <w:szCs w:val="28"/>
        </w:rPr>
        <w:t>.</w:t>
      </w:r>
    </w:p>
    <w:p w14:paraId="55A02D3C" w14:textId="77777777" w:rsidR="00404A54" w:rsidRPr="00611E7E" w:rsidRDefault="00404A54" w:rsidP="00D42BB2">
      <w:pPr>
        <w:bidi/>
        <w:jc w:val="both"/>
        <w:rPr>
          <w:rFonts w:asciiTheme="majorBidi" w:hAnsiTheme="majorBidi" w:cstheme="majorBidi"/>
          <w:sz w:val="28"/>
          <w:szCs w:val="28"/>
        </w:rPr>
      </w:pPr>
      <w:r w:rsidRPr="00611E7E">
        <w:rPr>
          <w:rFonts w:asciiTheme="majorBidi" w:hAnsiTheme="majorBidi" w:cstheme="majorBidi"/>
          <w:sz w:val="28"/>
          <w:szCs w:val="28"/>
          <w:rtl/>
        </w:rPr>
        <w:t>تم جمع البيانات باستخدام استبيان قصير مكوّن من 12 سؤالًا مغلقًا، وركّزت الأسئلة على أربع ممارسات أساسية من أنظمة العمل عالية الأداء</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التوظيف الانتقائي، التدريب والتطوير، الحوافز التحفيزية، ومشاركة الموظفين في اتخاذ القرار، إضافة إلى أسئلة تقيس مدى الإحساس بوجود بيئة تشجع على الإبداع</w:t>
      </w:r>
      <w:r w:rsidRPr="00611E7E">
        <w:rPr>
          <w:rFonts w:asciiTheme="majorBidi" w:hAnsiTheme="majorBidi" w:cstheme="majorBidi"/>
          <w:sz w:val="28"/>
          <w:szCs w:val="28"/>
        </w:rPr>
        <w:t>.</w:t>
      </w:r>
    </w:p>
    <w:p w14:paraId="7CF44A42" w14:textId="77777777" w:rsidR="00404A54" w:rsidRPr="00DE731D" w:rsidRDefault="00404A54" w:rsidP="00D42BB2">
      <w:pPr>
        <w:bidi/>
        <w:jc w:val="both"/>
        <w:rPr>
          <w:rFonts w:asciiTheme="majorBidi" w:hAnsiTheme="majorBidi" w:cstheme="majorBidi"/>
          <w:sz w:val="28"/>
          <w:szCs w:val="28"/>
        </w:rPr>
      </w:pPr>
      <w:r w:rsidRPr="00611E7E">
        <w:rPr>
          <w:rFonts w:asciiTheme="majorBidi" w:hAnsiTheme="majorBidi" w:cstheme="majorBidi"/>
          <w:sz w:val="28"/>
          <w:szCs w:val="28"/>
          <w:rtl/>
        </w:rPr>
        <w:t>وأظهرت</w:t>
      </w:r>
      <w:r w:rsidRPr="00DE731D">
        <w:rPr>
          <w:rFonts w:asciiTheme="majorBidi" w:hAnsiTheme="majorBidi" w:cstheme="majorBidi"/>
          <w:sz w:val="28"/>
          <w:szCs w:val="28"/>
          <w:rtl/>
        </w:rPr>
        <w:t xml:space="preserve"> نتائج الدراسة الاستكشافية ما يلي</w:t>
      </w:r>
      <w:r w:rsidRPr="00DE731D">
        <w:rPr>
          <w:rFonts w:asciiTheme="majorBidi" w:hAnsiTheme="majorBidi" w:cstheme="majorBidi"/>
          <w:sz w:val="28"/>
          <w:szCs w:val="28"/>
        </w:rPr>
        <w:t>:</w:t>
      </w:r>
    </w:p>
    <w:p w14:paraId="42D1C2A8" w14:textId="77777777" w:rsidR="00404A54" w:rsidRPr="00DE731D" w:rsidRDefault="00404A54" w:rsidP="00D42BB2">
      <w:pPr>
        <w:numPr>
          <w:ilvl w:val="0"/>
          <w:numId w:val="78"/>
        </w:numPr>
        <w:bidi/>
        <w:jc w:val="both"/>
        <w:rPr>
          <w:rFonts w:asciiTheme="majorBidi" w:hAnsiTheme="majorBidi" w:cstheme="majorBidi"/>
          <w:sz w:val="28"/>
          <w:szCs w:val="28"/>
        </w:rPr>
      </w:pPr>
      <w:r w:rsidRPr="00DE731D">
        <w:rPr>
          <w:rFonts w:asciiTheme="majorBidi" w:hAnsiTheme="majorBidi" w:cstheme="majorBidi" w:hint="cs"/>
          <w:b/>
          <w:bCs/>
          <w:sz w:val="28"/>
          <w:szCs w:val="28"/>
          <w:rtl/>
        </w:rPr>
        <w:t xml:space="preserve">%63 </w:t>
      </w:r>
      <w:r w:rsidRPr="00DE731D">
        <w:rPr>
          <w:rFonts w:asciiTheme="majorBidi" w:hAnsiTheme="majorBidi" w:cstheme="majorBidi"/>
          <w:b/>
          <w:bCs/>
          <w:sz w:val="28"/>
          <w:szCs w:val="28"/>
          <w:rtl/>
        </w:rPr>
        <w:t>من الموظفين</w:t>
      </w:r>
      <w:r w:rsidRPr="00DE731D">
        <w:rPr>
          <w:rFonts w:asciiTheme="majorBidi" w:hAnsiTheme="majorBidi" w:cstheme="majorBidi"/>
          <w:sz w:val="28"/>
          <w:szCs w:val="28"/>
          <w:rtl/>
        </w:rPr>
        <w:t xml:space="preserve"> أشاروا إلى أن سياسات التوظيف في مؤسساتهم لا تركز على المهارات الإبداعية، بل تعتمد غالبًا على التوظيف السريع لتغطية النقص</w:t>
      </w:r>
      <w:r w:rsidRPr="00DE731D">
        <w:rPr>
          <w:rFonts w:asciiTheme="majorBidi" w:hAnsiTheme="majorBidi" w:cstheme="majorBidi"/>
          <w:sz w:val="28"/>
          <w:szCs w:val="28"/>
        </w:rPr>
        <w:t>.</w:t>
      </w:r>
    </w:p>
    <w:p w14:paraId="04258A77" w14:textId="77777777" w:rsidR="00404A54" w:rsidRPr="00DE731D" w:rsidRDefault="00404A54" w:rsidP="00D42BB2">
      <w:pPr>
        <w:numPr>
          <w:ilvl w:val="0"/>
          <w:numId w:val="78"/>
        </w:numPr>
        <w:bidi/>
        <w:jc w:val="both"/>
        <w:rPr>
          <w:rFonts w:asciiTheme="majorBidi" w:hAnsiTheme="majorBidi" w:cstheme="majorBidi"/>
          <w:sz w:val="28"/>
          <w:szCs w:val="28"/>
        </w:rPr>
      </w:pPr>
      <w:r w:rsidRPr="00DE731D">
        <w:rPr>
          <w:rFonts w:asciiTheme="majorBidi" w:hAnsiTheme="majorBidi" w:cstheme="majorBidi" w:hint="cs"/>
          <w:b/>
          <w:bCs/>
          <w:sz w:val="28"/>
          <w:szCs w:val="28"/>
          <w:rtl/>
        </w:rPr>
        <w:t>%71</w:t>
      </w:r>
      <w:r w:rsidRPr="00DE731D">
        <w:rPr>
          <w:rFonts w:asciiTheme="majorBidi" w:hAnsiTheme="majorBidi" w:cstheme="majorBidi"/>
          <w:sz w:val="28"/>
          <w:szCs w:val="28"/>
        </w:rPr>
        <w:t xml:space="preserve"> </w:t>
      </w:r>
      <w:r w:rsidRPr="00DE731D">
        <w:rPr>
          <w:rFonts w:asciiTheme="majorBidi" w:hAnsiTheme="majorBidi" w:cstheme="majorBidi"/>
          <w:sz w:val="28"/>
          <w:szCs w:val="28"/>
          <w:rtl/>
        </w:rPr>
        <w:t>أفادوا بأن برامج التدريب التي حصلوا عليها كانت تقنية وتقليدية، ولا تتضمن محتوى يعزز التفكير الابتكاري أو حل المشكلات</w:t>
      </w:r>
      <w:r w:rsidRPr="00DE731D">
        <w:rPr>
          <w:rFonts w:asciiTheme="majorBidi" w:hAnsiTheme="majorBidi" w:cstheme="majorBidi"/>
          <w:sz w:val="28"/>
          <w:szCs w:val="28"/>
        </w:rPr>
        <w:t>.</w:t>
      </w:r>
    </w:p>
    <w:p w14:paraId="2F3DAC22" w14:textId="77777777" w:rsidR="00404A54" w:rsidRPr="00DE731D" w:rsidRDefault="00404A54" w:rsidP="00D42BB2">
      <w:pPr>
        <w:numPr>
          <w:ilvl w:val="0"/>
          <w:numId w:val="78"/>
        </w:numPr>
        <w:bidi/>
        <w:jc w:val="both"/>
        <w:rPr>
          <w:rFonts w:asciiTheme="majorBidi" w:hAnsiTheme="majorBidi" w:cstheme="majorBidi"/>
          <w:sz w:val="28"/>
          <w:szCs w:val="28"/>
        </w:rPr>
      </w:pPr>
      <w:r w:rsidRPr="00DE731D">
        <w:rPr>
          <w:rFonts w:asciiTheme="majorBidi" w:hAnsiTheme="majorBidi" w:cstheme="majorBidi"/>
          <w:b/>
          <w:bCs/>
          <w:sz w:val="28"/>
          <w:szCs w:val="28"/>
        </w:rPr>
        <w:t>58%</w:t>
      </w:r>
      <w:r w:rsidRPr="00DE731D">
        <w:rPr>
          <w:rFonts w:asciiTheme="majorBidi" w:hAnsiTheme="majorBidi" w:cstheme="majorBidi" w:hint="cs"/>
          <w:sz w:val="28"/>
          <w:szCs w:val="28"/>
          <w:rtl/>
        </w:rPr>
        <w:t xml:space="preserve"> </w:t>
      </w:r>
      <w:r w:rsidRPr="00DE731D">
        <w:rPr>
          <w:rFonts w:asciiTheme="majorBidi" w:hAnsiTheme="majorBidi" w:cstheme="majorBidi"/>
          <w:sz w:val="28"/>
          <w:szCs w:val="28"/>
          <w:rtl/>
        </w:rPr>
        <w:t>قالوا إن أنظمة الحوافز تركز على الأداء الكمي أو الانضباط، دون مكافآت صريحة للأفكار الجديدة أو المقترحات التطويرية</w:t>
      </w:r>
      <w:r w:rsidRPr="00DE731D">
        <w:rPr>
          <w:rFonts w:asciiTheme="majorBidi" w:hAnsiTheme="majorBidi" w:cstheme="majorBidi"/>
          <w:sz w:val="28"/>
          <w:szCs w:val="28"/>
        </w:rPr>
        <w:t>.</w:t>
      </w:r>
    </w:p>
    <w:p w14:paraId="6C0150F7" w14:textId="77777777" w:rsidR="00404A54" w:rsidRPr="00DE731D" w:rsidRDefault="00404A54" w:rsidP="00D42BB2">
      <w:pPr>
        <w:numPr>
          <w:ilvl w:val="0"/>
          <w:numId w:val="78"/>
        </w:numPr>
        <w:bidi/>
        <w:jc w:val="both"/>
        <w:rPr>
          <w:rFonts w:asciiTheme="majorBidi" w:hAnsiTheme="majorBidi" w:cstheme="majorBidi"/>
          <w:sz w:val="28"/>
          <w:szCs w:val="28"/>
        </w:rPr>
      </w:pPr>
      <w:r w:rsidRPr="00DE731D">
        <w:rPr>
          <w:rFonts w:asciiTheme="majorBidi" w:hAnsiTheme="majorBidi" w:cstheme="majorBidi"/>
          <w:b/>
          <w:bCs/>
          <w:sz w:val="28"/>
          <w:szCs w:val="28"/>
        </w:rPr>
        <w:t>67%</w:t>
      </w:r>
      <w:r w:rsidRPr="00DE731D">
        <w:rPr>
          <w:rFonts w:asciiTheme="majorBidi" w:hAnsiTheme="majorBidi" w:cstheme="majorBidi" w:hint="cs"/>
          <w:sz w:val="28"/>
          <w:szCs w:val="28"/>
          <w:rtl/>
        </w:rPr>
        <w:t xml:space="preserve"> </w:t>
      </w:r>
      <w:r w:rsidRPr="00DE731D">
        <w:rPr>
          <w:rFonts w:asciiTheme="majorBidi" w:hAnsiTheme="majorBidi" w:cstheme="majorBidi"/>
          <w:sz w:val="28"/>
          <w:szCs w:val="28"/>
          <w:rtl/>
        </w:rPr>
        <w:t>من العينة شعروا أن مشاركتهم في اتخاذ القرار محدودة للغاية، وغالبًا ما تُتخذ القرارات بشكل مركزي من الإدارة العليا</w:t>
      </w:r>
      <w:r w:rsidRPr="00DE731D">
        <w:rPr>
          <w:rFonts w:asciiTheme="majorBidi" w:hAnsiTheme="majorBidi" w:cstheme="majorBidi"/>
          <w:sz w:val="28"/>
          <w:szCs w:val="28"/>
        </w:rPr>
        <w:t>.</w:t>
      </w:r>
    </w:p>
    <w:p w14:paraId="098C11EA" w14:textId="77777777" w:rsidR="00404A54" w:rsidRPr="00DE731D" w:rsidRDefault="00404A54" w:rsidP="00D42BB2">
      <w:pPr>
        <w:numPr>
          <w:ilvl w:val="0"/>
          <w:numId w:val="78"/>
        </w:numPr>
        <w:bidi/>
        <w:jc w:val="both"/>
        <w:rPr>
          <w:rFonts w:asciiTheme="majorBidi" w:hAnsiTheme="majorBidi" w:cstheme="majorBidi"/>
          <w:sz w:val="28"/>
          <w:szCs w:val="28"/>
        </w:rPr>
      </w:pPr>
      <w:r w:rsidRPr="00DE731D">
        <w:rPr>
          <w:rFonts w:asciiTheme="majorBidi" w:hAnsiTheme="majorBidi" w:cstheme="majorBidi"/>
          <w:sz w:val="28"/>
          <w:szCs w:val="28"/>
          <w:rtl/>
        </w:rPr>
        <w:t xml:space="preserve">أما فيما يخص </w:t>
      </w:r>
      <w:r w:rsidRPr="00DE731D">
        <w:rPr>
          <w:rFonts w:asciiTheme="majorBidi" w:hAnsiTheme="majorBidi" w:cstheme="majorBidi"/>
          <w:b/>
          <w:bCs/>
          <w:sz w:val="28"/>
          <w:szCs w:val="28"/>
          <w:rtl/>
        </w:rPr>
        <w:t>وجود بيئة محفزة للإبداع</w:t>
      </w:r>
      <w:r w:rsidRPr="00DE731D">
        <w:rPr>
          <w:rFonts w:asciiTheme="majorBidi" w:hAnsiTheme="majorBidi" w:cstheme="majorBidi"/>
          <w:sz w:val="28"/>
          <w:szCs w:val="28"/>
          <w:rtl/>
        </w:rPr>
        <w:t xml:space="preserve">، فأفاد </w:t>
      </w:r>
      <w:r w:rsidRPr="00DE731D">
        <w:rPr>
          <w:rFonts w:asciiTheme="majorBidi" w:hAnsiTheme="majorBidi" w:cstheme="majorBidi"/>
          <w:b/>
          <w:bCs/>
          <w:sz w:val="28"/>
          <w:szCs w:val="28"/>
        </w:rPr>
        <w:t>62%</w:t>
      </w:r>
      <w:r w:rsidRPr="00DE731D">
        <w:rPr>
          <w:rFonts w:asciiTheme="majorBidi" w:hAnsiTheme="majorBidi" w:cstheme="majorBidi" w:hint="cs"/>
          <w:sz w:val="28"/>
          <w:szCs w:val="28"/>
          <w:rtl/>
        </w:rPr>
        <w:t xml:space="preserve"> </w:t>
      </w:r>
      <w:r w:rsidRPr="00DE731D">
        <w:rPr>
          <w:rFonts w:asciiTheme="majorBidi" w:hAnsiTheme="majorBidi" w:cstheme="majorBidi"/>
          <w:sz w:val="28"/>
          <w:szCs w:val="28"/>
          <w:rtl/>
        </w:rPr>
        <w:t>بأنهم لا يشعرون بتشجيع فعلي على طرح الأفكار الجديدة، خاصة في أوقات الضغط أو المواسم المزدحمة</w:t>
      </w:r>
      <w:r w:rsidRPr="00DE731D">
        <w:rPr>
          <w:rFonts w:asciiTheme="majorBidi" w:hAnsiTheme="majorBidi" w:cstheme="majorBidi"/>
          <w:sz w:val="28"/>
          <w:szCs w:val="28"/>
        </w:rPr>
        <w:t>.</w:t>
      </w:r>
    </w:p>
    <w:p w14:paraId="5D97ECFD" w14:textId="77777777" w:rsidR="00404A54" w:rsidRPr="00611E7E" w:rsidRDefault="00404A54" w:rsidP="00D42BB2">
      <w:pPr>
        <w:bidi/>
        <w:jc w:val="both"/>
        <w:rPr>
          <w:rFonts w:asciiTheme="majorBidi" w:hAnsiTheme="majorBidi" w:cstheme="majorBidi"/>
          <w:sz w:val="28"/>
          <w:szCs w:val="28"/>
        </w:rPr>
      </w:pPr>
      <w:r w:rsidRPr="00611E7E">
        <w:rPr>
          <w:rFonts w:asciiTheme="majorBidi" w:hAnsiTheme="majorBidi" w:cstheme="majorBidi"/>
          <w:sz w:val="28"/>
          <w:szCs w:val="28"/>
          <w:rtl/>
        </w:rPr>
        <w:t>كما أظهرت المقابلات مع بعض مديري الموارد البشرية أن ممارسات أنظمة العمل عالية الأداء لا تُطبق كمنظومة متكاملة، بل يتم التركيز غالبًا على الجوانب التشغيلية قصيرة المدى، دون رؤية استراتيجية لتعزيز الإبداع الوظيفي</w:t>
      </w:r>
      <w:r w:rsidRPr="00611E7E">
        <w:rPr>
          <w:rFonts w:asciiTheme="majorBidi" w:hAnsiTheme="majorBidi" w:cstheme="majorBidi"/>
          <w:sz w:val="28"/>
          <w:szCs w:val="28"/>
        </w:rPr>
        <w:t>.</w:t>
      </w:r>
    </w:p>
    <w:p w14:paraId="286B7B7B" w14:textId="77777777" w:rsidR="00404A54" w:rsidRPr="00611E7E" w:rsidRDefault="00404A54" w:rsidP="00D42BB2">
      <w:pPr>
        <w:bidi/>
        <w:jc w:val="both"/>
        <w:rPr>
          <w:rFonts w:asciiTheme="majorBidi" w:hAnsiTheme="majorBidi" w:cstheme="majorBidi"/>
          <w:sz w:val="28"/>
          <w:szCs w:val="28"/>
          <w:rtl/>
        </w:rPr>
      </w:pPr>
      <w:r w:rsidRPr="00611E7E">
        <w:rPr>
          <w:rFonts w:asciiTheme="majorBidi" w:hAnsiTheme="majorBidi" w:cstheme="majorBidi"/>
          <w:sz w:val="28"/>
          <w:szCs w:val="28"/>
          <w:rtl/>
        </w:rPr>
        <w:lastRenderedPageBreak/>
        <w:t>تشير هذه النتائج بوضوح إلى وجود فجوة كبيرة بين ممارسات الموارد البشرية الحالية ومتطلبات بيئة العمل الإبداعية في قطاعي الفنادق والمطاعم، مما يعزز أهمية إجراء دراسة تحليلية شاملة لفهم العلاقة بين أنظمة العمل عالية الأداء والأداء الإبداعي في هذا القطاع الحيوي</w:t>
      </w:r>
      <w:r w:rsidRPr="00611E7E">
        <w:rPr>
          <w:rFonts w:asciiTheme="majorBidi" w:hAnsiTheme="majorBidi" w:cstheme="majorBidi"/>
          <w:sz w:val="28"/>
          <w:szCs w:val="28"/>
        </w:rPr>
        <w:t>.</w:t>
      </w:r>
    </w:p>
    <w:p w14:paraId="3E6CE1CB" w14:textId="77777777" w:rsidR="00404A54" w:rsidRPr="006609AB" w:rsidRDefault="00404A54" w:rsidP="00D42BB2">
      <w:pPr>
        <w:bidi/>
        <w:jc w:val="both"/>
        <w:rPr>
          <w:rFonts w:asciiTheme="majorBidi" w:hAnsiTheme="majorBidi" w:cstheme="majorBidi"/>
          <w:sz w:val="28"/>
          <w:szCs w:val="28"/>
          <w:rtl/>
        </w:rPr>
      </w:pPr>
      <w:r w:rsidRPr="00611E7E">
        <w:rPr>
          <w:rFonts w:asciiTheme="majorBidi" w:hAnsiTheme="majorBidi" w:cstheme="majorBidi"/>
          <w:sz w:val="28"/>
          <w:szCs w:val="28"/>
          <w:rtl/>
        </w:rPr>
        <w:t>لذا، تنبع أهمية هذه الدراسة من سعيها إلى سد هذه الفجوة البحثية عبر تحليل العلاقة بين أنظمة العمل عالية الأداء والإبداع ا</w:t>
      </w:r>
      <w:r w:rsidRPr="00553F8C">
        <w:rPr>
          <w:rFonts w:asciiTheme="majorBidi" w:hAnsiTheme="majorBidi" w:cstheme="majorBidi"/>
          <w:sz w:val="28"/>
          <w:szCs w:val="28"/>
          <w:rtl/>
        </w:rPr>
        <w:t xml:space="preserve">لوظيفي في قطاعي الفنادق والمطاعم بمدينة الرياض، مع التركيز على </w:t>
      </w:r>
      <w:r w:rsidRPr="00553F8C">
        <w:rPr>
          <w:rFonts w:asciiTheme="majorBidi" w:hAnsiTheme="majorBidi" w:cstheme="majorBidi"/>
          <w:b/>
          <w:bCs/>
          <w:sz w:val="28"/>
          <w:szCs w:val="28"/>
          <w:rtl/>
        </w:rPr>
        <w:t>الثقافة التنظيمية كمتغير وسيط</w:t>
      </w:r>
      <w:r w:rsidRPr="00553F8C">
        <w:rPr>
          <w:rFonts w:asciiTheme="majorBidi" w:hAnsiTheme="majorBidi" w:cstheme="majorBidi"/>
          <w:sz w:val="28"/>
          <w:szCs w:val="28"/>
          <w:rtl/>
        </w:rPr>
        <w:t xml:space="preserve"> يفسر طبيعة هذه العلاقة. وتسعى الدراسة إلى تقديم إطار تطبيقي يستند إلى أدلة علمية حديثة، بما يُسهم في تطوير ممارسات الموارد البشرية في السياق السعودي بشكل يتماشى مع متطلبات البيئة التنافسية الحديثة</w:t>
      </w:r>
      <w:r w:rsidRPr="00553F8C">
        <w:rPr>
          <w:rFonts w:asciiTheme="majorBidi" w:hAnsiTheme="majorBidi" w:cstheme="majorBidi"/>
          <w:sz w:val="28"/>
          <w:szCs w:val="28"/>
        </w:rPr>
        <w:t>.</w:t>
      </w:r>
    </w:p>
    <w:p w14:paraId="721F06DA" w14:textId="77777777" w:rsidR="00404A54" w:rsidRDefault="00404A54" w:rsidP="00D42BB2">
      <w:pPr>
        <w:bidi/>
        <w:jc w:val="both"/>
        <w:rPr>
          <w:rFonts w:asciiTheme="majorBidi" w:hAnsiTheme="majorBidi" w:cstheme="majorBidi"/>
          <w:sz w:val="28"/>
          <w:szCs w:val="28"/>
          <w:rtl/>
        </w:rPr>
      </w:pPr>
      <w:r w:rsidRPr="00EF27B5">
        <w:rPr>
          <w:rFonts w:asciiTheme="majorBidi" w:hAnsiTheme="majorBidi" w:cstheme="majorBidi"/>
          <w:sz w:val="28"/>
          <w:szCs w:val="28"/>
          <w:rtl/>
        </w:rPr>
        <w:t>وانطلاقًا من ذلك، يمكن تلخيص مشكلة الدراسة في التساؤل الرئيسي التالي</w:t>
      </w:r>
      <w:r w:rsidRPr="00EF27B5">
        <w:rPr>
          <w:rFonts w:asciiTheme="majorBidi" w:hAnsiTheme="majorBidi" w:cstheme="majorBidi"/>
          <w:sz w:val="28"/>
          <w:szCs w:val="28"/>
        </w:rPr>
        <w:t>:</w:t>
      </w:r>
    </w:p>
    <w:p w14:paraId="095252EC" w14:textId="77777777" w:rsidR="001A4409" w:rsidRPr="001A4409" w:rsidRDefault="001A4409" w:rsidP="008D46BA">
      <w:pPr>
        <w:bidi/>
        <w:rPr>
          <w:rFonts w:asciiTheme="majorBidi" w:hAnsiTheme="majorBidi" w:cstheme="majorBidi"/>
          <w:sz w:val="28"/>
          <w:szCs w:val="28"/>
        </w:rPr>
      </w:pPr>
      <w:r w:rsidRPr="001A4409">
        <w:rPr>
          <w:rFonts w:asciiTheme="majorBidi" w:hAnsiTheme="majorBidi" w:cstheme="majorBidi"/>
          <w:b/>
          <w:bCs/>
          <w:sz w:val="28"/>
          <w:szCs w:val="28"/>
          <w:rtl/>
        </w:rPr>
        <w:t>التساؤل الرئيسي</w:t>
      </w:r>
      <w:r w:rsidRPr="001A4409">
        <w:rPr>
          <w:rFonts w:asciiTheme="majorBidi" w:hAnsiTheme="majorBidi" w:cstheme="majorBidi"/>
          <w:b/>
          <w:bCs/>
          <w:sz w:val="28"/>
          <w:szCs w:val="28"/>
        </w:rPr>
        <w:t>:</w:t>
      </w:r>
      <w:r w:rsidRPr="001A4409">
        <w:rPr>
          <w:rFonts w:asciiTheme="majorBidi" w:hAnsiTheme="majorBidi" w:cstheme="majorBidi"/>
          <w:sz w:val="28"/>
          <w:szCs w:val="28"/>
        </w:rPr>
        <w:br/>
      </w:r>
      <w:r w:rsidRPr="001A4409">
        <w:rPr>
          <w:rFonts w:asciiTheme="majorBidi" w:hAnsiTheme="majorBidi" w:cstheme="majorBidi"/>
          <w:sz w:val="28"/>
          <w:szCs w:val="28"/>
          <w:rtl/>
        </w:rPr>
        <w:t>هل تؤثر أنظمة العمل عالية الأداء بأبعادها على الإبداع الوظيفي لدى العاملين في قطاعي الفنادق والمطاعم بمدينة الرياض، وما دور الثقافة التنظيمية كمتغير وسيط في هذه العلاقة؟</w:t>
      </w:r>
    </w:p>
    <w:p w14:paraId="3643E1E1" w14:textId="77777777" w:rsidR="001A4409" w:rsidRPr="001A4409" w:rsidRDefault="001A4409" w:rsidP="001A4409">
      <w:pPr>
        <w:bidi/>
        <w:jc w:val="both"/>
        <w:rPr>
          <w:rFonts w:asciiTheme="majorBidi" w:hAnsiTheme="majorBidi" w:cstheme="majorBidi"/>
          <w:sz w:val="28"/>
          <w:szCs w:val="28"/>
        </w:rPr>
      </w:pPr>
      <w:r w:rsidRPr="001A4409">
        <w:rPr>
          <w:rFonts w:asciiTheme="majorBidi" w:hAnsiTheme="majorBidi" w:cstheme="majorBidi"/>
          <w:b/>
          <w:bCs/>
          <w:sz w:val="28"/>
          <w:szCs w:val="28"/>
          <w:rtl/>
        </w:rPr>
        <w:t>التساؤلات الفرعية</w:t>
      </w:r>
      <w:r w:rsidRPr="001A4409">
        <w:rPr>
          <w:rFonts w:asciiTheme="majorBidi" w:hAnsiTheme="majorBidi" w:cstheme="majorBidi"/>
          <w:b/>
          <w:bCs/>
          <w:sz w:val="28"/>
          <w:szCs w:val="28"/>
        </w:rPr>
        <w:t>:</w:t>
      </w:r>
    </w:p>
    <w:p w14:paraId="653D4CC7" w14:textId="77777777" w:rsidR="001A4409" w:rsidRPr="001A4409" w:rsidRDefault="001A4409" w:rsidP="001A4409">
      <w:pPr>
        <w:numPr>
          <w:ilvl w:val="0"/>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يوجد تأثير معنوي لأنظمة العمل عالية الأداء بأبعادها (التوظيف الانتقائي، التدريب والتطوير، نظم الحوافز، مشاركة الموظفين) على الإبداع الوظيفي ككل؟</w:t>
      </w:r>
    </w:p>
    <w:p w14:paraId="7BB7588A" w14:textId="77777777" w:rsidR="001A4409" w:rsidRPr="001A4409" w:rsidRDefault="001A4409" w:rsidP="001A4409">
      <w:pPr>
        <w:numPr>
          <w:ilvl w:val="1"/>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يوجد تأثير معنوي لأنظمة العمل عالية الأداء بأبعادها على البعد الأول من الإبداع الوظيفي (الأصالة)؟</w:t>
      </w:r>
    </w:p>
    <w:p w14:paraId="43CC95B3" w14:textId="77777777" w:rsidR="001A4409" w:rsidRPr="001A4409" w:rsidRDefault="001A4409" w:rsidP="001A4409">
      <w:pPr>
        <w:numPr>
          <w:ilvl w:val="1"/>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يوجد تأثير معنوي لأنظمة العمل عالية الأداء بأبعادها على البعد الثاني من الإبداع الوظيفي (المرونة)؟</w:t>
      </w:r>
    </w:p>
    <w:p w14:paraId="1A97DFB4" w14:textId="77777777" w:rsidR="001A4409" w:rsidRPr="001A4409" w:rsidRDefault="001A4409" w:rsidP="001A4409">
      <w:pPr>
        <w:numPr>
          <w:ilvl w:val="1"/>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يوجد تأثير معنوي لأنظمة العمل عالية الأداء بأبعادها على البعد الثالث من الإبداع الوظيفي (الطلاقة)؟</w:t>
      </w:r>
    </w:p>
    <w:p w14:paraId="4F6DB08A" w14:textId="77777777" w:rsidR="001A4409" w:rsidRPr="001A4409" w:rsidRDefault="001A4409" w:rsidP="001A4409">
      <w:pPr>
        <w:numPr>
          <w:ilvl w:val="1"/>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يوجد تأثير معنوي لأنظمة العمل عالية الأداء بأبعادها على البعد الرابع من الإبداع الوظيفي (الحساسية للمشكلات)؟</w:t>
      </w:r>
    </w:p>
    <w:p w14:paraId="3E1A8828" w14:textId="77777777" w:rsidR="001A4409" w:rsidRPr="001A4409" w:rsidRDefault="001A4409" w:rsidP="001A4409">
      <w:pPr>
        <w:numPr>
          <w:ilvl w:val="0"/>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يوجد تأثير معنوي لأنظمة العمل عالية الأداء بأبعادها على الثقافة التنظيمية؟</w:t>
      </w:r>
    </w:p>
    <w:p w14:paraId="1AE64132" w14:textId="77777777" w:rsidR="001A4409" w:rsidRPr="001A4409" w:rsidRDefault="001A4409" w:rsidP="001A4409">
      <w:pPr>
        <w:numPr>
          <w:ilvl w:val="0"/>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يوجد تأثير معنوي للثقافة التنظيمية على الإبداع الوظيفي ككل؟</w:t>
      </w:r>
    </w:p>
    <w:p w14:paraId="0E5FECC4" w14:textId="77777777" w:rsidR="001A4409" w:rsidRPr="001A4409" w:rsidRDefault="001A4409" w:rsidP="001A4409">
      <w:pPr>
        <w:numPr>
          <w:ilvl w:val="1"/>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يوجد تأثير معنوي للثقافة التنظيمية على البعد الأول من الإبداع الوظيفي (الأصالة)؟</w:t>
      </w:r>
    </w:p>
    <w:p w14:paraId="110AC744" w14:textId="77777777" w:rsidR="001A4409" w:rsidRPr="001A4409" w:rsidRDefault="001A4409" w:rsidP="001A4409">
      <w:pPr>
        <w:numPr>
          <w:ilvl w:val="1"/>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يوجد تأثير معنوي للثقافة التنظيمية على البعد الثاني من الإبداع الوظيفي (المرونة)؟</w:t>
      </w:r>
    </w:p>
    <w:p w14:paraId="658B27AF" w14:textId="77777777" w:rsidR="001A4409" w:rsidRPr="001A4409" w:rsidRDefault="001A4409" w:rsidP="001A4409">
      <w:pPr>
        <w:numPr>
          <w:ilvl w:val="1"/>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يوجد تأثير معنوي للثقافة التنظيمية على البعد الثالث من الإبداع الوظيفي (الطلاقة)؟</w:t>
      </w:r>
    </w:p>
    <w:p w14:paraId="267E5651" w14:textId="77777777" w:rsidR="001A4409" w:rsidRPr="001A4409" w:rsidRDefault="001A4409" w:rsidP="001A4409">
      <w:pPr>
        <w:numPr>
          <w:ilvl w:val="1"/>
          <w:numId w:val="103"/>
        </w:numPr>
        <w:bidi/>
        <w:jc w:val="both"/>
        <w:rPr>
          <w:rFonts w:asciiTheme="majorBidi" w:hAnsiTheme="majorBidi" w:cstheme="majorBidi"/>
          <w:sz w:val="28"/>
          <w:szCs w:val="28"/>
        </w:rPr>
      </w:pPr>
      <w:r w:rsidRPr="001A4409">
        <w:rPr>
          <w:rFonts w:asciiTheme="majorBidi" w:hAnsiTheme="majorBidi" w:cstheme="majorBidi"/>
          <w:sz w:val="28"/>
          <w:szCs w:val="28"/>
          <w:rtl/>
        </w:rPr>
        <w:lastRenderedPageBreak/>
        <w:t>هل يوجد تأثير معنوي للثقافة التنظيمية على البعد الرابع من الإبداع الوظيفي (الحساسية للمشكلات)؟</w:t>
      </w:r>
    </w:p>
    <w:p w14:paraId="57C230EC" w14:textId="77777777" w:rsidR="001A4409" w:rsidRPr="001A4409" w:rsidRDefault="001A4409" w:rsidP="001A4409">
      <w:pPr>
        <w:numPr>
          <w:ilvl w:val="0"/>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يوجد تأثير معنوي غير مباشر لأنظمة العمل عالية الأداء بأبعادها على الإبداع الوظيفي عند توسط الثقافة التنظيمية؟</w:t>
      </w:r>
    </w:p>
    <w:p w14:paraId="4FDBC339" w14:textId="77777777" w:rsidR="001A4409" w:rsidRPr="001A4409" w:rsidRDefault="001A4409" w:rsidP="001A4409">
      <w:pPr>
        <w:numPr>
          <w:ilvl w:val="1"/>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يوجد تأثير معنوي غير مباشر لأنظمة العمل عالية الأداء بأبعادها على البعد الأول من الإبداع الوظيفي عند توسط الثقافة التنظيمية؟</w:t>
      </w:r>
    </w:p>
    <w:p w14:paraId="3CDD345A" w14:textId="77777777" w:rsidR="001A4409" w:rsidRPr="001A4409" w:rsidRDefault="001A4409" w:rsidP="001A4409">
      <w:pPr>
        <w:numPr>
          <w:ilvl w:val="1"/>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يوجد تأثير معنوي غير مباشر لأنظمة العمل عالية الأداء بأبعادها على البعد الثاني من الإبداع الوظيفي عند توسط الثقافة التنظيمية؟</w:t>
      </w:r>
    </w:p>
    <w:p w14:paraId="0D2E47F3" w14:textId="77777777" w:rsidR="001A4409" w:rsidRPr="001A4409" w:rsidRDefault="001A4409" w:rsidP="001A4409">
      <w:pPr>
        <w:numPr>
          <w:ilvl w:val="1"/>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يوجد تأثير معنوي غير مباشر لأنظمة العمل عالية الأداء بأبعادها على البعد الثالث من الإبداع الوظيفي عند توسط الثقافة التنظيمية؟</w:t>
      </w:r>
    </w:p>
    <w:p w14:paraId="438AF44B" w14:textId="77777777" w:rsidR="001A4409" w:rsidRPr="001A4409" w:rsidRDefault="001A4409" w:rsidP="001A4409">
      <w:pPr>
        <w:numPr>
          <w:ilvl w:val="1"/>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يوجد تأثير معنوي غير مباشر لأنظمة العمل عالية الأداء بأبعادها على البعد الرابع من الإبداع الوظيفي عند توسط الثقافة التنظيمية؟</w:t>
      </w:r>
    </w:p>
    <w:p w14:paraId="5A7B527A" w14:textId="77777777" w:rsidR="001A4409" w:rsidRDefault="001A4409" w:rsidP="001A4409">
      <w:pPr>
        <w:numPr>
          <w:ilvl w:val="0"/>
          <w:numId w:val="103"/>
        </w:numPr>
        <w:bidi/>
        <w:jc w:val="both"/>
        <w:rPr>
          <w:rFonts w:asciiTheme="majorBidi" w:hAnsiTheme="majorBidi" w:cstheme="majorBidi"/>
          <w:sz w:val="28"/>
          <w:szCs w:val="28"/>
        </w:rPr>
      </w:pPr>
      <w:r w:rsidRPr="001A4409">
        <w:rPr>
          <w:rFonts w:asciiTheme="majorBidi" w:hAnsiTheme="majorBidi" w:cstheme="majorBidi"/>
          <w:sz w:val="28"/>
          <w:szCs w:val="28"/>
          <w:rtl/>
        </w:rPr>
        <w:t>هل توجد فروق معنوية باختلاف نوع القطاع (فنادق مقابل مطاعم) في تأثير أنظمة العمل عالية الأداء بأبعادها على الإبداع الوظيفي عند توسط الثقافة التنظيمية؟</w:t>
      </w:r>
    </w:p>
    <w:p w14:paraId="024BC2C0" w14:textId="77777777" w:rsidR="00404A54" w:rsidRPr="00CD2D0D" w:rsidRDefault="00404A54" w:rsidP="00D42BB2">
      <w:pPr>
        <w:numPr>
          <w:ilvl w:val="0"/>
          <w:numId w:val="99"/>
        </w:numPr>
        <w:bidi/>
        <w:jc w:val="both"/>
        <w:rPr>
          <w:rFonts w:asciiTheme="majorBidi" w:hAnsiTheme="majorBidi" w:cstheme="majorBidi"/>
          <w:sz w:val="28"/>
          <w:szCs w:val="28"/>
        </w:rPr>
      </w:pPr>
      <w:r w:rsidRPr="00CD2D0D">
        <w:rPr>
          <w:rFonts w:asciiTheme="majorBidi" w:hAnsiTheme="majorBidi" w:cstheme="majorBidi"/>
          <w:sz w:val="28"/>
          <w:szCs w:val="28"/>
          <w:rtl/>
        </w:rPr>
        <w:t>هل تختلف درجة تطبيق</w:t>
      </w:r>
      <w:r w:rsidRPr="00CD2D0D">
        <w:rPr>
          <w:rFonts w:asciiTheme="majorBidi" w:hAnsiTheme="majorBidi" w:cstheme="majorBidi"/>
          <w:sz w:val="28"/>
          <w:szCs w:val="28"/>
        </w:rPr>
        <w:t xml:space="preserve"> HPWS </w:t>
      </w:r>
      <w:r w:rsidRPr="00CD2D0D">
        <w:rPr>
          <w:rFonts w:asciiTheme="majorBidi" w:hAnsiTheme="majorBidi" w:cstheme="majorBidi"/>
          <w:sz w:val="28"/>
          <w:szCs w:val="28"/>
          <w:rtl/>
        </w:rPr>
        <w:t>في الفنادق مقارنة بالمطاعم؟</w:t>
      </w:r>
    </w:p>
    <w:p w14:paraId="2F7AE48B" w14:textId="77777777" w:rsidR="00404A54" w:rsidRPr="00CD2D0D" w:rsidRDefault="00404A54" w:rsidP="00D42BB2">
      <w:pPr>
        <w:numPr>
          <w:ilvl w:val="0"/>
          <w:numId w:val="99"/>
        </w:numPr>
        <w:bidi/>
        <w:jc w:val="both"/>
        <w:rPr>
          <w:rFonts w:asciiTheme="majorBidi" w:hAnsiTheme="majorBidi" w:cstheme="majorBidi"/>
          <w:sz w:val="28"/>
          <w:szCs w:val="28"/>
        </w:rPr>
      </w:pPr>
      <w:r w:rsidRPr="00CD2D0D">
        <w:rPr>
          <w:rFonts w:asciiTheme="majorBidi" w:hAnsiTheme="majorBidi" w:cstheme="majorBidi"/>
          <w:sz w:val="28"/>
          <w:szCs w:val="28"/>
          <w:rtl/>
        </w:rPr>
        <w:t>هل تتفاوت ممارسات الإبداع بين العاملين في القطاعين بسبب الاختلاف في بيئة العمل؟</w:t>
      </w:r>
    </w:p>
    <w:p w14:paraId="189E6318" w14:textId="77777777" w:rsidR="00404A54" w:rsidRPr="00CD2D0D" w:rsidRDefault="00404A54" w:rsidP="00D42BB2">
      <w:pPr>
        <w:numPr>
          <w:ilvl w:val="0"/>
          <w:numId w:val="99"/>
        </w:numPr>
        <w:bidi/>
        <w:jc w:val="both"/>
        <w:rPr>
          <w:rFonts w:asciiTheme="majorBidi" w:hAnsiTheme="majorBidi" w:cstheme="majorBidi"/>
          <w:sz w:val="28"/>
          <w:szCs w:val="28"/>
        </w:rPr>
      </w:pPr>
      <w:r w:rsidRPr="00CD2D0D">
        <w:rPr>
          <w:rFonts w:asciiTheme="majorBidi" w:hAnsiTheme="majorBidi" w:cstheme="majorBidi"/>
          <w:sz w:val="28"/>
          <w:szCs w:val="28"/>
          <w:rtl/>
        </w:rPr>
        <w:t>ما أوجه التباين في الثقافة التنظيمية بين الفنادق والمطاعم، وكيف تؤثر على الإبداع؟</w:t>
      </w:r>
    </w:p>
    <w:p w14:paraId="0F4C5BD9" w14:textId="77777777" w:rsidR="00404A54" w:rsidRPr="00CD2D0D" w:rsidRDefault="00404A54" w:rsidP="00404A54">
      <w:pPr>
        <w:bidi/>
        <w:rPr>
          <w:rFonts w:asciiTheme="majorBidi" w:hAnsiTheme="majorBidi" w:cstheme="majorBidi"/>
          <w:sz w:val="28"/>
          <w:szCs w:val="28"/>
        </w:rPr>
      </w:pPr>
    </w:p>
    <w:p w14:paraId="7F6C5C49"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lang w:bidi="ar-EG"/>
        </w:rPr>
        <w:t xml:space="preserve">1.3. </w:t>
      </w:r>
      <w:r>
        <w:rPr>
          <w:rFonts w:asciiTheme="majorBidi" w:hAnsiTheme="majorBidi" w:cstheme="majorBidi" w:hint="cs"/>
          <w:b/>
          <w:bCs/>
          <w:sz w:val="28"/>
          <w:szCs w:val="28"/>
          <w:rtl/>
        </w:rPr>
        <w:t>أهمية</w:t>
      </w:r>
      <w:r w:rsidRPr="0009445F">
        <w:rPr>
          <w:rFonts w:asciiTheme="majorBidi" w:hAnsiTheme="majorBidi" w:cstheme="majorBidi"/>
          <w:b/>
          <w:bCs/>
          <w:sz w:val="28"/>
          <w:szCs w:val="28"/>
          <w:rtl/>
        </w:rPr>
        <w:t xml:space="preserve"> الدراسة</w:t>
      </w:r>
    </w:p>
    <w:p w14:paraId="7B1D4F28" w14:textId="77777777" w:rsidR="00404A54" w:rsidRPr="00335F5C" w:rsidRDefault="00404A54" w:rsidP="00404A54">
      <w:pPr>
        <w:bidi/>
        <w:spacing w:before="100" w:beforeAutospacing="1" w:after="100" w:afterAutospacing="1" w:line="240" w:lineRule="auto"/>
        <w:ind w:left="360"/>
        <w:outlineLvl w:val="3"/>
        <w:rPr>
          <w:rFonts w:asciiTheme="majorBidi" w:hAnsiTheme="majorBidi" w:cstheme="majorBidi"/>
          <w:b/>
          <w:bCs/>
          <w:sz w:val="28"/>
          <w:szCs w:val="28"/>
        </w:rPr>
      </w:pPr>
      <w:r>
        <w:rPr>
          <w:rFonts w:ascii="Times New Roman" w:eastAsia="Times New Roman" w:hAnsi="Times New Roman" w:cs="Times New Roman" w:hint="cs"/>
          <w:b/>
          <w:bCs/>
          <w:kern w:val="0"/>
          <w:rtl/>
          <w14:ligatures w14:val="none"/>
        </w:rPr>
        <w:t xml:space="preserve">1.3.1. </w:t>
      </w:r>
      <w:r>
        <w:rPr>
          <w:rFonts w:asciiTheme="majorBidi" w:hAnsiTheme="majorBidi" w:cstheme="majorBidi" w:hint="cs"/>
          <w:b/>
          <w:bCs/>
          <w:sz w:val="28"/>
          <w:szCs w:val="28"/>
          <w:rtl/>
        </w:rPr>
        <w:t xml:space="preserve"> </w:t>
      </w:r>
      <w:r w:rsidRPr="00335F5C">
        <w:rPr>
          <w:rFonts w:asciiTheme="majorBidi" w:hAnsiTheme="majorBidi" w:cstheme="majorBidi"/>
          <w:b/>
          <w:bCs/>
          <w:sz w:val="28"/>
          <w:szCs w:val="28"/>
          <w:rtl/>
        </w:rPr>
        <w:t>الأهمية العلمية (النظرية)</w:t>
      </w:r>
    </w:p>
    <w:p w14:paraId="2E72AE70" w14:textId="77777777" w:rsidR="00404A54" w:rsidRPr="00335F5C" w:rsidRDefault="00404A54" w:rsidP="00D42BB2">
      <w:pPr>
        <w:bidi/>
        <w:spacing w:before="100" w:beforeAutospacing="1" w:after="100" w:afterAutospacing="1" w:line="240" w:lineRule="auto"/>
        <w:ind w:left="360"/>
        <w:jc w:val="both"/>
        <w:rPr>
          <w:rFonts w:asciiTheme="majorBidi" w:hAnsiTheme="majorBidi" w:cstheme="majorBidi"/>
          <w:sz w:val="28"/>
          <w:szCs w:val="28"/>
        </w:rPr>
      </w:pPr>
      <w:r w:rsidRPr="00335F5C">
        <w:rPr>
          <w:rFonts w:asciiTheme="majorBidi" w:hAnsiTheme="majorBidi" w:cstheme="majorBidi"/>
          <w:sz w:val="28"/>
          <w:szCs w:val="28"/>
          <w:rtl/>
        </w:rPr>
        <w:t>تسعى هذه الدراسة إلى الإسهام في تطوير المعرفة النظرية في مجالي إدارة الموارد البشرية والسلوك التنظيمي، من خلال استكشاف العلاقة بين أنظمة العمل عالية الأداء</w:t>
      </w:r>
      <w:r w:rsidRPr="00335F5C">
        <w:rPr>
          <w:rFonts w:asciiTheme="majorBidi" w:hAnsiTheme="majorBidi" w:cstheme="majorBidi"/>
          <w:sz w:val="28"/>
          <w:szCs w:val="28"/>
        </w:rPr>
        <w:t xml:space="preserve"> (HPWS) </w:t>
      </w:r>
      <w:r w:rsidRPr="00335F5C">
        <w:rPr>
          <w:rFonts w:asciiTheme="majorBidi" w:hAnsiTheme="majorBidi" w:cstheme="majorBidi"/>
          <w:sz w:val="28"/>
          <w:szCs w:val="28"/>
          <w:rtl/>
        </w:rPr>
        <w:t>والإبداع الوظيفي، مع التركيز على الدور الوسيط للثقافة التنظيمية. ورغم تنامي الاهتمام البحثي بأنظمة العمل عالية الأداء، إلا أن معظم الدراسات ركزت على أثرها في تحسين الأداء المؤسسي التقليدي، مثل الإنتاجية والربحية والالتزام، دون التعمق في كيفية تأثير هذه الأنظمة على الإبداع الوظيفي، خاصة في بيئات العمل الخدمية كثيفة التفاعل مثل قطاع الضيافة</w:t>
      </w:r>
      <w:r>
        <w:rPr>
          <w:rFonts w:asciiTheme="majorBidi" w:hAnsiTheme="majorBidi" w:cstheme="majorBidi" w:hint="cs"/>
          <w:sz w:val="28"/>
          <w:szCs w:val="28"/>
          <w:rtl/>
        </w:rPr>
        <w:t>.</w:t>
      </w:r>
      <w:r w:rsidRPr="00335F5C">
        <w:rPr>
          <w:rFonts w:asciiTheme="majorBidi" w:hAnsiTheme="majorBidi" w:cstheme="majorBidi"/>
          <w:sz w:val="28"/>
          <w:szCs w:val="28"/>
        </w:rPr>
        <w:br/>
      </w:r>
      <w:r w:rsidRPr="00335F5C">
        <w:rPr>
          <w:rFonts w:asciiTheme="majorBidi" w:hAnsiTheme="majorBidi" w:cstheme="majorBidi"/>
          <w:sz w:val="28"/>
          <w:szCs w:val="28"/>
          <w:rtl/>
        </w:rPr>
        <w:t>كما تسد هذه الدراسة فجوة بحثية واضحة في الأدبيات العربية، إذ إن غالبية الدراسات السابقة تم تنفيذها في سياقات غربية أو صناعية لا تعكس خصوصية القطاعات الخدمية في الدول العربية، مثل المملكة العربية السعودية. من خلال تحليل مركب يشمل المتغير المستقل</w:t>
      </w:r>
      <w:r w:rsidRPr="00335F5C">
        <w:rPr>
          <w:rFonts w:asciiTheme="majorBidi" w:hAnsiTheme="majorBidi" w:cstheme="majorBidi"/>
          <w:sz w:val="28"/>
          <w:szCs w:val="28"/>
        </w:rPr>
        <w:t xml:space="preserve"> (HPWS) </w:t>
      </w:r>
      <w:r w:rsidRPr="00335F5C">
        <w:rPr>
          <w:rFonts w:asciiTheme="majorBidi" w:hAnsiTheme="majorBidi" w:cstheme="majorBidi"/>
          <w:sz w:val="28"/>
          <w:szCs w:val="28"/>
          <w:rtl/>
        </w:rPr>
        <w:t>والمتغير التابع (الإبداع الوظيفي) والمتغير الوسيط (الثقافة التنظيمية)، تقدم الدراسة نموذجًا نظريًا متكاملاً يمكن أن يشكل أساسًا لدراسات مستقبلية أعمق في البيئة العربية والسعودية تحديدًا</w:t>
      </w:r>
      <w:r w:rsidRPr="00335F5C">
        <w:rPr>
          <w:rFonts w:asciiTheme="majorBidi" w:hAnsiTheme="majorBidi" w:cstheme="majorBidi"/>
          <w:sz w:val="28"/>
          <w:szCs w:val="28"/>
        </w:rPr>
        <w:t>.</w:t>
      </w:r>
    </w:p>
    <w:p w14:paraId="009AD0BD" w14:textId="77777777" w:rsidR="00404A54" w:rsidRPr="00335F5C" w:rsidRDefault="00404A54" w:rsidP="00404A54">
      <w:pPr>
        <w:bidi/>
        <w:spacing w:before="100" w:beforeAutospacing="1" w:after="100" w:afterAutospacing="1" w:line="240" w:lineRule="auto"/>
        <w:ind w:left="360"/>
        <w:outlineLvl w:val="3"/>
        <w:rPr>
          <w:rFonts w:asciiTheme="majorBidi" w:hAnsiTheme="majorBidi" w:cstheme="majorBidi"/>
          <w:b/>
          <w:bCs/>
          <w:sz w:val="28"/>
          <w:szCs w:val="28"/>
        </w:rPr>
      </w:pPr>
      <w:r>
        <w:rPr>
          <w:rFonts w:asciiTheme="majorBidi" w:hAnsiTheme="majorBidi" w:cstheme="majorBidi" w:hint="cs"/>
          <w:b/>
          <w:bCs/>
          <w:sz w:val="28"/>
          <w:szCs w:val="28"/>
          <w:rtl/>
        </w:rPr>
        <w:lastRenderedPageBreak/>
        <w:t xml:space="preserve">1.3.2. </w:t>
      </w:r>
      <w:r w:rsidRPr="00335F5C">
        <w:rPr>
          <w:rFonts w:asciiTheme="majorBidi" w:hAnsiTheme="majorBidi" w:cstheme="majorBidi"/>
          <w:b/>
          <w:bCs/>
          <w:sz w:val="28"/>
          <w:szCs w:val="28"/>
          <w:rtl/>
        </w:rPr>
        <w:t>الأهمية التطبيقية (العملية)</w:t>
      </w:r>
    </w:p>
    <w:p w14:paraId="4E46922A" w14:textId="4577A7F3" w:rsidR="00404A54" w:rsidRPr="00335F5C" w:rsidRDefault="00404A54" w:rsidP="00D42BB2">
      <w:pPr>
        <w:bidi/>
        <w:spacing w:before="100" w:beforeAutospacing="1" w:after="100" w:afterAutospacing="1" w:line="240" w:lineRule="auto"/>
        <w:ind w:left="360"/>
        <w:jc w:val="both"/>
        <w:rPr>
          <w:rFonts w:asciiTheme="majorBidi" w:hAnsiTheme="majorBidi" w:cstheme="majorBidi"/>
          <w:sz w:val="28"/>
          <w:szCs w:val="28"/>
        </w:rPr>
      </w:pPr>
      <w:r w:rsidRPr="00335F5C">
        <w:rPr>
          <w:rFonts w:asciiTheme="majorBidi" w:hAnsiTheme="majorBidi" w:cstheme="majorBidi"/>
          <w:sz w:val="28"/>
          <w:szCs w:val="28"/>
          <w:rtl/>
        </w:rPr>
        <w:t>تمثل هذه الدراسة مرجعًا عمليًا لصناع القرار ومديري الموارد البشرية في قطاعي الفنادق والمطاعم، إذ تقدم إطارًا تطبيقيًا قائمًا على البيانات لفهم كيف تؤثر أنظمة العمل عالية الأداء في تعزيز الإبداع بين الموظفين، من خلال توظيف ممارسات مدروسة تشمل التوظيف الانتقائي، التدريب الفعّال، المكافآت المحفزة،</w:t>
      </w:r>
      <w:r w:rsidR="00D42BB2">
        <w:rPr>
          <w:rFonts w:asciiTheme="majorBidi" w:hAnsiTheme="majorBidi" w:cstheme="majorBidi" w:hint="cs"/>
          <w:sz w:val="28"/>
          <w:szCs w:val="28"/>
          <w:rtl/>
        </w:rPr>
        <w:t xml:space="preserve"> </w:t>
      </w:r>
      <w:r w:rsidRPr="00335F5C">
        <w:rPr>
          <w:rFonts w:asciiTheme="majorBidi" w:hAnsiTheme="majorBidi" w:cstheme="majorBidi"/>
          <w:sz w:val="28"/>
          <w:szCs w:val="28"/>
          <w:rtl/>
        </w:rPr>
        <w:t>والمشاركة</w:t>
      </w:r>
      <w:r w:rsidR="00D42BB2">
        <w:rPr>
          <w:rFonts w:asciiTheme="majorBidi" w:hAnsiTheme="majorBidi" w:cstheme="majorBidi" w:hint="cs"/>
          <w:sz w:val="28"/>
          <w:szCs w:val="28"/>
          <w:rtl/>
        </w:rPr>
        <w:t xml:space="preserve"> </w:t>
      </w:r>
      <w:r w:rsidRPr="00335F5C">
        <w:rPr>
          <w:rFonts w:asciiTheme="majorBidi" w:hAnsiTheme="majorBidi" w:cstheme="majorBidi"/>
          <w:sz w:val="28"/>
          <w:szCs w:val="28"/>
          <w:rtl/>
        </w:rPr>
        <w:t>في صنع القرار</w:t>
      </w:r>
      <w:r w:rsidRPr="00335F5C">
        <w:rPr>
          <w:rFonts w:asciiTheme="majorBidi" w:hAnsiTheme="majorBidi" w:cstheme="majorBidi"/>
          <w:sz w:val="28"/>
          <w:szCs w:val="28"/>
        </w:rPr>
        <w:t>.</w:t>
      </w:r>
      <w:r w:rsidRPr="00335F5C">
        <w:rPr>
          <w:rFonts w:asciiTheme="majorBidi" w:hAnsiTheme="majorBidi" w:cstheme="majorBidi"/>
          <w:sz w:val="28"/>
          <w:szCs w:val="28"/>
        </w:rPr>
        <w:br/>
      </w:r>
      <w:r w:rsidRPr="00335F5C">
        <w:rPr>
          <w:rFonts w:asciiTheme="majorBidi" w:hAnsiTheme="majorBidi" w:cstheme="majorBidi"/>
          <w:sz w:val="28"/>
          <w:szCs w:val="28"/>
          <w:rtl/>
        </w:rPr>
        <w:t>تُعَدّ النتائج المتوقعة من هذه الدراسة مساهمة في تطوير سياسات الموارد البشرية بما يتوافق مع أهداف رؤية السعودية 2030، التي تسعى إلى تحسين جودة قطاع الضيافة وزيادة مساهمته في الناتج المحلي الإجمالي من خلال تعزيز التنافسية والابتكار. كما تساعد التوصيات المستندة إلى النتائج في تحسين بيئة العمل، ورفع مستوى رضا الموظفين، وتعزيز قدرتهم على الاستجابة السريعة لتغيرات السوق، مما ينعكس إيجابًا على جودة الخدمة ورضا العملاء في الفنادق والمطاعم</w:t>
      </w:r>
      <w:r w:rsidRPr="00335F5C">
        <w:rPr>
          <w:rFonts w:asciiTheme="majorBidi" w:hAnsiTheme="majorBidi" w:cstheme="majorBidi"/>
          <w:sz w:val="28"/>
          <w:szCs w:val="28"/>
        </w:rPr>
        <w:t>.</w:t>
      </w:r>
    </w:p>
    <w:p w14:paraId="0462353F" w14:textId="77777777" w:rsidR="00404A54" w:rsidRPr="00335F5C" w:rsidRDefault="00404A54" w:rsidP="00404A54">
      <w:pPr>
        <w:bidi/>
        <w:rPr>
          <w:rFonts w:asciiTheme="majorBidi" w:hAnsiTheme="majorBidi" w:cstheme="majorBidi"/>
          <w:sz w:val="28"/>
          <w:szCs w:val="28"/>
          <w:rtl/>
        </w:rPr>
      </w:pPr>
    </w:p>
    <w:p w14:paraId="46A1649D" w14:textId="77777777" w:rsidR="00404A54" w:rsidRPr="00805F15" w:rsidRDefault="00404A54" w:rsidP="00404A54">
      <w:pPr>
        <w:bidi/>
        <w:rPr>
          <w:rFonts w:asciiTheme="majorBidi" w:hAnsiTheme="majorBidi" w:cstheme="majorBidi"/>
          <w:b/>
          <w:bCs/>
          <w:sz w:val="28"/>
          <w:szCs w:val="28"/>
        </w:rPr>
      </w:pPr>
      <w:r>
        <w:rPr>
          <w:rFonts w:asciiTheme="majorBidi" w:hAnsiTheme="majorBidi" w:cstheme="majorBidi" w:hint="cs"/>
          <w:b/>
          <w:bCs/>
          <w:sz w:val="28"/>
          <w:szCs w:val="28"/>
          <w:rtl/>
          <w:lang w:bidi="ar-EG"/>
        </w:rPr>
        <w:t>1.3.</w:t>
      </w:r>
      <w:r>
        <w:rPr>
          <w:rFonts w:asciiTheme="majorBidi" w:hAnsiTheme="majorBidi" w:cstheme="majorBidi" w:hint="cs"/>
          <w:b/>
          <w:bCs/>
          <w:sz w:val="28"/>
          <w:szCs w:val="28"/>
          <w:rtl/>
        </w:rPr>
        <w:t xml:space="preserve"> </w:t>
      </w:r>
      <w:r w:rsidRPr="00805F15">
        <w:rPr>
          <w:rFonts w:asciiTheme="majorBidi" w:hAnsiTheme="majorBidi" w:cstheme="majorBidi"/>
          <w:b/>
          <w:bCs/>
          <w:sz w:val="28"/>
          <w:szCs w:val="28"/>
          <w:rtl/>
        </w:rPr>
        <w:t>أهداف الدراسة</w:t>
      </w:r>
    </w:p>
    <w:p w14:paraId="389DB3C0" w14:textId="77777777" w:rsidR="00404A54" w:rsidRPr="00805F15" w:rsidRDefault="00404A54" w:rsidP="00404A54">
      <w:pPr>
        <w:bidi/>
        <w:rPr>
          <w:rFonts w:asciiTheme="majorBidi" w:hAnsiTheme="majorBidi" w:cstheme="majorBidi"/>
          <w:b/>
          <w:bCs/>
          <w:sz w:val="28"/>
          <w:szCs w:val="28"/>
        </w:rPr>
      </w:pPr>
      <w:r w:rsidRPr="00805F15">
        <w:rPr>
          <w:rFonts w:asciiTheme="majorBidi" w:hAnsiTheme="majorBidi" w:cstheme="majorBidi"/>
          <w:b/>
          <w:bCs/>
          <w:sz w:val="28"/>
          <w:szCs w:val="28"/>
        </w:rPr>
        <w:t>1.3.1</w:t>
      </w:r>
      <w:r>
        <w:rPr>
          <w:rFonts w:asciiTheme="majorBidi" w:hAnsiTheme="majorBidi" w:cstheme="majorBidi" w:hint="cs"/>
          <w:b/>
          <w:bCs/>
          <w:sz w:val="28"/>
          <w:szCs w:val="28"/>
          <w:rtl/>
        </w:rPr>
        <w:t xml:space="preserve">. </w:t>
      </w:r>
      <w:r w:rsidRPr="00805F15">
        <w:rPr>
          <w:rFonts w:asciiTheme="majorBidi" w:hAnsiTheme="majorBidi" w:cstheme="majorBidi"/>
          <w:b/>
          <w:bCs/>
          <w:sz w:val="28"/>
          <w:szCs w:val="28"/>
          <w:rtl/>
        </w:rPr>
        <w:t>الهدف العام للدراسة</w:t>
      </w:r>
    </w:p>
    <w:p w14:paraId="1505A8FD" w14:textId="77777777" w:rsidR="00404A54" w:rsidRPr="00805F15" w:rsidRDefault="00404A54" w:rsidP="00D42BB2">
      <w:pPr>
        <w:bidi/>
        <w:jc w:val="both"/>
        <w:rPr>
          <w:rFonts w:asciiTheme="majorBidi" w:hAnsiTheme="majorBidi" w:cstheme="majorBidi"/>
          <w:sz w:val="28"/>
          <w:szCs w:val="28"/>
        </w:rPr>
      </w:pPr>
      <w:r w:rsidRPr="00611E7E">
        <w:rPr>
          <w:rFonts w:asciiTheme="majorBidi" w:hAnsiTheme="majorBidi" w:cstheme="majorBidi"/>
          <w:sz w:val="28"/>
          <w:szCs w:val="28"/>
          <w:rtl/>
        </w:rPr>
        <w:t>تهدف هذه الدراسة إلى تحليل تأثير أنظمة العمل عالية الأداء</w:t>
      </w:r>
      <w:r w:rsidRPr="00611E7E">
        <w:rPr>
          <w:rFonts w:asciiTheme="majorBidi" w:hAnsiTheme="majorBidi" w:cstheme="majorBidi"/>
          <w:sz w:val="28"/>
          <w:szCs w:val="28"/>
        </w:rPr>
        <w:t xml:space="preserve"> (HPWS) </w:t>
      </w:r>
      <w:r w:rsidRPr="00611E7E">
        <w:rPr>
          <w:rFonts w:asciiTheme="majorBidi" w:hAnsiTheme="majorBidi" w:cstheme="majorBidi"/>
          <w:sz w:val="28"/>
          <w:szCs w:val="28"/>
          <w:rtl/>
        </w:rPr>
        <w:t>على الأداء الإبداعي للموظفين في قطاعي الفنادق والمطاعم بمدينة الرياض، وذلك من خلال دراسة ممارسات الموارد البشرية المتضمنة في هذه الأنظمة مثل</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التوظيف الانتقائي، التدريب والتطوير، الحوافز، ومشاركة الموظفين، وتحليل أثرها على تعزيز التفكير الابتكاري وتوليد الأفكار الجديدة في بيئات العمل الخدمية، بما يواكب تطلعات رؤية المملكة 2030 في تطوير قطاع الضيافة</w:t>
      </w:r>
      <w:r w:rsidRPr="00805F15">
        <w:rPr>
          <w:rFonts w:asciiTheme="majorBidi" w:hAnsiTheme="majorBidi" w:cstheme="majorBidi"/>
          <w:sz w:val="28"/>
          <w:szCs w:val="28"/>
        </w:rPr>
        <w:t>.</w:t>
      </w:r>
    </w:p>
    <w:p w14:paraId="1530BC64" w14:textId="77777777" w:rsidR="00404A54" w:rsidRPr="00805F15" w:rsidRDefault="00404A54" w:rsidP="00404A54">
      <w:pPr>
        <w:bidi/>
        <w:rPr>
          <w:rFonts w:asciiTheme="majorBidi" w:hAnsiTheme="majorBidi" w:cstheme="majorBidi"/>
          <w:b/>
          <w:bCs/>
          <w:sz w:val="28"/>
          <w:szCs w:val="28"/>
        </w:rPr>
      </w:pPr>
      <w:r w:rsidRPr="00805F15">
        <w:rPr>
          <w:rFonts w:asciiTheme="majorBidi" w:hAnsiTheme="majorBidi" w:cstheme="majorBidi"/>
          <w:b/>
          <w:bCs/>
          <w:sz w:val="28"/>
          <w:szCs w:val="28"/>
        </w:rPr>
        <w:t>1.3.2</w:t>
      </w:r>
      <w:r>
        <w:rPr>
          <w:rFonts w:asciiTheme="majorBidi" w:hAnsiTheme="majorBidi" w:cstheme="majorBidi" w:hint="cs"/>
          <w:b/>
          <w:bCs/>
          <w:sz w:val="28"/>
          <w:szCs w:val="28"/>
          <w:rtl/>
        </w:rPr>
        <w:t xml:space="preserve">. </w:t>
      </w:r>
      <w:r w:rsidRPr="00805F15">
        <w:rPr>
          <w:rFonts w:asciiTheme="majorBidi" w:hAnsiTheme="majorBidi" w:cstheme="majorBidi"/>
          <w:b/>
          <w:bCs/>
          <w:sz w:val="28"/>
          <w:szCs w:val="28"/>
          <w:rtl/>
        </w:rPr>
        <w:t>الأهداف الفرعية للدراسة</w:t>
      </w:r>
    </w:p>
    <w:p w14:paraId="09B810F0" w14:textId="77777777" w:rsidR="00404A54" w:rsidRDefault="00404A54" w:rsidP="00D42BB2">
      <w:pPr>
        <w:bidi/>
        <w:jc w:val="both"/>
        <w:rPr>
          <w:rFonts w:asciiTheme="majorBidi" w:hAnsiTheme="majorBidi" w:cstheme="majorBidi"/>
          <w:sz w:val="28"/>
          <w:szCs w:val="28"/>
          <w:rtl/>
        </w:rPr>
      </w:pPr>
      <w:r w:rsidRPr="00805F15">
        <w:rPr>
          <w:rFonts w:asciiTheme="majorBidi" w:hAnsiTheme="majorBidi" w:cstheme="majorBidi"/>
          <w:sz w:val="28"/>
          <w:szCs w:val="28"/>
          <w:rtl/>
        </w:rPr>
        <w:t>لتحقيق الهدف العام، تسعى الدراسة إلى تحقيق الأهداف الفرعية التالية</w:t>
      </w:r>
      <w:r w:rsidRPr="00805F15">
        <w:rPr>
          <w:rFonts w:asciiTheme="majorBidi" w:hAnsiTheme="majorBidi" w:cstheme="majorBidi"/>
          <w:sz w:val="28"/>
          <w:szCs w:val="28"/>
        </w:rPr>
        <w:t>:</w:t>
      </w:r>
    </w:p>
    <w:p w14:paraId="756E7B09" w14:textId="77777777" w:rsidR="00404A54" w:rsidRPr="00C262E0" w:rsidRDefault="00404A54" w:rsidP="00D42BB2">
      <w:pPr>
        <w:bidi/>
        <w:jc w:val="both"/>
        <w:rPr>
          <w:rFonts w:asciiTheme="majorBidi" w:hAnsiTheme="majorBidi" w:cstheme="majorBidi"/>
          <w:sz w:val="28"/>
          <w:szCs w:val="28"/>
        </w:rPr>
      </w:pPr>
      <w:r w:rsidRPr="00C262E0">
        <w:rPr>
          <w:rFonts w:asciiTheme="majorBidi" w:hAnsiTheme="majorBidi" w:cstheme="majorBidi"/>
          <w:sz w:val="28"/>
          <w:szCs w:val="28"/>
          <w:rtl/>
        </w:rPr>
        <w:t>تهدف هذه الدراسة إلى ما يلي</w:t>
      </w:r>
      <w:r w:rsidRPr="00C262E0">
        <w:rPr>
          <w:rFonts w:asciiTheme="majorBidi" w:hAnsiTheme="majorBidi" w:cstheme="majorBidi"/>
          <w:sz w:val="28"/>
          <w:szCs w:val="28"/>
        </w:rPr>
        <w:t>:</w:t>
      </w:r>
    </w:p>
    <w:p w14:paraId="2A72FCC9" w14:textId="77777777" w:rsidR="00404A54" w:rsidRPr="00C262E0" w:rsidRDefault="00404A54" w:rsidP="00D42BB2">
      <w:pPr>
        <w:numPr>
          <w:ilvl w:val="0"/>
          <w:numId w:val="101"/>
        </w:numPr>
        <w:bidi/>
        <w:jc w:val="both"/>
        <w:rPr>
          <w:rFonts w:asciiTheme="majorBidi" w:hAnsiTheme="majorBidi" w:cstheme="majorBidi"/>
          <w:sz w:val="28"/>
          <w:szCs w:val="28"/>
        </w:rPr>
      </w:pPr>
      <w:r w:rsidRPr="00C262E0">
        <w:rPr>
          <w:rFonts w:asciiTheme="majorBidi" w:hAnsiTheme="majorBidi" w:cstheme="majorBidi"/>
          <w:sz w:val="28"/>
          <w:szCs w:val="28"/>
          <w:rtl/>
        </w:rPr>
        <w:t>تحليل العلاقة المباشرة بين أنظمة العمل عالية الأداء</w:t>
      </w:r>
      <w:r w:rsidRPr="00C262E0">
        <w:rPr>
          <w:rFonts w:asciiTheme="majorBidi" w:hAnsiTheme="majorBidi" w:cstheme="majorBidi"/>
          <w:sz w:val="28"/>
          <w:szCs w:val="28"/>
        </w:rPr>
        <w:t xml:space="preserve"> (HPWS) </w:t>
      </w:r>
      <w:r w:rsidRPr="00C262E0">
        <w:rPr>
          <w:rFonts w:asciiTheme="majorBidi" w:hAnsiTheme="majorBidi" w:cstheme="majorBidi"/>
          <w:sz w:val="28"/>
          <w:szCs w:val="28"/>
          <w:rtl/>
        </w:rPr>
        <w:t>والإبداع الوظيفي لدى العاملين في قطاعي الفنادق والمطاعم بمدينة الرياض</w:t>
      </w:r>
      <w:r w:rsidRPr="00C262E0">
        <w:rPr>
          <w:rFonts w:asciiTheme="majorBidi" w:hAnsiTheme="majorBidi" w:cstheme="majorBidi"/>
          <w:sz w:val="28"/>
          <w:szCs w:val="28"/>
        </w:rPr>
        <w:t>.</w:t>
      </w:r>
    </w:p>
    <w:p w14:paraId="18586FE2" w14:textId="77777777" w:rsidR="00404A54" w:rsidRPr="00C262E0" w:rsidRDefault="00404A54" w:rsidP="00D42BB2">
      <w:pPr>
        <w:numPr>
          <w:ilvl w:val="0"/>
          <w:numId w:val="101"/>
        </w:numPr>
        <w:bidi/>
        <w:jc w:val="both"/>
        <w:rPr>
          <w:rFonts w:asciiTheme="majorBidi" w:hAnsiTheme="majorBidi" w:cstheme="majorBidi"/>
          <w:sz w:val="28"/>
          <w:szCs w:val="28"/>
        </w:rPr>
      </w:pPr>
      <w:r w:rsidRPr="00C262E0">
        <w:rPr>
          <w:rFonts w:asciiTheme="majorBidi" w:hAnsiTheme="majorBidi" w:cstheme="majorBidi"/>
          <w:sz w:val="28"/>
          <w:szCs w:val="28"/>
          <w:rtl/>
        </w:rPr>
        <w:t>دراسة تأثير كل من مكونات أنظمة العمل عالية الأداء (التوظيف الانتقائي، التدريب والتطوير، نظم الحوافز، مشاركة الموظفين في اتخاذ القرار) على الإبداع الوظيفي</w:t>
      </w:r>
      <w:r w:rsidRPr="00C262E0">
        <w:rPr>
          <w:rFonts w:asciiTheme="majorBidi" w:hAnsiTheme="majorBidi" w:cstheme="majorBidi"/>
          <w:sz w:val="28"/>
          <w:szCs w:val="28"/>
        </w:rPr>
        <w:t>.</w:t>
      </w:r>
    </w:p>
    <w:p w14:paraId="13C8E1CF" w14:textId="77777777" w:rsidR="00404A54" w:rsidRPr="00C262E0" w:rsidRDefault="00404A54" w:rsidP="00D42BB2">
      <w:pPr>
        <w:numPr>
          <w:ilvl w:val="0"/>
          <w:numId w:val="101"/>
        </w:numPr>
        <w:bidi/>
        <w:jc w:val="both"/>
        <w:rPr>
          <w:rFonts w:asciiTheme="majorBidi" w:hAnsiTheme="majorBidi" w:cstheme="majorBidi"/>
          <w:sz w:val="28"/>
          <w:szCs w:val="28"/>
        </w:rPr>
      </w:pPr>
      <w:r w:rsidRPr="00C262E0">
        <w:rPr>
          <w:rFonts w:asciiTheme="majorBidi" w:hAnsiTheme="majorBidi" w:cstheme="majorBidi"/>
          <w:sz w:val="28"/>
          <w:szCs w:val="28"/>
          <w:rtl/>
        </w:rPr>
        <w:t>استكشاف مدى تأثير أنظمة العمل عالية الأداء على الثقافة التنظيمية في بيئة العمل الخدمية في قطاع الضيافة</w:t>
      </w:r>
      <w:r w:rsidRPr="00C262E0">
        <w:rPr>
          <w:rFonts w:asciiTheme="majorBidi" w:hAnsiTheme="majorBidi" w:cstheme="majorBidi"/>
          <w:sz w:val="28"/>
          <w:szCs w:val="28"/>
        </w:rPr>
        <w:t>.</w:t>
      </w:r>
    </w:p>
    <w:p w14:paraId="1C8B783A" w14:textId="77777777" w:rsidR="00404A54" w:rsidRPr="00C262E0" w:rsidRDefault="00404A54" w:rsidP="00D42BB2">
      <w:pPr>
        <w:numPr>
          <w:ilvl w:val="0"/>
          <w:numId w:val="101"/>
        </w:numPr>
        <w:bidi/>
        <w:jc w:val="both"/>
        <w:rPr>
          <w:rFonts w:asciiTheme="majorBidi" w:hAnsiTheme="majorBidi" w:cstheme="majorBidi"/>
          <w:sz w:val="28"/>
          <w:szCs w:val="28"/>
        </w:rPr>
      </w:pPr>
      <w:r w:rsidRPr="00C262E0">
        <w:rPr>
          <w:rFonts w:asciiTheme="majorBidi" w:hAnsiTheme="majorBidi" w:cstheme="majorBidi"/>
          <w:sz w:val="28"/>
          <w:szCs w:val="28"/>
          <w:rtl/>
        </w:rPr>
        <w:t>تحديد العلاقة بين الثقافة التنظيمية والإبداع الوظيفي لدى العاملين في قطاعي الفنادق والمطاعم</w:t>
      </w:r>
      <w:r w:rsidRPr="00C262E0">
        <w:rPr>
          <w:rFonts w:asciiTheme="majorBidi" w:hAnsiTheme="majorBidi" w:cstheme="majorBidi"/>
          <w:sz w:val="28"/>
          <w:szCs w:val="28"/>
        </w:rPr>
        <w:t>.</w:t>
      </w:r>
    </w:p>
    <w:p w14:paraId="2D8FFB20" w14:textId="77777777" w:rsidR="00404A54" w:rsidRPr="00C262E0" w:rsidRDefault="00404A54" w:rsidP="00D42BB2">
      <w:pPr>
        <w:numPr>
          <w:ilvl w:val="0"/>
          <w:numId w:val="101"/>
        </w:numPr>
        <w:bidi/>
        <w:jc w:val="both"/>
        <w:rPr>
          <w:rFonts w:asciiTheme="majorBidi" w:hAnsiTheme="majorBidi" w:cstheme="majorBidi"/>
          <w:sz w:val="28"/>
          <w:szCs w:val="28"/>
        </w:rPr>
      </w:pPr>
      <w:r w:rsidRPr="00C262E0">
        <w:rPr>
          <w:rFonts w:asciiTheme="majorBidi" w:hAnsiTheme="majorBidi" w:cstheme="majorBidi"/>
          <w:sz w:val="28"/>
          <w:szCs w:val="28"/>
          <w:rtl/>
        </w:rPr>
        <w:t>تحليل الدور الوسيط الذي تلعبه الثقافة التنظيمية في العلاقة بين أنظمة العمل عالية الأداء والإبداع الوظيفي</w:t>
      </w:r>
      <w:r w:rsidRPr="00C262E0">
        <w:rPr>
          <w:rFonts w:asciiTheme="majorBidi" w:hAnsiTheme="majorBidi" w:cstheme="majorBidi"/>
          <w:sz w:val="28"/>
          <w:szCs w:val="28"/>
        </w:rPr>
        <w:t>.</w:t>
      </w:r>
    </w:p>
    <w:p w14:paraId="07A1BAFE" w14:textId="6A99589D" w:rsidR="00404A54" w:rsidRPr="00C262E0" w:rsidRDefault="001A4409" w:rsidP="00D42BB2">
      <w:pPr>
        <w:numPr>
          <w:ilvl w:val="0"/>
          <w:numId w:val="101"/>
        </w:numPr>
        <w:bidi/>
        <w:jc w:val="both"/>
        <w:rPr>
          <w:rFonts w:asciiTheme="majorBidi" w:hAnsiTheme="majorBidi" w:cstheme="majorBidi"/>
          <w:sz w:val="28"/>
          <w:szCs w:val="28"/>
        </w:rPr>
      </w:pPr>
      <w:r>
        <w:rPr>
          <w:rFonts w:asciiTheme="majorBidi" w:hAnsiTheme="majorBidi" w:cstheme="majorBidi" w:hint="cs"/>
          <w:sz w:val="28"/>
          <w:szCs w:val="28"/>
          <w:rtl/>
        </w:rPr>
        <w:lastRenderedPageBreak/>
        <w:t>بيان الفروق في</w:t>
      </w:r>
      <w:r w:rsidR="00404A54" w:rsidRPr="00C262E0">
        <w:rPr>
          <w:rFonts w:asciiTheme="majorBidi" w:hAnsiTheme="majorBidi" w:cstheme="majorBidi"/>
          <w:sz w:val="28"/>
          <w:szCs w:val="28"/>
          <w:rtl/>
        </w:rPr>
        <w:t xml:space="preserve"> تأثير أنظمة العمل عالية الأداء على الإبداع الوظيفي بين قطاعي الفنادق والمطاعم، بهدف الكشف عن الفروقات السياقية بينهما</w:t>
      </w:r>
      <w:r w:rsidR="00404A54" w:rsidRPr="00C262E0">
        <w:rPr>
          <w:rFonts w:asciiTheme="majorBidi" w:hAnsiTheme="majorBidi" w:cstheme="majorBidi"/>
          <w:sz w:val="28"/>
          <w:szCs w:val="28"/>
        </w:rPr>
        <w:t>.</w:t>
      </w:r>
    </w:p>
    <w:p w14:paraId="3004967C" w14:textId="77777777" w:rsidR="00404A54" w:rsidRPr="00912DA2" w:rsidRDefault="00404A54" w:rsidP="00404A54">
      <w:pPr>
        <w:bidi/>
        <w:rPr>
          <w:rFonts w:asciiTheme="majorBidi" w:hAnsiTheme="majorBidi" w:cstheme="majorBidi"/>
          <w:b/>
          <w:bCs/>
          <w:sz w:val="28"/>
          <w:szCs w:val="28"/>
        </w:rPr>
      </w:pPr>
      <w:r>
        <w:rPr>
          <w:rFonts w:asciiTheme="majorBidi" w:hAnsiTheme="majorBidi" w:cstheme="majorBidi" w:hint="cs"/>
          <w:b/>
          <w:bCs/>
          <w:sz w:val="28"/>
          <w:szCs w:val="28"/>
          <w:rtl/>
        </w:rPr>
        <w:t xml:space="preserve">1.4. </w:t>
      </w:r>
      <w:r w:rsidRPr="00912DA2">
        <w:rPr>
          <w:rFonts w:asciiTheme="majorBidi" w:hAnsiTheme="majorBidi" w:cstheme="majorBidi"/>
          <w:b/>
          <w:bCs/>
          <w:sz w:val="28"/>
          <w:szCs w:val="28"/>
          <w:rtl/>
        </w:rPr>
        <w:t>الدراسات السابقة</w:t>
      </w:r>
    </w:p>
    <w:p w14:paraId="3B0DD4FC" w14:textId="30E7C4B8" w:rsidR="00404A54" w:rsidRPr="00912DA2" w:rsidRDefault="00404A54" w:rsidP="00FF5C30">
      <w:pPr>
        <w:bidi/>
        <w:jc w:val="both"/>
        <w:rPr>
          <w:rFonts w:asciiTheme="majorBidi" w:hAnsiTheme="majorBidi" w:cstheme="majorBidi"/>
          <w:sz w:val="28"/>
          <w:szCs w:val="28"/>
        </w:rPr>
      </w:pPr>
      <w:r w:rsidRPr="00912DA2">
        <w:rPr>
          <w:rFonts w:asciiTheme="majorBidi" w:hAnsiTheme="majorBidi" w:cstheme="majorBidi"/>
          <w:sz w:val="28"/>
          <w:szCs w:val="28"/>
          <w:rtl/>
        </w:rPr>
        <w:t>تشكل الدراسات السابقة ركيزةً أساسيةً لفهم الإطار النظري والعملي لعلاقة أنظمة العمل عالية الأداء</w:t>
      </w:r>
      <w:r w:rsidRPr="00912DA2">
        <w:rPr>
          <w:rFonts w:asciiTheme="majorBidi" w:hAnsiTheme="majorBidi" w:cstheme="majorBidi"/>
          <w:sz w:val="28"/>
          <w:szCs w:val="28"/>
        </w:rPr>
        <w:t xml:space="preserve"> (HPWS)</w:t>
      </w:r>
      <w:r>
        <w:rPr>
          <w:rFonts w:asciiTheme="majorBidi" w:hAnsiTheme="majorBidi" w:cstheme="majorBidi" w:hint="cs"/>
          <w:sz w:val="28"/>
          <w:szCs w:val="28"/>
          <w:rtl/>
        </w:rPr>
        <w:t xml:space="preserve"> </w:t>
      </w:r>
      <w:r w:rsidRPr="00912DA2">
        <w:rPr>
          <w:rFonts w:asciiTheme="majorBidi" w:hAnsiTheme="majorBidi" w:cstheme="majorBidi"/>
          <w:sz w:val="28"/>
          <w:szCs w:val="28"/>
          <w:rtl/>
        </w:rPr>
        <w:t>بالإبداع الوظيفي، مع الأخذ في الاعتبار الدور الوسيط للثقافة التنظيمية. تتباين هذه الدراسات في منهجياتها ونتائجها وفقًا لسياقاتها التطبيقية، لكنها تشترك في الإشارة إلى أن فعالية</w:t>
      </w:r>
      <w:r w:rsidRPr="00912DA2">
        <w:rPr>
          <w:rFonts w:asciiTheme="majorBidi" w:hAnsiTheme="majorBidi" w:cstheme="majorBidi"/>
          <w:sz w:val="28"/>
          <w:szCs w:val="28"/>
        </w:rPr>
        <w:t xml:space="preserve"> HPWS </w:t>
      </w:r>
      <w:r w:rsidRPr="00912DA2">
        <w:rPr>
          <w:rFonts w:asciiTheme="majorBidi" w:hAnsiTheme="majorBidi" w:cstheme="majorBidi"/>
          <w:sz w:val="28"/>
          <w:szCs w:val="28"/>
          <w:rtl/>
        </w:rPr>
        <w:t>تعتمد على تكامل ممارسات الموارد البشرية مع البيئة التنظيمية الداعمة. على سبيل المثال، أظهرت دراسة </w:t>
      </w:r>
      <w:r>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&lt;EndNote&gt;&lt;Cite&gt;&lt;Author&gt;Combs&lt;/Author&gt;&lt;Year&gt;2006&lt;/Year&gt;&lt;RecNum&gt;1344&lt;/RecNum&gt;&lt;DisplayText&gt;(Combs et al., 2006)&lt;/DisplayText&gt;&lt;record&gt;&lt;rec-number&gt;1344&lt;/rec-number&gt;&lt;foreign-keys&gt;&lt;key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high‐performance work practices matter? A meta‐analysis of their effects on organizational performance&lt;/title&gt;&lt;secondary-title&gt;Personnel psychology&lt;/secondary-title&gt;&lt;/titles&gt;&lt;periodical&gt;&lt;full-title&gt;Personnel psychology&lt;/full-title</w:instrText>
      </w:r>
      <w:r w:rsidR="00FB6AAE">
        <w:rPr>
          <w:rFonts w:asciiTheme="majorBidi" w:hAnsiTheme="majorBidi" w:cstheme="majorBidi"/>
          <w:sz w:val="28"/>
          <w:szCs w:val="28"/>
          <w:rtl/>
        </w:rPr>
        <w:instrText>&gt;&lt;/</w:instrText>
      </w:r>
      <w:r w:rsidR="00FB6AAE">
        <w:rPr>
          <w:rFonts w:asciiTheme="majorBidi" w:hAnsiTheme="majorBidi" w:cstheme="majorBidi"/>
          <w:sz w:val="28"/>
          <w:szCs w:val="28"/>
        </w:rPr>
        <w:instrText>periodical&gt;&lt;pages&gt;501-528&lt;/pages&gt;&lt;volume&gt;59&lt;/volume&gt;&lt;number&gt;3&lt;/number&gt;&lt;dates&gt;&lt;year&gt;2006&lt;/year&gt;&lt;/dates&gt;&lt;isbn&gt;0031-5826&lt;/isbn&gt;&lt;urls&gt;&lt;/urls&gt;&lt;/record&gt;&lt;/Cite&gt;&lt;/EndNote</w:instrText>
      </w:r>
      <w:r w:rsidR="00FB6AAE">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Combs et al., 2006</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rPr>
        <w:t xml:space="preserve"> </w:t>
      </w:r>
      <w:r w:rsidRPr="00912DA2">
        <w:rPr>
          <w:rFonts w:asciiTheme="majorBidi" w:hAnsiTheme="majorBidi" w:cstheme="majorBidi"/>
          <w:sz w:val="28"/>
          <w:szCs w:val="28"/>
          <w:rtl/>
        </w:rPr>
        <w:t>أن حزم ممارسات</w:t>
      </w:r>
      <w:r w:rsidRPr="00912DA2">
        <w:rPr>
          <w:rFonts w:asciiTheme="majorBidi" w:hAnsiTheme="majorBidi" w:cstheme="majorBidi"/>
          <w:sz w:val="28"/>
          <w:szCs w:val="28"/>
        </w:rPr>
        <w:t xml:space="preserve"> HPWS—</w:t>
      </w:r>
      <w:r w:rsidRPr="00912DA2">
        <w:rPr>
          <w:rFonts w:asciiTheme="majorBidi" w:hAnsiTheme="majorBidi" w:cstheme="majorBidi"/>
          <w:sz w:val="28"/>
          <w:szCs w:val="28"/>
          <w:rtl/>
        </w:rPr>
        <w:t>مثل التوظيف الانتقائي والتدريب المكثف—تعزز الأداء المؤسسي عبر بناء قدرات الموظفين ودوافعهم، لكنها ركزت على القطاعات الصناعية، متجاهلةً الخصوصية الديناميكية لقطاع الخدمات كالفنادق والمطاعم. وفي سياق مشابه، أكدت دراس</w:t>
      </w:r>
      <w:r>
        <w:rPr>
          <w:rFonts w:asciiTheme="majorBidi" w:hAnsiTheme="majorBidi" w:cstheme="majorBidi" w:hint="cs"/>
          <w:sz w:val="28"/>
          <w:szCs w:val="28"/>
          <w:rtl/>
        </w:rPr>
        <w:t xml:space="preserve">ة </w:t>
      </w:r>
      <w:r>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Pr>
          <w:rFonts w:asciiTheme="majorBidi" w:hAnsiTheme="majorBidi" w:cstheme="majorBidi"/>
          <w:sz w:val="28"/>
          <w:szCs w:val="28"/>
          <w:rtl/>
        </w:rPr>
        <w:instrText>-</w:instrText>
      </w:r>
      <w:r w:rsidR="00FB6AAE">
        <w:rPr>
          <w:rFonts w:asciiTheme="majorBidi" w:hAnsiTheme="majorBidi" w:cstheme="majorBidi"/>
          <w:sz w:val="28"/>
          <w:szCs w:val="28"/>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Takeuchi et al., 2007</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912DA2">
        <w:rPr>
          <w:rFonts w:asciiTheme="majorBidi" w:hAnsiTheme="majorBidi" w:cstheme="majorBidi"/>
          <w:sz w:val="28"/>
          <w:szCs w:val="28"/>
        </w:rPr>
        <w:t> </w:t>
      </w:r>
      <w:r w:rsidRPr="00912DA2">
        <w:rPr>
          <w:rFonts w:asciiTheme="majorBidi" w:hAnsiTheme="majorBidi" w:cstheme="majorBidi"/>
          <w:sz w:val="28"/>
          <w:szCs w:val="28"/>
          <w:rtl/>
        </w:rPr>
        <w:t>أن أنظمة</w:t>
      </w:r>
      <w:r w:rsidRPr="00912DA2">
        <w:rPr>
          <w:rFonts w:asciiTheme="majorBidi" w:hAnsiTheme="majorBidi" w:cstheme="majorBidi"/>
          <w:sz w:val="28"/>
          <w:szCs w:val="28"/>
        </w:rPr>
        <w:t xml:space="preserve"> HPWS</w:t>
      </w:r>
      <w:r w:rsidR="006652C1">
        <w:rPr>
          <w:rFonts w:asciiTheme="majorBidi" w:hAnsiTheme="majorBidi" w:cstheme="majorBidi" w:hint="cs"/>
          <w:sz w:val="28"/>
          <w:szCs w:val="28"/>
          <w:rtl/>
        </w:rPr>
        <w:t xml:space="preserve"> </w:t>
      </w:r>
      <w:r w:rsidRPr="00912DA2">
        <w:rPr>
          <w:rFonts w:asciiTheme="majorBidi" w:hAnsiTheme="majorBidi" w:cstheme="majorBidi"/>
          <w:sz w:val="28"/>
          <w:szCs w:val="28"/>
          <w:rtl/>
        </w:rPr>
        <w:t>في المؤسسات اليابانية ساهمت في تعزيز الالتزام التنظيمي والإبداع من خلال تمكين الموظفين، لكنها لم تستكشف كيف تتأثر هذه العلاقة بالثقافة المحلية أو طبيعة العمل الخدمي</w:t>
      </w:r>
      <w:r w:rsidRPr="00912DA2">
        <w:rPr>
          <w:rFonts w:asciiTheme="majorBidi" w:hAnsiTheme="majorBidi" w:cstheme="majorBidi"/>
          <w:sz w:val="28"/>
          <w:szCs w:val="28"/>
        </w:rPr>
        <w:t>.</w:t>
      </w:r>
    </w:p>
    <w:p w14:paraId="1CB09B65" w14:textId="76BCF68D" w:rsidR="00404A54" w:rsidRPr="00912DA2" w:rsidRDefault="00404A54" w:rsidP="00FF5C30">
      <w:pPr>
        <w:bidi/>
        <w:jc w:val="both"/>
        <w:rPr>
          <w:rFonts w:asciiTheme="majorBidi" w:hAnsiTheme="majorBidi" w:cstheme="majorBidi"/>
          <w:sz w:val="28"/>
          <w:szCs w:val="28"/>
        </w:rPr>
      </w:pPr>
      <w:r w:rsidRPr="00912DA2">
        <w:rPr>
          <w:rFonts w:asciiTheme="majorBidi" w:hAnsiTheme="majorBidi" w:cstheme="majorBidi"/>
          <w:sz w:val="28"/>
          <w:szCs w:val="28"/>
          <w:rtl/>
        </w:rPr>
        <w:t>أما في ما يتعلق بالمتغير التابع—الإبداع الوظيفي—فقد سلطت دراسة </w:t>
      </w:r>
      <w:r>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00FB6AAE">
        <w:rPr>
          <w:rFonts w:asciiTheme="majorBidi" w:hAnsiTheme="majorBidi" w:cstheme="majorBidi"/>
          <w:sz w:val="28"/>
          <w:szCs w:val="28"/>
          <w:rtl/>
        </w:rPr>
        <w:instrText>&gt;&lt;</w:instrText>
      </w:r>
      <w:r w:rsidR="00FB6AAE">
        <w:rPr>
          <w:rFonts w:asciiTheme="majorBidi" w:hAnsiTheme="majorBidi" w:cstheme="majorBidi"/>
          <w:sz w:val="28"/>
          <w:szCs w:val="28"/>
        </w:rPr>
        <w:instrText>publisher&gt;Boulder, CO: Westview Press&lt;/publisher&gt;&lt;urls&gt;&lt;/urls&gt;&lt;/record&gt;&lt;/Cite&gt;&lt;/EndNote</w:instrText>
      </w:r>
      <w:r w:rsidR="00FB6AAE">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Amabile Teresa, 1996</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912DA2">
        <w:rPr>
          <w:rFonts w:asciiTheme="majorBidi" w:hAnsiTheme="majorBidi" w:cstheme="majorBidi"/>
          <w:sz w:val="28"/>
          <w:szCs w:val="28"/>
          <w:rtl/>
        </w:rPr>
        <w:t xml:space="preserve"> الضوء على العوامل النفسية والتنظيمية المطلوبة لتعزيز الإبداع، مثل الدافعية الجوهرية والاستقلالية، مشددةً على أن البيئة التنظيمية الداعمة تُعد شرطًا أساسيًا لتحويل الأفكار الفردية إلى مخرجات إبداعية. وفي السياق العربي، قدمت دراسة المدني</w:t>
      </w:r>
      <w:r w:rsidRPr="00912DA2">
        <w:rPr>
          <w:rFonts w:asciiTheme="majorBidi" w:hAnsiTheme="majorBidi" w:cstheme="majorBidi"/>
          <w:sz w:val="28"/>
          <w:szCs w:val="28"/>
        </w:rPr>
        <w:t xml:space="preserve"> (2019) </w:t>
      </w:r>
      <w:r w:rsidRPr="00912DA2">
        <w:rPr>
          <w:rFonts w:asciiTheme="majorBidi" w:hAnsiTheme="majorBidi" w:cstheme="majorBidi"/>
          <w:sz w:val="28"/>
          <w:szCs w:val="28"/>
          <w:rtl/>
        </w:rPr>
        <w:t>تحليلًا لبيئة العمل في جامعة سعودية، حيث وجدت أن التدريب والتمكين يرتبطان إيجابيًا بالإبداع الإداري، لكنها أغفلت دور الأنظمة الهيكلية مثل</w:t>
      </w:r>
      <w:r w:rsidRPr="00912DA2">
        <w:rPr>
          <w:rFonts w:asciiTheme="majorBidi" w:hAnsiTheme="majorBidi" w:cstheme="majorBidi"/>
          <w:sz w:val="28"/>
          <w:szCs w:val="28"/>
        </w:rPr>
        <w:t xml:space="preserve"> HPWS </w:t>
      </w:r>
      <w:r w:rsidRPr="00912DA2">
        <w:rPr>
          <w:rFonts w:asciiTheme="majorBidi" w:hAnsiTheme="majorBidi" w:cstheme="majorBidi"/>
          <w:sz w:val="28"/>
          <w:szCs w:val="28"/>
          <w:rtl/>
        </w:rPr>
        <w:t xml:space="preserve">في تحقيق هذا الأثر. من ناحية أخرى، كشفت </w:t>
      </w:r>
      <w:r>
        <w:rPr>
          <w:rFonts w:asciiTheme="majorBidi" w:hAnsiTheme="majorBidi" w:cstheme="majorBidi" w:hint="cs"/>
          <w:sz w:val="28"/>
          <w:szCs w:val="28"/>
          <w:rtl/>
        </w:rPr>
        <w:t>ال</w:t>
      </w:r>
      <w:r w:rsidRPr="00912DA2">
        <w:rPr>
          <w:rFonts w:asciiTheme="majorBidi" w:hAnsiTheme="majorBidi" w:cstheme="majorBidi"/>
          <w:sz w:val="28"/>
          <w:szCs w:val="28"/>
          <w:rtl/>
        </w:rPr>
        <w:t>دراس</w:t>
      </w:r>
      <w:r>
        <w:rPr>
          <w:rFonts w:asciiTheme="majorBidi" w:hAnsiTheme="majorBidi" w:cstheme="majorBidi" w:hint="cs"/>
          <w:sz w:val="28"/>
          <w:szCs w:val="28"/>
          <w:rtl/>
        </w:rPr>
        <w:t>تان</w:t>
      </w:r>
      <w:r w:rsidRPr="00912DA2">
        <w:rPr>
          <w:rFonts w:asciiTheme="majorBidi" w:hAnsiTheme="majorBidi" w:cstheme="majorBidi"/>
          <w:sz w:val="28"/>
          <w:szCs w:val="28"/>
          <w:rtl/>
        </w:rPr>
        <w:t> </w:t>
      </w:r>
      <w:r>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&lt;EndNote&gt;&lt;Cite&gt;&lt;Author&gt;Kloutsiniotis&lt;/Author&gt;&lt;Year&gt;2018&lt;/Year&gt;&lt;RecNum&gt;2335&lt;/RecNum&gt;&lt;DisplayText&gt;(Kloutsiniotis and Mihail, 2018, Kloutsiniotis and Mihail, 2020)&lt;/DisplayText&gt;&lt;record&gt;&lt;rec-number&gt;2335&lt;/rec-number&gt;&lt;foreign-keys&gt;&lt;key app="EN" db-id="t5vttv59or5xwbe2zdm5ewrxd905arrpawff" timestamp="1744495026"&gt;2335&lt;/key&gt;&lt;/foreign-keys&gt;&lt;ref-type name="Journal Article"&gt;17&lt;/ref-type&gt;&lt;contributors&gt;&lt;authors&gt;&lt;author&gt;Kloutsiniotis, Panagiotis V&lt;/author&gt;&lt;author&gt;Mihail, Dimitrios M&lt;/author&gt;&lt;/authors&gt;&lt;/contributors&gt;&lt;titles&gt;&lt;title&gt;The link between perceived high-performance work practices, employee attitudes and service quality: The mediating and moderating role of trust&lt;/title&gt;&lt;secondary-title&gt;Employee Relations&lt;/secondary-title&gt;&lt;/titles&gt;&lt;periodical&gt;&lt;full</w:instrText>
      </w:r>
      <w:r w:rsidR="00FB6AAE">
        <w:rPr>
          <w:rFonts w:asciiTheme="majorBidi" w:hAnsiTheme="majorBidi" w:cstheme="majorBidi"/>
          <w:sz w:val="28"/>
          <w:szCs w:val="28"/>
          <w:rtl/>
        </w:rPr>
        <w:instrText>-</w:instrText>
      </w:r>
      <w:r w:rsidR="00FB6AAE">
        <w:rPr>
          <w:rFonts w:asciiTheme="majorBidi" w:hAnsiTheme="majorBidi" w:cstheme="majorBidi"/>
          <w:sz w:val="28"/>
          <w:szCs w:val="28"/>
        </w:rPr>
        <w:instrText>title&gt;Employee Relations&lt;/full-title&gt;&lt;/periodical&gt;&lt;pages&gt;801-821&lt;/pages&gt;&lt;volume&gt;40&lt;/volume&gt;&lt;number&gt;5&lt;/number&gt;&lt;dates&gt;&lt;year&gt;2018&lt;/year&gt;&lt;/dates&gt;&lt;isbn&gt;0142-5455&lt;/isbn&gt;&lt;urls&gt;&lt;/urls&gt;&lt;/record&gt;&lt;/Cite&gt;&lt;Cite&gt;&lt;Author&gt;Kloutsiniotis&lt;/Author&gt;&lt;Year&gt;2020&lt;/Year&gt;&lt;RecNum&gt;1</w:instrText>
      </w:r>
      <w:r w:rsidR="00FB6AAE">
        <w:rPr>
          <w:rFonts w:asciiTheme="majorBidi" w:hAnsiTheme="majorBidi" w:cstheme="majorBidi"/>
          <w:sz w:val="28"/>
          <w:szCs w:val="28"/>
          <w:rtl/>
        </w:rPr>
        <w:instrText>371&lt;/</w:instrText>
      </w:r>
      <w:r w:rsidR="00FB6AAE">
        <w:rPr>
          <w:rFonts w:asciiTheme="majorBidi" w:hAnsiTheme="majorBidi" w:cstheme="majorBidi"/>
          <w:sz w:val="28"/>
          <w:szCs w:val="28"/>
        </w:rPr>
        <w:instrText>RecNum&gt;&lt;record&gt;&lt;rec-number&gt;1371&lt;/rec-number&gt;&lt;foreign-keys&gt;&lt;key app="EN" db-id="t5vttv59or5xwbe2zdm5ewrxd905arrpawff"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w:instrText>
      </w:r>
      <w:r w:rsidR="00FB6AAE">
        <w:rPr>
          <w:rFonts w:asciiTheme="majorBidi" w:hAnsiTheme="majorBidi" w:cstheme="majorBidi"/>
          <w:sz w:val="28"/>
          <w:szCs w:val="28"/>
          <w:rtl/>
        </w:rPr>
        <w:instrText>&lt;/</w:instrText>
      </w:r>
      <w:r w:rsidR="00FB6AAE">
        <w:rPr>
          <w:rFonts w:asciiTheme="majorBidi" w:hAnsiTheme="majorBidi" w:cstheme="majorBidi"/>
          <w:sz w:val="28"/>
          <w:szCs w:val="28"/>
        </w:rPr>
        <w:instrText>secondary-title&gt;&lt;/titles&gt;&lt;periodical&gt;&lt;full-title&gt;International Journal of Hospitality Management&lt;/full-title&gt;&lt;/periodical&gt;&lt;pages&gt;102610&lt;/pages&gt;&lt;volume&gt;90&lt;/volume&gt;&lt;dates&gt;&lt;year&gt;2020&lt;/year&gt;&lt;/dates&gt;&lt;isbn&gt;0278-4319&lt;/isbn&gt;&lt;urls&gt;&lt;/urls&gt;&lt;/record&gt;&lt;/Cite&gt;&lt;/EndNote</w:instrText>
      </w:r>
      <w:r w:rsidR="00FB6AAE">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Kloutsiniotis and Mihail, 2018, Kloutsiniotis and Mihail, 2020</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912DA2">
        <w:rPr>
          <w:rFonts w:asciiTheme="majorBidi" w:hAnsiTheme="majorBidi" w:cstheme="majorBidi"/>
          <w:sz w:val="28"/>
          <w:szCs w:val="28"/>
          <w:rtl/>
        </w:rPr>
        <w:t xml:space="preserve"> في قطاع الفنادق الأوروبي أن جودة الخدمة تعتمد بشكل كبير على السلوكيات الإبداعية للموظفين، والتي تُحفَّز عبر نظم مكافآت مرنة وثقافة تنظيمية تشجع الابتكار، لكن هذه النتائج قد لا تنطبق على السياقات المحافظة كالمملكة العربية السعودية، حيث تلعب العوامل الثقافية دورًا محوريًا في تشكيل التفاعلات التنظيمية</w:t>
      </w:r>
      <w:r w:rsidRPr="00912DA2">
        <w:rPr>
          <w:rFonts w:asciiTheme="majorBidi" w:hAnsiTheme="majorBidi" w:cstheme="majorBidi"/>
          <w:sz w:val="28"/>
          <w:szCs w:val="28"/>
        </w:rPr>
        <w:t>.</w:t>
      </w:r>
    </w:p>
    <w:p w14:paraId="3E462EFC" w14:textId="71EA983F" w:rsidR="00404A54" w:rsidRPr="00912DA2" w:rsidRDefault="00404A54" w:rsidP="00FF5C30">
      <w:pPr>
        <w:bidi/>
        <w:jc w:val="both"/>
        <w:rPr>
          <w:rFonts w:asciiTheme="majorBidi" w:hAnsiTheme="majorBidi" w:cstheme="majorBidi"/>
          <w:sz w:val="28"/>
          <w:szCs w:val="28"/>
        </w:rPr>
      </w:pPr>
      <w:r w:rsidRPr="00912DA2">
        <w:rPr>
          <w:rFonts w:asciiTheme="majorBidi" w:hAnsiTheme="majorBidi" w:cstheme="majorBidi"/>
          <w:sz w:val="28"/>
          <w:szCs w:val="28"/>
          <w:rtl/>
        </w:rPr>
        <w:t>أما الدراسات التي ربطت مباشرةً بين</w:t>
      </w:r>
      <w:r w:rsidRPr="00912DA2">
        <w:rPr>
          <w:rFonts w:asciiTheme="majorBidi" w:hAnsiTheme="majorBidi" w:cstheme="majorBidi"/>
          <w:sz w:val="28"/>
          <w:szCs w:val="28"/>
        </w:rPr>
        <w:t xml:space="preserve"> HPWS </w:t>
      </w:r>
      <w:r w:rsidRPr="00912DA2">
        <w:rPr>
          <w:rFonts w:asciiTheme="majorBidi" w:hAnsiTheme="majorBidi" w:cstheme="majorBidi"/>
          <w:sz w:val="28"/>
          <w:szCs w:val="28"/>
          <w:rtl/>
        </w:rPr>
        <w:t>والإبداع، فقد قدمت تحليلاتٍ متعمقةً للآليات الوسيطة. فعلى سبيل المثال، أوضحت دراسة </w:t>
      </w:r>
      <w:r>
        <w:rPr>
          <w:rFonts w:asciiTheme="majorBidi" w:hAnsiTheme="majorBidi" w:cstheme="majorBidi"/>
          <w:sz w:val="28"/>
          <w:szCs w:val="28"/>
        </w:rPr>
        <w:t xml:space="preserve"> </w:t>
      </w:r>
      <w:r>
        <w:rPr>
          <w:rFonts w:asciiTheme="majorBidi" w:hAnsiTheme="majorBidi" w:cstheme="majorBidi"/>
          <w:sz w:val="28"/>
          <w:szCs w:val="28"/>
        </w:rPr>
        <w:fldChar w:fldCharType="begin"/>
      </w:r>
      <w:r w:rsidR="00FB6AAE">
        <w:rPr>
          <w:rFonts w:asciiTheme="majorBidi" w:hAnsiTheme="majorBidi" w:cstheme="majorBidi"/>
          <w:sz w:val="28"/>
          <w:szCs w:val="28"/>
        </w:rPr>
        <w:instrText xml:space="preserve"> 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gt;</w:instrText>
      </w:r>
      <w:r>
        <w:rPr>
          <w:rFonts w:asciiTheme="majorBidi" w:hAnsiTheme="majorBidi" w:cstheme="majorBidi"/>
          <w:sz w:val="28"/>
          <w:szCs w:val="28"/>
        </w:rPr>
        <w:fldChar w:fldCharType="separate"/>
      </w:r>
      <w:r>
        <w:rPr>
          <w:rFonts w:asciiTheme="majorBidi" w:hAnsiTheme="majorBidi" w:cstheme="majorBidi"/>
          <w:noProof/>
          <w:sz w:val="28"/>
          <w:szCs w:val="28"/>
        </w:rPr>
        <w:t>(Jiang et al., 2012)</w:t>
      </w:r>
      <w:r>
        <w:rPr>
          <w:rFonts w:asciiTheme="majorBidi" w:hAnsiTheme="majorBidi" w:cstheme="majorBidi"/>
          <w:sz w:val="28"/>
          <w:szCs w:val="28"/>
        </w:rPr>
        <w:fldChar w:fldCharType="end"/>
      </w:r>
      <w:r w:rsidRPr="00912DA2">
        <w:rPr>
          <w:rFonts w:asciiTheme="majorBidi" w:hAnsiTheme="majorBidi" w:cstheme="majorBidi"/>
          <w:sz w:val="28"/>
          <w:szCs w:val="28"/>
        </w:rPr>
        <w:t> </w:t>
      </w:r>
      <w:r w:rsidRPr="00912DA2">
        <w:rPr>
          <w:rFonts w:asciiTheme="majorBidi" w:hAnsiTheme="majorBidi" w:cstheme="majorBidi"/>
          <w:sz w:val="28"/>
          <w:szCs w:val="28"/>
          <w:rtl/>
        </w:rPr>
        <w:t>أن تأثير</w:t>
      </w:r>
      <w:r w:rsidRPr="00912DA2">
        <w:rPr>
          <w:rFonts w:asciiTheme="majorBidi" w:hAnsiTheme="majorBidi" w:cstheme="majorBidi"/>
          <w:sz w:val="28"/>
          <w:szCs w:val="28"/>
        </w:rPr>
        <w:t xml:space="preserve"> HPWS </w:t>
      </w:r>
      <w:r w:rsidRPr="00912DA2">
        <w:rPr>
          <w:rFonts w:asciiTheme="majorBidi" w:hAnsiTheme="majorBidi" w:cstheme="majorBidi"/>
          <w:sz w:val="28"/>
          <w:szCs w:val="28"/>
          <w:rtl/>
        </w:rPr>
        <w:t>على الإبداع لا يكون مباشرًا، بل يمر عبر عوامل وسيطة مثل الرضا الوظيفي والعدالة التنظيمية، مما يشير إلى أن فعالية هذه الأنظمة تعتمد على مدى توافقها مع القيم الثقافية السائدة. وفي مصر، وجدت دراسة مرزوق وآخرون</w:t>
      </w:r>
      <w:r w:rsidRPr="00912DA2">
        <w:rPr>
          <w:rFonts w:asciiTheme="majorBidi" w:hAnsiTheme="majorBidi" w:cstheme="majorBidi"/>
          <w:sz w:val="28"/>
          <w:szCs w:val="28"/>
        </w:rPr>
        <w:t xml:space="preserve"> (2018)</w:t>
      </w:r>
      <w:r>
        <w:rPr>
          <w:rFonts w:asciiTheme="majorBidi" w:hAnsiTheme="majorBidi" w:cstheme="majorBidi" w:hint="cs"/>
          <w:sz w:val="28"/>
          <w:szCs w:val="28"/>
          <w:rtl/>
        </w:rPr>
        <w:t xml:space="preserve"> </w:t>
      </w:r>
      <w:r w:rsidRPr="00912DA2">
        <w:rPr>
          <w:rFonts w:asciiTheme="majorBidi" w:hAnsiTheme="majorBidi" w:cstheme="majorBidi"/>
          <w:sz w:val="28"/>
          <w:szCs w:val="28"/>
          <w:rtl/>
        </w:rPr>
        <w:t>أن</w:t>
      </w:r>
      <w:r w:rsidRPr="00912DA2">
        <w:rPr>
          <w:rFonts w:asciiTheme="majorBidi" w:hAnsiTheme="majorBidi" w:cstheme="majorBidi"/>
          <w:sz w:val="28"/>
          <w:szCs w:val="28"/>
        </w:rPr>
        <w:t xml:space="preserve"> HPWS </w:t>
      </w:r>
      <w:r w:rsidRPr="00912DA2">
        <w:rPr>
          <w:rFonts w:asciiTheme="majorBidi" w:hAnsiTheme="majorBidi" w:cstheme="majorBidi"/>
          <w:sz w:val="28"/>
          <w:szCs w:val="28"/>
          <w:rtl/>
        </w:rPr>
        <w:t>تعزز الإبداع في شركات التكنولوجيا عبر زيادة مرونة الموارد البشرية، لكن هذه النتائج قد تختلف في قطاع الضيافة بسبب طبيعته كثيفة العمالة والاعتماد على التفاعل البشري المباشر</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w:instrText>
      </w:r>
      <w:r w:rsidR="00FB6AAE">
        <w:rPr>
          <w:rFonts w:asciiTheme="majorBidi" w:hAnsiTheme="majorBidi" w:cstheme="majorBidi"/>
          <w:sz w:val="28"/>
          <w:szCs w:val="28"/>
          <w:rtl/>
        </w:rPr>
        <w:instrText>&gt;مرزوق&lt;/</w:instrText>
      </w:r>
      <w:r w:rsidR="00FB6AAE">
        <w:rPr>
          <w:rFonts w:asciiTheme="majorBidi" w:hAnsiTheme="majorBidi" w:cstheme="majorBidi"/>
          <w:sz w:val="28"/>
          <w:szCs w:val="28"/>
        </w:rPr>
        <w:instrText>Author&gt;&lt;Year&gt;2018&lt;/Year&gt;&lt;RecNum&gt;2349&lt;/RecNum&gt;&lt;DisplayText</w:instrText>
      </w:r>
      <w:r w:rsidR="00FB6AAE">
        <w:rPr>
          <w:rFonts w:asciiTheme="majorBidi" w:hAnsiTheme="majorBidi" w:cstheme="majorBidi"/>
          <w:sz w:val="28"/>
          <w:szCs w:val="28"/>
          <w:rtl/>
        </w:rPr>
        <w:instrText xml:space="preserve">&gt;(مرزوق </w:instrText>
      </w:r>
      <w:r w:rsidR="00FB6AAE">
        <w:rPr>
          <w:rFonts w:asciiTheme="majorBidi" w:hAnsiTheme="majorBidi" w:cstheme="majorBidi"/>
          <w:sz w:val="28"/>
          <w:szCs w:val="28"/>
        </w:rPr>
        <w:instrText>et al., 2018</w:instrText>
      </w:r>
      <w:r w:rsidR="00FB6AAE">
        <w:rPr>
          <w:rFonts w:asciiTheme="majorBidi" w:hAnsiTheme="majorBidi" w:cstheme="majorBidi"/>
          <w:sz w:val="28"/>
          <w:szCs w:val="28"/>
          <w:rtl/>
        </w:rPr>
        <w:instrText>)&lt;/</w:instrText>
      </w:r>
      <w:r w:rsidR="00FB6AAE">
        <w:rPr>
          <w:rFonts w:asciiTheme="majorBidi" w:hAnsiTheme="majorBidi" w:cstheme="majorBidi"/>
          <w:sz w:val="28"/>
          <w:szCs w:val="28"/>
        </w:rPr>
        <w:instrText>DisplayText&gt;&lt;record&gt;&lt;rec-number&gt;2349&lt;/rec-number&gt;&lt;foreign-keys&gt;&lt;key app="EN" db-id="t5vttv59or5xwbe2zdm5ewrxd905arrpawff" timestamp="1744500236"&gt;2349&lt;/key&gt;&lt;/foreign-keys&gt;&lt;ref-type name="Journal Article"&gt;17&lt;/ref-type&gt;&lt;contributors&gt;&lt;authors&gt;&lt;author</w:instrText>
      </w:r>
      <w:r w:rsidR="00FB6AAE">
        <w:rPr>
          <w:rFonts w:asciiTheme="majorBidi" w:hAnsiTheme="majorBidi" w:cstheme="majorBidi"/>
          <w:sz w:val="28"/>
          <w:szCs w:val="28"/>
          <w:rtl/>
        </w:rPr>
        <w:instrText>&gt;مرزوق&lt;/</w:instrText>
      </w:r>
      <w:r w:rsidR="00FB6AAE">
        <w:rPr>
          <w:rFonts w:asciiTheme="majorBidi" w:hAnsiTheme="majorBidi" w:cstheme="majorBidi"/>
          <w:sz w:val="28"/>
          <w:szCs w:val="28"/>
        </w:rPr>
        <w:instrText>author&gt;&lt;author</w:instrText>
      </w:r>
      <w:r w:rsidR="00FB6AAE">
        <w:rPr>
          <w:rFonts w:asciiTheme="majorBidi" w:hAnsiTheme="majorBidi" w:cstheme="majorBidi"/>
          <w:sz w:val="28"/>
          <w:szCs w:val="28"/>
          <w:rtl/>
        </w:rPr>
        <w:instrText>&gt;عبد العزيز على&lt;/</w:instrText>
      </w:r>
      <w:r w:rsidR="00FB6AAE">
        <w:rPr>
          <w:rFonts w:asciiTheme="majorBidi" w:hAnsiTheme="majorBidi" w:cstheme="majorBidi"/>
          <w:sz w:val="28"/>
          <w:szCs w:val="28"/>
        </w:rPr>
        <w:instrText>author&gt;&lt;author</w:instrText>
      </w:r>
      <w:r w:rsidR="00FB6AAE">
        <w:rPr>
          <w:rFonts w:asciiTheme="majorBidi" w:hAnsiTheme="majorBidi" w:cstheme="majorBidi"/>
          <w:sz w:val="28"/>
          <w:szCs w:val="28"/>
          <w:rtl/>
        </w:rPr>
        <w:instrText>&gt;البردان&lt;/</w:instrText>
      </w:r>
      <w:r w:rsidR="00FB6AAE">
        <w:rPr>
          <w:rFonts w:asciiTheme="majorBidi" w:hAnsiTheme="majorBidi" w:cstheme="majorBidi"/>
          <w:sz w:val="28"/>
          <w:szCs w:val="28"/>
        </w:rPr>
        <w:instrText>author&gt;&lt;author</w:instrText>
      </w:r>
      <w:r w:rsidR="00FB6AAE">
        <w:rPr>
          <w:rFonts w:asciiTheme="majorBidi" w:hAnsiTheme="majorBidi" w:cstheme="majorBidi"/>
          <w:sz w:val="28"/>
          <w:szCs w:val="28"/>
          <w:rtl/>
        </w:rPr>
        <w:instrText>&gt;محمد فوزى امين&lt;/</w:instrText>
      </w:r>
      <w:r w:rsidR="00FB6AAE">
        <w:rPr>
          <w:rFonts w:asciiTheme="majorBidi" w:hAnsiTheme="majorBidi" w:cstheme="majorBidi"/>
          <w:sz w:val="28"/>
          <w:szCs w:val="28"/>
        </w:rPr>
        <w:instrText>author&gt;&lt;/authors&gt;&lt;/contributors&gt;&lt;titles&gt;&lt;title</w:instrText>
      </w:r>
      <w:r w:rsidR="00FB6AAE">
        <w:rPr>
          <w:rFonts w:asciiTheme="majorBidi" w:hAnsiTheme="majorBidi" w:cstheme="majorBidi"/>
          <w:sz w:val="28"/>
          <w:szCs w:val="28"/>
          <w:rtl/>
        </w:rPr>
        <w:instrText>&gt;دور نظم العمل عالية الاداء فى بناء مرونة الموارد البشرية واثرهما عاى سلوکيات تلعمل الابتکارى دراسة تطبيقية على الشرکات العاملة بتکنولوجيا المعلومات والاتصالتت بالقرية الذکية&lt;/</w:instrText>
      </w:r>
      <w:r w:rsidR="00FB6AAE">
        <w:rPr>
          <w:rFonts w:asciiTheme="majorBidi" w:hAnsiTheme="majorBidi" w:cstheme="majorBidi"/>
          <w:sz w:val="28"/>
          <w:szCs w:val="28"/>
        </w:rPr>
        <w:instrText>title&gt;&lt;secondary-title</w:instrText>
      </w:r>
      <w:r w:rsidR="00FB6AAE">
        <w:rPr>
          <w:rFonts w:asciiTheme="majorBidi" w:hAnsiTheme="majorBidi" w:cstheme="majorBidi"/>
          <w:sz w:val="28"/>
          <w:szCs w:val="28"/>
          <w:rtl/>
        </w:rPr>
        <w:instrText>&gt;المجلة العلمية للبحوث التجارية (جامعة المنوفية)&lt;/</w:instrText>
      </w:r>
      <w:r w:rsidR="00FB6AAE">
        <w:rPr>
          <w:rFonts w:asciiTheme="majorBidi" w:hAnsiTheme="majorBidi" w:cstheme="majorBidi"/>
          <w:sz w:val="28"/>
          <w:szCs w:val="28"/>
        </w:rPr>
        <w:instrText>secondary-title&gt;&lt;/titles&gt;&lt;periodical&gt;&lt;full-title</w:instrText>
      </w:r>
      <w:r w:rsidR="00FB6AAE">
        <w:rPr>
          <w:rFonts w:asciiTheme="majorBidi" w:hAnsiTheme="majorBidi" w:cstheme="majorBidi"/>
          <w:sz w:val="28"/>
          <w:szCs w:val="28"/>
          <w:rtl/>
        </w:rPr>
        <w:instrText>&gt;المجلة العلمية للبحوث التجارية (جامعة المنوفية)&lt;/</w:instrText>
      </w:r>
      <w:r w:rsidR="00FB6AAE">
        <w:rPr>
          <w:rFonts w:asciiTheme="majorBidi" w:hAnsiTheme="majorBidi" w:cstheme="majorBidi"/>
          <w:sz w:val="28"/>
          <w:szCs w:val="28"/>
        </w:rPr>
        <w:instrText>full-title&gt;&lt;/periodical&gt;&lt;pages&gt;261-296&lt;/pages&gt;&lt;volume&gt;31&lt;/volume&gt;&lt;number&gt;3&lt;/number&gt;&lt;dates&gt;&lt;year&gt;2018&lt;/year&gt;&lt;/dates&gt;&lt;isbn&gt;2682-387X&lt;/isbn&gt;&lt;urls&gt;&lt;/urls&gt;&lt;/record&gt;&lt;/Cite&gt;&lt;/EndNote</w:instrText>
      </w:r>
      <w:r w:rsidR="00FB6AAE">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 xml:space="preserve">(مرزوق </w:t>
      </w:r>
      <w:r>
        <w:rPr>
          <w:rFonts w:asciiTheme="majorBidi" w:hAnsiTheme="majorBidi" w:cstheme="majorBidi"/>
          <w:noProof/>
          <w:sz w:val="28"/>
          <w:szCs w:val="28"/>
        </w:rPr>
        <w:t>et al., 2018</w:t>
      </w:r>
      <w:r>
        <w:rPr>
          <w:rFonts w:asciiTheme="majorBidi" w:hAnsiTheme="majorBidi" w:cstheme="majorBidi"/>
          <w:noProof/>
          <w:sz w:val="28"/>
          <w:szCs w:val="28"/>
          <w:rtl/>
        </w:rPr>
        <w:t>)</w:t>
      </w:r>
      <w:r>
        <w:rPr>
          <w:rFonts w:asciiTheme="majorBidi" w:hAnsiTheme="majorBidi" w:cstheme="majorBidi"/>
          <w:sz w:val="28"/>
          <w:szCs w:val="28"/>
          <w:rtl/>
        </w:rPr>
        <w:fldChar w:fldCharType="end"/>
      </w:r>
      <w:r w:rsidRPr="00912DA2">
        <w:rPr>
          <w:rFonts w:asciiTheme="majorBidi" w:hAnsiTheme="majorBidi" w:cstheme="majorBidi"/>
          <w:sz w:val="28"/>
          <w:szCs w:val="28"/>
          <w:rtl/>
        </w:rPr>
        <w:t>. وفي دراسة أخرى، حللت </w:t>
      </w:r>
      <w:r w:rsidRPr="00912DA2">
        <w:rPr>
          <w:rFonts w:asciiTheme="majorBidi" w:hAnsiTheme="majorBidi" w:cstheme="majorBidi"/>
          <w:sz w:val="28"/>
          <w:szCs w:val="28"/>
        </w:rPr>
        <w:t>Chuang et al. (2016)</w:t>
      </w:r>
      <w:r>
        <w:rPr>
          <w:rFonts w:asciiTheme="majorBidi" w:hAnsiTheme="majorBidi" w:cstheme="majorBidi" w:hint="cs"/>
          <w:sz w:val="28"/>
          <w:szCs w:val="28"/>
          <w:rtl/>
        </w:rPr>
        <w:t xml:space="preserve"> </w:t>
      </w:r>
      <w:r w:rsidRPr="00912DA2">
        <w:rPr>
          <w:rFonts w:asciiTheme="majorBidi" w:hAnsiTheme="majorBidi" w:cstheme="majorBidi"/>
          <w:sz w:val="28"/>
          <w:szCs w:val="28"/>
          <w:rtl/>
        </w:rPr>
        <w:t>تأثير</w:t>
      </w:r>
      <w:r w:rsidRPr="00912DA2">
        <w:rPr>
          <w:rFonts w:asciiTheme="majorBidi" w:hAnsiTheme="majorBidi" w:cstheme="majorBidi"/>
          <w:sz w:val="28"/>
          <w:szCs w:val="28"/>
        </w:rPr>
        <w:t xml:space="preserve"> HPWS </w:t>
      </w:r>
      <w:r w:rsidRPr="00912DA2">
        <w:rPr>
          <w:rFonts w:asciiTheme="majorBidi" w:hAnsiTheme="majorBidi" w:cstheme="majorBidi"/>
          <w:sz w:val="28"/>
          <w:szCs w:val="28"/>
          <w:rtl/>
        </w:rPr>
        <w:t xml:space="preserve">في الفنادق </w:t>
      </w:r>
      <w:r>
        <w:rPr>
          <w:rFonts w:asciiTheme="majorBidi" w:hAnsiTheme="majorBidi" w:cstheme="majorBidi" w:hint="cs"/>
          <w:sz w:val="28"/>
          <w:szCs w:val="28"/>
          <w:rtl/>
        </w:rPr>
        <w:t>الغربية</w:t>
      </w:r>
      <w:r w:rsidRPr="00912DA2">
        <w:rPr>
          <w:rFonts w:asciiTheme="majorBidi" w:hAnsiTheme="majorBidi" w:cstheme="majorBidi"/>
          <w:sz w:val="28"/>
          <w:szCs w:val="28"/>
          <w:rtl/>
        </w:rPr>
        <w:t>، مشيرةً إلى أن الإبداع يزدهر عندما تترافق هذه الأنظمة مع ثقافة تنظيمية تدعم التجريب، لكنها لم تختبر هذا النموذج في بيئات تتميز بمركزية إدارية عالية كتلك السائدة في المملكة العربية السعودية</w:t>
      </w:r>
      <w:r>
        <w:rPr>
          <w:rFonts w:asciiTheme="majorBidi" w:hAnsiTheme="majorBidi" w:cstheme="majorBidi" w:hint="cs"/>
          <w:sz w:val="28"/>
          <w:szCs w:val="28"/>
          <w:rtl/>
        </w:rPr>
        <w:t xml:space="preserve"> </w:t>
      </w:r>
      <w:r>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&lt;EndNote&gt;&lt;Cite&gt;&lt;Author&gt;Chuang&lt;/Author&gt;&lt;Year&gt;2016&lt;/Year&gt;&lt;RecNum&gt;2347&lt;/RecNum&gt;&lt;DisplayText&gt;(Chuang et al., 2016)&lt;/DisplayText&gt;&lt;record&gt;&lt;rec-number&gt;2347&lt;/rec-number&gt;&lt;foreign-keys&gt;&lt;key app="EN" db-id="t5vttv59or5xwbe2zdm5ewrxd905arrpawff" timestamp="1744499529"&gt;2347&lt;/key&gt;&lt;/foreign-keys&gt;&lt;ref-type name="Journal Article"&gt;17&lt;/ref-type&gt;&lt;contributors&gt;&lt;authors&gt;&lt;author&gt;Chuang, Chih-Hsun&lt;/author&gt;&lt;author&gt;Jackson, Susan E&lt;/author&gt;&lt;author&gt;Jiang, Yuan&lt;/author&gt;&lt;/authors&gt;&lt;/contributors&gt;&lt;titles&gt;&lt;title&gt;Can knowledge-intensive teamwork be managed? Examining the roles of HRM systems, leadership, and tacit knowledge&lt;/title&gt;&lt;secondary-title&gt;Journal of management&lt;/secondary-title&gt;&lt;/titles&gt;&lt;periodical&gt;&lt;full-title&gt;Journal of management&lt;/full-title&gt;&lt;/periodical&gt;&lt;pages&gt;5</w:instrText>
      </w:r>
      <w:r w:rsidR="00FB6AAE">
        <w:rPr>
          <w:rFonts w:asciiTheme="majorBidi" w:hAnsiTheme="majorBidi" w:cstheme="majorBidi"/>
          <w:sz w:val="28"/>
          <w:szCs w:val="28"/>
          <w:rtl/>
        </w:rPr>
        <w:instrText>24-554&lt;/</w:instrText>
      </w:r>
      <w:r w:rsidR="00FB6AAE">
        <w:rPr>
          <w:rFonts w:asciiTheme="majorBidi" w:hAnsiTheme="majorBidi" w:cstheme="majorBidi"/>
          <w:sz w:val="28"/>
          <w:szCs w:val="28"/>
        </w:rPr>
        <w:instrText>pages&gt;&lt;volume&gt;42&lt;/volume&gt;&lt;number&gt;2&lt;/number&gt;&lt;dates&gt;&lt;year&gt;2016&lt;/year&gt;&lt;/dates&gt;&lt;isbn&gt;0149-2063&lt;/isbn&gt;&lt;urls&gt;&lt;/urls&gt;&lt;/record&gt;&lt;/Cite&gt;&lt;/EndNote</w:instrText>
      </w:r>
      <w:r w:rsidR="00FB6AAE">
        <w:rPr>
          <w:rFonts w:asciiTheme="majorBidi" w:hAnsiTheme="majorBidi" w:cstheme="majorBidi"/>
          <w:sz w:val="28"/>
          <w:szCs w:val="28"/>
          <w:rtl/>
        </w:rPr>
        <w:instrText>&gt;</w:instrText>
      </w:r>
      <w:r>
        <w:rPr>
          <w:rFonts w:asciiTheme="majorBidi" w:hAnsiTheme="majorBidi" w:cstheme="majorBidi"/>
          <w:sz w:val="28"/>
          <w:szCs w:val="28"/>
          <w:rtl/>
        </w:rPr>
        <w:fldChar w:fldCharType="separate"/>
      </w:r>
      <w:r>
        <w:rPr>
          <w:rFonts w:asciiTheme="majorBidi" w:hAnsiTheme="majorBidi" w:cstheme="majorBidi"/>
          <w:noProof/>
          <w:sz w:val="28"/>
          <w:szCs w:val="28"/>
          <w:rtl/>
        </w:rPr>
        <w:t>(</w:t>
      </w:r>
      <w:r>
        <w:rPr>
          <w:rFonts w:asciiTheme="majorBidi" w:hAnsiTheme="majorBidi" w:cstheme="majorBidi"/>
          <w:noProof/>
          <w:sz w:val="28"/>
          <w:szCs w:val="28"/>
        </w:rPr>
        <w:t>Chuang et al., 2016</w:t>
      </w:r>
      <w:r>
        <w:rPr>
          <w:rFonts w:asciiTheme="majorBidi" w:hAnsiTheme="majorBidi" w:cstheme="majorBidi"/>
          <w:noProof/>
          <w:sz w:val="28"/>
          <w:szCs w:val="28"/>
          <w:rtl/>
        </w:rPr>
        <w:t>)</w:t>
      </w:r>
      <w:r>
        <w:rPr>
          <w:rFonts w:asciiTheme="majorBidi" w:hAnsiTheme="majorBidi" w:cstheme="majorBidi"/>
          <w:sz w:val="28"/>
          <w:szCs w:val="28"/>
          <w:rtl/>
        </w:rPr>
        <w:fldChar w:fldCharType="end"/>
      </w:r>
      <w:r>
        <w:rPr>
          <w:rFonts w:asciiTheme="majorBidi" w:hAnsiTheme="majorBidi" w:cstheme="majorBidi" w:hint="cs"/>
          <w:sz w:val="28"/>
          <w:szCs w:val="28"/>
          <w:rtl/>
        </w:rPr>
        <w:t>.</w:t>
      </w:r>
    </w:p>
    <w:p w14:paraId="2585435A" w14:textId="77777777" w:rsidR="00404A54" w:rsidRDefault="00404A54" w:rsidP="00FF5C30">
      <w:pPr>
        <w:bidi/>
        <w:jc w:val="both"/>
        <w:rPr>
          <w:rFonts w:asciiTheme="majorBidi" w:hAnsiTheme="majorBidi" w:cstheme="majorBidi"/>
          <w:sz w:val="28"/>
          <w:szCs w:val="28"/>
          <w:rtl/>
        </w:rPr>
      </w:pPr>
    </w:p>
    <w:p w14:paraId="0FC1B0AD" w14:textId="77777777" w:rsidR="00FF5C30" w:rsidRPr="00912DA2" w:rsidRDefault="00FF5C30" w:rsidP="00FF5C30">
      <w:pPr>
        <w:bidi/>
        <w:jc w:val="both"/>
        <w:rPr>
          <w:rFonts w:asciiTheme="majorBidi" w:hAnsiTheme="majorBidi" w:cstheme="majorBidi"/>
          <w:sz w:val="28"/>
          <w:szCs w:val="28"/>
        </w:rPr>
      </w:pPr>
    </w:p>
    <w:p w14:paraId="0475AA51" w14:textId="77777777" w:rsidR="00404A54" w:rsidRPr="00335F5C" w:rsidRDefault="00404A54" w:rsidP="00404A54">
      <w:pPr>
        <w:bidi/>
        <w:rPr>
          <w:rFonts w:asciiTheme="majorBidi" w:hAnsiTheme="majorBidi" w:cstheme="majorBidi"/>
          <w:b/>
          <w:bCs/>
          <w:sz w:val="28"/>
          <w:szCs w:val="28"/>
        </w:rPr>
      </w:pPr>
      <w:r w:rsidRPr="00335F5C">
        <w:rPr>
          <w:rFonts w:asciiTheme="majorBidi" w:hAnsiTheme="majorBidi" w:cstheme="majorBidi"/>
          <w:b/>
          <w:bCs/>
          <w:sz w:val="28"/>
          <w:szCs w:val="28"/>
        </w:rPr>
        <w:lastRenderedPageBreak/>
        <w:t>1.</w:t>
      </w:r>
      <w:r>
        <w:rPr>
          <w:rFonts w:asciiTheme="majorBidi" w:hAnsiTheme="majorBidi" w:cstheme="majorBidi"/>
          <w:b/>
          <w:bCs/>
          <w:sz w:val="28"/>
          <w:szCs w:val="28"/>
        </w:rPr>
        <w:t>5</w:t>
      </w:r>
      <w:r>
        <w:rPr>
          <w:rFonts w:asciiTheme="majorBidi" w:hAnsiTheme="majorBidi" w:cstheme="majorBidi" w:hint="cs"/>
          <w:b/>
          <w:bCs/>
          <w:sz w:val="28"/>
          <w:szCs w:val="28"/>
          <w:rtl/>
        </w:rPr>
        <w:t xml:space="preserve">. </w:t>
      </w:r>
      <w:r w:rsidRPr="00335F5C">
        <w:rPr>
          <w:rFonts w:asciiTheme="majorBidi" w:hAnsiTheme="majorBidi" w:cstheme="majorBidi"/>
          <w:b/>
          <w:bCs/>
          <w:sz w:val="28"/>
          <w:szCs w:val="28"/>
          <w:rtl/>
        </w:rPr>
        <w:t xml:space="preserve">فروض الدراسة </w:t>
      </w:r>
    </w:p>
    <w:p w14:paraId="57BB2924" w14:textId="6BB3F5D3" w:rsidR="00404A54" w:rsidRPr="001A4409" w:rsidRDefault="00404A54" w:rsidP="001A4409">
      <w:pPr>
        <w:bidi/>
        <w:rPr>
          <w:rFonts w:asciiTheme="majorBidi" w:hAnsiTheme="majorBidi" w:cstheme="majorBidi"/>
          <w:b/>
          <w:bCs/>
          <w:sz w:val="28"/>
          <w:szCs w:val="28"/>
        </w:rPr>
      </w:pPr>
      <w:r w:rsidRPr="00C262E0">
        <w:rPr>
          <w:rFonts w:asciiTheme="majorBidi" w:hAnsiTheme="majorBidi" w:cstheme="majorBidi"/>
          <w:b/>
          <w:bCs/>
          <w:sz w:val="28"/>
          <w:szCs w:val="28"/>
          <w:rtl/>
        </w:rPr>
        <w:t>الفرضية الرئيسية</w:t>
      </w:r>
      <w:r w:rsidRPr="00C262E0">
        <w:rPr>
          <w:rFonts w:asciiTheme="majorBidi" w:hAnsiTheme="majorBidi" w:cstheme="majorBidi"/>
          <w:b/>
          <w:bCs/>
          <w:sz w:val="28"/>
          <w:szCs w:val="28"/>
        </w:rPr>
        <w:t>:</w:t>
      </w:r>
      <w:r w:rsidRPr="00C262E0">
        <w:rPr>
          <w:rFonts w:asciiTheme="majorBidi" w:hAnsiTheme="majorBidi" w:cstheme="majorBidi"/>
          <w:sz w:val="28"/>
          <w:szCs w:val="28"/>
        </w:rPr>
        <w:br/>
      </w:r>
      <w:r w:rsidRPr="00C262E0">
        <w:rPr>
          <w:rFonts w:asciiTheme="majorBidi" w:hAnsiTheme="majorBidi" w:cstheme="majorBidi"/>
          <w:b/>
          <w:bCs/>
          <w:sz w:val="28"/>
          <w:szCs w:val="28"/>
        </w:rPr>
        <w:t>H₁</w:t>
      </w:r>
      <w:r>
        <w:rPr>
          <w:rFonts w:asciiTheme="majorBidi" w:hAnsiTheme="majorBidi" w:cstheme="majorBidi" w:hint="cs"/>
          <w:b/>
          <w:bCs/>
          <w:sz w:val="28"/>
          <w:szCs w:val="28"/>
          <w:rtl/>
        </w:rPr>
        <w:t xml:space="preserve">: </w:t>
      </w:r>
      <w:r w:rsidRPr="00C262E0">
        <w:rPr>
          <w:rFonts w:asciiTheme="majorBidi" w:hAnsiTheme="majorBidi" w:cstheme="majorBidi"/>
          <w:sz w:val="28"/>
          <w:szCs w:val="28"/>
          <w:rtl/>
        </w:rPr>
        <w:t>توجد علاقة ذات دلالة إحصائية بين أنظمة العمل عالية الأداء والإبداع الوظيفي لدى العاملين في قطاعي الفنادق والمطاعم بمدينة الرياض</w:t>
      </w:r>
      <w:r w:rsidRPr="00C262E0">
        <w:rPr>
          <w:rFonts w:asciiTheme="majorBidi" w:hAnsiTheme="majorBidi" w:cstheme="majorBidi"/>
          <w:sz w:val="28"/>
          <w:szCs w:val="28"/>
        </w:rPr>
        <w:t>.</w:t>
      </w:r>
    </w:p>
    <w:p w14:paraId="42262E8F" w14:textId="77777777" w:rsidR="00404A54" w:rsidRPr="00C262E0" w:rsidRDefault="00404A54" w:rsidP="00404A54">
      <w:pPr>
        <w:bidi/>
        <w:rPr>
          <w:rFonts w:asciiTheme="majorBidi" w:hAnsiTheme="majorBidi" w:cstheme="majorBidi"/>
          <w:sz w:val="28"/>
          <w:szCs w:val="28"/>
        </w:rPr>
      </w:pPr>
    </w:p>
    <w:p w14:paraId="4DD4EDAE" w14:textId="77777777" w:rsidR="00404A54" w:rsidRPr="00C262E0" w:rsidRDefault="00404A54" w:rsidP="00404A54">
      <w:pPr>
        <w:bidi/>
        <w:rPr>
          <w:rFonts w:asciiTheme="majorBidi" w:hAnsiTheme="majorBidi" w:cstheme="majorBidi"/>
          <w:b/>
          <w:bCs/>
          <w:sz w:val="28"/>
          <w:szCs w:val="28"/>
        </w:rPr>
      </w:pPr>
      <w:r w:rsidRPr="00C262E0">
        <w:rPr>
          <w:rFonts w:asciiTheme="majorBidi" w:hAnsiTheme="majorBidi" w:cstheme="majorBidi"/>
          <w:b/>
          <w:bCs/>
          <w:sz w:val="28"/>
          <w:szCs w:val="28"/>
          <w:rtl/>
        </w:rPr>
        <w:t>الفرضيات الفرعية</w:t>
      </w:r>
      <w:r w:rsidRPr="00C262E0">
        <w:rPr>
          <w:rFonts w:asciiTheme="majorBidi" w:hAnsiTheme="majorBidi" w:cstheme="majorBidi"/>
          <w:b/>
          <w:bCs/>
          <w:sz w:val="28"/>
          <w:szCs w:val="28"/>
        </w:rPr>
        <w:t xml:space="preserve"> (</w:t>
      </w:r>
      <w:r w:rsidRPr="00C262E0">
        <w:rPr>
          <w:rFonts w:asciiTheme="majorBidi" w:hAnsiTheme="majorBidi" w:cstheme="majorBidi"/>
          <w:b/>
          <w:bCs/>
          <w:sz w:val="28"/>
          <w:szCs w:val="28"/>
          <w:rtl/>
        </w:rPr>
        <w:t>تأثير أبعاد</w:t>
      </w:r>
      <w:r w:rsidRPr="00C262E0">
        <w:rPr>
          <w:rFonts w:asciiTheme="majorBidi" w:hAnsiTheme="majorBidi" w:cstheme="majorBidi"/>
          <w:b/>
          <w:bCs/>
          <w:sz w:val="28"/>
          <w:szCs w:val="28"/>
        </w:rPr>
        <w:t xml:space="preserve"> HPWS </w:t>
      </w:r>
      <w:r w:rsidRPr="00C262E0">
        <w:rPr>
          <w:rFonts w:asciiTheme="majorBidi" w:hAnsiTheme="majorBidi" w:cstheme="majorBidi"/>
          <w:b/>
          <w:bCs/>
          <w:sz w:val="28"/>
          <w:szCs w:val="28"/>
          <w:rtl/>
        </w:rPr>
        <w:t>على الإبداع الوظيفي</w:t>
      </w:r>
      <w:r w:rsidRPr="00C262E0">
        <w:rPr>
          <w:rFonts w:asciiTheme="majorBidi" w:hAnsiTheme="majorBidi" w:cstheme="majorBidi"/>
          <w:b/>
          <w:bCs/>
          <w:sz w:val="28"/>
          <w:szCs w:val="28"/>
        </w:rPr>
        <w:t>):</w:t>
      </w:r>
    </w:p>
    <w:p w14:paraId="7CAEFBDB" w14:textId="77777777" w:rsidR="00404A54" w:rsidRPr="00C262E0" w:rsidRDefault="00404A54" w:rsidP="00404A54">
      <w:pPr>
        <w:bidi/>
        <w:rPr>
          <w:rFonts w:asciiTheme="majorBidi" w:hAnsiTheme="majorBidi" w:cstheme="majorBidi"/>
          <w:sz w:val="28"/>
          <w:szCs w:val="28"/>
        </w:rPr>
      </w:pPr>
      <w:r w:rsidRPr="00C262E0">
        <w:rPr>
          <w:rFonts w:asciiTheme="majorBidi" w:hAnsiTheme="majorBidi" w:cstheme="majorBidi"/>
          <w:b/>
          <w:bCs/>
          <w:sz w:val="28"/>
          <w:szCs w:val="28"/>
        </w:rPr>
        <w:t>H₁-1</w:t>
      </w:r>
      <w:r>
        <w:rPr>
          <w:rFonts w:asciiTheme="majorBidi" w:hAnsiTheme="majorBidi" w:cstheme="majorBidi" w:hint="cs"/>
          <w:b/>
          <w:bCs/>
          <w:sz w:val="28"/>
          <w:szCs w:val="28"/>
          <w:rtl/>
        </w:rPr>
        <w:t>:</w:t>
      </w:r>
      <w:r w:rsidRPr="00C262E0">
        <w:rPr>
          <w:rFonts w:asciiTheme="majorBidi" w:hAnsiTheme="majorBidi" w:cstheme="majorBidi"/>
          <w:sz w:val="28"/>
          <w:szCs w:val="28"/>
        </w:rPr>
        <w:t xml:space="preserve"> </w:t>
      </w:r>
      <w:r w:rsidRPr="00C262E0">
        <w:rPr>
          <w:rFonts w:asciiTheme="majorBidi" w:hAnsiTheme="majorBidi" w:cstheme="majorBidi"/>
          <w:sz w:val="28"/>
          <w:szCs w:val="28"/>
          <w:rtl/>
        </w:rPr>
        <w:t>توجد علاقة ذات دلالة إحصائية بين التوظيف الانتقائي والإبداع الوظيفي</w:t>
      </w:r>
      <w:r w:rsidRPr="00C262E0">
        <w:rPr>
          <w:rFonts w:asciiTheme="majorBidi" w:hAnsiTheme="majorBidi" w:cstheme="majorBidi"/>
          <w:sz w:val="28"/>
          <w:szCs w:val="28"/>
        </w:rPr>
        <w:t>.</w:t>
      </w:r>
      <w:r w:rsidRPr="00C262E0">
        <w:rPr>
          <w:rFonts w:asciiTheme="majorBidi" w:hAnsiTheme="majorBidi" w:cstheme="majorBidi"/>
          <w:sz w:val="28"/>
          <w:szCs w:val="28"/>
        </w:rPr>
        <w:br/>
      </w:r>
      <w:r w:rsidRPr="00C262E0">
        <w:rPr>
          <w:rFonts w:asciiTheme="majorBidi" w:hAnsiTheme="majorBidi" w:cstheme="majorBidi"/>
          <w:b/>
          <w:bCs/>
          <w:sz w:val="28"/>
          <w:szCs w:val="28"/>
        </w:rPr>
        <w:t>H₁-2</w:t>
      </w:r>
      <w:r>
        <w:rPr>
          <w:rFonts w:asciiTheme="majorBidi" w:hAnsiTheme="majorBidi" w:cstheme="majorBidi" w:hint="cs"/>
          <w:b/>
          <w:bCs/>
          <w:sz w:val="28"/>
          <w:szCs w:val="28"/>
          <w:rtl/>
        </w:rPr>
        <w:t>:</w:t>
      </w:r>
      <w:r w:rsidRPr="00C262E0">
        <w:rPr>
          <w:rFonts w:asciiTheme="majorBidi" w:hAnsiTheme="majorBidi" w:cstheme="majorBidi"/>
          <w:sz w:val="28"/>
          <w:szCs w:val="28"/>
        </w:rPr>
        <w:t xml:space="preserve"> </w:t>
      </w:r>
      <w:r w:rsidRPr="00C262E0">
        <w:rPr>
          <w:rFonts w:asciiTheme="majorBidi" w:hAnsiTheme="majorBidi" w:cstheme="majorBidi"/>
          <w:sz w:val="28"/>
          <w:szCs w:val="28"/>
          <w:rtl/>
        </w:rPr>
        <w:t>توجد علاقة ذات دلالة إحصائية بين التدريب والتطوير والإبداع الوظيفي</w:t>
      </w:r>
      <w:r w:rsidRPr="00C262E0">
        <w:rPr>
          <w:rFonts w:asciiTheme="majorBidi" w:hAnsiTheme="majorBidi" w:cstheme="majorBidi"/>
          <w:sz w:val="28"/>
          <w:szCs w:val="28"/>
        </w:rPr>
        <w:t>.</w:t>
      </w:r>
      <w:r w:rsidRPr="00C262E0">
        <w:rPr>
          <w:rFonts w:asciiTheme="majorBidi" w:hAnsiTheme="majorBidi" w:cstheme="majorBidi"/>
          <w:sz w:val="28"/>
          <w:szCs w:val="28"/>
        </w:rPr>
        <w:br/>
      </w:r>
      <w:r w:rsidRPr="00C262E0">
        <w:rPr>
          <w:rFonts w:asciiTheme="majorBidi" w:hAnsiTheme="majorBidi" w:cstheme="majorBidi"/>
          <w:b/>
          <w:bCs/>
          <w:sz w:val="28"/>
          <w:szCs w:val="28"/>
        </w:rPr>
        <w:t>H₁-3</w:t>
      </w:r>
      <w:r>
        <w:rPr>
          <w:rFonts w:asciiTheme="majorBidi" w:hAnsiTheme="majorBidi" w:cstheme="majorBidi" w:hint="cs"/>
          <w:b/>
          <w:bCs/>
          <w:sz w:val="28"/>
          <w:szCs w:val="28"/>
          <w:rtl/>
        </w:rPr>
        <w:t>:</w:t>
      </w:r>
      <w:r w:rsidRPr="00C262E0">
        <w:rPr>
          <w:rFonts w:asciiTheme="majorBidi" w:hAnsiTheme="majorBidi" w:cstheme="majorBidi"/>
          <w:sz w:val="28"/>
          <w:szCs w:val="28"/>
        </w:rPr>
        <w:t xml:space="preserve"> </w:t>
      </w:r>
      <w:r w:rsidRPr="00C262E0">
        <w:rPr>
          <w:rFonts w:asciiTheme="majorBidi" w:hAnsiTheme="majorBidi" w:cstheme="majorBidi"/>
          <w:sz w:val="28"/>
          <w:szCs w:val="28"/>
          <w:rtl/>
        </w:rPr>
        <w:t>توجد علاقة ذات دلالة إحصائية بين نظم الحوافز والإبداع الوظيفي</w:t>
      </w:r>
      <w:r w:rsidRPr="00C262E0">
        <w:rPr>
          <w:rFonts w:asciiTheme="majorBidi" w:hAnsiTheme="majorBidi" w:cstheme="majorBidi"/>
          <w:sz w:val="28"/>
          <w:szCs w:val="28"/>
        </w:rPr>
        <w:t>.</w:t>
      </w:r>
      <w:r w:rsidRPr="00C262E0">
        <w:rPr>
          <w:rFonts w:asciiTheme="majorBidi" w:hAnsiTheme="majorBidi" w:cstheme="majorBidi"/>
          <w:sz w:val="28"/>
          <w:szCs w:val="28"/>
        </w:rPr>
        <w:br/>
      </w:r>
      <w:r w:rsidRPr="00C262E0">
        <w:rPr>
          <w:rFonts w:asciiTheme="majorBidi" w:hAnsiTheme="majorBidi" w:cstheme="majorBidi"/>
          <w:b/>
          <w:bCs/>
          <w:sz w:val="28"/>
          <w:szCs w:val="28"/>
        </w:rPr>
        <w:t>H₁-4</w:t>
      </w:r>
      <w:r>
        <w:rPr>
          <w:rFonts w:asciiTheme="majorBidi" w:hAnsiTheme="majorBidi" w:cstheme="majorBidi" w:hint="cs"/>
          <w:b/>
          <w:bCs/>
          <w:sz w:val="28"/>
          <w:szCs w:val="28"/>
          <w:rtl/>
        </w:rPr>
        <w:t>:</w:t>
      </w:r>
      <w:r w:rsidRPr="00C262E0">
        <w:rPr>
          <w:rFonts w:asciiTheme="majorBidi" w:hAnsiTheme="majorBidi" w:cstheme="majorBidi"/>
          <w:sz w:val="28"/>
          <w:szCs w:val="28"/>
        </w:rPr>
        <w:t xml:space="preserve"> </w:t>
      </w:r>
      <w:r w:rsidRPr="00C262E0">
        <w:rPr>
          <w:rFonts w:asciiTheme="majorBidi" w:hAnsiTheme="majorBidi" w:cstheme="majorBidi"/>
          <w:sz w:val="28"/>
          <w:szCs w:val="28"/>
          <w:rtl/>
        </w:rPr>
        <w:t>توجد علاقة ذات دلالة إحصائية بين مشاركة الموظفين في اتخاذ القرار والإبداع الوظيفي</w:t>
      </w:r>
      <w:r w:rsidRPr="00C262E0">
        <w:rPr>
          <w:rFonts w:asciiTheme="majorBidi" w:hAnsiTheme="majorBidi" w:cstheme="majorBidi"/>
          <w:sz w:val="28"/>
          <w:szCs w:val="28"/>
        </w:rPr>
        <w:t>.</w:t>
      </w:r>
    </w:p>
    <w:p w14:paraId="600103FB" w14:textId="77777777" w:rsidR="00404A54" w:rsidRPr="00C262E0" w:rsidRDefault="00404A54" w:rsidP="00404A54">
      <w:pPr>
        <w:bidi/>
        <w:rPr>
          <w:rFonts w:asciiTheme="majorBidi" w:hAnsiTheme="majorBidi" w:cstheme="majorBidi"/>
          <w:sz w:val="28"/>
          <w:szCs w:val="28"/>
        </w:rPr>
      </w:pPr>
    </w:p>
    <w:p w14:paraId="2202A51A" w14:textId="77777777" w:rsidR="00404A54" w:rsidRPr="00C262E0" w:rsidRDefault="00404A54" w:rsidP="00404A54">
      <w:pPr>
        <w:bidi/>
        <w:rPr>
          <w:rFonts w:asciiTheme="majorBidi" w:hAnsiTheme="majorBidi" w:cstheme="majorBidi"/>
          <w:b/>
          <w:bCs/>
          <w:sz w:val="28"/>
          <w:szCs w:val="28"/>
        </w:rPr>
      </w:pPr>
      <w:r w:rsidRPr="00C262E0">
        <w:rPr>
          <w:rFonts w:asciiTheme="majorBidi" w:hAnsiTheme="majorBidi" w:cstheme="majorBidi"/>
          <w:b/>
          <w:bCs/>
          <w:sz w:val="28"/>
          <w:szCs w:val="28"/>
          <w:rtl/>
        </w:rPr>
        <w:t>فرضيات العلاقة بين</w:t>
      </w:r>
      <w:r w:rsidRPr="00C262E0">
        <w:rPr>
          <w:rFonts w:asciiTheme="majorBidi" w:hAnsiTheme="majorBidi" w:cstheme="majorBidi"/>
          <w:b/>
          <w:bCs/>
          <w:sz w:val="28"/>
          <w:szCs w:val="28"/>
        </w:rPr>
        <w:t xml:space="preserve"> HPWS </w:t>
      </w:r>
      <w:r w:rsidRPr="00C262E0">
        <w:rPr>
          <w:rFonts w:asciiTheme="majorBidi" w:hAnsiTheme="majorBidi" w:cstheme="majorBidi"/>
          <w:b/>
          <w:bCs/>
          <w:sz w:val="28"/>
          <w:szCs w:val="28"/>
          <w:rtl/>
        </w:rPr>
        <w:t>والثقافة التنظيمية</w:t>
      </w:r>
      <w:r w:rsidRPr="00C262E0">
        <w:rPr>
          <w:rFonts w:asciiTheme="majorBidi" w:hAnsiTheme="majorBidi" w:cstheme="majorBidi"/>
          <w:b/>
          <w:bCs/>
          <w:sz w:val="28"/>
          <w:szCs w:val="28"/>
        </w:rPr>
        <w:t>:</w:t>
      </w:r>
    </w:p>
    <w:p w14:paraId="5A84A605" w14:textId="77777777" w:rsidR="00404A54" w:rsidRDefault="00404A54" w:rsidP="00404A54">
      <w:pPr>
        <w:bidi/>
        <w:rPr>
          <w:rFonts w:asciiTheme="majorBidi" w:hAnsiTheme="majorBidi" w:cstheme="majorBidi"/>
          <w:sz w:val="28"/>
          <w:szCs w:val="28"/>
          <w:rtl/>
        </w:rPr>
      </w:pPr>
      <w:r w:rsidRPr="00C262E0">
        <w:rPr>
          <w:rFonts w:asciiTheme="majorBidi" w:hAnsiTheme="majorBidi" w:cstheme="majorBidi"/>
          <w:b/>
          <w:bCs/>
          <w:sz w:val="28"/>
          <w:szCs w:val="28"/>
        </w:rPr>
        <w:t>H₂</w:t>
      </w:r>
      <w:r>
        <w:rPr>
          <w:rFonts w:asciiTheme="majorBidi" w:hAnsiTheme="majorBidi" w:cstheme="majorBidi" w:hint="cs"/>
          <w:b/>
          <w:bCs/>
          <w:sz w:val="28"/>
          <w:szCs w:val="28"/>
          <w:rtl/>
        </w:rPr>
        <w:t>:</w:t>
      </w:r>
      <w:r w:rsidRPr="00C262E0">
        <w:rPr>
          <w:rFonts w:asciiTheme="majorBidi" w:hAnsiTheme="majorBidi" w:cstheme="majorBidi"/>
          <w:sz w:val="28"/>
          <w:szCs w:val="28"/>
        </w:rPr>
        <w:t xml:space="preserve"> </w:t>
      </w:r>
      <w:r w:rsidRPr="00C262E0">
        <w:rPr>
          <w:rFonts w:asciiTheme="majorBidi" w:hAnsiTheme="majorBidi" w:cstheme="majorBidi"/>
          <w:sz w:val="28"/>
          <w:szCs w:val="28"/>
          <w:rtl/>
        </w:rPr>
        <w:t>توجد علاقة ذات دلالة إحصائية بين أنظمة العمل عالية الأداء والثقافة التنظيمية</w:t>
      </w:r>
      <w:r w:rsidRPr="00C262E0">
        <w:rPr>
          <w:rFonts w:asciiTheme="majorBidi" w:hAnsiTheme="majorBidi" w:cstheme="majorBidi"/>
          <w:sz w:val="28"/>
          <w:szCs w:val="28"/>
        </w:rPr>
        <w:t>.</w:t>
      </w:r>
      <w:r w:rsidRPr="00C262E0">
        <w:rPr>
          <w:rFonts w:asciiTheme="majorBidi" w:hAnsiTheme="majorBidi" w:cstheme="majorBidi"/>
          <w:sz w:val="28"/>
          <w:szCs w:val="28"/>
        </w:rPr>
        <w:br/>
      </w:r>
      <w:r w:rsidRPr="00C262E0">
        <w:rPr>
          <w:rFonts w:asciiTheme="majorBidi" w:hAnsiTheme="majorBidi" w:cstheme="majorBidi"/>
          <w:b/>
          <w:bCs/>
          <w:sz w:val="28"/>
          <w:szCs w:val="28"/>
        </w:rPr>
        <w:t>H₂-1</w:t>
      </w:r>
      <w:r>
        <w:rPr>
          <w:rFonts w:asciiTheme="majorBidi" w:hAnsiTheme="majorBidi" w:cstheme="majorBidi" w:hint="cs"/>
          <w:b/>
          <w:bCs/>
          <w:sz w:val="28"/>
          <w:szCs w:val="28"/>
          <w:rtl/>
        </w:rPr>
        <w:t>:</w:t>
      </w:r>
      <w:r w:rsidRPr="00C262E0">
        <w:rPr>
          <w:rFonts w:asciiTheme="majorBidi" w:hAnsiTheme="majorBidi" w:cstheme="majorBidi"/>
          <w:sz w:val="28"/>
          <w:szCs w:val="28"/>
        </w:rPr>
        <w:t xml:space="preserve"> </w:t>
      </w:r>
      <w:r w:rsidRPr="00C262E0">
        <w:rPr>
          <w:rFonts w:asciiTheme="majorBidi" w:hAnsiTheme="majorBidi" w:cstheme="majorBidi"/>
          <w:sz w:val="28"/>
          <w:szCs w:val="28"/>
          <w:rtl/>
        </w:rPr>
        <w:t>يؤثر التوظيف الانتقائي بشكل إيجابي على الثقافة التنظيمية</w:t>
      </w:r>
      <w:r w:rsidRPr="00C262E0">
        <w:rPr>
          <w:rFonts w:asciiTheme="majorBidi" w:hAnsiTheme="majorBidi" w:cstheme="majorBidi"/>
          <w:sz w:val="28"/>
          <w:szCs w:val="28"/>
        </w:rPr>
        <w:t>.</w:t>
      </w:r>
      <w:r w:rsidRPr="00C262E0">
        <w:rPr>
          <w:rFonts w:asciiTheme="majorBidi" w:hAnsiTheme="majorBidi" w:cstheme="majorBidi"/>
          <w:sz w:val="28"/>
          <w:szCs w:val="28"/>
        </w:rPr>
        <w:br/>
      </w:r>
      <w:r w:rsidRPr="00C262E0">
        <w:rPr>
          <w:rFonts w:asciiTheme="majorBidi" w:hAnsiTheme="majorBidi" w:cstheme="majorBidi"/>
          <w:b/>
          <w:bCs/>
          <w:sz w:val="28"/>
          <w:szCs w:val="28"/>
        </w:rPr>
        <w:t>H₂-2</w:t>
      </w:r>
      <w:r>
        <w:rPr>
          <w:rFonts w:asciiTheme="majorBidi" w:hAnsiTheme="majorBidi" w:cstheme="majorBidi" w:hint="cs"/>
          <w:b/>
          <w:bCs/>
          <w:sz w:val="28"/>
          <w:szCs w:val="28"/>
          <w:rtl/>
        </w:rPr>
        <w:t xml:space="preserve">: </w:t>
      </w:r>
      <w:r w:rsidRPr="00C262E0">
        <w:rPr>
          <w:rFonts w:asciiTheme="majorBidi" w:hAnsiTheme="majorBidi" w:cstheme="majorBidi"/>
          <w:sz w:val="28"/>
          <w:szCs w:val="28"/>
          <w:rtl/>
        </w:rPr>
        <w:t>يسهم التدريب والتطوير في تعزيز الثقافة التنظيمية</w:t>
      </w:r>
      <w:r w:rsidRPr="00C262E0">
        <w:rPr>
          <w:rFonts w:asciiTheme="majorBidi" w:hAnsiTheme="majorBidi" w:cstheme="majorBidi"/>
          <w:sz w:val="28"/>
          <w:szCs w:val="28"/>
        </w:rPr>
        <w:t>.</w:t>
      </w:r>
      <w:r w:rsidRPr="00C262E0">
        <w:rPr>
          <w:rFonts w:asciiTheme="majorBidi" w:hAnsiTheme="majorBidi" w:cstheme="majorBidi"/>
          <w:sz w:val="28"/>
          <w:szCs w:val="28"/>
        </w:rPr>
        <w:br/>
      </w:r>
      <w:r w:rsidRPr="00C262E0">
        <w:rPr>
          <w:rFonts w:asciiTheme="majorBidi" w:hAnsiTheme="majorBidi" w:cstheme="majorBidi"/>
          <w:b/>
          <w:bCs/>
          <w:sz w:val="28"/>
          <w:szCs w:val="28"/>
        </w:rPr>
        <w:t>H₂-3</w:t>
      </w:r>
      <w:r>
        <w:rPr>
          <w:rFonts w:asciiTheme="majorBidi" w:hAnsiTheme="majorBidi" w:cstheme="majorBidi" w:hint="cs"/>
          <w:b/>
          <w:bCs/>
          <w:sz w:val="28"/>
          <w:szCs w:val="28"/>
          <w:rtl/>
        </w:rPr>
        <w:t>:</w:t>
      </w:r>
      <w:r w:rsidRPr="00C262E0">
        <w:rPr>
          <w:rFonts w:asciiTheme="majorBidi" w:hAnsiTheme="majorBidi" w:cstheme="majorBidi"/>
          <w:sz w:val="28"/>
          <w:szCs w:val="28"/>
        </w:rPr>
        <w:t xml:space="preserve"> </w:t>
      </w:r>
      <w:r w:rsidRPr="00C262E0">
        <w:rPr>
          <w:rFonts w:asciiTheme="majorBidi" w:hAnsiTheme="majorBidi" w:cstheme="majorBidi"/>
          <w:sz w:val="28"/>
          <w:szCs w:val="28"/>
          <w:rtl/>
        </w:rPr>
        <w:t>ترتبط نظم الحوافز الإيجابية بتقوية الثقافة التنظيمية</w:t>
      </w:r>
      <w:r w:rsidRPr="00C262E0">
        <w:rPr>
          <w:rFonts w:asciiTheme="majorBidi" w:hAnsiTheme="majorBidi" w:cstheme="majorBidi"/>
          <w:sz w:val="28"/>
          <w:szCs w:val="28"/>
        </w:rPr>
        <w:t>.</w:t>
      </w:r>
      <w:r w:rsidRPr="00C262E0">
        <w:rPr>
          <w:rFonts w:asciiTheme="majorBidi" w:hAnsiTheme="majorBidi" w:cstheme="majorBidi"/>
          <w:sz w:val="28"/>
          <w:szCs w:val="28"/>
        </w:rPr>
        <w:br/>
      </w:r>
      <w:r w:rsidRPr="00C262E0">
        <w:rPr>
          <w:rFonts w:asciiTheme="majorBidi" w:hAnsiTheme="majorBidi" w:cstheme="majorBidi"/>
          <w:b/>
          <w:bCs/>
          <w:sz w:val="28"/>
          <w:szCs w:val="28"/>
        </w:rPr>
        <w:t>H₂-4</w:t>
      </w:r>
      <w:r>
        <w:rPr>
          <w:rFonts w:asciiTheme="majorBidi" w:hAnsiTheme="majorBidi" w:cstheme="majorBidi" w:hint="cs"/>
          <w:b/>
          <w:bCs/>
          <w:sz w:val="28"/>
          <w:szCs w:val="28"/>
          <w:rtl/>
        </w:rPr>
        <w:t>:</w:t>
      </w:r>
      <w:r w:rsidRPr="00C262E0">
        <w:rPr>
          <w:rFonts w:asciiTheme="majorBidi" w:hAnsiTheme="majorBidi" w:cstheme="majorBidi"/>
          <w:sz w:val="28"/>
          <w:szCs w:val="28"/>
        </w:rPr>
        <w:t xml:space="preserve"> </w:t>
      </w:r>
      <w:r w:rsidRPr="00C262E0">
        <w:rPr>
          <w:rFonts w:asciiTheme="majorBidi" w:hAnsiTheme="majorBidi" w:cstheme="majorBidi"/>
          <w:sz w:val="28"/>
          <w:szCs w:val="28"/>
          <w:rtl/>
        </w:rPr>
        <w:t>تؤدي مشاركة الموظفين إلى تحسين الثقافة التنظيمية</w:t>
      </w:r>
      <w:r w:rsidRPr="00C262E0">
        <w:rPr>
          <w:rFonts w:asciiTheme="majorBidi" w:hAnsiTheme="majorBidi" w:cstheme="majorBidi"/>
          <w:sz w:val="28"/>
          <w:szCs w:val="28"/>
        </w:rPr>
        <w:t>.</w:t>
      </w:r>
    </w:p>
    <w:p w14:paraId="2DE1E3E9" w14:textId="77777777" w:rsidR="00404A54" w:rsidRPr="00C262E0" w:rsidRDefault="00404A54" w:rsidP="00404A54">
      <w:pPr>
        <w:bidi/>
        <w:rPr>
          <w:rFonts w:asciiTheme="majorBidi" w:hAnsiTheme="majorBidi" w:cstheme="majorBidi"/>
          <w:sz w:val="28"/>
          <w:szCs w:val="28"/>
        </w:rPr>
      </w:pPr>
    </w:p>
    <w:p w14:paraId="4DF1302B" w14:textId="77777777" w:rsidR="00404A54" w:rsidRPr="00C262E0" w:rsidRDefault="00404A54" w:rsidP="00404A54">
      <w:pPr>
        <w:bidi/>
        <w:rPr>
          <w:rFonts w:asciiTheme="majorBidi" w:hAnsiTheme="majorBidi" w:cstheme="majorBidi"/>
          <w:b/>
          <w:bCs/>
          <w:sz w:val="28"/>
          <w:szCs w:val="28"/>
        </w:rPr>
      </w:pPr>
      <w:r w:rsidRPr="00C262E0">
        <w:rPr>
          <w:rFonts w:asciiTheme="majorBidi" w:hAnsiTheme="majorBidi" w:cstheme="majorBidi"/>
          <w:b/>
          <w:bCs/>
          <w:sz w:val="28"/>
          <w:szCs w:val="28"/>
          <w:rtl/>
        </w:rPr>
        <w:t>فرضية العلاقة بين الثقافة التنظيمية والإبداع الوظيفي</w:t>
      </w:r>
      <w:r w:rsidRPr="00C262E0">
        <w:rPr>
          <w:rFonts w:asciiTheme="majorBidi" w:hAnsiTheme="majorBidi" w:cstheme="majorBidi"/>
          <w:b/>
          <w:bCs/>
          <w:sz w:val="28"/>
          <w:szCs w:val="28"/>
        </w:rPr>
        <w:t>:</w:t>
      </w:r>
    </w:p>
    <w:p w14:paraId="38D1C93F" w14:textId="77777777" w:rsidR="00404A54" w:rsidRDefault="00404A54" w:rsidP="00404A54">
      <w:pPr>
        <w:bidi/>
        <w:rPr>
          <w:rFonts w:asciiTheme="majorBidi" w:hAnsiTheme="majorBidi" w:cstheme="majorBidi"/>
          <w:sz w:val="28"/>
          <w:szCs w:val="28"/>
          <w:rtl/>
        </w:rPr>
      </w:pPr>
      <w:r w:rsidRPr="00C262E0">
        <w:rPr>
          <w:rFonts w:asciiTheme="majorBidi" w:hAnsiTheme="majorBidi" w:cstheme="majorBidi"/>
          <w:b/>
          <w:bCs/>
          <w:sz w:val="28"/>
          <w:szCs w:val="28"/>
        </w:rPr>
        <w:t>H₃</w:t>
      </w:r>
      <w:r>
        <w:rPr>
          <w:rFonts w:asciiTheme="majorBidi" w:hAnsiTheme="majorBidi" w:cstheme="majorBidi" w:hint="cs"/>
          <w:b/>
          <w:bCs/>
          <w:sz w:val="28"/>
          <w:szCs w:val="28"/>
          <w:rtl/>
        </w:rPr>
        <w:t xml:space="preserve">: </w:t>
      </w:r>
      <w:r w:rsidRPr="00C262E0">
        <w:rPr>
          <w:rFonts w:asciiTheme="majorBidi" w:hAnsiTheme="majorBidi" w:cstheme="majorBidi"/>
          <w:sz w:val="28"/>
          <w:szCs w:val="28"/>
          <w:rtl/>
        </w:rPr>
        <w:t>توجد علاقة ذات دلالة إحصائية بين الثقافة التنظيمية والإبداع الوظيفي في قطاع الضيافة</w:t>
      </w:r>
      <w:r w:rsidRPr="00C262E0">
        <w:rPr>
          <w:rFonts w:asciiTheme="majorBidi" w:hAnsiTheme="majorBidi" w:cstheme="majorBidi"/>
          <w:sz w:val="28"/>
          <w:szCs w:val="28"/>
        </w:rPr>
        <w:t>.</w:t>
      </w:r>
    </w:p>
    <w:p w14:paraId="6A0284AC" w14:textId="77777777" w:rsidR="005D473F" w:rsidRPr="00C262E0" w:rsidRDefault="005D473F" w:rsidP="005D473F">
      <w:pPr>
        <w:bidi/>
        <w:rPr>
          <w:rFonts w:asciiTheme="majorBidi" w:hAnsiTheme="majorBidi" w:cstheme="majorBidi"/>
          <w:sz w:val="28"/>
          <w:szCs w:val="28"/>
        </w:rPr>
      </w:pPr>
    </w:p>
    <w:p w14:paraId="378CF668" w14:textId="77777777" w:rsidR="00404A54" w:rsidRPr="00C262E0" w:rsidRDefault="00404A54" w:rsidP="00404A54">
      <w:pPr>
        <w:bidi/>
        <w:rPr>
          <w:rFonts w:asciiTheme="majorBidi" w:hAnsiTheme="majorBidi" w:cstheme="majorBidi"/>
          <w:b/>
          <w:bCs/>
          <w:sz w:val="28"/>
          <w:szCs w:val="28"/>
        </w:rPr>
      </w:pPr>
      <w:r w:rsidRPr="00C262E0">
        <w:rPr>
          <w:rFonts w:asciiTheme="majorBidi" w:hAnsiTheme="majorBidi" w:cstheme="majorBidi"/>
          <w:b/>
          <w:bCs/>
          <w:sz w:val="28"/>
          <w:szCs w:val="28"/>
          <w:rtl/>
        </w:rPr>
        <w:t>فرضيات الوساطة</w:t>
      </w:r>
      <w:r w:rsidRPr="00C262E0">
        <w:rPr>
          <w:rFonts w:asciiTheme="majorBidi" w:hAnsiTheme="majorBidi" w:cstheme="majorBidi"/>
          <w:b/>
          <w:bCs/>
          <w:sz w:val="28"/>
          <w:szCs w:val="28"/>
        </w:rPr>
        <w:t xml:space="preserve"> (Indirect Effects):</w:t>
      </w:r>
    </w:p>
    <w:p w14:paraId="35D5BA37" w14:textId="77777777" w:rsidR="00404A54" w:rsidRDefault="00404A54" w:rsidP="00404A54">
      <w:pPr>
        <w:bidi/>
        <w:rPr>
          <w:rFonts w:asciiTheme="majorBidi" w:hAnsiTheme="majorBidi" w:cstheme="majorBidi"/>
          <w:sz w:val="28"/>
          <w:szCs w:val="28"/>
          <w:rtl/>
        </w:rPr>
      </w:pPr>
      <w:r w:rsidRPr="00C262E0">
        <w:rPr>
          <w:rFonts w:asciiTheme="majorBidi" w:hAnsiTheme="majorBidi" w:cstheme="majorBidi"/>
          <w:b/>
          <w:bCs/>
          <w:sz w:val="28"/>
          <w:szCs w:val="28"/>
        </w:rPr>
        <w:t>H₄</w:t>
      </w:r>
      <w:r>
        <w:rPr>
          <w:rFonts w:asciiTheme="majorBidi" w:hAnsiTheme="majorBidi" w:cstheme="majorBidi" w:hint="cs"/>
          <w:b/>
          <w:bCs/>
          <w:sz w:val="28"/>
          <w:szCs w:val="28"/>
          <w:rtl/>
        </w:rPr>
        <w:t>:</w:t>
      </w:r>
      <w:r w:rsidRPr="00C262E0">
        <w:rPr>
          <w:rFonts w:asciiTheme="majorBidi" w:hAnsiTheme="majorBidi" w:cstheme="majorBidi"/>
          <w:sz w:val="28"/>
          <w:szCs w:val="28"/>
        </w:rPr>
        <w:t xml:space="preserve"> </w:t>
      </w:r>
      <w:r w:rsidRPr="00C262E0">
        <w:rPr>
          <w:rFonts w:asciiTheme="majorBidi" w:hAnsiTheme="majorBidi" w:cstheme="majorBidi"/>
          <w:sz w:val="28"/>
          <w:szCs w:val="28"/>
          <w:rtl/>
        </w:rPr>
        <w:t>تتوسط الثقافة التنظيمية العلاقة بين أنظمة العمل عالية الأداء والإبداع الوظيفي</w:t>
      </w:r>
      <w:r w:rsidRPr="00C262E0">
        <w:rPr>
          <w:rFonts w:asciiTheme="majorBidi" w:hAnsiTheme="majorBidi" w:cstheme="majorBidi"/>
          <w:sz w:val="28"/>
          <w:szCs w:val="28"/>
        </w:rPr>
        <w:t>.</w:t>
      </w:r>
      <w:r w:rsidRPr="00C262E0">
        <w:rPr>
          <w:rFonts w:asciiTheme="majorBidi" w:hAnsiTheme="majorBidi" w:cstheme="majorBidi"/>
          <w:sz w:val="28"/>
          <w:szCs w:val="28"/>
        </w:rPr>
        <w:br/>
      </w:r>
      <w:r w:rsidRPr="00C262E0">
        <w:rPr>
          <w:rFonts w:asciiTheme="majorBidi" w:hAnsiTheme="majorBidi" w:cstheme="majorBidi"/>
          <w:b/>
          <w:bCs/>
          <w:sz w:val="28"/>
          <w:szCs w:val="28"/>
        </w:rPr>
        <w:t>H₄-1</w:t>
      </w:r>
      <w:r>
        <w:rPr>
          <w:rFonts w:asciiTheme="majorBidi" w:hAnsiTheme="majorBidi" w:cstheme="majorBidi" w:hint="cs"/>
          <w:b/>
          <w:bCs/>
          <w:sz w:val="28"/>
          <w:szCs w:val="28"/>
          <w:rtl/>
        </w:rPr>
        <w:t>:</w:t>
      </w:r>
      <w:r w:rsidRPr="00C262E0">
        <w:rPr>
          <w:rFonts w:asciiTheme="majorBidi" w:hAnsiTheme="majorBidi" w:cstheme="majorBidi"/>
          <w:sz w:val="28"/>
          <w:szCs w:val="28"/>
        </w:rPr>
        <w:t xml:space="preserve"> </w:t>
      </w:r>
      <w:r w:rsidRPr="00C262E0">
        <w:rPr>
          <w:rFonts w:asciiTheme="majorBidi" w:hAnsiTheme="majorBidi" w:cstheme="majorBidi"/>
          <w:sz w:val="28"/>
          <w:szCs w:val="28"/>
          <w:rtl/>
        </w:rPr>
        <w:t>تتوسط الثقافة التنظيمية العلاقة بين التوظيف الانتقائي والإبداع الوظيفي</w:t>
      </w:r>
      <w:r w:rsidRPr="00C262E0">
        <w:rPr>
          <w:rFonts w:asciiTheme="majorBidi" w:hAnsiTheme="majorBidi" w:cstheme="majorBidi"/>
          <w:sz w:val="28"/>
          <w:szCs w:val="28"/>
        </w:rPr>
        <w:t>.</w:t>
      </w:r>
      <w:r w:rsidRPr="00C262E0">
        <w:rPr>
          <w:rFonts w:asciiTheme="majorBidi" w:hAnsiTheme="majorBidi" w:cstheme="majorBidi"/>
          <w:sz w:val="28"/>
          <w:szCs w:val="28"/>
        </w:rPr>
        <w:br/>
      </w:r>
      <w:r w:rsidRPr="00C262E0">
        <w:rPr>
          <w:rFonts w:asciiTheme="majorBidi" w:hAnsiTheme="majorBidi" w:cstheme="majorBidi"/>
          <w:b/>
          <w:bCs/>
          <w:sz w:val="28"/>
          <w:szCs w:val="28"/>
        </w:rPr>
        <w:t>H₄-2</w:t>
      </w:r>
      <w:r>
        <w:rPr>
          <w:rFonts w:asciiTheme="majorBidi" w:hAnsiTheme="majorBidi" w:cstheme="majorBidi" w:hint="cs"/>
          <w:b/>
          <w:bCs/>
          <w:sz w:val="28"/>
          <w:szCs w:val="28"/>
          <w:rtl/>
        </w:rPr>
        <w:t>:</w:t>
      </w:r>
      <w:r w:rsidRPr="00C262E0">
        <w:rPr>
          <w:rFonts w:asciiTheme="majorBidi" w:hAnsiTheme="majorBidi" w:cstheme="majorBidi"/>
          <w:sz w:val="28"/>
          <w:szCs w:val="28"/>
        </w:rPr>
        <w:t xml:space="preserve"> </w:t>
      </w:r>
      <w:r w:rsidRPr="00C262E0">
        <w:rPr>
          <w:rFonts w:asciiTheme="majorBidi" w:hAnsiTheme="majorBidi" w:cstheme="majorBidi"/>
          <w:sz w:val="28"/>
          <w:szCs w:val="28"/>
          <w:rtl/>
        </w:rPr>
        <w:t>تتوسط الثقافة التنظيمية العلاقة بين التدريب والتطوير والإبداع الوظيفي</w:t>
      </w:r>
      <w:r w:rsidRPr="00C262E0">
        <w:rPr>
          <w:rFonts w:asciiTheme="majorBidi" w:hAnsiTheme="majorBidi" w:cstheme="majorBidi"/>
          <w:sz w:val="28"/>
          <w:szCs w:val="28"/>
        </w:rPr>
        <w:t>.</w:t>
      </w:r>
      <w:r w:rsidRPr="00C262E0">
        <w:rPr>
          <w:rFonts w:asciiTheme="majorBidi" w:hAnsiTheme="majorBidi" w:cstheme="majorBidi"/>
          <w:sz w:val="28"/>
          <w:szCs w:val="28"/>
        </w:rPr>
        <w:br/>
      </w:r>
      <w:r w:rsidRPr="00C262E0">
        <w:rPr>
          <w:rFonts w:asciiTheme="majorBidi" w:hAnsiTheme="majorBidi" w:cstheme="majorBidi"/>
          <w:b/>
          <w:bCs/>
          <w:sz w:val="28"/>
          <w:szCs w:val="28"/>
        </w:rPr>
        <w:t>H₄-3</w:t>
      </w:r>
      <w:r>
        <w:rPr>
          <w:rFonts w:asciiTheme="majorBidi" w:hAnsiTheme="majorBidi" w:cstheme="majorBidi" w:hint="cs"/>
          <w:b/>
          <w:bCs/>
          <w:sz w:val="28"/>
          <w:szCs w:val="28"/>
          <w:rtl/>
        </w:rPr>
        <w:t>:</w:t>
      </w:r>
      <w:r w:rsidRPr="00C262E0">
        <w:rPr>
          <w:rFonts w:asciiTheme="majorBidi" w:hAnsiTheme="majorBidi" w:cstheme="majorBidi"/>
          <w:sz w:val="28"/>
          <w:szCs w:val="28"/>
        </w:rPr>
        <w:t xml:space="preserve"> </w:t>
      </w:r>
      <w:r w:rsidRPr="00C262E0">
        <w:rPr>
          <w:rFonts w:asciiTheme="majorBidi" w:hAnsiTheme="majorBidi" w:cstheme="majorBidi"/>
          <w:sz w:val="28"/>
          <w:szCs w:val="28"/>
          <w:rtl/>
        </w:rPr>
        <w:t>تتوسط الثقافة التنظيمية العلاقة بين نظم الحوافز والإبداع الوظيفي</w:t>
      </w:r>
      <w:r w:rsidRPr="00C262E0">
        <w:rPr>
          <w:rFonts w:asciiTheme="majorBidi" w:hAnsiTheme="majorBidi" w:cstheme="majorBidi"/>
          <w:sz w:val="28"/>
          <w:szCs w:val="28"/>
        </w:rPr>
        <w:t>.</w:t>
      </w:r>
      <w:r w:rsidRPr="00C262E0">
        <w:rPr>
          <w:rFonts w:asciiTheme="majorBidi" w:hAnsiTheme="majorBidi" w:cstheme="majorBidi"/>
          <w:sz w:val="28"/>
          <w:szCs w:val="28"/>
        </w:rPr>
        <w:br/>
      </w:r>
      <w:r w:rsidRPr="00C262E0">
        <w:rPr>
          <w:rFonts w:asciiTheme="majorBidi" w:hAnsiTheme="majorBidi" w:cstheme="majorBidi"/>
          <w:b/>
          <w:bCs/>
          <w:sz w:val="28"/>
          <w:szCs w:val="28"/>
        </w:rPr>
        <w:t>H₄-4</w:t>
      </w:r>
      <w:r>
        <w:rPr>
          <w:rFonts w:asciiTheme="majorBidi" w:hAnsiTheme="majorBidi" w:cstheme="majorBidi" w:hint="cs"/>
          <w:b/>
          <w:bCs/>
          <w:sz w:val="28"/>
          <w:szCs w:val="28"/>
          <w:rtl/>
        </w:rPr>
        <w:t>:</w:t>
      </w:r>
      <w:r w:rsidRPr="00C262E0">
        <w:rPr>
          <w:rFonts w:asciiTheme="majorBidi" w:hAnsiTheme="majorBidi" w:cstheme="majorBidi"/>
          <w:sz w:val="28"/>
          <w:szCs w:val="28"/>
        </w:rPr>
        <w:t xml:space="preserve"> </w:t>
      </w:r>
      <w:r w:rsidRPr="00C262E0">
        <w:rPr>
          <w:rFonts w:asciiTheme="majorBidi" w:hAnsiTheme="majorBidi" w:cstheme="majorBidi"/>
          <w:sz w:val="28"/>
          <w:szCs w:val="28"/>
          <w:rtl/>
        </w:rPr>
        <w:t>تتوسط الثقافة التنظيمية العلاقة بين مشاركة الموظفين والإبداع الوظيفي</w:t>
      </w:r>
      <w:r w:rsidRPr="00C262E0">
        <w:rPr>
          <w:rFonts w:asciiTheme="majorBidi" w:hAnsiTheme="majorBidi" w:cstheme="majorBidi"/>
          <w:sz w:val="28"/>
          <w:szCs w:val="28"/>
        </w:rPr>
        <w:t>.</w:t>
      </w:r>
    </w:p>
    <w:p w14:paraId="45BE0527" w14:textId="77777777" w:rsidR="00FF5C30" w:rsidRPr="00C262E0" w:rsidRDefault="00FF5C30" w:rsidP="00FF5C30">
      <w:pPr>
        <w:bidi/>
        <w:rPr>
          <w:rFonts w:asciiTheme="majorBidi" w:hAnsiTheme="majorBidi" w:cstheme="majorBidi"/>
          <w:sz w:val="28"/>
          <w:szCs w:val="28"/>
        </w:rPr>
      </w:pPr>
    </w:p>
    <w:p w14:paraId="63559FED" w14:textId="77777777" w:rsidR="00404A54" w:rsidRPr="00C262E0" w:rsidRDefault="00404A54" w:rsidP="00404A54">
      <w:pPr>
        <w:bidi/>
        <w:rPr>
          <w:rFonts w:asciiTheme="majorBidi" w:hAnsiTheme="majorBidi" w:cstheme="majorBidi"/>
          <w:b/>
          <w:bCs/>
          <w:sz w:val="28"/>
          <w:szCs w:val="28"/>
        </w:rPr>
      </w:pPr>
      <w:r w:rsidRPr="00C262E0">
        <w:rPr>
          <w:rFonts w:asciiTheme="majorBidi" w:hAnsiTheme="majorBidi" w:cstheme="majorBidi"/>
          <w:b/>
          <w:bCs/>
          <w:sz w:val="28"/>
          <w:szCs w:val="28"/>
          <w:rtl/>
        </w:rPr>
        <w:lastRenderedPageBreak/>
        <w:t>فرضية الفروق بين القطاعين</w:t>
      </w:r>
      <w:r w:rsidRPr="00C262E0">
        <w:rPr>
          <w:rFonts w:asciiTheme="majorBidi" w:hAnsiTheme="majorBidi" w:cstheme="majorBidi"/>
          <w:b/>
          <w:bCs/>
          <w:sz w:val="28"/>
          <w:szCs w:val="28"/>
        </w:rPr>
        <w:t>:</w:t>
      </w:r>
    </w:p>
    <w:p w14:paraId="66E54008" w14:textId="77777777" w:rsidR="00404A54" w:rsidRPr="00C262E0" w:rsidRDefault="00404A54" w:rsidP="00404A54">
      <w:pPr>
        <w:bidi/>
        <w:rPr>
          <w:rFonts w:asciiTheme="majorBidi" w:hAnsiTheme="majorBidi" w:cstheme="majorBidi"/>
          <w:sz w:val="28"/>
          <w:szCs w:val="28"/>
        </w:rPr>
      </w:pPr>
      <w:r w:rsidRPr="00C262E0">
        <w:rPr>
          <w:rFonts w:asciiTheme="majorBidi" w:hAnsiTheme="majorBidi" w:cstheme="majorBidi"/>
          <w:b/>
          <w:bCs/>
          <w:sz w:val="28"/>
          <w:szCs w:val="28"/>
        </w:rPr>
        <w:t>H₅</w:t>
      </w:r>
      <w:r>
        <w:rPr>
          <w:rFonts w:asciiTheme="majorBidi" w:hAnsiTheme="majorBidi" w:cstheme="majorBidi" w:hint="cs"/>
          <w:b/>
          <w:bCs/>
          <w:sz w:val="28"/>
          <w:szCs w:val="28"/>
          <w:rtl/>
        </w:rPr>
        <w:t>:</w:t>
      </w:r>
      <w:r w:rsidRPr="00C262E0">
        <w:rPr>
          <w:rFonts w:asciiTheme="majorBidi" w:hAnsiTheme="majorBidi" w:cstheme="majorBidi"/>
          <w:sz w:val="28"/>
          <w:szCs w:val="28"/>
        </w:rPr>
        <w:t xml:space="preserve"> </w:t>
      </w:r>
      <w:r w:rsidRPr="00C262E0">
        <w:rPr>
          <w:rFonts w:asciiTheme="majorBidi" w:hAnsiTheme="majorBidi" w:cstheme="majorBidi"/>
          <w:sz w:val="28"/>
          <w:szCs w:val="28"/>
          <w:rtl/>
        </w:rPr>
        <w:t>توجد فروق ذات دلالة إحصائية في العلاقة بين أنظمة العمل عالية الأداء والإبداع الوظيفي باختلاف نوع القطاع (فنادق مقابل مطاعم)</w:t>
      </w:r>
      <w:r w:rsidRPr="00C262E0">
        <w:rPr>
          <w:rFonts w:asciiTheme="majorBidi" w:hAnsiTheme="majorBidi" w:cstheme="majorBidi"/>
          <w:sz w:val="28"/>
          <w:szCs w:val="28"/>
        </w:rPr>
        <w:t>.</w:t>
      </w:r>
    </w:p>
    <w:p w14:paraId="03D65331" w14:textId="77777777" w:rsidR="00404A54" w:rsidRPr="00335F5C" w:rsidRDefault="00404A54" w:rsidP="00404A54">
      <w:pPr>
        <w:bidi/>
        <w:rPr>
          <w:rFonts w:asciiTheme="majorBidi" w:hAnsiTheme="majorBidi" w:cstheme="majorBidi"/>
          <w:sz w:val="28"/>
          <w:szCs w:val="28"/>
        </w:rPr>
      </w:pPr>
    </w:p>
    <w:p w14:paraId="504241F0" w14:textId="77777777" w:rsidR="00404A54" w:rsidRPr="0009445F" w:rsidRDefault="00404A54" w:rsidP="00404A54">
      <w:pPr>
        <w:bidi/>
        <w:spacing w:after="200" w:line="276" w:lineRule="auto"/>
        <w:rPr>
          <w:rFonts w:asciiTheme="majorBidi" w:hAnsiTheme="majorBidi" w:cstheme="majorBidi"/>
          <w:b/>
          <w:bCs/>
          <w:sz w:val="28"/>
          <w:szCs w:val="28"/>
        </w:rPr>
      </w:pPr>
      <w:r>
        <w:rPr>
          <w:rFonts w:asciiTheme="majorBidi" w:hAnsiTheme="majorBidi" w:cstheme="majorBidi" w:hint="cs"/>
          <w:b/>
          <w:bCs/>
          <w:sz w:val="28"/>
          <w:szCs w:val="28"/>
          <w:rtl/>
        </w:rPr>
        <w:t xml:space="preserve">1.6. </w:t>
      </w:r>
      <w:r w:rsidRPr="0009445F">
        <w:rPr>
          <w:rFonts w:asciiTheme="majorBidi" w:hAnsiTheme="majorBidi" w:cstheme="majorBidi"/>
          <w:b/>
          <w:bCs/>
          <w:sz w:val="28"/>
          <w:szCs w:val="28"/>
          <w:rtl/>
        </w:rPr>
        <w:t xml:space="preserve"> نموذج الدراسة</w:t>
      </w:r>
    </w:p>
    <w:p w14:paraId="18E86470" w14:textId="77777777" w:rsidR="00404A54" w:rsidRDefault="00404A54" w:rsidP="00FF5C30">
      <w:pPr>
        <w:bidi/>
        <w:spacing w:after="200" w:line="276" w:lineRule="auto"/>
        <w:jc w:val="both"/>
        <w:rPr>
          <w:rFonts w:asciiTheme="majorBidi" w:hAnsiTheme="majorBidi" w:cstheme="majorBidi"/>
          <w:sz w:val="28"/>
          <w:szCs w:val="28"/>
          <w:rtl/>
        </w:rPr>
      </w:pPr>
      <w:r w:rsidRPr="0009445F">
        <w:rPr>
          <w:rFonts w:asciiTheme="majorBidi" w:hAnsiTheme="majorBidi" w:cstheme="majorBidi"/>
          <w:sz w:val="28"/>
          <w:szCs w:val="28"/>
          <w:rtl/>
        </w:rPr>
        <w:t>تم تصميم نموذج الدراسة لفحص العلاقة بين أنظمة العمل عالية الأداء والأداء الإبداعي بين الموظفين في قطاعي الفنادق والمطاعم. يتضمن هذا النموذج كل من المتغيرات المستقلة والتابعة، بالإضافة إلى العوامل الوسيطة التي قد تؤثر على العلاقة.</w:t>
      </w:r>
    </w:p>
    <w:p w14:paraId="381E56FF" w14:textId="77777777" w:rsidR="00A53030" w:rsidRDefault="00A53030" w:rsidP="00A53030">
      <w:pPr>
        <w:bidi/>
        <w:rPr>
          <w:rFonts w:asciiTheme="majorBidi" w:hAnsiTheme="majorBidi" w:cstheme="majorBidi"/>
          <w:b/>
          <w:bCs/>
          <w:sz w:val="28"/>
          <w:szCs w:val="28"/>
          <w:rtl/>
          <w:lang w:bidi="ar-EG"/>
        </w:rPr>
      </w:pPr>
    </w:p>
    <w:p w14:paraId="266AA7B4" w14:textId="7293FE26" w:rsidR="00A53030" w:rsidRDefault="00A53030" w:rsidP="00A53030">
      <w:pPr>
        <w:bidi/>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الشكل الأول: نوذج الدراسة.</w:t>
      </w:r>
    </w:p>
    <w:p w14:paraId="02E85752" w14:textId="221593DE" w:rsidR="00A53030" w:rsidRDefault="00DB3C88" w:rsidP="00A53030">
      <w:pPr>
        <w:bidi/>
        <w:spacing w:after="200" w:line="276" w:lineRule="auto"/>
        <w:jc w:val="both"/>
        <w:rPr>
          <w:rFonts w:asciiTheme="majorBidi" w:hAnsiTheme="majorBidi" w:cstheme="majorBidi"/>
          <w:sz w:val="28"/>
          <w:szCs w:val="28"/>
          <w:rtl/>
        </w:rPr>
      </w:pPr>
      <w:r>
        <w:rPr>
          <w:rFonts w:asciiTheme="majorBidi" w:hAnsiTheme="majorBidi" w:cstheme="majorBidi"/>
          <w:noProof/>
          <w:sz w:val="28"/>
          <w:szCs w:val="28"/>
          <w:rtl/>
          <w:lang w:val="ar-SA"/>
        </w:rPr>
        <w:drawing>
          <wp:inline distT="0" distB="0" distL="0" distR="0" wp14:anchorId="30D67228" wp14:editId="473387B3">
            <wp:extent cx="5943600" cy="3343275"/>
            <wp:effectExtent l="0" t="0" r="0" b="9525"/>
            <wp:docPr id="27645697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56971" name="صورة 276456971"/>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F5633C7" w14:textId="77126C8F" w:rsidR="00A53030" w:rsidRPr="0009445F" w:rsidRDefault="00A53030" w:rsidP="00A53030">
      <w:pPr>
        <w:bidi/>
        <w:spacing w:after="200" w:line="276" w:lineRule="auto"/>
        <w:jc w:val="both"/>
        <w:rPr>
          <w:rFonts w:asciiTheme="majorBidi" w:hAnsiTheme="majorBidi" w:cstheme="majorBidi"/>
          <w:sz w:val="28"/>
          <w:szCs w:val="28"/>
        </w:rPr>
      </w:pPr>
    </w:p>
    <w:p w14:paraId="2661E4C5" w14:textId="77777777" w:rsidR="00404A54" w:rsidRPr="0009445F" w:rsidRDefault="00404A54" w:rsidP="00404A54">
      <w:pPr>
        <w:bidi/>
        <w:spacing w:after="200" w:line="276" w:lineRule="auto"/>
        <w:rPr>
          <w:rFonts w:asciiTheme="majorBidi" w:hAnsiTheme="majorBidi" w:cstheme="majorBidi"/>
          <w:b/>
          <w:bCs/>
          <w:sz w:val="28"/>
          <w:szCs w:val="28"/>
        </w:rPr>
      </w:pPr>
      <w:r w:rsidRPr="0009445F">
        <w:rPr>
          <w:rFonts w:asciiTheme="majorBidi" w:hAnsiTheme="majorBidi" w:cstheme="majorBidi"/>
          <w:b/>
          <w:bCs/>
          <w:sz w:val="28"/>
          <w:szCs w:val="28"/>
          <w:rtl/>
        </w:rPr>
        <w:t>1. المتغير المستقل</w:t>
      </w:r>
    </w:p>
    <w:p w14:paraId="1492295E" w14:textId="77777777" w:rsidR="00404A54" w:rsidRPr="0009445F" w:rsidRDefault="00404A54" w:rsidP="00FF5C30">
      <w:pPr>
        <w:bidi/>
        <w:spacing w:after="200" w:line="276" w:lineRule="auto"/>
        <w:jc w:val="both"/>
        <w:rPr>
          <w:rFonts w:asciiTheme="majorBidi" w:hAnsiTheme="majorBidi" w:cstheme="majorBidi"/>
          <w:sz w:val="28"/>
          <w:szCs w:val="28"/>
        </w:rPr>
      </w:pPr>
      <w:r w:rsidRPr="0009445F">
        <w:rPr>
          <w:rFonts w:asciiTheme="majorBidi" w:hAnsiTheme="majorBidi" w:cstheme="majorBidi"/>
          <w:sz w:val="28"/>
          <w:szCs w:val="28"/>
          <w:rtl/>
        </w:rPr>
        <w:t>أنظمة العمل عالية الأداء: تعد أنظمة العمل عالية الأداء المتغير المستقل الأساسي وتشمل ممارسات مثل:</w:t>
      </w:r>
    </w:p>
    <w:p w14:paraId="4649BFC8" w14:textId="77777777" w:rsidR="00404A54" w:rsidRPr="0009445F" w:rsidRDefault="00404A54" w:rsidP="00FF5C30">
      <w:pPr>
        <w:bidi/>
        <w:spacing w:after="200" w:line="276" w:lineRule="auto"/>
        <w:jc w:val="both"/>
        <w:rPr>
          <w:rFonts w:asciiTheme="majorBidi" w:hAnsiTheme="majorBidi" w:cstheme="majorBidi"/>
          <w:sz w:val="28"/>
          <w:szCs w:val="28"/>
        </w:rPr>
      </w:pPr>
      <w:r w:rsidRPr="0009445F">
        <w:rPr>
          <w:rFonts w:asciiTheme="majorBidi" w:hAnsiTheme="majorBidi" w:cstheme="majorBidi"/>
          <w:sz w:val="28"/>
          <w:szCs w:val="28"/>
          <w:rtl/>
        </w:rPr>
        <w:lastRenderedPageBreak/>
        <w:t>التوظيف الانتقائي، تدريب وتطوير الموظفين، إدارة الأداء وأنظمة المكافآت، مشاركة الموظفين واتخاذ القرارات التشاركية. تعتبر كل من هذه الممارسات مكونًا من مكونات أنظمة العمل عالية الأداء، بهدف فهم كيفية تأثيرها بشكل فردي وجماعي على الأداء الإبداعي.</w:t>
      </w:r>
    </w:p>
    <w:p w14:paraId="164F442F" w14:textId="77777777" w:rsidR="00404A54" w:rsidRPr="0009445F" w:rsidRDefault="00404A54" w:rsidP="00404A54">
      <w:pPr>
        <w:bidi/>
        <w:spacing w:after="200" w:line="276" w:lineRule="auto"/>
        <w:rPr>
          <w:rFonts w:asciiTheme="majorBidi" w:hAnsiTheme="majorBidi" w:cstheme="majorBidi"/>
          <w:b/>
          <w:bCs/>
          <w:sz w:val="28"/>
          <w:szCs w:val="28"/>
        </w:rPr>
      </w:pPr>
      <w:r w:rsidRPr="0009445F">
        <w:rPr>
          <w:rFonts w:asciiTheme="majorBidi" w:hAnsiTheme="majorBidi" w:cstheme="majorBidi"/>
          <w:b/>
          <w:bCs/>
          <w:sz w:val="28"/>
          <w:szCs w:val="28"/>
          <w:rtl/>
        </w:rPr>
        <w:t>2. المتغير التابع</w:t>
      </w:r>
    </w:p>
    <w:p w14:paraId="79F78175" w14:textId="77777777" w:rsidR="00404A54" w:rsidRDefault="00404A54" w:rsidP="00FF5C30">
      <w:pPr>
        <w:bidi/>
        <w:spacing w:after="200" w:line="276" w:lineRule="auto"/>
        <w:jc w:val="both"/>
        <w:rPr>
          <w:rFonts w:asciiTheme="majorBidi" w:hAnsiTheme="majorBidi" w:cstheme="majorBidi"/>
          <w:sz w:val="28"/>
          <w:szCs w:val="28"/>
          <w:rtl/>
        </w:rPr>
      </w:pPr>
      <w:r w:rsidRPr="0009445F">
        <w:rPr>
          <w:rFonts w:asciiTheme="majorBidi" w:hAnsiTheme="majorBidi" w:cstheme="majorBidi"/>
          <w:sz w:val="28"/>
          <w:szCs w:val="28"/>
          <w:rtl/>
        </w:rPr>
        <w:t>الأداء الإبداعي: ​​هذا هو متغير النتيجة الرئيسي، والذي يمثل قدرة الموظفين على توليد أفكار أو حلول جديدة ومفيدة ضمن أدوارهم. يتم قياس الأداء الإبداعي من خلال مؤشرات مثل حل المشكلات والابتكار والقدرة على التكيف في مهام العمل، والتي تعد ضرورية في قطاعي الفنادق والمطاعم.</w:t>
      </w:r>
    </w:p>
    <w:p w14:paraId="272E6329" w14:textId="77777777" w:rsidR="00404A54" w:rsidRPr="00926008" w:rsidRDefault="00404A54" w:rsidP="00FF5C30">
      <w:pPr>
        <w:pStyle w:val="ListParagraph"/>
        <w:numPr>
          <w:ilvl w:val="1"/>
          <w:numId w:val="38"/>
        </w:numPr>
        <w:bidi/>
        <w:spacing w:after="200" w:line="276" w:lineRule="auto"/>
        <w:jc w:val="both"/>
        <w:rPr>
          <w:rFonts w:asciiTheme="majorBidi" w:hAnsiTheme="majorBidi" w:cstheme="majorBidi"/>
          <w:sz w:val="28"/>
          <w:szCs w:val="28"/>
        </w:rPr>
      </w:pPr>
      <w:r w:rsidRPr="00926008">
        <w:rPr>
          <w:rFonts w:asciiTheme="majorBidi" w:hAnsiTheme="majorBidi" w:cstheme="majorBidi" w:hint="cs"/>
          <w:b/>
          <w:bCs/>
          <w:sz w:val="28"/>
          <w:szCs w:val="28"/>
          <w:rtl/>
        </w:rPr>
        <w:t xml:space="preserve">المتغير الوسيط </w:t>
      </w:r>
      <w:proofErr w:type="gramStart"/>
      <w:r w:rsidRPr="00926008">
        <w:rPr>
          <w:rFonts w:asciiTheme="majorBidi" w:hAnsiTheme="majorBidi" w:cstheme="majorBidi" w:hint="cs"/>
          <w:b/>
          <w:bCs/>
          <w:sz w:val="28"/>
          <w:szCs w:val="28"/>
          <w:rtl/>
        </w:rPr>
        <w:t>( الثقافة</w:t>
      </w:r>
      <w:proofErr w:type="gramEnd"/>
      <w:r w:rsidRPr="00926008">
        <w:rPr>
          <w:rFonts w:asciiTheme="majorBidi" w:hAnsiTheme="majorBidi" w:cstheme="majorBidi" w:hint="cs"/>
          <w:b/>
          <w:bCs/>
          <w:sz w:val="28"/>
          <w:szCs w:val="28"/>
          <w:rtl/>
        </w:rPr>
        <w:t xml:space="preserve"> التنظيمية</w:t>
      </w:r>
      <w:r>
        <w:rPr>
          <w:rFonts w:asciiTheme="majorBidi" w:hAnsiTheme="majorBidi" w:cstheme="majorBidi" w:hint="cs"/>
          <w:sz w:val="28"/>
          <w:szCs w:val="28"/>
          <w:rtl/>
        </w:rPr>
        <w:t xml:space="preserve">): </w:t>
      </w:r>
      <w:r w:rsidRPr="00926008">
        <w:rPr>
          <w:rFonts w:asciiTheme="majorBidi" w:hAnsiTheme="majorBidi" w:cstheme="majorBidi"/>
          <w:sz w:val="28"/>
          <w:szCs w:val="28"/>
          <w:rtl/>
        </w:rPr>
        <w:t>تمثل البيئة الداخلية للعمل (قيم، معتقدات، ممارسات)</w:t>
      </w:r>
      <w:r w:rsidRPr="00926008">
        <w:rPr>
          <w:rFonts w:asciiTheme="majorBidi" w:hAnsiTheme="majorBidi" w:cstheme="majorBidi"/>
          <w:sz w:val="28"/>
          <w:szCs w:val="28"/>
        </w:rPr>
        <w:t>.</w:t>
      </w:r>
      <w:r w:rsidRPr="00926008">
        <w:rPr>
          <w:rFonts w:asciiTheme="majorBidi" w:hAnsiTheme="majorBidi" w:cstheme="majorBidi"/>
          <w:sz w:val="28"/>
          <w:szCs w:val="28"/>
        </w:rPr>
        <w:br/>
        <w:t xml:space="preserve"> </w:t>
      </w:r>
      <w:r w:rsidRPr="00926008">
        <w:rPr>
          <w:rFonts w:asciiTheme="majorBidi" w:hAnsiTheme="majorBidi" w:cstheme="majorBidi"/>
          <w:sz w:val="28"/>
          <w:szCs w:val="28"/>
          <w:rtl/>
        </w:rPr>
        <w:t>تعمل كوسيط بين</w:t>
      </w:r>
      <w:r w:rsidRPr="00926008">
        <w:rPr>
          <w:rFonts w:asciiTheme="majorBidi" w:hAnsiTheme="majorBidi" w:cstheme="majorBidi"/>
          <w:sz w:val="28"/>
          <w:szCs w:val="28"/>
        </w:rPr>
        <w:t xml:space="preserve"> HPWS </w:t>
      </w:r>
      <w:r w:rsidRPr="00926008">
        <w:rPr>
          <w:rFonts w:asciiTheme="majorBidi" w:hAnsiTheme="majorBidi" w:cstheme="majorBidi"/>
          <w:sz w:val="28"/>
          <w:szCs w:val="28"/>
          <w:rtl/>
        </w:rPr>
        <w:t>والإبداع الوظيفي، بحيث</w:t>
      </w:r>
      <w:r w:rsidRPr="00926008">
        <w:rPr>
          <w:rFonts w:asciiTheme="majorBidi" w:hAnsiTheme="majorBidi" w:cstheme="majorBidi"/>
          <w:sz w:val="28"/>
          <w:szCs w:val="28"/>
        </w:rPr>
        <w:t>:</w:t>
      </w:r>
      <w:r>
        <w:rPr>
          <w:rFonts w:asciiTheme="majorBidi" w:hAnsiTheme="majorBidi" w:cstheme="majorBidi" w:hint="cs"/>
          <w:sz w:val="28"/>
          <w:szCs w:val="28"/>
          <w:rtl/>
        </w:rPr>
        <w:t xml:space="preserve"> </w:t>
      </w:r>
      <w:r w:rsidRPr="00926008">
        <w:rPr>
          <w:rFonts w:asciiTheme="majorBidi" w:hAnsiTheme="majorBidi" w:cstheme="majorBidi"/>
          <w:sz w:val="28"/>
          <w:szCs w:val="28"/>
          <w:rtl/>
        </w:rPr>
        <w:t>تدعم أو تضعف تأثير ممارسات الموارد البشرية على سلوكيات الإبداع</w:t>
      </w:r>
      <w:r w:rsidRPr="00926008">
        <w:rPr>
          <w:rFonts w:asciiTheme="majorBidi" w:hAnsiTheme="majorBidi" w:cstheme="majorBidi"/>
          <w:sz w:val="28"/>
          <w:szCs w:val="28"/>
        </w:rPr>
        <w:t>.</w:t>
      </w:r>
    </w:p>
    <w:p w14:paraId="5B172FD7" w14:textId="77777777" w:rsidR="009E5A4E" w:rsidRDefault="009E5A4E" w:rsidP="009E5A4E">
      <w:pPr>
        <w:bidi/>
        <w:rPr>
          <w:rFonts w:asciiTheme="majorBidi" w:hAnsiTheme="majorBidi" w:cstheme="majorBidi"/>
          <w:b/>
          <w:bCs/>
          <w:sz w:val="28"/>
          <w:szCs w:val="28"/>
        </w:rPr>
      </w:pPr>
    </w:p>
    <w:p w14:paraId="5B751B64" w14:textId="099959D0" w:rsidR="00404A54" w:rsidRPr="0009445F" w:rsidRDefault="00404A54" w:rsidP="009E5A4E">
      <w:pPr>
        <w:bidi/>
        <w:rPr>
          <w:rFonts w:asciiTheme="majorBidi" w:hAnsiTheme="majorBidi" w:cstheme="majorBidi"/>
          <w:b/>
          <w:bCs/>
          <w:sz w:val="28"/>
          <w:szCs w:val="28"/>
        </w:rPr>
      </w:pPr>
      <w:r w:rsidRPr="0009445F">
        <w:rPr>
          <w:rFonts w:asciiTheme="majorBidi" w:hAnsiTheme="majorBidi" w:cstheme="majorBidi"/>
          <w:b/>
          <w:bCs/>
          <w:sz w:val="28"/>
          <w:szCs w:val="28"/>
          <w:rtl/>
        </w:rPr>
        <w:t>1.</w:t>
      </w:r>
      <w:r>
        <w:rPr>
          <w:rFonts w:asciiTheme="majorBidi" w:hAnsiTheme="majorBidi" w:cstheme="majorBidi" w:hint="cs"/>
          <w:b/>
          <w:bCs/>
          <w:sz w:val="28"/>
          <w:szCs w:val="28"/>
          <w:rtl/>
        </w:rPr>
        <w:t>7</w:t>
      </w:r>
      <w:r w:rsidRPr="0009445F">
        <w:rPr>
          <w:rFonts w:asciiTheme="majorBidi" w:hAnsiTheme="majorBidi" w:cstheme="majorBidi"/>
          <w:b/>
          <w:bCs/>
          <w:sz w:val="28"/>
          <w:szCs w:val="28"/>
          <w:rtl/>
        </w:rPr>
        <w:t>. حدود الدراسة</w:t>
      </w:r>
    </w:p>
    <w:p w14:paraId="36A8BA4C"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1.</w:t>
      </w:r>
      <w:r>
        <w:rPr>
          <w:rFonts w:asciiTheme="majorBidi" w:hAnsiTheme="majorBidi" w:cstheme="majorBidi" w:hint="cs"/>
          <w:b/>
          <w:bCs/>
          <w:sz w:val="28"/>
          <w:szCs w:val="28"/>
          <w:rtl/>
        </w:rPr>
        <w:t>7</w:t>
      </w:r>
      <w:r w:rsidRPr="0009445F">
        <w:rPr>
          <w:rFonts w:asciiTheme="majorBidi" w:hAnsiTheme="majorBidi" w:cstheme="majorBidi"/>
          <w:b/>
          <w:bCs/>
          <w:sz w:val="28"/>
          <w:szCs w:val="28"/>
          <w:rtl/>
        </w:rPr>
        <w:t>.1. الحدود المكانية</w:t>
      </w:r>
    </w:p>
    <w:p w14:paraId="01FFCFD4" w14:textId="77777777" w:rsidR="00404A54" w:rsidRPr="00611E7E" w:rsidRDefault="00404A54" w:rsidP="00FF5C30">
      <w:pPr>
        <w:bidi/>
        <w:jc w:val="both"/>
        <w:rPr>
          <w:rFonts w:asciiTheme="majorBidi" w:hAnsiTheme="majorBidi" w:cstheme="majorBidi"/>
          <w:sz w:val="28"/>
          <w:szCs w:val="28"/>
        </w:rPr>
      </w:pPr>
      <w:r w:rsidRPr="00611E7E">
        <w:rPr>
          <w:rFonts w:asciiTheme="majorBidi" w:hAnsiTheme="majorBidi" w:cstheme="majorBidi"/>
          <w:sz w:val="28"/>
          <w:szCs w:val="28"/>
          <w:rtl/>
        </w:rPr>
        <w:t>تتركز هذه الدراسة على قطاعي الفنادق والمطاعم في مدينة الرياض، المملكة العربية السعودية</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وقد تم اختيار هذه البيئة لعدة أسباب</w:t>
      </w:r>
      <w:r w:rsidRPr="00611E7E">
        <w:rPr>
          <w:rFonts w:asciiTheme="majorBidi" w:hAnsiTheme="majorBidi" w:cstheme="majorBidi"/>
          <w:sz w:val="28"/>
          <w:szCs w:val="28"/>
        </w:rPr>
        <w:t>:</w:t>
      </w:r>
    </w:p>
    <w:p w14:paraId="4DD49FCD" w14:textId="77777777" w:rsidR="00404A54" w:rsidRPr="00611E7E" w:rsidRDefault="00404A54" w:rsidP="00FF5C30">
      <w:pPr>
        <w:numPr>
          <w:ilvl w:val="0"/>
          <w:numId w:val="44"/>
        </w:numPr>
        <w:bidi/>
        <w:jc w:val="both"/>
        <w:rPr>
          <w:rFonts w:asciiTheme="majorBidi" w:hAnsiTheme="majorBidi" w:cstheme="majorBidi"/>
          <w:sz w:val="28"/>
          <w:szCs w:val="28"/>
        </w:rPr>
      </w:pPr>
      <w:r w:rsidRPr="00611E7E">
        <w:rPr>
          <w:rFonts w:asciiTheme="majorBidi" w:hAnsiTheme="majorBidi" w:cstheme="majorBidi"/>
          <w:sz w:val="28"/>
          <w:szCs w:val="28"/>
          <w:rtl/>
        </w:rPr>
        <w:t>تعد الرياض مركزًا اقتصاديًا وسياحيًا رئيسيًا، حيث تشهد نموًا متسارعًا في قطاع الضيافة، مما يجعلها بيئة مثالية لدراسة تأثير أنظمة العمل عالية الأداء</w:t>
      </w:r>
      <w:r w:rsidRPr="00611E7E">
        <w:rPr>
          <w:rFonts w:asciiTheme="majorBidi" w:hAnsiTheme="majorBidi" w:cstheme="majorBidi"/>
          <w:sz w:val="28"/>
          <w:szCs w:val="28"/>
        </w:rPr>
        <w:t xml:space="preserve"> (HPWS) </w:t>
      </w:r>
      <w:r w:rsidRPr="00611E7E">
        <w:rPr>
          <w:rFonts w:asciiTheme="majorBidi" w:hAnsiTheme="majorBidi" w:cstheme="majorBidi"/>
          <w:sz w:val="28"/>
          <w:szCs w:val="28"/>
          <w:rtl/>
        </w:rPr>
        <w:t>على الإبداع في هذا القطاع</w:t>
      </w:r>
      <w:r w:rsidRPr="00611E7E">
        <w:rPr>
          <w:rFonts w:asciiTheme="majorBidi" w:hAnsiTheme="majorBidi" w:cstheme="majorBidi"/>
          <w:sz w:val="28"/>
          <w:szCs w:val="28"/>
        </w:rPr>
        <w:t>.</w:t>
      </w:r>
    </w:p>
    <w:p w14:paraId="7103669F" w14:textId="77777777" w:rsidR="00404A54" w:rsidRPr="00611E7E" w:rsidRDefault="00404A54" w:rsidP="00FF5C30">
      <w:pPr>
        <w:numPr>
          <w:ilvl w:val="0"/>
          <w:numId w:val="44"/>
        </w:numPr>
        <w:bidi/>
        <w:jc w:val="both"/>
        <w:rPr>
          <w:rFonts w:asciiTheme="majorBidi" w:hAnsiTheme="majorBidi" w:cstheme="majorBidi"/>
          <w:sz w:val="28"/>
          <w:szCs w:val="28"/>
        </w:rPr>
      </w:pPr>
      <w:r w:rsidRPr="00611E7E">
        <w:rPr>
          <w:rFonts w:asciiTheme="majorBidi" w:hAnsiTheme="majorBidi" w:cstheme="majorBidi"/>
          <w:sz w:val="28"/>
          <w:szCs w:val="28"/>
          <w:rtl/>
        </w:rPr>
        <w:t xml:space="preserve">توفر الرياض تنوعًا واسعًا من المؤسسات الفندقية والمطاعم، مما يسمح بإجراء دراسة </w:t>
      </w:r>
      <w:r w:rsidRPr="00611E7E">
        <w:rPr>
          <w:rFonts w:asciiTheme="majorBidi" w:hAnsiTheme="majorBidi" w:cstheme="majorBidi" w:hint="cs"/>
          <w:sz w:val="28"/>
          <w:szCs w:val="28"/>
          <w:rtl/>
        </w:rPr>
        <w:t>علمية تطبيقية شاملة</w:t>
      </w:r>
      <w:r w:rsidRPr="00611E7E">
        <w:rPr>
          <w:rFonts w:asciiTheme="majorBidi" w:hAnsiTheme="majorBidi" w:cstheme="majorBidi"/>
          <w:sz w:val="28"/>
          <w:szCs w:val="28"/>
          <w:rtl/>
        </w:rPr>
        <w:t xml:space="preserve"> بين القطاعين في بيئة ذات طابع تنظيمي وثقافي مشترك</w:t>
      </w:r>
      <w:r w:rsidRPr="00611E7E">
        <w:rPr>
          <w:rFonts w:asciiTheme="majorBidi" w:hAnsiTheme="majorBidi" w:cstheme="majorBidi"/>
          <w:sz w:val="28"/>
          <w:szCs w:val="28"/>
        </w:rPr>
        <w:t>.</w:t>
      </w:r>
    </w:p>
    <w:p w14:paraId="2A84C8DD" w14:textId="77777777" w:rsidR="00404A54" w:rsidRDefault="00404A54" w:rsidP="00FF5C30">
      <w:pPr>
        <w:numPr>
          <w:ilvl w:val="0"/>
          <w:numId w:val="44"/>
        </w:numPr>
        <w:bidi/>
        <w:jc w:val="both"/>
        <w:rPr>
          <w:rFonts w:asciiTheme="majorBidi" w:hAnsiTheme="majorBidi" w:cstheme="majorBidi"/>
          <w:sz w:val="28"/>
          <w:szCs w:val="28"/>
        </w:rPr>
      </w:pPr>
      <w:r w:rsidRPr="00611E7E">
        <w:rPr>
          <w:rFonts w:asciiTheme="majorBidi" w:hAnsiTheme="majorBidi" w:cstheme="majorBidi"/>
          <w:sz w:val="28"/>
          <w:szCs w:val="28"/>
          <w:rtl/>
        </w:rPr>
        <w:t>تأتي هذه الدراسة في سياق دعم رؤية السعودية</w:t>
      </w:r>
      <w:r w:rsidRPr="0009445F">
        <w:rPr>
          <w:rFonts w:asciiTheme="majorBidi" w:hAnsiTheme="majorBidi" w:cstheme="majorBidi"/>
          <w:sz w:val="28"/>
          <w:szCs w:val="28"/>
          <w:rtl/>
        </w:rPr>
        <w:t xml:space="preserve"> 2030، التي تركز على تعزيز جودة الخدمات الفندقية والسياحية، مما يجعل البحث ذا صلة عملية بالممارسات الحالية في القطاع</w:t>
      </w:r>
      <w:r w:rsidRPr="0009445F">
        <w:rPr>
          <w:rFonts w:asciiTheme="majorBidi" w:hAnsiTheme="majorBidi" w:cstheme="majorBidi"/>
          <w:sz w:val="28"/>
          <w:szCs w:val="28"/>
        </w:rPr>
        <w:t>.</w:t>
      </w:r>
    </w:p>
    <w:p w14:paraId="32695AD7" w14:textId="77777777" w:rsidR="006652C1" w:rsidRDefault="006652C1" w:rsidP="006652C1">
      <w:pPr>
        <w:bidi/>
        <w:jc w:val="both"/>
        <w:rPr>
          <w:rFonts w:asciiTheme="majorBidi" w:hAnsiTheme="majorBidi" w:cstheme="majorBidi"/>
          <w:sz w:val="28"/>
          <w:szCs w:val="28"/>
        </w:rPr>
      </w:pPr>
    </w:p>
    <w:p w14:paraId="1926BA7F" w14:textId="77777777" w:rsidR="00611E7E" w:rsidRDefault="00611E7E" w:rsidP="00611E7E">
      <w:pPr>
        <w:bidi/>
        <w:jc w:val="both"/>
        <w:rPr>
          <w:rFonts w:asciiTheme="majorBidi" w:hAnsiTheme="majorBidi" w:cstheme="majorBidi"/>
          <w:sz w:val="28"/>
          <w:szCs w:val="28"/>
        </w:rPr>
      </w:pPr>
    </w:p>
    <w:p w14:paraId="4A3DF9A7" w14:textId="77777777" w:rsidR="00611E7E" w:rsidRDefault="00611E7E" w:rsidP="00611E7E">
      <w:pPr>
        <w:bidi/>
        <w:jc w:val="both"/>
        <w:rPr>
          <w:rFonts w:asciiTheme="majorBidi" w:hAnsiTheme="majorBidi" w:cstheme="majorBidi"/>
          <w:sz w:val="28"/>
          <w:szCs w:val="28"/>
        </w:rPr>
      </w:pPr>
    </w:p>
    <w:p w14:paraId="69ABAD61" w14:textId="77777777" w:rsidR="00611E7E" w:rsidRDefault="00611E7E" w:rsidP="00611E7E">
      <w:pPr>
        <w:bidi/>
        <w:jc w:val="both"/>
        <w:rPr>
          <w:rFonts w:asciiTheme="majorBidi" w:hAnsiTheme="majorBidi" w:cstheme="majorBidi"/>
          <w:sz w:val="28"/>
          <w:szCs w:val="28"/>
          <w:rtl/>
        </w:rPr>
      </w:pPr>
    </w:p>
    <w:p w14:paraId="2A7CCC67" w14:textId="77777777" w:rsidR="006652C1" w:rsidRDefault="006652C1" w:rsidP="006652C1">
      <w:pPr>
        <w:bidi/>
        <w:jc w:val="both"/>
        <w:rPr>
          <w:rFonts w:asciiTheme="majorBidi" w:hAnsiTheme="majorBidi" w:cstheme="majorBidi"/>
          <w:sz w:val="28"/>
          <w:szCs w:val="28"/>
          <w:rtl/>
        </w:rPr>
      </w:pPr>
    </w:p>
    <w:p w14:paraId="566D0D72" w14:textId="77777777" w:rsidR="006652C1" w:rsidRPr="00585DBF" w:rsidRDefault="006652C1" w:rsidP="006652C1">
      <w:pPr>
        <w:bidi/>
        <w:jc w:val="both"/>
        <w:rPr>
          <w:rFonts w:asciiTheme="majorBidi" w:hAnsiTheme="majorBidi" w:cstheme="majorBidi"/>
          <w:sz w:val="28"/>
          <w:szCs w:val="28"/>
        </w:rPr>
      </w:pPr>
    </w:p>
    <w:p w14:paraId="431A9DBA"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lastRenderedPageBreak/>
        <w:t>1.</w:t>
      </w:r>
      <w:r>
        <w:rPr>
          <w:rFonts w:asciiTheme="majorBidi" w:hAnsiTheme="majorBidi" w:cstheme="majorBidi" w:hint="cs"/>
          <w:b/>
          <w:bCs/>
          <w:sz w:val="28"/>
          <w:szCs w:val="28"/>
          <w:rtl/>
        </w:rPr>
        <w:t>7</w:t>
      </w:r>
      <w:r w:rsidRPr="0009445F">
        <w:rPr>
          <w:rFonts w:asciiTheme="majorBidi" w:hAnsiTheme="majorBidi" w:cstheme="majorBidi"/>
          <w:b/>
          <w:bCs/>
          <w:sz w:val="28"/>
          <w:szCs w:val="28"/>
          <w:rtl/>
        </w:rPr>
        <w:t>.2. الحدود الزمانية</w:t>
      </w:r>
    </w:p>
    <w:p w14:paraId="5859BFA0" w14:textId="59F29657" w:rsidR="005E3A96" w:rsidRDefault="005E3A96" w:rsidP="00FF5C30">
      <w:pPr>
        <w:bidi/>
        <w:jc w:val="both"/>
        <w:rPr>
          <w:rFonts w:asciiTheme="majorBidi" w:hAnsiTheme="majorBidi" w:cstheme="majorBidi"/>
          <w:sz w:val="28"/>
          <w:szCs w:val="28"/>
          <w:rtl/>
        </w:rPr>
      </w:pPr>
      <w:r w:rsidRPr="005E3A96">
        <w:rPr>
          <w:rFonts w:asciiTheme="majorBidi" w:hAnsiTheme="majorBidi" w:cstheme="majorBidi"/>
          <w:sz w:val="28"/>
          <w:szCs w:val="28"/>
          <w:rtl/>
        </w:rPr>
        <w:t xml:space="preserve">تحدد هذه الدراسة إطارها الزمني بالفترة الممتدة من </w:t>
      </w:r>
      <w:r w:rsidRPr="005E3A96">
        <w:rPr>
          <w:rFonts w:asciiTheme="majorBidi" w:hAnsiTheme="majorBidi" w:cstheme="majorBidi"/>
          <w:b/>
          <w:bCs/>
          <w:sz w:val="28"/>
          <w:szCs w:val="28"/>
        </w:rPr>
        <w:t>2024</w:t>
      </w:r>
      <w:r w:rsidR="001B2965">
        <w:rPr>
          <w:rFonts w:asciiTheme="majorBidi" w:hAnsiTheme="majorBidi" w:cstheme="majorBidi" w:hint="cs"/>
          <w:b/>
          <w:bCs/>
          <w:sz w:val="28"/>
          <w:szCs w:val="28"/>
          <w:rtl/>
        </w:rPr>
        <w:t xml:space="preserve"> </w:t>
      </w:r>
      <w:r w:rsidRPr="005E3A96">
        <w:rPr>
          <w:rFonts w:asciiTheme="majorBidi" w:hAnsiTheme="majorBidi" w:cstheme="majorBidi"/>
          <w:b/>
          <w:bCs/>
          <w:sz w:val="28"/>
          <w:szCs w:val="28"/>
          <w:rtl/>
        </w:rPr>
        <w:t>إلى 2025</w:t>
      </w:r>
      <w:r w:rsidRPr="005E3A96">
        <w:rPr>
          <w:rFonts w:asciiTheme="majorBidi" w:hAnsiTheme="majorBidi" w:cstheme="majorBidi"/>
          <w:sz w:val="28"/>
          <w:szCs w:val="28"/>
          <w:rtl/>
        </w:rPr>
        <w:t>، وهي المدة التي سيتم خلالها جمع البيانات وتحليلها وإنجاز الرسالة. اختيار هذه الفترة يعكس حداثة الموضوع ويرتبط بالتحولات التي يشهدها قطاعي الفنادق والمطاعم في مدينة الرياض ضمن رؤية المملكة 2030</w:t>
      </w:r>
      <w:r w:rsidRPr="005E3A96">
        <w:rPr>
          <w:rFonts w:asciiTheme="majorBidi" w:hAnsiTheme="majorBidi" w:cstheme="majorBidi"/>
          <w:sz w:val="28"/>
          <w:szCs w:val="28"/>
        </w:rPr>
        <w:t>.</w:t>
      </w:r>
    </w:p>
    <w:p w14:paraId="6F21C16F" w14:textId="6BC0869C" w:rsidR="00404A54" w:rsidRPr="0009445F" w:rsidRDefault="005E3A96" w:rsidP="00FF5C30">
      <w:pPr>
        <w:bidi/>
        <w:jc w:val="both"/>
        <w:rPr>
          <w:rFonts w:asciiTheme="majorBidi" w:hAnsiTheme="majorBidi" w:cstheme="majorBidi"/>
          <w:sz w:val="28"/>
          <w:szCs w:val="28"/>
        </w:rPr>
      </w:pPr>
      <w:r>
        <w:rPr>
          <w:rFonts w:asciiTheme="majorBidi" w:hAnsiTheme="majorBidi" w:cstheme="majorBidi" w:hint="cs"/>
          <w:sz w:val="28"/>
          <w:szCs w:val="28"/>
          <w:rtl/>
        </w:rPr>
        <w:t>و</w:t>
      </w:r>
      <w:r w:rsidR="00404A54" w:rsidRPr="0009445F">
        <w:rPr>
          <w:rFonts w:asciiTheme="majorBidi" w:hAnsiTheme="majorBidi" w:cstheme="majorBidi"/>
          <w:sz w:val="28"/>
          <w:szCs w:val="28"/>
          <w:rtl/>
        </w:rPr>
        <w:t>تمتد فترة</w:t>
      </w:r>
      <w:r>
        <w:rPr>
          <w:rFonts w:asciiTheme="majorBidi" w:hAnsiTheme="majorBidi" w:cstheme="majorBidi" w:hint="cs"/>
          <w:sz w:val="28"/>
          <w:szCs w:val="28"/>
          <w:rtl/>
        </w:rPr>
        <w:t xml:space="preserve"> جمع البيانات و</w:t>
      </w:r>
      <w:r w:rsidR="00404A54" w:rsidRPr="0009445F">
        <w:rPr>
          <w:rFonts w:asciiTheme="majorBidi" w:hAnsiTheme="majorBidi" w:cstheme="majorBidi"/>
          <w:sz w:val="28"/>
          <w:szCs w:val="28"/>
          <w:rtl/>
        </w:rPr>
        <w:t>ال</w:t>
      </w:r>
      <w:r>
        <w:rPr>
          <w:rFonts w:asciiTheme="majorBidi" w:hAnsiTheme="majorBidi" w:cstheme="majorBidi" w:hint="cs"/>
          <w:sz w:val="28"/>
          <w:szCs w:val="28"/>
          <w:rtl/>
        </w:rPr>
        <w:t>تحليل</w:t>
      </w:r>
      <w:r w:rsidR="00404A54" w:rsidRPr="0009445F">
        <w:rPr>
          <w:rFonts w:asciiTheme="majorBidi" w:hAnsiTheme="majorBidi" w:cstheme="majorBidi"/>
          <w:sz w:val="28"/>
          <w:szCs w:val="28"/>
          <w:rtl/>
        </w:rPr>
        <w:t xml:space="preserve"> على </w:t>
      </w:r>
      <w:r w:rsidR="00404A54" w:rsidRPr="0009445F">
        <w:rPr>
          <w:rFonts w:asciiTheme="majorBidi" w:hAnsiTheme="majorBidi" w:cstheme="majorBidi"/>
          <w:b/>
          <w:bCs/>
          <w:sz w:val="28"/>
          <w:szCs w:val="28"/>
          <w:rtl/>
        </w:rPr>
        <w:t>مدى ثلاثة أشهر</w:t>
      </w:r>
      <w:r w:rsidR="00404A54" w:rsidRPr="0009445F">
        <w:rPr>
          <w:rFonts w:asciiTheme="majorBidi" w:hAnsiTheme="majorBidi" w:cstheme="majorBidi"/>
          <w:sz w:val="28"/>
          <w:szCs w:val="28"/>
          <w:rtl/>
        </w:rPr>
        <w:t>، تشمل</w:t>
      </w:r>
      <w:r w:rsidR="00404A54" w:rsidRPr="0009445F">
        <w:rPr>
          <w:rFonts w:asciiTheme="majorBidi" w:hAnsiTheme="majorBidi" w:cstheme="majorBidi"/>
          <w:sz w:val="28"/>
          <w:szCs w:val="28"/>
        </w:rPr>
        <w:t>:</w:t>
      </w:r>
    </w:p>
    <w:p w14:paraId="7D06A97F" w14:textId="77777777" w:rsidR="00404A54" w:rsidRPr="0009445F" w:rsidRDefault="00404A54" w:rsidP="00FF5C30">
      <w:pPr>
        <w:numPr>
          <w:ilvl w:val="0"/>
          <w:numId w:val="45"/>
        </w:numPr>
        <w:bidi/>
        <w:jc w:val="both"/>
        <w:rPr>
          <w:rFonts w:asciiTheme="majorBidi" w:hAnsiTheme="majorBidi" w:cstheme="majorBidi"/>
          <w:sz w:val="28"/>
          <w:szCs w:val="28"/>
        </w:rPr>
      </w:pPr>
      <w:r w:rsidRPr="0009445F">
        <w:rPr>
          <w:rFonts w:asciiTheme="majorBidi" w:hAnsiTheme="majorBidi" w:cstheme="majorBidi"/>
          <w:b/>
          <w:bCs/>
          <w:sz w:val="28"/>
          <w:szCs w:val="28"/>
          <w:rtl/>
        </w:rPr>
        <w:t>جمع البيانات</w:t>
      </w:r>
      <w:r w:rsidRPr="0009445F">
        <w:rPr>
          <w:rFonts w:asciiTheme="majorBidi" w:hAnsiTheme="majorBidi" w:cstheme="majorBidi"/>
          <w:sz w:val="28"/>
          <w:szCs w:val="28"/>
          <w:rtl/>
        </w:rPr>
        <w:t>:</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من خلال الاستبيانات والمقابلات شبه المنظمة، لضمان الحصول على بيانات كافية تعكس وجهات نظر الموظفين في القطاعين</w:t>
      </w:r>
      <w:r w:rsidRPr="0009445F">
        <w:rPr>
          <w:rFonts w:asciiTheme="majorBidi" w:hAnsiTheme="majorBidi" w:cstheme="majorBidi"/>
          <w:sz w:val="28"/>
          <w:szCs w:val="28"/>
        </w:rPr>
        <w:t>.</w:t>
      </w:r>
    </w:p>
    <w:p w14:paraId="5F65DCF5" w14:textId="1CCC6808" w:rsidR="00404A54" w:rsidRPr="005E3A96" w:rsidRDefault="00404A54" w:rsidP="00FF5C30">
      <w:pPr>
        <w:numPr>
          <w:ilvl w:val="0"/>
          <w:numId w:val="45"/>
        </w:numPr>
        <w:bidi/>
        <w:jc w:val="both"/>
        <w:rPr>
          <w:rFonts w:asciiTheme="majorBidi" w:hAnsiTheme="majorBidi" w:cstheme="majorBidi"/>
          <w:sz w:val="28"/>
          <w:szCs w:val="28"/>
        </w:rPr>
      </w:pPr>
      <w:r w:rsidRPr="0009445F">
        <w:rPr>
          <w:rFonts w:asciiTheme="majorBidi" w:hAnsiTheme="majorBidi" w:cstheme="majorBidi"/>
          <w:b/>
          <w:bCs/>
          <w:sz w:val="28"/>
          <w:szCs w:val="28"/>
          <w:rtl/>
        </w:rPr>
        <w:t>تحليل البيانات</w:t>
      </w:r>
      <w:r w:rsidRPr="0009445F">
        <w:rPr>
          <w:rFonts w:asciiTheme="majorBidi" w:hAnsiTheme="majorBidi" w:cstheme="majorBidi"/>
          <w:sz w:val="28"/>
          <w:szCs w:val="28"/>
          <w:rtl/>
        </w:rPr>
        <w:t>:</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باستخدام الأساليب الإحصائية والنوعية لتفسير النتائج واستنتاج الفروقات بين تأثير</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أنظمة العمل عالية الأداء</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على الإبداع في كل قطاع</w:t>
      </w:r>
      <w:r w:rsidRPr="0009445F">
        <w:rPr>
          <w:rFonts w:asciiTheme="majorBidi" w:hAnsiTheme="majorBidi" w:cstheme="majorBidi"/>
          <w:sz w:val="28"/>
          <w:szCs w:val="28"/>
        </w:rPr>
        <w:t>.</w:t>
      </w:r>
    </w:p>
    <w:p w14:paraId="61DA9F62" w14:textId="77777777" w:rsidR="00404A54" w:rsidRDefault="00404A54" w:rsidP="00FF5C30">
      <w:pPr>
        <w:bidi/>
        <w:jc w:val="both"/>
        <w:rPr>
          <w:rFonts w:asciiTheme="majorBidi" w:hAnsiTheme="majorBidi" w:cstheme="majorBidi"/>
          <w:sz w:val="28"/>
          <w:szCs w:val="28"/>
          <w:rtl/>
        </w:rPr>
      </w:pPr>
      <w:r w:rsidRPr="00611E7E">
        <w:rPr>
          <w:rFonts w:asciiTheme="majorBidi" w:hAnsiTheme="majorBidi" w:cstheme="majorBidi"/>
          <w:sz w:val="28"/>
          <w:szCs w:val="28"/>
          <w:rtl/>
        </w:rPr>
        <w:t>يُؤخذ في الاعتبار أن الإطار الزمني المحدد قد يؤثر على إمكانية رصد التغيرات طويلة المدى في تأثير</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أنظمة العمل عالية الأداء</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على الإبداع، حيث تركز الدراسة على تحليل العلاقة في نقطة زمنية محددة</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دراسة مقطعية</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بدلاً من دراسة التطورات</w:t>
      </w:r>
      <w:r w:rsidRPr="0009445F">
        <w:rPr>
          <w:rFonts w:asciiTheme="majorBidi" w:hAnsiTheme="majorBidi" w:cstheme="majorBidi"/>
          <w:sz w:val="28"/>
          <w:szCs w:val="28"/>
          <w:rtl/>
        </w:rPr>
        <w:t xml:space="preserve"> طويلة الأمد.</w:t>
      </w:r>
    </w:p>
    <w:p w14:paraId="78E4C90E" w14:textId="77777777" w:rsidR="006652C1" w:rsidRPr="0009445F" w:rsidRDefault="006652C1" w:rsidP="006652C1">
      <w:pPr>
        <w:bidi/>
        <w:jc w:val="both"/>
        <w:rPr>
          <w:rFonts w:asciiTheme="majorBidi" w:hAnsiTheme="majorBidi" w:cstheme="majorBidi"/>
          <w:sz w:val="28"/>
          <w:szCs w:val="28"/>
        </w:rPr>
      </w:pPr>
    </w:p>
    <w:p w14:paraId="1B216086"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1.</w:t>
      </w:r>
      <w:r>
        <w:rPr>
          <w:rFonts w:asciiTheme="majorBidi" w:hAnsiTheme="majorBidi" w:cstheme="majorBidi" w:hint="cs"/>
          <w:b/>
          <w:bCs/>
          <w:sz w:val="28"/>
          <w:szCs w:val="28"/>
          <w:rtl/>
        </w:rPr>
        <w:t>7</w:t>
      </w:r>
      <w:r w:rsidRPr="0009445F">
        <w:rPr>
          <w:rFonts w:asciiTheme="majorBidi" w:hAnsiTheme="majorBidi" w:cstheme="majorBidi"/>
          <w:b/>
          <w:bCs/>
          <w:sz w:val="28"/>
          <w:szCs w:val="28"/>
          <w:rtl/>
        </w:rPr>
        <w:t>.3. الحدود البشرية</w:t>
      </w:r>
    </w:p>
    <w:p w14:paraId="6A80BA10" w14:textId="77777777" w:rsidR="00404A54" w:rsidRPr="0009445F" w:rsidRDefault="00404A54" w:rsidP="00FF5C30">
      <w:pPr>
        <w:bidi/>
        <w:jc w:val="both"/>
        <w:rPr>
          <w:rFonts w:asciiTheme="majorBidi" w:hAnsiTheme="majorBidi" w:cstheme="majorBidi"/>
          <w:sz w:val="28"/>
          <w:szCs w:val="28"/>
        </w:rPr>
      </w:pPr>
      <w:r w:rsidRPr="0009445F">
        <w:rPr>
          <w:rFonts w:asciiTheme="majorBidi" w:hAnsiTheme="majorBidi" w:cstheme="majorBidi"/>
          <w:sz w:val="28"/>
          <w:szCs w:val="28"/>
          <w:rtl/>
        </w:rPr>
        <w:t xml:space="preserve">تستهدف الدراسة </w:t>
      </w:r>
      <w:r w:rsidRPr="00611E7E">
        <w:rPr>
          <w:rFonts w:asciiTheme="majorBidi" w:hAnsiTheme="majorBidi" w:cstheme="majorBidi"/>
          <w:sz w:val="28"/>
          <w:szCs w:val="28"/>
          <w:rtl/>
        </w:rPr>
        <w:t>الموظفين العاملين في الخطوط الأمامية والمناصب الإشرافية داخل الفنادق والمطاعم، مع مراعاة المعايير التالية عند اختيار</w:t>
      </w:r>
      <w:r w:rsidRPr="0009445F">
        <w:rPr>
          <w:rFonts w:asciiTheme="majorBidi" w:hAnsiTheme="majorBidi" w:cstheme="majorBidi"/>
          <w:sz w:val="28"/>
          <w:szCs w:val="28"/>
          <w:rtl/>
        </w:rPr>
        <w:t xml:space="preserve"> العينة</w:t>
      </w:r>
      <w:r w:rsidRPr="0009445F">
        <w:rPr>
          <w:rFonts w:asciiTheme="majorBidi" w:hAnsiTheme="majorBidi" w:cstheme="majorBidi"/>
          <w:sz w:val="28"/>
          <w:szCs w:val="28"/>
        </w:rPr>
        <w:t>:</w:t>
      </w:r>
    </w:p>
    <w:p w14:paraId="676ED94B" w14:textId="77777777" w:rsidR="00404A54" w:rsidRPr="00611E7E" w:rsidRDefault="00404A54" w:rsidP="00FF5C30">
      <w:pPr>
        <w:numPr>
          <w:ilvl w:val="0"/>
          <w:numId w:val="46"/>
        </w:numPr>
        <w:bidi/>
        <w:jc w:val="both"/>
        <w:rPr>
          <w:rFonts w:asciiTheme="majorBidi" w:hAnsiTheme="majorBidi" w:cstheme="majorBidi"/>
          <w:sz w:val="28"/>
          <w:szCs w:val="28"/>
        </w:rPr>
      </w:pPr>
      <w:r w:rsidRPr="0009445F">
        <w:rPr>
          <w:rFonts w:asciiTheme="majorBidi" w:hAnsiTheme="majorBidi" w:cstheme="majorBidi"/>
          <w:b/>
          <w:bCs/>
          <w:sz w:val="28"/>
          <w:szCs w:val="28"/>
          <w:rtl/>
        </w:rPr>
        <w:t>موظفو الخطوط الأمامية</w:t>
      </w:r>
      <w:r w:rsidRPr="0009445F">
        <w:rPr>
          <w:rFonts w:asciiTheme="majorBidi" w:hAnsiTheme="majorBidi" w:cstheme="majorBidi"/>
          <w:sz w:val="28"/>
          <w:szCs w:val="28"/>
          <w:rtl/>
        </w:rPr>
        <w:t>:</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 xml:space="preserve">يشملون العاملين في تقديم الخدمات المباشرة للعملاء، مثل موظفي الاستقبال، الطهاة، مقدمي الطعام، ومشرفي العمليات، حيث يُتوقع </w:t>
      </w:r>
      <w:r w:rsidRPr="00611E7E">
        <w:rPr>
          <w:rFonts w:asciiTheme="majorBidi" w:hAnsiTheme="majorBidi" w:cstheme="majorBidi"/>
          <w:sz w:val="28"/>
          <w:szCs w:val="28"/>
          <w:rtl/>
        </w:rPr>
        <w:t>أن يكون لهم دور أساسي في الإبداع من خلال تقديم حلول جديدة لتحسين جودة الخدمات</w:t>
      </w:r>
      <w:r w:rsidRPr="00611E7E">
        <w:rPr>
          <w:rFonts w:asciiTheme="majorBidi" w:hAnsiTheme="majorBidi" w:cstheme="majorBidi"/>
          <w:sz w:val="28"/>
          <w:szCs w:val="28"/>
        </w:rPr>
        <w:t>.</w:t>
      </w:r>
    </w:p>
    <w:p w14:paraId="2292F827" w14:textId="77777777" w:rsidR="00404A54" w:rsidRPr="0009445F" w:rsidRDefault="00404A54" w:rsidP="00FF5C30">
      <w:pPr>
        <w:numPr>
          <w:ilvl w:val="0"/>
          <w:numId w:val="46"/>
        </w:numPr>
        <w:bidi/>
        <w:jc w:val="both"/>
        <w:rPr>
          <w:rFonts w:asciiTheme="majorBidi" w:hAnsiTheme="majorBidi" w:cstheme="majorBidi"/>
          <w:sz w:val="28"/>
          <w:szCs w:val="28"/>
        </w:rPr>
      </w:pPr>
      <w:r w:rsidRPr="0009445F">
        <w:rPr>
          <w:rFonts w:asciiTheme="majorBidi" w:hAnsiTheme="majorBidi" w:cstheme="majorBidi"/>
          <w:b/>
          <w:bCs/>
          <w:sz w:val="28"/>
          <w:szCs w:val="28"/>
          <w:rtl/>
        </w:rPr>
        <w:t>المشرفون والمديرون المباشرون</w:t>
      </w:r>
      <w:r w:rsidRPr="0009445F">
        <w:rPr>
          <w:rFonts w:asciiTheme="majorBidi" w:hAnsiTheme="majorBidi" w:cstheme="majorBidi"/>
          <w:sz w:val="28"/>
          <w:szCs w:val="28"/>
          <w:rtl/>
        </w:rPr>
        <w:t>:</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المسؤولون عن تطبيق ممارسات الموارد البشرية واتخاذ القرارات الإدارية، مما يمكنهم من توفير رؤى مهمة حول مدى تأثير</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أنظمة العمل عالية الأداء</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على الأداء الإبداعي في مؤسساتهم</w:t>
      </w:r>
      <w:r w:rsidRPr="0009445F">
        <w:rPr>
          <w:rFonts w:asciiTheme="majorBidi" w:hAnsiTheme="majorBidi" w:cstheme="majorBidi"/>
          <w:sz w:val="28"/>
          <w:szCs w:val="28"/>
        </w:rPr>
        <w:t>.</w:t>
      </w:r>
    </w:p>
    <w:p w14:paraId="7B46A4D7" w14:textId="77777777" w:rsidR="00404A54" w:rsidRPr="0009445F" w:rsidRDefault="00404A54" w:rsidP="00FF5C30">
      <w:pPr>
        <w:numPr>
          <w:ilvl w:val="0"/>
          <w:numId w:val="46"/>
        </w:numPr>
        <w:bidi/>
        <w:jc w:val="both"/>
        <w:rPr>
          <w:rFonts w:asciiTheme="majorBidi" w:hAnsiTheme="majorBidi" w:cstheme="majorBidi"/>
          <w:sz w:val="28"/>
          <w:szCs w:val="28"/>
        </w:rPr>
      </w:pPr>
      <w:r w:rsidRPr="0009445F">
        <w:rPr>
          <w:rFonts w:asciiTheme="majorBidi" w:hAnsiTheme="majorBidi" w:cstheme="majorBidi"/>
          <w:b/>
          <w:bCs/>
          <w:sz w:val="28"/>
          <w:szCs w:val="28"/>
          <w:rtl/>
        </w:rPr>
        <w:t>استبعاد الفئات غير ذات الصلة</w:t>
      </w:r>
      <w:r w:rsidRPr="0009445F">
        <w:rPr>
          <w:rFonts w:asciiTheme="majorBidi" w:hAnsiTheme="majorBidi" w:cstheme="majorBidi"/>
          <w:sz w:val="28"/>
          <w:szCs w:val="28"/>
          <w:rtl/>
        </w:rPr>
        <w:t>:</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مثل الموظفين في الإدارات الخلفية (مثل المحاسبة أو اللوجستيات)، حيث لا يتداخل عملهم بشكل مباشر مع تقديم الخدمات المبتكرة للعملاء</w:t>
      </w:r>
      <w:r w:rsidRPr="0009445F">
        <w:rPr>
          <w:rFonts w:asciiTheme="majorBidi" w:hAnsiTheme="majorBidi" w:cstheme="majorBidi"/>
          <w:sz w:val="28"/>
          <w:szCs w:val="28"/>
        </w:rPr>
        <w:t>.</w:t>
      </w:r>
    </w:p>
    <w:p w14:paraId="602EC08B" w14:textId="77777777" w:rsidR="00404A54" w:rsidRPr="0009445F" w:rsidRDefault="00404A54" w:rsidP="00404A54">
      <w:pPr>
        <w:bidi/>
        <w:rPr>
          <w:rFonts w:asciiTheme="majorBidi" w:hAnsiTheme="majorBidi" w:cstheme="majorBidi"/>
          <w:sz w:val="28"/>
          <w:szCs w:val="28"/>
        </w:rPr>
      </w:pPr>
    </w:p>
    <w:p w14:paraId="7C9D78D2"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1.</w:t>
      </w:r>
      <w:r>
        <w:rPr>
          <w:rFonts w:asciiTheme="majorBidi" w:hAnsiTheme="majorBidi" w:cstheme="majorBidi" w:hint="cs"/>
          <w:b/>
          <w:bCs/>
          <w:sz w:val="28"/>
          <w:szCs w:val="28"/>
          <w:rtl/>
        </w:rPr>
        <w:t>7</w:t>
      </w:r>
      <w:r w:rsidRPr="0009445F">
        <w:rPr>
          <w:rFonts w:asciiTheme="majorBidi" w:hAnsiTheme="majorBidi" w:cstheme="majorBidi"/>
          <w:b/>
          <w:bCs/>
          <w:sz w:val="28"/>
          <w:szCs w:val="28"/>
          <w:rtl/>
        </w:rPr>
        <w:t>.4. الحدود الموضوعية</w:t>
      </w:r>
    </w:p>
    <w:p w14:paraId="403118CF" w14:textId="50A19E52" w:rsidR="00404A54" w:rsidRPr="00611E7E" w:rsidRDefault="001B2965" w:rsidP="00FF5C30">
      <w:pPr>
        <w:bidi/>
        <w:jc w:val="both"/>
        <w:rPr>
          <w:rFonts w:asciiTheme="majorBidi" w:hAnsiTheme="majorBidi" w:cstheme="majorBidi"/>
          <w:sz w:val="28"/>
          <w:szCs w:val="28"/>
        </w:rPr>
      </w:pPr>
      <w:r w:rsidRPr="001B2965">
        <w:rPr>
          <w:rFonts w:asciiTheme="majorBidi" w:hAnsiTheme="majorBidi" w:cstheme="majorBidi"/>
          <w:sz w:val="28"/>
          <w:szCs w:val="28"/>
          <w:rtl/>
        </w:rPr>
        <w:t xml:space="preserve">تركز هذه </w:t>
      </w:r>
      <w:r w:rsidRPr="00611E7E">
        <w:rPr>
          <w:rFonts w:asciiTheme="majorBidi" w:hAnsiTheme="majorBidi" w:cstheme="majorBidi"/>
          <w:sz w:val="28"/>
          <w:szCs w:val="28"/>
          <w:rtl/>
        </w:rPr>
        <w:t>الدراسة على تحليل أثر أنظمة العمل عالية الأداء</w:t>
      </w:r>
      <w:r w:rsidRPr="00611E7E">
        <w:rPr>
          <w:rFonts w:asciiTheme="majorBidi" w:hAnsiTheme="majorBidi" w:cstheme="majorBidi"/>
          <w:sz w:val="28"/>
          <w:szCs w:val="28"/>
        </w:rPr>
        <w:t xml:space="preserve"> (HPWS) </w:t>
      </w:r>
      <w:r w:rsidRPr="00611E7E">
        <w:rPr>
          <w:rFonts w:asciiTheme="majorBidi" w:hAnsiTheme="majorBidi" w:cstheme="majorBidi"/>
          <w:sz w:val="28"/>
          <w:szCs w:val="28"/>
          <w:rtl/>
        </w:rPr>
        <w:t xml:space="preserve">بأبعادها المختلفة (مثل: التوظيف الانتقائي، التدريب والتطوير، التقييم العادل للأداء، نظم الحوافز، التمكين والمشاركة)، على الإبداع الوظيفي </w:t>
      </w:r>
      <w:r w:rsidRPr="00611E7E">
        <w:rPr>
          <w:rFonts w:asciiTheme="majorBidi" w:hAnsiTheme="majorBidi" w:cstheme="majorBidi"/>
          <w:sz w:val="28"/>
          <w:szCs w:val="28"/>
          <w:rtl/>
        </w:rPr>
        <w:lastRenderedPageBreak/>
        <w:t>بأبعاده</w:t>
      </w:r>
      <w:r w:rsidRPr="00611E7E">
        <w:rPr>
          <w:rFonts w:asciiTheme="majorBidi" w:hAnsiTheme="majorBidi" w:cstheme="majorBidi" w:hint="cs"/>
          <w:sz w:val="28"/>
          <w:szCs w:val="28"/>
          <w:rtl/>
        </w:rPr>
        <w:t>.</w:t>
      </w:r>
      <w:r w:rsidRPr="00611E7E">
        <w:rPr>
          <w:rFonts w:asciiTheme="majorBidi" w:hAnsiTheme="majorBidi" w:cstheme="majorBidi"/>
          <w:sz w:val="28"/>
          <w:szCs w:val="28"/>
        </w:rPr>
        <w:br/>
      </w:r>
      <w:r w:rsidRPr="00611E7E">
        <w:rPr>
          <w:rFonts w:asciiTheme="majorBidi" w:hAnsiTheme="majorBidi" w:cstheme="majorBidi"/>
          <w:sz w:val="28"/>
          <w:szCs w:val="28"/>
          <w:rtl/>
        </w:rPr>
        <w:t>كما تتناول الدراسة الثقافة التنظيمية كمتغير وسيط يفسر العلاقة بين أنظمة العمل عالية الأداء والإبداع الوظيفي، وذلك في قطاعي الفنادق والمطاعم بمدينة الرياض</w:t>
      </w:r>
      <w:r w:rsidRPr="00611E7E">
        <w:rPr>
          <w:rFonts w:asciiTheme="majorBidi" w:hAnsiTheme="majorBidi" w:cstheme="majorBidi"/>
          <w:sz w:val="28"/>
          <w:szCs w:val="28"/>
        </w:rPr>
        <w:t>.</w:t>
      </w:r>
      <w:r w:rsidR="00404A54" w:rsidRPr="00611E7E">
        <w:rPr>
          <w:rFonts w:asciiTheme="majorBidi" w:hAnsiTheme="majorBidi" w:cstheme="majorBidi"/>
          <w:sz w:val="28"/>
          <w:szCs w:val="28"/>
          <w:rtl/>
        </w:rPr>
        <w:t xml:space="preserve"> مع استبعاد الجوانب التالية</w:t>
      </w:r>
      <w:r w:rsidR="00404A54" w:rsidRPr="00611E7E">
        <w:rPr>
          <w:rFonts w:asciiTheme="majorBidi" w:hAnsiTheme="majorBidi" w:cstheme="majorBidi"/>
          <w:sz w:val="28"/>
          <w:szCs w:val="28"/>
        </w:rPr>
        <w:t>:</w:t>
      </w:r>
    </w:p>
    <w:p w14:paraId="3691953E" w14:textId="77777777" w:rsidR="00404A54" w:rsidRPr="00514E21" w:rsidRDefault="00404A54" w:rsidP="00FF5C30">
      <w:pPr>
        <w:numPr>
          <w:ilvl w:val="0"/>
          <w:numId w:val="47"/>
        </w:numPr>
        <w:bidi/>
        <w:jc w:val="both"/>
        <w:rPr>
          <w:rFonts w:asciiTheme="majorBidi" w:hAnsiTheme="majorBidi" w:cstheme="majorBidi"/>
          <w:sz w:val="28"/>
          <w:szCs w:val="28"/>
        </w:rPr>
      </w:pPr>
      <w:r w:rsidRPr="00611E7E">
        <w:rPr>
          <w:rFonts w:asciiTheme="majorBidi" w:hAnsiTheme="majorBidi" w:cstheme="majorBidi"/>
          <w:sz w:val="28"/>
          <w:szCs w:val="28"/>
          <w:rtl/>
        </w:rPr>
        <w:t>الأداء المالي:</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على الرغم من أن</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أنظمة العمل عالية الأداء</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قد تؤثر على الربحية والكفاءة التشغيلية، إلا أن هذه الدراسة لا تتناول العلاقة بين هذه الأنظمة والأداء</w:t>
      </w:r>
      <w:r w:rsidRPr="00514E21">
        <w:rPr>
          <w:rFonts w:asciiTheme="majorBidi" w:hAnsiTheme="majorBidi" w:cstheme="majorBidi"/>
          <w:sz w:val="28"/>
          <w:szCs w:val="28"/>
          <w:rtl/>
        </w:rPr>
        <w:t xml:space="preserve"> المالي للمؤسسات</w:t>
      </w:r>
      <w:r w:rsidRPr="00514E21">
        <w:rPr>
          <w:rFonts w:asciiTheme="majorBidi" w:hAnsiTheme="majorBidi" w:cstheme="majorBidi"/>
          <w:sz w:val="28"/>
          <w:szCs w:val="28"/>
        </w:rPr>
        <w:t>.</w:t>
      </w:r>
    </w:p>
    <w:p w14:paraId="0A172F69" w14:textId="77777777" w:rsidR="00404A54" w:rsidRPr="00514E21" w:rsidRDefault="00404A54" w:rsidP="00FF5C30">
      <w:pPr>
        <w:numPr>
          <w:ilvl w:val="0"/>
          <w:numId w:val="47"/>
        </w:numPr>
        <w:bidi/>
        <w:jc w:val="both"/>
        <w:rPr>
          <w:rFonts w:asciiTheme="majorBidi" w:hAnsiTheme="majorBidi" w:cstheme="majorBidi"/>
          <w:sz w:val="28"/>
          <w:szCs w:val="28"/>
        </w:rPr>
      </w:pPr>
      <w:r w:rsidRPr="00514E21">
        <w:rPr>
          <w:rFonts w:asciiTheme="majorBidi" w:hAnsiTheme="majorBidi" w:cstheme="majorBidi"/>
          <w:sz w:val="28"/>
          <w:szCs w:val="28"/>
          <w:rtl/>
        </w:rPr>
        <w:t>رضا العملاء:</w:t>
      </w:r>
      <w:r w:rsidRPr="00514E21">
        <w:rPr>
          <w:rFonts w:asciiTheme="majorBidi" w:hAnsiTheme="majorBidi" w:cstheme="majorBidi"/>
          <w:sz w:val="28"/>
          <w:szCs w:val="28"/>
        </w:rPr>
        <w:t xml:space="preserve"> </w:t>
      </w:r>
      <w:r w:rsidRPr="00514E21">
        <w:rPr>
          <w:rFonts w:asciiTheme="majorBidi" w:hAnsiTheme="majorBidi" w:cstheme="majorBidi"/>
          <w:sz w:val="28"/>
          <w:szCs w:val="28"/>
          <w:rtl/>
        </w:rPr>
        <w:t>رغم أن الإبداع في قطاع الضيافة يمكن أن يؤثر على رضا العملاء، إلا أن الدراسة تركز على الإبداع كنتاج لممارسات الموارد البشرية، وليس على تأثيره على تجربة العملاء</w:t>
      </w:r>
      <w:r w:rsidRPr="00514E21">
        <w:rPr>
          <w:rFonts w:asciiTheme="majorBidi" w:hAnsiTheme="majorBidi" w:cstheme="majorBidi"/>
          <w:sz w:val="28"/>
          <w:szCs w:val="28"/>
        </w:rPr>
        <w:t>.</w:t>
      </w:r>
    </w:p>
    <w:p w14:paraId="3682985A" w14:textId="77777777" w:rsidR="00404A54" w:rsidRPr="00514E21" w:rsidRDefault="00404A54" w:rsidP="00FF5C30">
      <w:pPr>
        <w:numPr>
          <w:ilvl w:val="0"/>
          <w:numId w:val="47"/>
        </w:numPr>
        <w:bidi/>
        <w:jc w:val="both"/>
        <w:rPr>
          <w:rFonts w:asciiTheme="majorBidi" w:hAnsiTheme="majorBidi" w:cstheme="majorBidi"/>
          <w:sz w:val="28"/>
          <w:szCs w:val="28"/>
        </w:rPr>
      </w:pPr>
      <w:r w:rsidRPr="00514E21">
        <w:rPr>
          <w:rFonts w:asciiTheme="majorBidi" w:hAnsiTheme="majorBidi" w:cstheme="majorBidi"/>
          <w:sz w:val="28"/>
          <w:szCs w:val="28"/>
          <w:rtl/>
        </w:rPr>
        <w:t>العوامل التنظيمية الأخرى:</w:t>
      </w:r>
      <w:r w:rsidRPr="00514E21">
        <w:rPr>
          <w:rFonts w:asciiTheme="majorBidi" w:hAnsiTheme="majorBidi" w:cstheme="majorBidi"/>
          <w:sz w:val="28"/>
          <w:szCs w:val="28"/>
        </w:rPr>
        <w:t xml:space="preserve"> </w:t>
      </w:r>
      <w:r w:rsidRPr="00514E21">
        <w:rPr>
          <w:rFonts w:asciiTheme="majorBidi" w:hAnsiTheme="majorBidi" w:cstheme="majorBidi"/>
          <w:sz w:val="28"/>
          <w:szCs w:val="28"/>
          <w:rtl/>
        </w:rPr>
        <w:t>مثل ثقافة العمل والقيادة التنظيمية، والتي قد تؤثر على العلاقة بين</w:t>
      </w:r>
      <w:r w:rsidRPr="00514E21">
        <w:rPr>
          <w:rFonts w:asciiTheme="majorBidi" w:hAnsiTheme="majorBidi" w:cstheme="majorBidi"/>
          <w:sz w:val="28"/>
          <w:szCs w:val="28"/>
        </w:rPr>
        <w:t xml:space="preserve"> </w:t>
      </w:r>
      <w:r w:rsidRPr="00514E21">
        <w:rPr>
          <w:rFonts w:asciiTheme="majorBidi" w:hAnsiTheme="majorBidi" w:cstheme="majorBidi"/>
          <w:sz w:val="28"/>
          <w:szCs w:val="28"/>
          <w:rtl/>
        </w:rPr>
        <w:t>أنظمة العمل عالية الأداء والإبداع، لكنها ليست ضمن نطاق التركيز الأساسي للدراسة</w:t>
      </w:r>
      <w:r w:rsidRPr="00514E21">
        <w:rPr>
          <w:rFonts w:asciiTheme="majorBidi" w:hAnsiTheme="majorBidi" w:cstheme="majorBidi"/>
          <w:sz w:val="28"/>
          <w:szCs w:val="28"/>
        </w:rPr>
        <w:t>.</w:t>
      </w:r>
    </w:p>
    <w:p w14:paraId="4B1B79EE" w14:textId="77777777" w:rsidR="00404A54" w:rsidRDefault="00404A54" w:rsidP="00FF5C30">
      <w:pPr>
        <w:bidi/>
        <w:jc w:val="both"/>
        <w:rPr>
          <w:rFonts w:asciiTheme="majorBidi" w:hAnsiTheme="majorBidi" w:cstheme="majorBidi"/>
          <w:sz w:val="28"/>
          <w:szCs w:val="28"/>
          <w:rtl/>
        </w:rPr>
      </w:pPr>
      <w:r w:rsidRPr="00514E21">
        <w:rPr>
          <w:rFonts w:asciiTheme="majorBidi" w:hAnsiTheme="majorBidi" w:cstheme="majorBidi"/>
          <w:sz w:val="28"/>
          <w:szCs w:val="28"/>
          <w:rtl/>
        </w:rPr>
        <w:t>تساعد هذه الحدود في ضمان تركيز البحث على تحليل العلاقة بين</w:t>
      </w:r>
      <w:r w:rsidRPr="00514E21">
        <w:rPr>
          <w:rFonts w:asciiTheme="majorBidi" w:hAnsiTheme="majorBidi" w:cstheme="majorBidi"/>
          <w:sz w:val="28"/>
          <w:szCs w:val="28"/>
        </w:rPr>
        <w:t xml:space="preserve"> </w:t>
      </w:r>
      <w:r w:rsidRPr="00514E21">
        <w:rPr>
          <w:rFonts w:asciiTheme="majorBidi" w:hAnsiTheme="majorBidi" w:cstheme="majorBidi"/>
          <w:sz w:val="28"/>
          <w:szCs w:val="28"/>
          <w:rtl/>
        </w:rPr>
        <w:t>أنظمة العمل عالية الأداء</w:t>
      </w:r>
      <w:r w:rsidRPr="00514E21">
        <w:rPr>
          <w:rFonts w:asciiTheme="majorBidi" w:hAnsiTheme="majorBidi" w:cstheme="majorBidi"/>
          <w:sz w:val="28"/>
          <w:szCs w:val="28"/>
        </w:rPr>
        <w:t xml:space="preserve"> </w:t>
      </w:r>
      <w:r w:rsidRPr="00514E21">
        <w:rPr>
          <w:rFonts w:asciiTheme="majorBidi" w:hAnsiTheme="majorBidi" w:cstheme="majorBidi"/>
          <w:sz w:val="28"/>
          <w:szCs w:val="28"/>
          <w:rtl/>
        </w:rPr>
        <w:t>والأداء الإبداعي في بيئة العمل، مع الحفاظ على وضوح نطاق الدراسة وتحديد المتغيرات والعوامل ذات الصلة التي سيتم دراستها بدقة. كما تتيح هذه الحدود إمكانية تقديم نتائج دقيقة وقابلة للتطبيق ضمن الإطار الزمني والمكاني المحدد</w:t>
      </w:r>
      <w:r w:rsidRPr="00514E21">
        <w:rPr>
          <w:rFonts w:asciiTheme="majorBidi" w:hAnsiTheme="majorBidi" w:cstheme="majorBidi"/>
          <w:sz w:val="28"/>
          <w:szCs w:val="28"/>
        </w:rPr>
        <w:t>.</w:t>
      </w:r>
    </w:p>
    <w:p w14:paraId="78217301" w14:textId="77777777" w:rsidR="00404A54" w:rsidRPr="00514E21" w:rsidRDefault="00404A54" w:rsidP="00404A54">
      <w:pPr>
        <w:bidi/>
        <w:rPr>
          <w:rFonts w:asciiTheme="majorBidi" w:hAnsiTheme="majorBidi" w:cstheme="majorBidi"/>
          <w:sz w:val="28"/>
          <w:szCs w:val="28"/>
        </w:rPr>
      </w:pPr>
    </w:p>
    <w:p w14:paraId="3645DB82" w14:textId="77777777" w:rsidR="00404A54" w:rsidRPr="00585DBF" w:rsidRDefault="00404A54" w:rsidP="00404A54">
      <w:pPr>
        <w:bidi/>
        <w:spacing w:after="0" w:line="240" w:lineRule="auto"/>
        <w:rPr>
          <w:rFonts w:asciiTheme="majorBidi" w:hAnsiTheme="majorBidi" w:cstheme="majorBidi"/>
          <w:b/>
          <w:bCs/>
          <w:sz w:val="28"/>
          <w:szCs w:val="28"/>
          <w:rtl/>
        </w:rPr>
      </w:pPr>
      <w:r w:rsidRPr="0009445F">
        <w:rPr>
          <w:rFonts w:asciiTheme="majorBidi" w:hAnsiTheme="majorBidi" w:cstheme="majorBidi"/>
          <w:b/>
          <w:bCs/>
          <w:sz w:val="28"/>
          <w:szCs w:val="28"/>
          <w:rtl/>
        </w:rPr>
        <w:t>1.</w:t>
      </w:r>
      <w:r>
        <w:rPr>
          <w:rFonts w:asciiTheme="majorBidi" w:hAnsiTheme="majorBidi" w:cstheme="majorBidi" w:hint="cs"/>
          <w:b/>
          <w:bCs/>
          <w:sz w:val="28"/>
          <w:szCs w:val="28"/>
          <w:rtl/>
        </w:rPr>
        <w:t>8</w:t>
      </w:r>
      <w:r w:rsidRPr="00585DBF">
        <w:rPr>
          <w:rFonts w:asciiTheme="majorBidi" w:hAnsiTheme="majorBidi" w:cstheme="majorBidi"/>
          <w:b/>
          <w:bCs/>
          <w:sz w:val="28"/>
          <w:szCs w:val="28"/>
          <w:rtl/>
        </w:rPr>
        <w:t>. منهج الدراسة:</w:t>
      </w:r>
    </w:p>
    <w:p w14:paraId="71EF2D61" w14:textId="518F7FC8" w:rsidR="00404A54" w:rsidRDefault="00404A54" w:rsidP="00FF5C30">
      <w:pPr>
        <w:bidi/>
        <w:spacing w:after="0" w:line="240" w:lineRule="auto"/>
        <w:jc w:val="both"/>
        <w:rPr>
          <w:rFonts w:asciiTheme="majorBidi" w:hAnsiTheme="majorBidi" w:cstheme="majorBidi"/>
          <w:sz w:val="28"/>
          <w:szCs w:val="28"/>
          <w:rtl/>
        </w:rPr>
      </w:pPr>
      <w:r w:rsidRPr="00585DBF">
        <w:rPr>
          <w:rFonts w:asciiTheme="majorBidi" w:hAnsiTheme="majorBidi" w:cstheme="majorBidi"/>
          <w:sz w:val="28"/>
          <w:szCs w:val="28"/>
          <w:rtl/>
        </w:rPr>
        <w:t xml:space="preserve">ستتبنى هذه الدراسة تصميم بحثي </w:t>
      </w:r>
      <w:r w:rsidR="00E475A6">
        <w:rPr>
          <w:rFonts w:asciiTheme="majorBidi" w:hAnsiTheme="majorBidi" w:cstheme="majorBidi" w:hint="cs"/>
          <w:sz w:val="28"/>
          <w:szCs w:val="28"/>
          <w:rtl/>
        </w:rPr>
        <w:t>كمي</w:t>
      </w:r>
      <w:r w:rsidRPr="00585DBF">
        <w:rPr>
          <w:rFonts w:asciiTheme="majorBidi" w:hAnsiTheme="majorBidi" w:cstheme="majorBidi"/>
          <w:sz w:val="28"/>
          <w:szCs w:val="28"/>
          <w:rtl/>
        </w:rPr>
        <w:t xml:space="preserve"> الأساليب</w:t>
      </w:r>
      <w:r w:rsidRPr="00585DBF">
        <w:rPr>
          <w:rFonts w:asciiTheme="majorBidi" w:hAnsiTheme="majorBidi" w:cstheme="majorBidi"/>
          <w:sz w:val="28"/>
          <w:szCs w:val="28"/>
          <w:rtl/>
          <w:lang w:bidi="ar-EG"/>
        </w:rPr>
        <w:t xml:space="preserve"> (التحليل الوصفي للنصوص الأدبية الأكاديمية بخصوص ذلك النسق، والتحليل الكمي عن تطريق الاستبيانات (</w:t>
      </w:r>
      <w:r w:rsidRPr="00585DBF">
        <w:rPr>
          <w:rFonts w:asciiTheme="majorBidi" w:hAnsiTheme="majorBidi" w:cstheme="majorBidi"/>
          <w:sz w:val="28"/>
          <w:szCs w:val="28"/>
          <w:lang w:bidi="ar-EG"/>
        </w:rPr>
        <w:t>cross sectional study</w:t>
      </w:r>
      <w:r w:rsidRPr="00585DBF">
        <w:rPr>
          <w:rFonts w:asciiTheme="majorBidi" w:hAnsiTheme="majorBidi" w:cstheme="majorBidi"/>
          <w:sz w:val="28"/>
          <w:szCs w:val="28"/>
          <w:rtl/>
          <w:lang w:bidi="ar-EG"/>
        </w:rPr>
        <w:t>))</w:t>
      </w:r>
      <w:r w:rsidRPr="00585DBF">
        <w:rPr>
          <w:rFonts w:asciiTheme="majorBidi" w:hAnsiTheme="majorBidi" w:cstheme="majorBidi"/>
          <w:sz w:val="28"/>
          <w:szCs w:val="28"/>
          <w:rtl/>
        </w:rPr>
        <w:t xml:space="preserve"> لاستكشاف تأثير أنظمة العمل عالية الأداء على الأداء الإبداعي في قطاعي الفنادق والمطاعم بشكل شامل. يسمح نهج الأساليب ال</w:t>
      </w:r>
      <w:r w:rsidR="00E475A6">
        <w:rPr>
          <w:rFonts w:asciiTheme="majorBidi" w:hAnsiTheme="majorBidi" w:cstheme="majorBidi" w:hint="cs"/>
          <w:sz w:val="28"/>
          <w:szCs w:val="28"/>
          <w:rtl/>
        </w:rPr>
        <w:t>كمية</w:t>
      </w:r>
      <w:r w:rsidRPr="00585DBF">
        <w:rPr>
          <w:rFonts w:asciiTheme="majorBidi" w:hAnsiTheme="majorBidi" w:cstheme="majorBidi"/>
          <w:sz w:val="28"/>
          <w:szCs w:val="28"/>
          <w:rtl/>
        </w:rPr>
        <w:t xml:space="preserve"> ب</w:t>
      </w:r>
      <w:r w:rsidR="00E475A6">
        <w:rPr>
          <w:rFonts w:asciiTheme="majorBidi" w:hAnsiTheme="majorBidi" w:cstheme="majorBidi" w:hint="cs"/>
          <w:sz w:val="28"/>
          <w:szCs w:val="28"/>
          <w:rtl/>
        </w:rPr>
        <w:t>جمع كمية بيانات كافية ووفية تسمح بتحليل البيانات بشكل يقضي في نهاية الدراسة الي نتائج فاصلة</w:t>
      </w:r>
      <w:r w:rsidRPr="00585DBF">
        <w:rPr>
          <w:rFonts w:asciiTheme="majorBidi" w:hAnsiTheme="majorBidi" w:cstheme="majorBidi"/>
          <w:sz w:val="28"/>
          <w:szCs w:val="28"/>
          <w:rtl/>
        </w:rPr>
        <w:t>، مما يوفر فهمًا أكثر اكتمالاً للعلاقة بين أنظمة العمل عالية الأداء والإبداع. ستمكن البيانات الكمية من قياس ومقارنة ممارسات أنظمة العمل عالية الأداء والأداء الإبداعي عبر القطاعين، في حين ستوفر البيانات النوعية رؤى حول تصورات الموظفين والعوامل السياقية التي تؤثر على هذه الديناميكيات</w:t>
      </w:r>
      <w:r w:rsidRPr="00585DBF">
        <w:rPr>
          <w:rFonts w:asciiTheme="majorBidi" w:hAnsiTheme="majorBidi" w:cstheme="majorBidi" w:hint="cs"/>
          <w:sz w:val="28"/>
          <w:szCs w:val="28"/>
          <w:rtl/>
        </w:rPr>
        <w:t xml:space="preserve"> </w:t>
      </w:r>
      <w:r w:rsidRPr="00585DBF">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w:instrText>
      </w:r>
      <w:r w:rsidR="00FB6AAE">
        <w:rPr>
          <w:rFonts w:asciiTheme="majorBidi" w:hAnsiTheme="majorBidi" w:cstheme="majorBidi"/>
          <w:sz w:val="28"/>
          <w:szCs w:val="28"/>
          <w:rtl/>
        </w:rPr>
        <w:instrText>&gt;ذوقان،&lt;/</w:instrText>
      </w:r>
      <w:r w:rsidR="00FB6AAE">
        <w:rPr>
          <w:rFonts w:asciiTheme="majorBidi" w:hAnsiTheme="majorBidi" w:cstheme="majorBidi"/>
          <w:sz w:val="28"/>
          <w:szCs w:val="28"/>
        </w:rPr>
        <w:instrText>Author&gt;&lt;Year&gt;2012&lt;/Year&gt;&lt;RecNum&gt;755&lt;/RecNum&gt;&lt;DisplayText</w:instrText>
      </w:r>
      <w:r w:rsidR="00FB6AAE">
        <w:rPr>
          <w:rFonts w:asciiTheme="majorBidi" w:hAnsiTheme="majorBidi" w:cstheme="majorBidi"/>
          <w:sz w:val="28"/>
          <w:szCs w:val="28"/>
          <w:rtl/>
        </w:rPr>
        <w:instrText>&gt;(ذوقان،, 2012)&lt;/</w:instrText>
      </w:r>
      <w:r w:rsidR="00FB6AAE">
        <w:rPr>
          <w:rFonts w:asciiTheme="majorBidi" w:hAnsiTheme="majorBidi" w:cstheme="majorBidi"/>
          <w:sz w:val="28"/>
          <w:szCs w:val="28"/>
        </w:rPr>
        <w:instrText>DisplayText&gt;&lt;record&gt;&lt;rec-number&gt;755&lt;/rec-number&gt;&lt;foreign-keys&gt;&lt;key app="EN" db-id="t5vttv59or5xwbe2zdm5ewrxd905arrpawff" timestamp="1725</w:instrText>
      </w:r>
      <w:r w:rsidR="00FB6AAE">
        <w:rPr>
          <w:rFonts w:asciiTheme="majorBidi" w:hAnsiTheme="majorBidi" w:cstheme="majorBidi"/>
          <w:sz w:val="28"/>
          <w:szCs w:val="28"/>
          <w:rtl/>
        </w:rPr>
        <w:instrText>242319"&gt;755&lt;/</w:instrText>
      </w:r>
      <w:r w:rsidR="00FB6AAE">
        <w:rPr>
          <w:rFonts w:asciiTheme="majorBidi" w:hAnsiTheme="majorBidi" w:cstheme="majorBidi"/>
          <w:sz w:val="28"/>
          <w:szCs w:val="28"/>
        </w:rPr>
        <w:instrText>key&gt;&lt;/foreign-keys&gt;&lt;ref-type name="Book"&gt;6&lt;/ref-type&gt;&lt;contributors&gt;&lt;authors&gt;&lt;author</w:instrText>
      </w:r>
      <w:r w:rsidR="00FB6AAE">
        <w:rPr>
          <w:rFonts w:asciiTheme="majorBidi" w:hAnsiTheme="majorBidi" w:cstheme="majorBidi"/>
          <w:sz w:val="28"/>
          <w:szCs w:val="28"/>
          <w:rtl/>
        </w:rPr>
        <w:instrText>&gt;عبيدات ذوقان، &lt;/</w:instrText>
      </w:r>
      <w:r w:rsidR="00FB6AAE">
        <w:rPr>
          <w:rFonts w:asciiTheme="majorBidi" w:hAnsiTheme="majorBidi" w:cstheme="majorBidi"/>
          <w:sz w:val="28"/>
          <w:szCs w:val="28"/>
        </w:rPr>
        <w:instrText>author&gt;&lt;/authors&gt;&lt;/contributors&gt;&lt;titles&gt;&lt;title</w:instrText>
      </w:r>
      <w:r w:rsidR="00FB6AAE">
        <w:rPr>
          <w:rFonts w:asciiTheme="majorBidi" w:hAnsiTheme="majorBidi" w:cstheme="majorBidi"/>
          <w:sz w:val="28"/>
          <w:szCs w:val="28"/>
          <w:rtl/>
        </w:rPr>
        <w:instrText>&gt;البحث العلمي: مفهومه، أدواته، وأساليبه.&lt;/</w:instrText>
      </w:r>
      <w:r w:rsidR="00FB6AAE">
        <w:rPr>
          <w:rFonts w:asciiTheme="majorBidi" w:hAnsiTheme="majorBidi" w:cstheme="majorBidi"/>
          <w:sz w:val="28"/>
          <w:szCs w:val="28"/>
        </w:rPr>
        <w:instrText>title&gt;&lt;/titles&gt;&lt;dates&gt;&lt;year&gt;2012&lt;/year&gt;&lt;/dates&gt;&lt;pub-location</w:instrText>
      </w:r>
      <w:r w:rsidR="00FB6AAE">
        <w:rPr>
          <w:rFonts w:asciiTheme="majorBidi" w:hAnsiTheme="majorBidi" w:cstheme="majorBidi"/>
          <w:sz w:val="28"/>
          <w:szCs w:val="28"/>
          <w:rtl/>
        </w:rPr>
        <w:instrText>&gt;عمان&lt;/</w:instrText>
      </w:r>
      <w:r w:rsidR="00FB6AAE">
        <w:rPr>
          <w:rFonts w:asciiTheme="majorBidi" w:hAnsiTheme="majorBidi" w:cstheme="majorBidi"/>
          <w:sz w:val="28"/>
          <w:szCs w:val="28"/>
        </w:rPr>
        <w:instrText>pub-location&gt;&lt;publisher</w:instrText>
      </w:r>
      <w:r w:rsidR="00FB6AAE">
        <w:rPr>
          <w:rFonts w:asciiTheme="majorBidi" w:hAnsiTheme="majorBidi" w:cstheme="majorBidi"/>
          <w:sz w:val="28"/>
          <w:szCs w:val="28"/>
          <w:rtl/>
        </w:rPr>
        <w:instrText>&gt;دار الفكر&lt;/</w:instrText>
      </w:r>
      <w:r w:rsidR="00FB6AAE">
        <w:rPr>
          <w:rFonts w:asciiTheme="majorBidi" w:hAnsiTheme="majorBidi" w:cstheme="majorBidi"/>
          <w:sz w:val="28"/>
          <w:szCs w:val="28"/>
        </w:rPr>
        <w:instrText>publisher&gt;&lt;urls&gt;&lt;/urls&gt;&lt;/record&gt;&lt;/Cite&gt;&lt;/EndNote</w:instrText>
      </w:r>
      <w:r w:rsidR="00FB6AAE">
        <w:rPr>
          <w:rFonts w:asciiTheme="majorBidi" w:hAnsiTheme="majorBidi" w:cstheme="majorBidi"/>
          <w:sz w:val="28"/>
          <w:szCs w:val="28"/>
          <w:rtl/>
        </w:rPr>
        <w:instrText>&gt;</w:instrText>
      </w:r>
      <w:r w:rsidRPr="00585DBF">
        <w:rPr>
          <w:rFonts w:asciiTheme="majorBidi" w:hAnsiTheme="majorBidi" w:cstheme="majorBidi"/>
          <w:sz w:val="28"/>
          <w:szCs w:val="28"/>
          <w:rtl/>
        </w:rPr>
        <w:fldChar w:fldCharType="separate"/>
      </w:r>
      <w:r w:rsidRPr="00585DBF">
        <w:rPr>
          <w:rFonts w:asciiTheme="majorBidi" w:hAnsiTheme="majorBidi" w:cstheme="majorBidi"/>
          <w:noProof/>
          <w:sz w:val="28"/>
          <w:szCs w:val="28"/>
          <w:rtl/>
        </w:rPr>
        <w:t>(ذوقان،, 2012)</w:t>
      </w:r>
      <w:r w:rsidRPr="00585DBF">
        <w:rPr>
          <w:rFonts w:asciiTheme="majorBidi" w:hAnsiTheme="majorBidi" w:cstheme="majorBidi"/>
          <w:sz w:val="28"/>
          <w:szCs w:val="28"/>
          <w:rtl/>
        </w:rPr>
        <w:fldChar w:fldCharType="end"/>
      </w:r>
      <w:r w:rsidRPr="00585DBF">
        <w:rPr>
          <w:rFonts w:asciiTheme="majorBidi" w:hAnsiTheme="majorBidi" w:cstheme="majorBidi"/>
          <w:sz w:val="28"/>
          <w:szCs w:val="28"/>
          <w:rtl/>
        </w:rPr>
        <w:t>.</w:t>
      </w:r>
    </w:p>
    <w:p w14:paraId="794DC33F" w14:textId="77777777" w:rsidR="006652C1" w:rsidRPr="00585DBF" w:rsidRDefault="006652C1" w:rsidP="006652C1">
      <w:pPr>
        <w:bidi/>
        <w:spacing w:after="0" w:line="240" w:lineRule="auto"/>
        <w:jc w:val="both"/>
        <w:rPr>
          <w:rFonts w:asciiTheme="majorBidi" w:hAnsiTheme="majorBidi" w:cstheme="majorBidi"/>
          <w:sz w:val="28"/>
          <w:szCs w:val="28"/>
          <w:rtl/>
        </w:rPr>
      </w:pPr>
    </w:p>
    <w:p w14:paraId="570B30D0" w14:textId="77777777" w:rsidR="00404A54" w:rsidRPr="00585DBF" w:rsidRDefault="00404A54" w:rsidP="00404A54">
      <w:pPr>
        <w:bidi/>
        <w:spacing w:after="200" w:line="276" w:lineRule="auto"/>
        <w:rPr>
          <w:rFonts w:asciiTheme="majorBidi" w:hAnsiTheme="majorBidi" w:cstheme="majorBidi"/>
          <w:b/>
          <w:bCs/>
          <w:sz w:val="28"/>
          <w:szCs w:val="28"/>
          <w:rtl/>
        </w:rPr>
      </w:pPr>
      <w:r w:rsidRPr="00585DBF">
        <w:rPr>
          <w:rFonts w:asciiTheme="majorBidi" w:hAnsiTheme="majorBidi" w:cstheme="majorBidi"/>
          <w:b/>
          <w:bCs/>
          <w:sz w:val="28"/>
          <w:szCs w:val="28"/>
          <w:rtl/>
        </w:rPr>
        <w:t>1.</w:t>
      </w:r>
      <w:r w:rsidRPr="00585DBF">
        <w:rPr>
          <w:rFonts w:asciiTheme="majorBidi" w:hAnsiTheme="majorBidi" w:cstheme="majorBidi" w:hint="cs"/>
          <w:b/>
          <w:bCs/>
          <w:sz w:val="28"/>
          <w:szCs w:val="28"/>
          <w:rtl/>
        </w:rPr>
        <w:t>8</w:t>
      </w:r>
      <w:r w:rsidRPr="00585DBF">
        <w:rPr>
          <w:rFonts w:asciiTheme="majorBidi" w:hAnsiTheme="majorBidi" w:cstheme="majorBidi"/>
          <w:b/>
          <w:bCs/>
          <w:sz w:val="28"/>
          <w:szCs w:val="28"/>
          <w:rtl/>
        </w:rPr>
        <w:t>.1. مجتمع وعينة الدراسة:</w:t>
      </w:r>
    </w:p>
    <w:p w14:paraId="635C7A58" w14:textId="77777777" w:rsidR="00404A54" w:rsidRPr="00585DBF" w:rsidRDefault="00404A54" w:rsidP="00404A54">
      <w:pPr>
        <w:bidi/>
        <w:spacing w:after="200" w:line="276" w:lineRule="auto"/>
        <w:rPr>
          <w:rFonts w:asciiTheme="majorBidi" w:hAnsiTheme="majorBidi" w:cstheme="majorBidi"/>
          <w:b/>
          <w:bCs/>
          <w:color w:val="000000" w:themeColor="text1"/>
          <w:sz w:val="28"/>
          <w:szCs w:val="28"/>
        </w:rPr>
      </w:pPr>
      <w:r w:rsidRPr="00585DBF">
        <w:rPr>
          <w:rFonts w:asciiTheme="majorBidi" w:hAnsiTheme="majorBidi" w:cstheme="majorBidi"/>
          <w:b/>
          <w:bCs/>
          <w:color w:val="000000" w:themeColor="text1"/>
          <w:sz w:val="28"/>
          <w:szCs w:val="28"/>
          <w:rtl/>
        </w:rPr>
        <w:t>مجتمع الدراسة:</w:t>
      </w:r>
    </w:p>
    <w:p w14:paraId="6DCE798D" w14:textId="77777777" w:rsidR="00404A54" w:rsidRPr="00585DBF" w:rsidRDefault="00404A54" w:rsidP="00FF5C30">
      <w:pPr>
        <w:bidi/>
        <w:spacing w:after="200" w:line="276" w:lineRule="auto"/>
        <w:ind w:left="360"/>
        <w:jc w:val="both"/>
        <w:rPr>
          <w:rFonts w:asciiTheme="majorBidi" w:hAnsiTheme="majorBidi" w:cstheme="majorBidi"/>
          <w:color w:val="000000" w:themeColor="text1"/>
          <w:sz w:val="28"/>
          <w:szCs w:val="28"/>
        </w:rPr>
      </w:pPr>
      <w:r w:rsidRPr="00585DBF">
        <w:rPr>
          <w:rFonts w:asciiTheme="majorBidi" w:hAnsiTheme="majorBidi" w:cstheme="majorBidi"/>
          <w:color w:val="000000" w:themeColor="text1"/>
          <w:sz w:val="28"/>
          <w:szCs w:val="28"/>
          <w:rtl/>
        </w:rPr>
        <w:t>يتكون مجتمع الدراسة من الموظفين في قطاعي الفنادق والمطاعم بمدينة الرياض، المملكة العربية السعودية، بما في ذلك موظفي الخطوط الأمامية، المشرفين، والمديرين، الذين يتعاملون بشكل مباشر مع تقديم الخدمات</w:t>
      </w:r>
      <w:r w:rsidRPr="00585DBF">
        <w:rPr>
          <w:rFonts w:asciiTheme="majorBidi" w:hAnsiTheme="majorBidi" w:cstheme="majorBidi"/>
          <w:color w:val="000000" w:themeColor="text1"/>
          <w:sz w:val="28"/>
          <w:szCs w:val="28"/>
        </w:rPr>
        <w:t xml:space="preserve">. </w:t>
      </w:r>
      <w:r w:rsidRPr="00585DBF">
        <w:rPr>
          <w:rFonts w:asciiTheme="majorBidi" w:hAnsiTheme="majorBidi" w:cstheme="majorBidi"/>
          <w:color w:val="000000" w:themeColor="text1"/>
          <w:sz w:val="28"/>
          <w:szCs w:val="28"/>
          <w:rtl/>
        </w:rPr>
        <w:t>تم اختيار هذا المجتمع تحديدًا للأسباب التالية</w:t>
      </w:r>
      <w:r w:rsidRPr="00585DBF">
        <w:rPr>
          <w:rFonts w:asciiTheme="majorBidi" w:hAnsiTheme="majorBidi" w:cstheme="majorBidi"/>
          <w:color w:val="000000" w:themeColor="text1"/>
          <w:sz w:val="28"/>
          <w:szCs w:val="28"/>
        </w:rPr>
        <w:t>:</w:t>
      </w:r>
    </w:p>
    <w:p w14:paraId="251A1288" w14:textId="3C52C83D" w:rsidR="00404A54" w:rsidRPr="00585DBF" w:rsidRDefault="00404A54" w:rsidP="00FF5C30">
      <w:pPr>
        <w:numPr>
          <w:ilvl w:val="0"/>
          <w:numId w:val="75"/>
        </w:numPr>
        <w:bidi/>
        <w:spacing w:after="200" w:line="276" w:lineRule="auto"/>
        <w:jc w:val="both"/>
        <w:rPr>
          <w:rFonts w:asciiTheme="majorBidi" w:hAnsiTheme="majorBidi" w:cstheme="majorBidi"/>
          <w:color w:val="000000" w:themeColor="text1"/>
          <w:sz w:val="28"/>
          <w:szCs w:val="28"/>
        </w:rPr>
      </w:pPr>
      <w:r w:rsidRPr="00585DBF">
        <w:rPr>
          <w:rFonts w:asciiTheme="majorBidi" w:hAnsiTheme="majorBidi" w:cstheme="majorBidi"/>
          <w:color w:val="000000" w:themeColor="text1"/>
          <w:sz w:val="28"/>
          <w:szCs w:val="28"/>
          <w:rtl/>
        </w:rPr>
        <w:t>الأهمية الاقتصادية:</w:t>
      </w:r>
      <w:r w:rsidRPr="00585DBF">
        <w:rPr>
          <w:rFonts w:asciiTheme="majorBidi" w:hAnsiTheme="majorBidi" w:cstheme="majorBidi"/>
          <w:color w:val="000000" w:themeColor="text1"/>
          <w:sz w:val="28"/>
          <w:szCs w:val="28"/>
        </w:rPr>
        <w:t xml:space="preserve"> </w:t>
      </w:r>
      <w:r w:rsidRPr="00585DBF">
        <w:rPr>
          <w:rFonts w:asciiTheme="majorBidi" w:hAnsiTheme="majorBidi" w:cstheme="majorBidi"/>
          <w:color w:val="000000" w:themeColor="text1"/>
          <w:sz w:val="28"/>
          <w:szCs w:val="28"/>
          <w:rtl/>
        </w:rPr>
        <w:t xml:space="preserve">يعد قطاع الضيافة، الذي يشمل الفنادق والمطاعم، من القطاعات الحيوية في المملكة، ويشهد نموًا متسارعًا ضمن رؤية 2030، حيث تستهدف المملكة تعزيز السياحة وتنويع </w:t>
      </w:r>
      <w:r w:rsidRPr="00585DBF">
        <w:rPr>
          <w:rFonts w:asciiTheme="majorBidi" w:hAnsiTheme="majorBidi" w:cstheme="majorBidi"/>
          <w:color w:val="000000" w:themeColor="text1"/>
          <w:sz w:val="28"/>
          <w:szCs w:val="28"/>
          <w:rtl/>
        </w:rPr>
        <w:lastRenderedPageBreak/>
        <w:t xml:space="preserve">الاقتصاد. وفقًا لتقديرات وزارة السياحة، من المتوقع أن تتجاوز مساهمة هذا القطاع 10٪ من الناتج المحلي الإجمالي بحلول عام 2030 </w:t>
      </w:r>
      <w:r w:rsidRPr="00585DBF">
        <w:rPr>
          <w:rFonts w:asciiTheme="majorBidi" w:hAnsiTheme="majorBidi" w:cstheme="majorBidi"/>
          <w:color w:val="000000" w:themeColor="text1"/>
          <w:sz w:val="28"/>
          <w:szCs w:val="28"/>
        </w:rPr>
        <w:fldChar w:fldCharType="begin"/>
      </w:r>
      <w:r w:rsidR="00FB6AAE">
        <w:rPr>
          <w:rFonts w:asciiTheme="majorBidi" w:hAnsiTheme="majorBidi" w:cstheme="majorBidi"/>
          <w:color w:val="000000" w:themeColor="text1"/>
          <w:sz w:val="28"/>
          <w:szCs w:val="28"/>
        </w:rPr>
        <w:instrText xml:space="preserve"> ADDIN EN.CITE &lt;EndNote&gt;&lt;Cite&gt;&lt;Author&gt;Arabia&lt;/Author&gt;&lt;Year&gt;2016&lt;/Year&gt;&lt;RecNum&gt;515&lt;/RecNum&gt;&lt;DisplayText&gt;(Arabia, 2016)&lt;/DisplayText&gt;&lt;record&gt;&lt;rec-number&gt;515&lt;/rec-number&gt;&lt;foreign-keys&gt;&lt;key app="EN" db-id="t5vttv59or5xwbe2zdm5ewrxd905arrpawff" timestamp="1722610128"&gt;515&lt;/key&gt;&lt;/foreign-keys&gt;&lt;ref-type name="Web Page"&gt;12&lt;/ref-type&gt;&lt;contributors&gt;&lt;authors&gt;&lt;author&gt;Kingdom of Saudi Arabia&lt;/author&gt;&lt;/authors&gt;&lt;/contributors&gt;&lt;titles&gt;&lt;title&gt;Vision 2030. Kingdom of Saudi Arabia.&lt;/title&gt;&lt;/titles&gt;&lt;dates&gt;&lt;year&gt;2016&lt;/year&gt;&lt;/dates&gt;&lt;urls&gt;&lt;related-urls&gt;&lt;url&gt;https://www.vision2030.gov.sa/en&lt;/url&gt;&lt;/related-urls&gt;&lt;/urls&gt;&lt;/record&gt;&lt;/Cite&gt;&lt;/EndNote&gt;</w:instrText>
      </w:r>
      <w:r w:rsidRPr="00585DBF">
        <w:rPr>
          <w:rFonts w:asciiTheme="majorBidi" w:hAnsiTheme="majorBidi" w:cstheme="majorBidi"/>
          <w:color w:val="000000" w:themeColor="text1"/>
          <w:sz w:val="28"/>
          <w:szCs w:val="28"/>
        </w:rPr>
        <w:fldChar w:fldCharType="separate"/>
      </w:r>
      <w:r w:rsidRPr="00585DBF">
        <w:rPr>
          <w:rFonts w:asciiTheme="majorBidi" w:hAnsiTheme="majorBidi" w:cstheme="majorBidi"/>
          <w:noProof/>
          <w:color w:val="000000" w:themeColor="text1"/>
          <w:sz w:val="28"/>
          <w:szCs w:val="28"/>
        </w:rPr>
        <w:t>(Arabia, 2016)</w:t>
      </w:r>
      <w:r w:rsidRPr="00585DBF">
        <w:rPr>
          <w:rFonts w:asciiTheme="majorBidi" w:hAnsiTheme="majorBidi" w:cstheme="majorBidi"/>
          <w:color w:val="000000" w:themeColor="text1"/>
          <w:sz w:val="28"/>
          <w:szCs w:val="28"/>
        </w:rPr>
        <w:fldChar w:fldCharType="end"/>
      </w:r>
      <w:r w:rsidRPr="00585DBF">
        <w:rPr>
          <w:rFonts w:asciiTheme="majorBidi" w:hAnsiTheme="majorBidi" w:cstheme="majorBidi"/>
          <w:color w:val="000000" w:themeColor="text1"/>
          <w:sz w:val="28"/>
          <w:szCs w:val="28"/>
          <w:rtl/>
        </w:rPr>
        <w:t>.</w:t>
      </w:r>
    </w:p>
    <w:p w14:paraId="7445AC11" w14:textId="62CF7803" w:rsidR="00404A54" w:rsidRPr="00585DBF" w:rsidRDefault="00404A54" w:rsidP="00FF5C30">
      <w:pPr>
        <w:numPr>
          <w:ilvl w:val="0"/>
          <w:numId w:val="75"/>
        </w:numPr>
        <w:bidi/>
        <w:spacing w:after="200" w:line="276" w:lineRule="auto"/>
        <w:jc w:val="both"/>
        <w:rPr>
          <w:rFonts w:asciiTheme="majorBidi" w:hAnsiTheme="majorBidi" w:cstheme="majorBidi"/>
          <w:color w:val="000000" w:themeColor="text1"/>
          <w:sz w:val="28"/>
          <w:szCs w:val="28"/>
        </w:rPr>
      </w:pPr>
      <w:r w:rsidRPr="00585DBF">
        <w:rPr>
          <w:rFonts w:asciiTheme="majorBidi" w:hAnsiTheme="majorBidi" w:cstheme="majorBidi"/>
          <w:color w:val="000000" w:themeColor="text1"/>
          <w:sz w:val="28"/>
          <w:szCs w:val="28"/>
          <w:rtl/>
        </w:rPr>
        <w:t>التوسع في سوق العمل</w:t>
      </w:r>
      <w:r w:rsidRPr="00585DBF">
        <w:rPr>
          <w:rFonts w:asciiTheme="majorBidi" w:hAnsiTheme="majorBidi" w:cstheme="majorBidi"/>
          <w:color w:val="000000" w:themeColor="text1"/>
          <w:sz w:val="28"/>
          <w:szCs w:val="28"/>
        </w:rPr>
        <w:t xml:space="preserve">: </w:t>
      </w:r>
      <w:r w:rsidRPr="00585DBF">
        <w:rPr>
          <w:rFonts w:asciiTheme="majorBidi" w:hAnsiTheme="majorBidi" w:cstheme="majorBidi"/>
          <w:color w:val="000000" w:themeColor="text1"/>
          <w:sz w:val="28"/>
          <w:szCs w:val="28"/>
          <w:rtl/>
        </w:rPr>
        <w:t xml:space="preserve">يعمل في هذا القطاع حوالي </w:t>
      </w:r>
      <w:r w:rsidRPr="00585DBF">
        <w:rPr>
          <w:rFonts w:asciiTheme="majorBidi" w:hAnsiTheme="majorBidi" w:cstheme="majorBidi" w:hint="cs"/>
          <w:color w:val="000000" w:themeColor="text1"/>
          <w:sz w:val="28"/>
          <w:szCs w:val="28"/>
          <w:rtl/>
        </w:rPr>
        <w:t>680</w:t>
      </w:r>
      <w:r w:rsidRPr="00585DBF">
        <w:rPr>
          <w:rFonts w:asciiTheme="majorBidi" w:hAnsiTheme="majorBidi" w:cstheme="majorBidi"/>
          <w:color w:val="000000" w:themeColor="text1"/>
          <w:sz w:val="28"/>
          <w:szCs w:val="28"/>
        </w:rPr>
        <w:t xml:space="preserve"> </w:t>
      </w:r>
      <w:r w:rsidRPr="00585DBF">
        <w:rPr>
          <w:rFonts w:asciiTheme="majorBidi" w:hAnsiTheme="majorBidi" w:cstheme="majorBidi"/>
          <w:color w:val="000000" w:themeColor="text1"/>
          <w:sz w:val="28"/>
          <w:szCs w:val="28"/>
          <w:rtl/>
        </w:rPr>
        <w:t xml:space="preserve">ألف فرد، يمثل السعوديون منهم </w:t>
      </w:r>
      <w:r w:rsidRPr="00585DBF">
        <w:rPr>
          <w:rFonts w:asciiTheme="majorBidi" w:hAnsiTheme="majorBidi" w:cstheme="majorBidi"/>
          <w:color w:val="000000" w:themeColor="text1"/>
          <w:sz w:val="28"/>
          <w:szCs w:val="28"/>
        </w:rPr>
        <w:t>25%</w:t>
      </w:r>
      <w:r w:rsidRPr="00585DBF">
        <w:rPr>
          <w:rFonts w:asciiTheme="majorBidi" w:hAnsiTheme="majorBidi" w:cstheme="majorBidi"/>
          <w:color w:val="000000" w:themeColor="text1"/>
          <w:sz w:val="28"/>
          <w:szCs w:val="28"/>
          <w:rtl/>
        </w:rPr>
        <w:t xml:space="preserve">، وفقًا لآخر الإحصائيات الرسمية  </w:t>
      </w:r>
      <w:r w:rsidRPr="00585DBF">
        <w:rPr>
          <w:rFonts w:asciiTheme="majorBidi" w:hAnsiTheme="majorBidi" w:cstheme="majorBidi"/>
          <w:color w:val="000000" w:themeColor="text1"/>
          <w:sz w:val="28"/>
          <w:szCs w:val="28"/>
          <w:rtl/>
        </w:rPr>
        <w:fldChar w:fldCharType="begin"/>
      </w:r>
      <w:r w:rsidR="00FB6AAE">
        <w:rPr>
          <w:rFonts w:asciiTheme="majorBidi" w:hAnsiTheme="majorBidi" w:cstheme="majorBidi"/>
          <w:color w:val="000000" w:themeColor="text1"/>
          <w:sz w:val="28"/>
          <w:szCs w:val="28"/>
          <w:rtl/>
        </w:rPr>
        <w:instrText xml:space="preserve"> </w:instrText>
      </w:r>
      <w:r w:rsidR="00FB6AAE">
        <w:rPr>
          <w:rFonts w:asciiTheme="majorBidi" w:hAnsiTheme="majorBidi" w:cstheme="majorBidi"/>
          <w:color w:val="000000" w:themeColor="text1"/>
          <w:sz w:val="28"/>
          <w:szCs w:val="28"/>
        </w:rPr>
        <w:instrText>ADDIN EN.CITE &lt;EndNote&gt;&lt;Cite&gt;&lt;Author</w:instrText>
      </w:r>
      <w:r w:rsidR="00FB6AAE">
        <w:rPr>
          <w:rFonts w:asciiTheme="majorBidi" w:hAnsiTheme="majorBidi" w:cstheme="majorBidi"/>
          <w:color w:val="000000" w:themeColor="text1"/>
          <w:sz w:val="28"/>
          <w:szCs w:val="28"/>
          <w:rtl/>
        </w:rPr>
        <w:instrText>&gt;للإحصاء&lt;/</w:instrText>
      </w:r>
      <w:r w:rsidR="00FB6AAE">
        <w:rPr>
          <w:rFonts w:asciiTheme="majorBidi" w:hAnsiTheme="majorBidi" w:cstheme="majorBidi"/>
          <w:color w:val="000000" w:themeColor="text1"/>
          <w:sz w:val="28"/>
          <w:szCs w:val="28"/>
        </w:rPr>
        <w:instrText>Author&gt;&lt;Year&gt;2024&lt;/Year&gt;&lt;RecNum&gt;1369&lt;/RecNum&gt;&lt;DisplayText</w:instrText>
      </w:r>
      <w:r w:rsidR="00FB6AAE">
        <w:rPr>
          <w:rFonts w:asciiTheme="majorBidi" w:hAnsiTheme="majorBidi" w:cstheme="majorBidi"/>
          <w:color w:val="000000" w:themeColor="text1"/>
          <w:sz w:val="28"/>
          <w:szCs w:val="28"/>
          <w:rtl/>
        </w:rPr>
        <w:instrText>&gt;(للإحصاء, 2024)&lt;/</w:instrText>
      </w:r>
      <w:r w:rsidR="00FB6AAE">
        <w:rPr>
          <w:rFonts w:asciiTheme="majorBidi" w:hAnsiTheme="majorBidi" w:cstheme="majorBidi"/>
          <w:color w:val="000000" w:themeColor="text1"/>
          <w:sz w:val="28"/>
          <w:szCs w:val="28"/>
        </w:rPr>
        <w:instrText>DisplayText&gt;&lt;record&gt;&lt;rec-number&gt;1369&lt;/rec-number&gt;&lt;foreign-keys&gt;&lt;key app="EN" db-id="t5vttv59or5xwbe2zdm5ewrxd905arrpawff" timestamp</w:instrText>
      </w:r>
      <w:r w:rsidR="00FB6AAE">
        <w:rPr>
          <w:rFonts w:asciiTheme="majorBidi" w:hAnsiTheme="majorBidi" w:cstheme="majorBidi"/>
          <w:color w:val="000000" w:themeColor="text1"/>
          <w:sz w:val="28"/>
          <w:szCs w:val="28"/>
          <w:rtl/>
        </w:rPr>
        <w:instrText>="1730973612"&gt;1369&lt;/</w:instrText>
      </w:r>
      <w:r w:rsidR="00FB6AAE">
        <w:rPr>
          <w:rFonts w:asciiTheme="majorBidi" w:hAnsiTheme="majorBidi" w:cstheme="majorBidi"/>
          <w:color w:val="000000" w:themeColor="text1"/>
          <w:sz w:val="28"/>
          <w:szCs w:val="28"/>
        </w:rPr>
        <w:instrText>key&gt;&lt;/foreign-keys&gt;&lt;ref-type name="Report"&gt;27&lt;/ref-type&gt;&lt;contributors&gt;&lt;authors&gt;&lt;author</w:instrText>
      </w:r>
      <w:r w:rsidR="00FB6AAE">
        <w:rPr>
          <w:rFonts w:asciiTheme="majorBidi" w:hAnsiTheme="majorBidi" w:cstheme="majorBidi"/>
          <w:color w:val="000000" w:themeColor="text1"/>
          <w:sz w:val="28"/>
          <w:szCs w:val="28"/>
          <w:rtl/>
        </w:rPr>
        <w:instrText>&gt;الهيئة العامة للإحصاء&lt;/</w:instrText>
      </w:r>
      <w:r w:rsidR="00FB6AAE">
        <w:rPr>
          <w:rFonts w:asciiTheme="majorBidi" w:hAnsiTheme="majorBidi" w:cstheme="majorBidi"/>
          <w:color w:val="000000" w:themeColor="text1"/>
          <w:sz w:val="28"/>
          <w:szCs w:val="28"/>
        </w:rPr>
        <w:instrText>author&gt;&lt;/authors&gt;&lt;/contributors&gt;&lt;titles&gt;&lt;title</w:instrText>
      </w:r>
      <w:r w:rsidR="00FB6AAE">
        <w:rPr>
          <w:rFonts w:asciiTheme="majorBidi" w:hAnsiTheme="majorBidi" w:cstheme="majorBidi"/>
          <w:color w:val="000000" w:themeColor="text1"/>
          <w:sz w:val="28"/>
          <w:szCs w:val="28"/>
          <w:rtl/>
        </w:rPr>
        <w:instrText>&gt;معدل العمالة في السعودية&lt;/</w:instrText>
      </w:r>
      <w:r w:rsidR="00FB6AAE">
        <w:rPr>
          <w:rFonts w:asciiTheme="majorBidi" w:hAnsiTheme="majorBidi" w:cstheme="majorBidi"/>
          <w:color w:val="000000" w:themeColor="text1"/>
          <w:sz w:val="28"/>
          <w:szCs w:val="28"/>
        </w:rPr>
        <w:instrText>title&gt;&lt;/titles&gt;&lt;dates&gt;&lt;year&gt;2024&lt;/year&gt;&lt;/dates&gt;&lt;urls</w:instrText>
      </w:r>
      <w:r w:rsidR="00FB6AAE">
        <w:rPr>
          <w:rFonts w:asciiTheme="majorBidi" w:hAnsiTheme="majorBidi" w:cstheme="majorBidi"/>
          <w:color w:val="000000" w:themeColor="text1"/>
          <w:sz w:val="28"/>
          <w:szCs w:val="28"/>
          <w:rtl/>
        </w:rPr>
        <w:instrText>&gt;&lt;</w:instrText>
      </w:r>
      <w:r w:rsidR="00FB6AAE">
        <w:rPr>
          <w:rFonts w:asciiTheme="majorBidi" w:hAnsiTheme="majorBidi" w:cstheme="majorBidi"/>
          <w:color w:val="000000" w:themeColor="text1"/>
          <w:sz w:val="28"/>
          <w:szCs w:val="28"/>
        </w:rPr>
        <w:instrText>related-urls&gt;&lt;url&gt;https://www.stats.gov.sa/&lt;/url&gt;&lt;/related-urls&gt;&lt;/urls&gt;&lt;/record&gt;&lt;/Cite&gt;&lt;/EndNote</w:instrText>
      </w:r>
      <w:r w:rsidR="00FB6AAE">
        <w:rPr>
          <w:rFonts w:asciiTheme="majorBidi" w:hAnsiTheme="majorBidi" w:cstheme="majorBidi"/>
          <w:color w:val="000000" w:themeColor="text1"/>
          <w:sz w:val="28"/>
          <w:szCs w:val="28"/>
          <w:rtl/>
        </w:rPr>
        <w:instrText>&gt;</w:instrText>
      </w:r>
      <w:r w:rsidRPr="00585DBF">
        <w:rPr>
          <w:rFonts w:asciiTheme="majorBidi" w:hAnsiTheme="majorBidi" w:cstheme="majorBidi"/>
          <w:color w:val="000000" w:themeColor="text1"/>
          <w:sz w:val="28"/>
          <w:szCs w:val="28"/>
          <w:rtl/>
        </w:rPr>
        <w:fldChar w:fldCharType="separate"/>
      </w:r>
      <w:r w:rsidRPr="00585DBF">
        <w:rPr>
          <w:rFonts w:asciiTheme="majorBidi" w:hAnsiTheme="majorBidi" w:cstheme="majorBidi"/>
          <w:noProof/>
          <w:color w:val="000000" w:themeColor="text1"/>
          <w:sz w:val="28"/>
          <w:szCs w:val="28"/>
          <w:rtl/>
        </w:rPr>
        <w:t>(للإحصاء, 2024)</w:t>
      </w:r>
      <w:r w:rsidRPr="00585DBF">
        <w:rPr>
          <w:rFonts w:asciiTheme="majorBidi" w:hAnsiTheme="majorBidi" w:cstheme="majorBidi"/>
          <w:color w:val="000000" w:themeColor="text1"/>
          <w:sz w:val="28"/>
          <w:szCs w:val="28"/>
          <w:rtl/>
        </w:rPr>
        <w:fldChar w:fldCharType="end"/>
      </w:r>
      <w:r w:rsidRPr="00585DBF">
        <w:rPr>
          <w:rFonts w:asciiTheme="majorBidi" w:hAnsiTheme="majorBidi" w:cstheme="majorBidi"/>
          <w:color w:val="000000" w:themeColor="text1"/>
          <w:sz w:val="28"/>
          <w:szCs w:val="28"/>
          <w:rtl/>
        </w:rPr>
        <w:t>.</w:t>
      </w:r>
    </w:p>
    <w:p w14:paraId="2FE6FF03" w14:textId="77777777" w:rsidR="00404A54" w:rsidRPr="00585DBF" w:rsidRDefault="00404A54" w:rsidP="00FF5C30">
      <w:pPr>
        <w:numPr>
          <w:ilvl w:val="0"/>
          <w:numId w:val="75"/>
        </w:numPr>
        <w:bidi/>
        <w:spacing w:after="200" w:line="276" w:lineRule="auto"/>
        <w:jc w:val="both"/>
        <w:rPr>
          <w:rFonts w:asciiTheme="majorBidi" w:hAnsiTheme="majorBidi" w:cstheme="majorBidi"/>
          <w:color w:val="000000" w:themeColor="text1"/>
          <w:sz w:val="28"/>
          <w:szCs w:val="28"/>
        </w:rPr>
      </w:pPr>
      <w:r w:rsidRPr="00585DBF">
        <w:rPr>
          <w:rFonts w:asciiTheme="majorBidi" w:hAnsiTheme="majorBidi" w:cstheme="majorBidi"/>
          <w:color w:val="000000" w:themeColor="text1"/>
          <w:sz w:val="28"/>
          <w:szCs w:val="28"/>
          <w:rtl/>
        </w:rPr>
        <w:t>التنوع في بيئات العمل</w:t>
      </w:r>
      <w:r w:rsidRPr="00585DBF">
        <w:rPr>
          <w:rFonts w:asciiTheme="majorBidi" w:hAnsiTheme="majorBidi" w:cstheme="majorBidi"/>
          <w:color w:val="000000" w:themeColor="text1"/>
          <w:sz w:val="28"/>
          <w:szCs w:val="28"/>
        </w:rPr>
        <w:t xml:space="preserve">: </w:t>
      </w:r>
      <w:r w:rsidRPr="00585DBF">
        <w:rPr>
          <w:rFonts w:asciiTheme="majorBidi" w:hAnsiTheme="majorBidi" w:cstheme="majorBidi"/>
          <w:color w:val="000000" w:themeColor="text1"/>
          <w:sz w:val="28"/>
          <w:szCs w:val="28"/>
          <w:rtl/>
        </w:rPr>
        <w:t>يشمل القطاع فنادق عالمية ومحلية، مطاعم راقية ومتوسطة، وسلاسل مطاعم الوجبات السريعة، مما يتيح مقارنة أفضل بين بيئات العمل المختلفة وتأثير ممارسات أنظمة العمل عالية الأداء على الأداء الإبداعي</w:t>
      </w:r>
      <w:r w:rsidRPr="00585DBF">
        <w:rPr>
          <w:rFonts w:asciiTheme="majorBidi" w:hAnsiTheme="majorBidi" w:cstheme="majorBidi"/>
          <w:color w:val="000000" w:themeColor="text1"/>
          <w:sz w:val="28"/>
          <w:szCs w:val="28"/>
        </w:rPr>
        <w:t>.</w:t>
      </w:r>
    </w:p>
    <w:p w14:paraId="709A26E2" w14:textId="147A399B" w:rsidR="001D3CAA" w:rsidRDefault="00404A54" w:rsidP="00FF5C30">
      <w:pPr>
        <w:numPr>
          <w:ilvl w:val="0"/>
          <w:numId w:val="75"/>
        </w:numPr>
        <w:bidi/>
        <w:spacing w:after="200" w:line="276" w:lineRule="auto"/>
        <w:jc w:val="both"/>
        <w:rPr>
          <w:rFonts w:asciiTheme="majorBidi" w:hAnsiTheme="majorBidi" w:cstheme="majorBidi"/>
          <w:color w:val="000000" w:themeColor="text1"/>
          <w:sz w:val="28"/>
          <w:szCs w:val="28"/>
        </w:rPr>
      </w:pPr>
      <w:r w:rsidRPr="00585DBF">
        <w:rPr>
          <w:rFonts w:asciiTheme="majorBidi" w:hAnsiTheme="majorBidi" w:cstheme="majorBidi"/>
          <w:color w:val="000000" w:themeColor="text1"/>
          <w:sz w:val="28"/>
          <w:szCs w:val="28"/>
          <w:rtl/>
        </w:rPr>
        <w:t>التركيز الجغرافي</w:t>
      </w:r>
      <w:r w:rsidRPr="00585DBF">
        <w:rPr>
          <w:rFonts w:asciiTheme="majorBidi" w:hAnsiTheme="majorBidi" w:cstheme="majorBidi"/>
          <w:color w:val="000000" w:themeColor="text1"/>
          <w:sz w:val="28"/>
          <w:szCs w:val="28"/>
        </w:rPr>
        <w:t xml:space="preserve">: </w:t>
      </w:r>
      <w:r w:rsidRPr="00585DBF">
        <w:rPr>
          <w:rFonts w:asciiTheme="majorBidi" w:hAnsiTheme="majorBidi" w:cstheme="majorBidi"/>
          <w:color w:val="000000" w:themeColor="text1"/>
          <w:sz w:val="28"/>
          <w:szCs w:val="28"/>
          <w:rtl/>
        </w:rPr>
        <w:t>تم اختيار مدينة الرياض كونها مركزًا رئيسيًا للأنشطة السياحية والخدمية، وتضم أكثر من 3,000 منشأة بين فنادق ومطاعم، ما يجعلها بيئة مناسبة لتحليل تأثير أنظمة العمل عالية الأداء</w:t>
      </w:r>
      <w:r w:rsidRPr="00585DBF">
        <w:rPr>
          <w:rFonts w:asciiTheme="majorBidi" w:hAnsiTheme="majorBidi" w:cstheme="majorBidi"/>
          <w:color w:val="000000" w:themeColor="text1"/>
          <w:sz w:val="28"/>
          <w:szCs w:val="28"/>
        </w:rPr>
        <w:t>.</w:t>
      </w:r>
    </w:p>
    <w:p w14:paraId="24BC5BD2" w14:textId="77777777" w:rsidR="00677384" w:rsidRPr="00677384" w:rsidRDefault="00677384" w:rsidP="00677384">
      <w:pPr>
        <w:bidi/>
        <w:spacing w:after="200" w:line="276" w:lineRule="auto"/>
        <w:ind w:left="720"/>
        <w:rPr>
          <w:rFonts w:asciiTheme="majorBidi" w:hAnsiTheme="majorBidi" w:cstheme="majorBidi"/>
          <w:color w:val="000000" w:themeColor="text1"/>
          <w:sz w:val="28"/>
          <w:szCs w:val="28"/>
        </w:rPr>
      </w:pPr>
    </w:p>
    <w:p w14:paraId="7878D7ED" w14:textId="77777777" w:rsidR="00404A54" w:rsidRPr="00585DBF" w:rsidRDefault="00404A54" w:rsidP="00404A54">
      <w:pPr>
        <w:bidi/>
        <w:spacing w:after="200" w:line="276" w:lineRule="auto"/>
        <w:ind w:left="360"/>
        <w:rPr>
          <w:rFonts w:asciiTheme="majorBidi" w:hAnsiTheme="majorBidi" w:cstheme="majorBidi"/>
          <w:b/>
          <w:bCs/>
          <w:color w:val="000000" w:themeColor="text1"/>
          <w:sz w:val="28"/>
          <w:szCs w:val="28"/>
          <w:rtl/>
        </w:rPr>
      </w:pPr>
      <w:r w:rsidRPr="00585DBF">
        <w:rPr>
          <w:rFonts w:asciiTheme="majorBidi" w:hAnsiTheme="majorBidi" w:cstheme="majorBidi"/>
          <w:b/>
          <w:bCs/>
          <w:color w:val="000000" w:themeColor="text1"/>
          <w:sz w:val="28"/>
          <w:szCs w:val="28"/>
          <w:rtl/>
        </w:rPr>
        <w:t>1.</w:t>
      </w:r>
      <w:r w:rsidRPr="00585DBF">
        <w:rPr>
          <w:rFonts w:asciiTheme="majorBidi" w:hAnsiTheme="majorBidi" w:cstheme="majorBidi" w:hint="cs"/>
          <w:b/>
          <w:bCs/>
          <w:color w:val="000000" w:themeColor="text1"/>
          <w:sz w:val="28"/>
          <w:szCs w:val="28"/>
          <w:rtl/>
        </w:rPr>
        <w:t>8</w:t>
      </w:r>
      <w:r w:rsidRPr="00585DBF">
        <w:rPr>
          <w:rFonts w:asciiTheme="majorBidi" w:hAnsiTheme="majorBidi" w:cstheme="majorBidi"/>
          <w:b/>
          <w:bCs/>
          <w:color w:val="000000" w:themeColor="text1"/>
          <w:sz w:val="28"/>
          <w:szCs w:val="28"/>
          <w:rtl/>
        </w:rPr>
        <w:t>.2. عينة الدراسة</w:t>
      </w:r>
      <w:r w:rsidRPr="00585DBF">
        <w:rPr>
          <w:rFonts w:asciiTheme="majorBidi" w:hAnsiTheme="majorBidi" w:cstheme="majorBidi"/>
          <w:b/>
          <w:bCs/>
          <w:color w:val="000000" w:themeColor="text1"/>
          <w:sz w:val="28"/>
          <w:szCs w:val="28"/>
          <w:lang w:bidi="ar-EG"/>
        </w:rPr>
        <w:t>:</w:t>
      </w:r>
    </w:p>
    <w:p w14:paraId="4F00A42B" w14:textId="77777777" w:rsidR="00404A54" w:rsidRPr="00585DBF" w:rsidRDefault="00404A54" w:rsidP="00404A54">
      <w:pPr>
        <w:bidi/>
        <w:spacing w:after="200" w:line="276" w:lineRule="auto"/>
        <w:ind w:left="360"/>
        <w:rPr>
          <w:rFonts w:asciiTheme="majorBidi" w:hAnsiTheme="majorBidi" w:cstheme="majorBidi"/>
          <w:b/>
          <w:bCs/>
          <w:color w:val="000000" w:themeColor="text1"/>
          <w:sz w:val="28"/>
          <w:szCs w:val="28"/>
        </w:rPr>
      </w:pPr>
      <w:r w:rsidRPr="00585DBF">
        <w:rPr>
          <w:rFonts w:asciiTheme="majorBidi" w:hAnsiTheme="majorBidi" w:cstheme="majorBidi"/>
          <w:b/>
          <w:bCs/>
          <w:color w:val="000000" w:themeColor="text1"/>
          <w:sz w:val="28"/>
          <w:szCs w:val="28"/>
          <w:rtl/>
        </w:rPr>
        <w:t>حجم العينة</w:t>
      </w:r>
      <w:r w:rsidRPr="00585DBF">
        <w:rPr>
          <w:rFonts w:asciiTheme="majorBidi" w:hAnsiTheme="majorBidi" w:cstheme="majorBidi"/>
          <w:b/>
          <w:bCs/>
          <w:color w:val="000000" w:themeColor="text1"/>
          <w:sz w:val="28"/>
          <w:szCs w:val="28"/>
        </w:rPr>
        <w:t>:</w:t>
      </w:r>
    </w:p>
    <w:p w14:paraId="66A6F63C" w14:textId="77777777" w:rsidR="00404A54" w:rsidRPr="00585DBF" w:rsidRDefault="00404A54" w:rsidP="00FF5C30">
      <w:pPr>
        <w:bidi/>
        <w:spacing w:after="200" w:line="276" w:lineRule="auto"/>
        <w:ind w:left="360"/>
        <w:jc w:val="both"/>
        <w:rPr>
          <w:rFonts w:asciiTheme="majorBidi" w:hAnsiTheme="majorBidi" w:cstheme="majorBidi"/>
          <w:color w:val="000000" w:themeColor="text1"/>
          <w:sz w:val="28"/>
          <w:szCs w:val="28"/>
        </w:rPr>
      </w:pPr>
      <w:r w:rsidRPr="00585DBF">
        <w:rPr>
          <w:rFonts w:asciiTheme="majorBidi" w:hAnsiTheme="majorBidi" w:cstheme="majorBidi"/>
          <w:color w:val="000000" w:themeColor="text1"/>
          <w:sz w:val="28"/>
          <w:szCs w:val="28"/>
          <w:rtl/>
        </w:rPr>
        <w:t xml:space="preserve">تم حساب حجم العينة باستخدام معادلة ستيفن </w:t>
      </w:r>
      <w:proofErr w:type="spellStart"/>
      <w:r w:rsidRPr="00585DBF">
        <w:rPr>
          <w:rFonts w:asciiTheme="majorBidi" w:hAnsiTheme="majorBidi" w:cstheme="majorBidi"/>
          <w:color w:val="000000" w:themeColor="text1"/>
          <w:sz w:val="28"/>
          <w:szCs w:val="28"/>
          <w:rtl/>
        </w:rPr>
        <w:t>ثامبسون</w:t>
      </w:r>
      <w:proofErr w:type="spellEnd"/>
      <w:r w:rsidRPr="00585DBF">
        <w:rPr>
          <w:rFonts w:asciiTheme="majorBidi" w:hAnsiTheme="majorBidi" w:cstheme="majorBidi"/>
          <w:color w:val="000000" w:themeColor="text1"/>
          <w:sz w:val="28"/>
          <w:szCs w:val="28"/>
          <w:rtl/>
        </w:rPr>
        <w:t xml:space="preserve">، مما أظهر الحاجة إلى </w:t>
      </w:r>
      <w:r>
        <w:rPr>
          <w:rFonts w:asciiTheme="majorBidi" w:hAnsiTheme="majorBidi" w:cstheme="majorBidi" w:hint="cs"/>
          <w:color w:val="000000" w:themeColor="text1"/>
          <w:sz w:val="28"/>
          <w:szCs w:val="28"/>
          <w:rtl/>
        </w:rPr>
        <w:t>384</w:t>
      </w:r>
      <w:r w:rsidRPr="00585DBF">
        <w:rPr>
          <w:rFonts w:asciiTheme="majorBidi" w:hAnsiTheme="majorBidi" w:cstheme="majorBidi"/>
          <w:color w:val="000000" w:themeColor="text1"/>
          <w:sz w:val="28"/>
          <w:szCs w:val="28"/>
        </w:rPr>
        <w:t xml:space="preserve"> </w:t>
      </w:r>
      <w:r w:rsidRPr="00585DBF">
        <w:rPr>
          <w:rFonts w:asciiTheme="majorBidi" w:hAnsiTheme="majorBidi" w:cstheme="majorBidi"/>
          <w:color w:val="000000" w:themeColor="text1"/>
          <w:sz w:val="28"/>
          <w:szCs w:val="28"/>
          <w:rtl/>
        </w:rPr>
        <w:t>مشارك على الأقل، يتم توزيعهم بالتساوي تقريبًا بين القطاعين (حوالي 200</w:t>
      </w:r>
      <w:r w:rsidRPr="00585DBF">
        <w:rPr>
          <w:rFonts w:asciiTheme="majorBidi" w:hAnsiTheme="majorBidi" w:cstheme="majorBidi"/>
          <w:color w:val="000000" w:themeColor="text1"/>
          <w:sz w:val="28"/>
          <w:szCs w:val="28"/>
        </w:rPr>
        <w:t xml:space="preserve"> </w:t>
      </w:r>
      <w:r w:rsidRPr="00585DBF">
        <w:rPr>
          <w:rFonts w:asciiTheme="majorBidi" w:hAnsiTheme="majorBidi" w:cstheme="majorBidi"/>
          <w:color w:val="000000" w:themeColor="text1"/>
          <w:sz w:val="28"/>
          <w:szCs w:val="28"/>
          <w:rtl/>
        </w:rPr>
        <w:t xml:space="preserve">موظف في الفنادق </w:t>
      </w:r>
      <w:proofErr w:type="gramStart"/>
      <w:r w:rsidRPr="00585DBF">
        <w:rPr>
          <w:rFonts w:asciiTheme="majorBidi" w:hAnsiTheme="majorBidi" w:cstheme="majorBidi"/>
          <w:color w:val="000000" w:themeColor="text1"/>
          <w:sz w:val="28"/>
          <w:szCs w:val="28"/>
          <w:rtl/>
        </w:rPr>
        <w:t>و 200</w:t>
      </w:r>
      <w:proofErr w:type="gramEnd"/>
      <w:r w:rsidRPr="00585DBF">
        <w:rPr>
          <w:rFonts w:asciiTheme="majorBidi" w:hAnsiTheme="majorBidi" w:cstheme="majorBidi"/>
          <w:color w:val="000000" w:themeColor="text1"/>
          <w:sz w:val="28"/>
          <w:szCs w:val="28"/>
          <w:rtl/>
        </w:rPr>
        <w:t xml:space="preserve"> في </w:t>
      </w:r>
      <w:proofErr w:type="gramStart"/>
      <w:r w:rsidRPr="00585DBF">
        <w:rPr>
          <w:rFonts w:asciiTheme="majorBidi" w:hAnsiTheme="majorBidi" w:cstheme="majorBidi"/>
          <w:color w:val="000000" w:themeColor="text1"/>
          <w:sz w:val="28"/>
          <w:szCs w:val="28"/>
          <w:rtl/>
        </w:rPr>
        <w:t xml:space="preserve">المطاعم) </w:t>
      </w:r>
      <w:r w:rsidRPr="00585DBF">
        <w:rPr>
          <w:rFonts w:asciiTheme="majorBidi" w:hAnsiTheme="majorBidi" w:cstheme="majorBidi"/>
          <w:color w:val="000000" w:themeColor="text1"/>
          <w:sz w:val="28"/>
          <w:szCs w:val="28"/>
        </w:rPr>
        <w:t xml:space="preserve"> </w:t>
      </w:r>
      <w:r w:rsidRPr="00585DBF">
        <w:rPr>
          <w:rFonts w:asciiTheme="majorBidi" w:hAnsiTheme="majorBidi" w:cstheme="majorBidi"/>
          <w:color w:val="000000" w:themeColor="text1"/>
          <w:sz w:val="28"/>
          <w:szCs w:val="28"/>
          <w:rtl/>
        </w:rPr>
        <w:t>لضمان</w:t>
      </w:r>
      <w:proofErr w:type="gramEnd"/>
      <w:r w:rsidRPr="00585DBF">
        <w:rPr>
          <w:rFonts w:asciiTheme="majorBidi" w:hAnsiTheme="majorBidi" w:cstheme="majorBidi"/>
          <w:color w:val="000000" w:themeColor="text1"/>
          <w:sz w:val="28"/>
          <w:szCs w:val="28"/>
          <w:rtl/>
        </w:rPr>
        <w:t xml:space="preserve"> وجود بيانات كافية للتحليل المقارن</w:t>
      </w:r>
      <w:r w:rsidRPr="00585DBF">
        <w:rPr>
          <w:rFonts w:asciiTheme="majorBidi" w:hAnsiTheme="majorBidi" w:cstheme="majorBidi"/>
          <w:color w:val="000000" w:themeColor="text1"/>
          <w:sz w:val="28"/>
          <w:szCs w:val="28"/>
        </w:rPr>
        <w:t>.</w:t>
      </w:r>
    </w:p>
    <w:p w14:paraId="2E415C3A" w14:textId="77777777" w:rsidR="00404A54" w:rsidRPr="00585DBF" w:rsidRDefault="00404A54" w:rsidP="00FF5C30">
      <w:pPr>
        <w:bidi/>
        <w:spacing w:after="200" w:line="276" w:lineRule="auto"/>
        <w:ind w:left="360"/>
        <w:jc w:val="both"/>
        <w:rPr>
          <w:rFonts w:asciiTheme="majorBidi" w:hAnsiTheme="majorBidi" w:cstheme="majorBidi"/>
          <w:b/>
          <w:bCs/>
          <w:color w:val="000000" w:themeColor="text1"/>
          <w:sz w:val="28"/>
          <w:szCs w:val="28"/>
        </w:rPr>
      </w:pPr>
      <w:r w:rsidRPr="00585DBF">
        <w:rPr>
          <w:rFonts w:asciiTheme="majorBidi" w:hAnsiTheme="majorBidi" w:cstheme="majorBidi"/>
          <w:b/>
          <w:bCs/>
          <w:color w:val="000000" w:themeColor="text1"/>
          <w:sz w:val="28"/>
          <w:szCs w:val="28"/>
          <w:rtl/>
        </w:rPr>
        <w:t>سبب اختيار هذا الحجم للعينة</w:t>
      </w:r>
      <w:r w:rsidRPr="00585DBF">
        <w:rPr>
          <w:rFonts w:asciiTheme="majorBidi" w:hAnsiTheme="majorBidi" w:cstheme="majorBidi"/>
          <w:b/>
          <w:bCs/>
          <w:color w:val="000000" w:themeColor="text1"/>
          <w:sz w:val="28"/>
          <w:szCs w:val="28"/>
        </w:rPr>
        <w:t>:</w:t>
      </w:r>
    </w:p>
    <w:p w14:paraId="1C7BDD49" w14:textId="039EA1FC" w:rsidR="00404A54" w:rsidRPr="00585DBF" w:rsidRDefault="00404A54" w:rsidP="00FF5C30">
      <w:pPr>
        <w:numPr>
          <w:ilvl w:val="0"/>
          <w:numId w:val="76"/>
        </w:numPr>
        <w:bidi/>
        <w:spacing w:after="200" w:line="276" w:lineRule="auto"/>
        <w:jc w:val="both"/>
        <w:rPr>
          <w:rFonts w:asciiTheme="majorBidi" w:hAnsiTheme="majorBidi" w:cstheme="majorBidi"/>
          <w:color w:val="000000" w:themeColor="text1"/>
          <w:sz w:val="28"/>
          <w:szCs w:val="28"/>
        </w:rPr>
      </w:pPr>
      <w:r w:rsidRPr="00585DBF">
        <w:rPr>
          <w:rFonts w:asciiTheme="majorBidi" w:hAnsiTheme="majorBidi" w:cstheme="majorBidi"/>
          <w:color w:val="000000" w:themeColor="text1"/>
          <w:sz w:val="28"/>
          <w:szCs w:val="28"/>
          <w:rtl/>
        </w:rPr>
        <w:t xml:space="preserve">يضمن حجم العينة المحدد تمثيلًا كافيًا لمجتمع الدراسة، </w:t>
      </w:r>
      <w:r w:rsidR="00611E7E">
        <w:rPr>
          <w:rFonts w:asciiTheme="majorBidi" w:hAnsiTheme="majorBidi" w:cstheme="majorBidi" w:hint="cs"/>
          <w:color w:val="000000" w:themeColor="text1"/>
          <w:sz w:val="28"/>
          <w:szCs w:val="28"/>
          <w:rtl/>
        </w:rPr>
        <w:t>ح</w:t>
      </w:r>
      <w:r w:rsidRPr="00585DBF">
        <w:rPr>
          <w:rFonts w:asciiTheme="majorBidi" w:hAnsiTheme="majorBidi" w:cstheme="majorBidi"/>
          <w:color w:val="000000" w:themeColor="text1"/>
          <w:sz w:val="28"/>
          <w:szCs w:val="28"/>
          <w:rtl/>
        </w:rPr>
        <w:t xml:space="preserve">يث ان جمهور العينة 680 ألف فرد يعمل في ذلك القطاع وفقا للإحصائيات </w:t>
      </w:r>
      <w:r w:rsidRPr="00585DBF">
        <w:rPr>
          <w:rFonts w:asciiTheme="majorBidi" w:hAnsiTheme="majorBidi" w:cstheme="majorBidi"/>
          <w:color w:val="000000" w:themeColor="text1"/>
          <w:sz w:val="28"/>
          <w:szCs w:val="28"/>
          <w:rtl/>
        </w:rPr>
        <w:fldChar w:fldCharType="begin"/>
      </w:r>
      <w:r w:rsidR="00FB6AAE">
        <w:rPr>
          <w:rFonts w:asciiTheme="majorBidi" w:hAnsiTheme="majorBidi" w:cstheme="majorBidi"/>
          <w:color w:val="000000" w:themeColor="text1"/>
          <w:sz w:val="28"/>
          <w:szCs w:val="28"/>
          <w:rtl/>
        </w:rPr>
        <w:instrText xml:space="preserve"> </w:instrText>
      </w:r>
      <w:r w:rsidR="00FB6AAE">
        <w:rPr>
          <w:rFonts w:asciiTheme="majorBidi" w:hAnsiTheme="majorBidi" w:cstheme="majorBidi"/>
          <w:color w:val="000000" w:themeColor="text1"/>
          <w:sz w:val="28"/>
          <w:szCs w:val="28"/>
        </w:rPr>
        <w:instrText>ADDIN EN.CITE &lt;EndNote&gt;&lt;Cite&gt;&lt;Author</w:instrText>
      </w:r>
      <w:r w:rsidR="00FB6AAE">
        <w:rPr>
          <w:rFonts w:asciiTheme="majorBidi" w:hAnsiTheme="majorBidi" w:cstheme="majorBidi"/>
          <w:color w:val="000000" w:themeColor="text1"/>
          <w:sz w:val="28"/>
          <w:szCs w:val="28"/>
          <w:rtl/>
        </w:rPr>
        <w:instrText>&gt;للإحصاء&lt;/</w:instrText>
      </w:r>
      <w:r w:rsidR="00FB6AAE">
        <w:rPr>
          <w:rFonts w:asciiTheme="majorBidi" w:hAnsiTheme="majorBidi" w:cstheme="majorBidi"/>
          <w:color w:val="000000" w:themeColor="text1"/>
          <w:sz w:val="28"/>
          <w:szCs w:val="28"/>
        </w:rPr>
        <w:instrText>Author&gt;&lt;Year&gt;2024&lt;/Year&gt;&lt;RecNum&gt;1369&lt;/RecNum&gt;&lt;DisplayText</w:instrText>
      </w:r>
      <w:r w:rsidR="00FB6AAE">
        <w:rPr>
          <w:rFonts w:asciiTheme="majorBidi" w:hAnsiTheme="majorBidi" w:cstheme="majorBidi"/>
          <w:color w:val="000000" w:themeColor="text1"/>
          <w:sz w:val="28"/>
          <w:szCs w:val="28"/>
          <w:rtl/>
        </w:rPr>
        <w:instrText>&gt;(للإحصاء, 2024)&lt;/</w:instrText>
      </w:r>
      <w:r w:rsidR="00FB6AAE">
        <w:rPr>
          <w:rFonts w:asciiTheme="majorBidi" w:hAnsiTheme="majorBidi" w:cstheme="majorBidi"/>
          <w:color w:val="000000" w:themeColor="text1"/>
          <w:sz w:val="28"/>
          <w:szCs w:val="28"/>
        </w:rPr>
        <w:instrText>DisplayText&gt;&lt;record&gt;&lt;rec-number&gt;1369&lt;/rec-number&gt;&lt;foreign-keys&gt;&lt;key app="EN" db-id="t5vttv59or5xwbe2zdm5ewrxd905arrpawff" timestamp</w:instrText>
      </w:r>
      <w:r w:rsidR="00FB6AAE">
        <w:rPr>
          <w:rFonts w:asciiTheme="majorBidi" w:hAnsiTheme="majorBidi" w:cstheme="majorBidi"/>
          <w:color w:val="000000" w:themeColor="text1"/>
          <w:sz w:val="28"/>
          <w:szCs w:val="28"/>
          <w:rtl/>
        </w:rPr>
        <w:instrText>="1730973612"&gt;1369&lt;/</w:instrText>
      </w:r>
      <w:r w:rsidR="00FB6AAE">
        <w:rPr>
          <w:rFonts w:asciiTheme="majorBidi" w:hAnsiTheme="majorBidi" w:cstheme="majorBidi"/>
          <w:color w:val="000000" w:themeColor="text1"/>
          <w:sz w:val="28"/>
          <w:szCs w:val="28"/>
        </w:rPr>
        <w:instrText>key&gt;&lt;/foreign-keys&gt;&lt;ref-type name="Report"&gt;27&lt;/ref-type&gt;&lt;contributors&gt;&lt;authors&gt;&lt;author</w:instrText>
      </w:r>
      <w:r w:rsidR="00FB6AAE">
        <w:rPr>
          <w:rFonts w:asciiTheme="majorBidi" w:hAnsiTheme="majorBidi" w:cstheme="majorBidi"/>
          <w:color w:val="000000" w:themeColor="text1"/>
          <w:sz w:val="28"/>
          <w:szCs w:val="28"/>
          <w:rtl/>
        </w:rPr>
        <w:instrText>&gt;الهيئة العامة للإحصاء&lt;/</w:instrText>
      </w:r>
      <w:r w:rsidR="00FB6AAE">
        <w:rPr>
          <w:rFonts w:asciiTheme="majorBidi" w:hAnsiTheme="majorBidi" w:cstheme="majorBidi"/>
          <w:color w:val="000000" w:themeColor="text1"/>
          <w:sz w:val="28"/>
          <w:szCs w:val="28"/>
        </w:rPr>
        <w:instrText>author&gt;&lt;/authors&gt;&lt;/contributors&gt;&lt;titles&gt;&lt;title</w:instrText>
      </w:r>
      <w:r w:rsidR="00FB6AAE">
        <w:rPr>
          <w:rFonts w:asciiTheme="majorBidi" w:hAnsiTheme="majorBidi" w:cstheme="majorBidi"/>
          <w:color w:val="000000" w:themeColor="text1"/>
          <w:sz w:val="28"/>
          <w:szCs w:val="28"/>
          <w:rtl/>
        </w:rPr>
        <w:instrText>&gt;معدل العمالة في السعودية&lt;/</w:instrText>
      </w:r>
      <w:r w:rsidR="00FB6AAE">
        <w:rPr>
          <w:rFonts w:asciiTheme="majorBidi" w:hAnsiTheme="majorBidi" w:cstheme="majorBidi"/>
          <w:color w:val="000000" w:themeColor="text1"/>
          <w:sz w:val="28"/>
          <w:szCs w:val="28"/>
        </w:rPr>
        <w:instrText>title&gt;&lt;/titles&gt;&lt;dates&gt;&lt;year&gt;2024&lt;/year&gt;&lt;/dates&gt;&lt;urls</w:instrText>
      </w:r>
      <w:r w:rsidR="00FB6AAE">
        <w:rPr>
          <w:rFonts w:asciiTheme="majorBidi" w:hAnsiTheme="majorBidi" w:cstheme="majorBidi"/>
          <w:color w:val="000000" w:themeColor="text1"/>
          <w:sz w:val="28"/>
          <w:szCs w:val="28"/>
          <w:rtl/>
        </w:rPr>
        <w:instrText>&gt;&lt;</w:instrText>
      </w:r>
      <w:r w:rsidR="00FB6AAE">
        <w:rPr>
          <w:rFonts w:asciiTheme="majorBidi" w:hAnsiTheme="majorBidi" w:cstheme="majorBidi"/>
          <w:color w:val="000000" w:themeColor="text1"/>
          <w:sz w:val="28"/>
          <w:szCs w:val="28"/>
        </w:rPr>
        <w:instrText>related-urls&gt;&lt;url&gt;https://www.stats.gov.sa/&lt;/url&gt;&lt;/related-urls&gt;&lt;/urls&gt;&lt;/record&gt;&lt;/Cite&gt;&lt;/EndNote</w:instrText>
      </w:r>
      <w:r w:rsidR="00FB6AAE">
        <w:rPr>
          <w:rFonts w:asciiTheme="majorBidi" w:hAnsiTheme="majorBidi" w:cstheme="majorBidi"/>
          <w:color w:val="000000" w:themeColor="text1"/>
          <w:sz w:val="28"/>
          <w:szCs w:val="28"/>
          <w:rtl/>
        </w:rPr>
        <w:instrText>&gt;</w:instrText>
      </w:r>
      <w:r w:rsidRPr="00585DBF">
        <w:rPr>
          <w:rFonts w:asciiTheme="majorBidi" w:hAnsiTheme="majorBidi" w:cstheme="majorBidi"/>
          <w:color w:val="000000" w:themeColor="text1"/>
          <w:sz w:val="28"/>
          <w:szCs w:val="28"/>
          <w:rtl/>
        </w:rPr>
        <w:fldChar w:fldCharType="separate"/>
      </w:r>
      <w:r w:rsidRPr="00585DBF">
        <w:rPr>
          <w:rFonts w:asciiTheme="majorBidi" w:hAnsiTheme="majorBidi" w:cstheme="majorBidi"/>
          <w:noProof/>
          <w:color w:val="000000" w:themeColor="text1"/>
          <w:sz w:val="28"/>
          <w:szCs w:val="28"/>
          <w:rtl/>
        </w:rPr>
        <w:t>(للإحصاء, 2024)</w:t>
      </w:r>
      <w:r w:rsidRPr="00585DBF">
        <w:rPr>
          <w:rFonts w:asciiTheme="majorBidi" w:hAnsiTheme="majorBidi" w:cstheme="majorBidi"/>
          <w:color w:val="000000" w:themeColor="text1"/>
          <w:sz w:val="28"/>
          <w:szCs w:val="28"/>
          <w:rtl/>
        </w:rPr>
        <w:fldChar w:fldCharType="end"/>
      </w:r>
      <w:r w:rsidRPr="00585DBF">
        <w:rPr>
          <w:rFonts w:asciiTheme="majorBidi" w:hAnsiTheme="majorBidi" w:cstheme="majorBidi"/>
          <w:color w:val="000000" w:themeColor="text1"/>
          <w:sz w:val="28"/>
          <w:szCs w:val="28"/>
          <w:rtl/>
        </w:rPr>
        <w:t>، مما يعزز دقة وموثوقية النتائج الإحصائية</w:t>
      </w:r>
      <w:r w:rsidRPr="00585DBF">
        <w:rPr>
          <w:rFonts w:asciiTheme="majorBidi" w:hAnsiTheme="majorBidi" w:cstheme="majorBidi"/>
          <w:color w:val="000000" w:themeColor="text1"/>
          <w:sz w:val="28"/>
          <w:szCs w:val="28"/>
        </w:rPr>
        <w:t>.</w:t>
      </w:r>
      <w:r w:rsidRPr="00585DBF">
        <w:rPr>
          <w:rFonts w:asciiTheme="majorBidi" w:hAnsiTheme="majorBidi" w:cstheme="majorBidi"/>
          <w:color w:val="000000" w:themeColor="text1"/>
          <w:sz w:val="28"/>
          <w:szCs w:val="28"/>
          <w:rtl/>
        </w:rPr>
        <w:t xml:space="preserve"> يسمح بجمع بيانات قابلة للتحليل من مجموعات مختلفة داخل القطاعين، مما يمكن من اكتشاف الفروق والاتجاهات بينهما</w:t>
      </w:r>
      <w:r w:rsidRPr="00585DBF">
        <w:rPr>
          <w:rFonts w:asciiTheme="majorBidi" w:hAnsiTheme="majorBidi" w:cstheme="majorBidi"/>
          <w:color w:val="000000" w:themeColor="text1"/>
          <w:sz w:val="28"/>
          <w:szCs w:val="28"/>
        </w:rPr>
        <w:t>.</w:t>
      </w:r>
    </w:p>
    <w:p w14:paraId="56E5068B" w14:textId="77777777" w:rsidR="00404A54" w:rsidRPr="00585DBF" w:rsidRDefault="00404A54" w:rsidP="00FF5C30">
      <w:pPr>
        <w:numPr>
          <w:ilvl w:val="0"/>
          <w:numId w:val="76"/>
        </w:numPr>
        <w:bidi/>
        <w:spacing w:after="200" w:line="276" w:lineRule="auto"/>
        <w:jc w:val="both"/>
        <w:rPr>
          <w:rFonts w:asciiTheme="majorBidi" w:hAnsiTheme="majorBidi" w:cstheme="majorBidi"/>
          <w:color w:val="000000" w:themeColor="text1"/>
          <w:sz w:val="28"/>
          <w:szCs w:val="28"/>
        </w:rPr>
      </w:pPr>
      <w:r w:rsidRPr="00585DBF">
        <w:rPr>
          <w:rFonts w:asciiTheme="majorBidi" w:hAnsiTheme="majorBidi" w:cstheme="majorBidi"/>
          <w:color w:val="000000" w:themeColor="text1"/>
          <w:sz w:val="28"/>
          <w:szCs w:val="28"/>
          <w:rtl/>
        </w:rPr>
        <w:t xml:space="preserve">يتماشى مع الدراسات السابقة المشابهة في مجال إدارة الموارد البشرية والإبداع في بيئات العمل، والتي استخدمت عينات تتراوح بين </w:t>
      </w:r>
      <w:r w:rsidRPr="00585DBF">
        <w:rPr>
          <w:rFonts w:asciiTheme="majorBidi" w:hAnsiTheme="majorBidi" w:cstheme="majorBidi"/>
          <w:color w:val="000000" w:themeColor="text1"/>
          <w:sz w:val="28"/>
          <w:szCs w:val="28"/>
        </w:rPr>
        <w:t>300-500</w:t>
      </w:r>
      <w:r w:rsidRPr="00585DBF">
        <w:rPr>
          <w:rFonts w:asciiTheme="majorBidi" w:hAnsiTheme="majorBidi" w:cstheme="majorBidi" w:hint="cs"/>
          <w:color w:val="000000" w:themeColor="text1"/>
          <w:sz w:val="28"/>
          <w:szCs w:val="28"/>
          <w:rtl/>
        </w:rPr>
        <w:t xml:space="preserve"> </w:t>
      </w:r>
      <w:r w:rsidRPr="00585DBF">
        <w:rPr>
          <w:rFonts w:asciiTheme="majorBidi" w:hAnsiTheme="majorBidi" w:cstheme="majorBidi"/>
          <w:color w:val="000000" w:themeColor="text1"/>
          <w:sz w:val="28"/>
          <w:szCs w:val="28"/>
          <w:rtl/>
        </w:rPr>
        <w:t>مشارك لضمان قوة التحليل الإحصائي</w:t>
      </w:r>
      <w:r w:rsidRPr="00585DBF">
        <w:rPr>
          <w:rFonts w:asciiTheme="majorBidi" w:hAnsiTheme="majorBidi" w:cstheme="majorBidi"/>
          <w:color w:val="000000" w:themeColor="text1"/>
          <w:sz w:val="28"/>
          <w:szCs w:val="28"/>
        </w:rPr>
        <w:t>.</w:t>
      </w:r>
    </w:p>
    <w:p w14:paraId="2B38F836" w14:textId="09274973" w:rsidR="00404A54" w:rsidRPr="00FF5C30" w:rsidRDefault="00404A54" w:rsidP="00FF5C30">
      <w:pPr>
        <w:bidi/>
        <w:spacing w:after="200" w:line="276" w:lineRule="auto"/>
        <w:ind w:left="360"/>
        <w:rPr>
          <w:rFonts w:asciiTheme="majorBidi" w:hAnsiTheme="majorBidi" w:cstheme="majorBidi"/>
          <w:b/>
          <w:bCs/>
          <w:color w:val="000000" w:themeColor="text1"/>
          <w:sz w:val="28"/>
          <w:szCs w:val="28"/>
        </w:rPr>
      </w:pPr>
      <w:r w:rsidRPr="00585DBF">
        <w:rPr>
          <w:rFonts w:asciiTheme="majorBidi" w:hAnsiTheme="majorBidi" w:cstheme="majorBidi"/>
          <w:b/>
          <w:bCs/>
          <w:color w:val="000000" w:themeColor="text1"/>
          <w:sz w:val="28"/>
          <w:szCs w:val="28"/>
          <w:rtl/>
        </w:rPr>
        <w:t>نوع العينة</w:t>
      </w:r>
      <w:r w:rsidRPr="00585DBF">
        <w:rPr>
          <w:rFonts w:asciiTheme="majorBidi" w:hAnsiTheme="majorBidi" w:cstheme="majorBidi"/>
          <w:b/>
          <w:bCs/>
          <w:color w:val="000000" w:themeColor="text1"/>
          <w:sz w:val="28"/>
          <w:szCs w:val="28"/>
        </w:rPr>
        <w:t>:</w:t>
      </w:r>
      <w:r w:rsidRPr="00585DBF">
        <w:rPr>
          <w:rFonts w:asciiTheme="majorBidi" w:hAnsiTheme="majorBidi" w:cstheme="majorBidi"/>
          <w:b/>
          <w:bCs/>
          <w:color w:val="000000" w:themeColor="text1"/>
          <w:sz w:val="28"/>
          <w:szCs w:val="28"/>
          <w:lang w:bidi="ar-EG"/>
        </w:rPr>
        <w:br/>
      </w:r>
      <w:r w:rsidRPr="00585DBF">
        <w:rPr>
          <w:rFonts w:asciiTheme="majorBidi" w:hAnsiTheme="majorBidi" w:cstheme="majorBidi"/>
          <w:color w:val="000000" w:themeColor="text1"/>
          <w:sz w:val="28"/>
          <w:szCs w:val="28"/>
          <w:rtl/>
        </w:rPr>
        <w:t>سيتم استخدام عينة</w:t>
      </w:r>
      <w:r w:rsidRPr="00585DBF">
        <w:rPr>
          <w:rFonts w:asciiTheme="majorBidi" w:hAnsiTheme="majorBidi" w:cstheme="majorBidi" w:hint="cs"/>
          <w:color w:val="000000" w:themeColor="text1"/>
          <w:sz w:val="28"/>
          <w:szCs w:val="28"/>
          <w:rtl/>
        </w:rPr>
        <w:t xml:space="preserve"> طبقية</w:t>
      </w:r>
      <w:r w:rsidRPr="00585DBF">
        <w:rPr>
          <w:rFonts w:asciiTheme="majorBidi" w:hAnsiTheme="majorBidi" w:cstheme="majorBidi"/>
          <w:color w:val="000000" w:themeColor="text1"/>
          <w:sz w:val="28"/>
          <w:szCs w:val="28"/>
          <w:rtl/>
        </w:rPr>
        <w:t xml:space="preserve"> نظرًا للتباين الفعلي في الخبرات ومستويات الأداء بين قطاعات الفنادق والمطاعم، مما يسمح بتحليل مقارن أكثر دقة بين المجموعات. ضمن كل قطاع، لضمان التنوع عبر الأدوار والمستويات التنظيمية</w:t>
      </w:r>
      <w:r w:rsidRPr="00585DBF">
        <w:rPr>
          <w:rFonts w:asciiTheme="majorBidi" w:hAnsiTheme="majorBidi" w:cstheme="majorBidi"/>
          <w:color w:val="000000" w:themeColor="text1"/>
          <w:sz w:val="28"/>
          <w:szCs w:val="28"/>
          <w:lang w:bidi="ar-EG"/>
        </w:rPr>
        <w:t>.</w:t>
      </w:r>
    </w:p>
    <w:p w14:paraId="4396F0CE" w14:textId="77777777" w:rsidR="00404A54" w:rsidRPr="00585DBF" w:rsidRDefault="00404A54" w:rsidP="00404A54">
      <w:pPr>
        <w:bidi/>
        <w:spacing w:after="0" w:line="240" w:lineRule="auto"/>
        <w:rPr>
          <w:rFonts w:asciiTheme="majorBidi" w:hAnsiTheme="majorBidi" w:cstheme="majorBidi"/>
          <w:b/>
          <w:bCs/>
          <w:color w:val="000000" w:themeColor="text1"/>
          <w:sz w:val="28"/>
          <w:szCs w:val="28"/>
          <w:lang w:bidi="ar-EG"/>
        </w:rPr>
      </w:pPr>
      <w:r w:rsidRPr="00585DBF">
        <w:rPr>
          <w:rFonts w:asciiTheme="majorBidi" w:hAnsiTheme="majorBidi" w:cstheme="majorBidi"/>
          <w:b/>
          <w:bCs/>
          <w:color w:val="000000" w:themeColor="text1"/>
          <w:sz w:val="28"/>
          <w:szCs w:val="28"/>
          <w:rtl/>
        </w:rPr>
        <w:t>معايير الاختيار</w:t>
      </w:r>
      <w:r w:rsidRPr="00585DBF">
        <w:rPr>
          <w:rFonts w:asciiTheme="majorBidi" w:hAnsiTheme="majorBidi" w:cstheme="majorBidi"/>
          <w:b/>
          <w:bCs/>
          <w:color w:val="000000" w:themeColor="text1"/>
          <w:sz w:val="28"/>
          <w:szCs w:val="28"/>
          <w:lang w:bidi="ar-EG"/>
        </w:rPr>
        <w:t>:</w:t>
      </w:r>
    </w:p>
    <w:p w14:paraId="10A0E9BA" w14:textId="77777777" w:rsidR="00404A54" w:rsidRPr="00585DBF" w:rsidRDefault="00404A54" w:rsidP="00FF5C30">
      <w:pPr>
        <w:numPr>
          <w:ilvl w:val="0"/>
          <w:numId w:val="74"/>
        </w:numPr>
        <w:bidi/>
        <w:spacing w:after="0" w:line="240" w:lineRule="auto"/>
        <w:jc w:val="both"/>
        <w:rPr>
          <w:rFonts w:asciiTheme="majorBidi" w:hAnsiTheme="majorBidi" w:cstheme="majorBidi"/>
          <w:color w:val="000000" w:themeColor="text1"/>
          <w:sz w:val="28"/>
          <w:szCs w:val="28"/>
          <w:lang w:bidi="ar-EG"/>
        </w:rPr>
      </w:pPr>
      <w:r w:rsidRPr="00585DBF">
        <w:rPr>
          <w:rFonts w:asciiTheme="majorBidi" w:hAnsiTheme="majorBidi" w:cstheme="majorBidi"/>
          <w:color w:val="000000" w:themeColor="text1"/>
          <w:sz w:val="28"/>
          <w:szCs w:val="28"/>
          <w:rtl/>
        </w:rPr>
        <w:lastRenderedPageBreak/>
        <w:t>يجب أن يكون لدى المشاركين سنة واحدة على الأقل من الخبرة في دورهم الحالي لضمان الإلمام بممارسات أنظمة العمل عالية الأداء</w:t>
      </w:r>
      <w:r w:rsidRPr="00585DBF">
        <w:rPr>
          <w:rFonts w:asciiTheme="majorBidi" w:hAnsiTheme="majorBidi" w:cstheme="majorBidi"/>
          <w:color w:val="000000" w:themeColor="text1"/>
          <w:sz w:val="28"/>
          <w:szCs w:val="28"/>
          <w:lang w:bidi="ar-EG"/>
        </w:rPr>
        <w:t>.</w:t>
      </w:r>
    </w:p>
    <w:p w14:paraId="083344B6" w14:textId="77777777" w:rsidR="00404A54" w:rsidRPr="00585DBF" w:rsidRDefault="00404A54" w:rsidP="00FF5C30">
      <w:pPr>
        <w:numPr>
          <w:ilvl w:val="0"/>
          <w:numId w:val="74"/>
        </w:numPr>
        <w:bidi/>
        <w:spacing w:after="0" w:line="240" w:lineRule="auto"/>
        <w:jc w:val="both"/>
        <w:rPr>
          <w:rFonts w:asciiTheme="majorBidi" w:hAnsiTheme="majorBidi" w:cstheme="majorBidi"/>
          <w:color w:val="000000" w:themeColor="text1"/>
          <w:sz w:val="28"/>
          <w:szCs w:val="28"/>
          <w:lang w:bidi="ar-EG"/>
        </w:rPr>
      </w:pPr>
      <w:r w:rsidRPr="00585DBF">
        <w:rPr>
          <w:rFonts w:asciiTheme="majorBidi" w:hAnsiTheme="majorBidi" w:cstheme="majorBidi"/>
          <w:color w:val="000000" w:themeColor="text1"/>
          <w:sz w:val="28"/>
          <w:szCs w:val="28"/>
          <w:rtl/>
        </w:rPr>
        <w:t>سيتم تضمين الموظفين بدوام كامل وبدوام جزئي لالتقاط مجموعة من وجهات النظر</w:t>
      </w:r>
      <w:r w:rsidRPr="00585DBF">
        <w:rPr>
          <w:rFonts w:asciiTheme="majorBidi" w:hAnsiTheme="majorBidi" w:cstheme="majorBidi"/>
          <w:color w:val="000000" w:themeColor="text1"/>
          <w:sz w:val="28"/>
          <w:szCs w:val="28"/>
          <w:lang w:bidi="ar-EG"/>
        </w:rPr>
        <w:t>.</w:t>
      </w:r>
    </w:p>
    <w:p w14:paraId="31DFC02D" w14:textId="77777777" w:rsidR="00404A54" w:rsidRPr="00585DBF" w:rsidRDefault="00404A54" w:rsidP="00FF5C30">
      <w:pPr>
        <w:numPr>
          <w:ilvl w:val="0"/>
          <w:numId w:val="74"/>
        </w:numPr>
        <w:bidi/>
        <w:spacing w:after="0" w:line="240" w:lineRule="auto"/>
        <w:jc w:val="both"/>
        <w:rPr>
          <w:rFonts w:asciiTheme="majorBidi" w:hAnsiTheme="majorBidi" w:cstheme="majorBidi"/>
          <w:color w:val="000000" w:themeColor="text1"/>
          <w:sz w:val="28"/>
          <w:szCs w:val="28"/>
          <w:lang w:bidi="ar-EG"/>
        </w:rPr>
      </w:pPr>
      <w:r w:rsidRPr="00585DBF">
        <w:rPr>
          <w:rFonts w:asciiTheme="majorBidi" w:hAnsiTheme="majorBidi" w:cstheme="majorBidi"/>
          <w:color w:val="000000" w:themeColor="text1"/>
          <w:sz w:val="28"/>
          <w:szCs w:val="28"/>
          <w:rtl/>
        </w:rPr>
        <w:t>سيتم إعطاء الأولوية للأفراد في المناصب التي تنطوي على تفاعل العملاء أو الأدوار الإشرافية، حيث ترتبط أدوارهم بشكل مباشر بالأداء الإبداعي</w:t>
      </w:r>
      <w:r w:rsidRPr="00585DBF">
        <w:rPr>
          <w:rFonts w:asciiTheme="majorBidi" w:hAnsiTheme="majorBidi" w:cstheme="majorBidi"/>
          <w:color w:val="000000" w:themeColor="text1"/>
          <w:sz w:val="28"/>
          <w:szCs w:val="28"/>
          <w:lang w:bidi="ar-EG"/>
        </w:rPr>
        <w:t>.</w:t>
      </w:r>
    </w:p>
    <w:p w14:paraId="585078D8" w14:textId="77777777" w:rsidR="00677384" w:rsidRDefault="00677384" w:rsidP="00677384">
      <w:pPr>
        <w:bidi/>
        <w:spacing w:after="0" w:line="240" w:lineRule="auto"/>
        <w:ind w:left="720"/>
        <w:rPr>
          <w:rFonts w:asciiTheme="majorBidi" w:hAnsiTheme="majorBidi" w:cstheme="majorBidi"/>
          <w:color w:val="000000" w:themeColor="text1"/>
          <w:sz w:val="28"/>
          <w:szCs w:val="28"/>
          <w:highlight w:val="yellow"/>
          <w:lang w:bidi="ar-EG"/>
        </w:rPr>
      </w:pPr>
    </w:p>
    <w:p w14:paraId="696F5AB3" w14:textId="77777777" w:rsidR="00404A54" w:rsidRPr="00281BF7" w:rsidRDefault="00404A54" w:rsidP="00404A54">
      <w:pPr>
        <w:bidi/>
        <w:spacing w:after="0" w:line="240" w:lineRule="auto"/>
        <w:rPr>
          <w:rFonts w:asciiTheme="majorBidi" w:hAnsiTheme="majorBidi" w:cstheme="majorBidi"/>
          <w:color w:val="000000" w:themeColor="text1"/>
          <w:sz w:val="28"/>
          <w:szCs w:val="28"/>
          <w:highlight w:val="yellow"/>
          <w:rtl/>
          <w:lang w:bidi="ar-EG"/>
        </w:rPr>
      </w:pPr>
    </w:p>
    <w:p w14:paraId="6FF7811B"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1.</w:t>
      </w:r>
      <w:r>
        <w:rPr>
          <w:rFonts w:asciiTheme="majorBidi" w:hAnsiTheme="majorBidi" w:cstheme="majorBidi" w:hint="cs"/>
          <w:b/>
          <w:bCs/>
          <w:sz w:val="28"/>
          <w:szCs w:val="28"/>
          <w:rtl/>
        </w:rPr>
        <w:t>9</w:t>
      </w:r>
      <w:r w:rsidRPr="0009445F">
        <w:rPr>
          <w:rFonts w:asciiTheme="majorBidi" w:hAnsiTheme="majorBidi" w:cstheme="majorBidi"/>
          <w:b/>
          <w:bCs/>
          <w:sz w:val="28"/>
          <w:szCs w:val="28"/>
          <w:rtl/>
        </w:rPr>
        <w:t>. تعريف المصطلحات الأساسية</w:t>
      </w:r>
    </w:p>
    <w:p w14:paraId="0520E139" w14:textId="77777777" w:rsidR="00404A54" w:rsidRPr="0009445F" w:rsidRDefault="00404A54" w:rsidP="00404A54">
      <w:pPr>
        <w:bidi/>
        <w:rPr>
          <w:rFonts w:asciiTheme="majorBidi" w:hAnsiTheme="majorBidi" w:cstheme="majorBidi"/>
          <w:b/>
          <w:bCs/>
          <w:sz w:val="28"/>
          <w:szCs w:val="28"/>
          <w:rtl/>
        </w:rPr>
      </w:pPr>
      <w:r w:rsidRPr="0009445F">
        <w:rPr>
          <w:rFonts w:asciiTheme="majorBidi" w:hAnsiTheme="majorBidi" w:cstheme="majorBidi"/>
          <w:b/>
          <w:bCs/>
          <w:sz w:val="28"/>
          <w:szCs w:val="28"/>
          <w:rtl/>
        </w:rPr>
        <w:t>1.</w:t>
      </w:r>
      <w:r>
        <w:rPr>
          <w:rFonts w:asciiTheme="majorBidi" w:hAnsiTheme="majorBidi" w:cstheme="majorBidi" w:hint="cs"/>
          <w:b/>
          <w:bCs/>
          <w:sz w:val="28"/>
          <w:szCs w:val="28"/>
          <w:rtl/>
        </w:rPr>
        <w:t>9</w:t>
      </w:r>
      <w:r w:rsidRPr="0009445F">
        <w:rPr>
          <w:rFonts w:asciiTheme="majorBidi" w:hAnsiTheme="majorBidi" w:cstheme="majorBidi"/>
          <w:b/>
          <w:bCs/>
          <w:sz w:val="28"/>
          <w:szCs w:val="28"/>
          <w:rtl/>
        </w:rPr>
        <w:t>.1. أنظمة العمل عالية الأداء</w:t>
      </w:r>
      <w:r w:rsidRPr="0009445F">
        <w:rPr>
          <w:rFonts w:asciiTheme="majorBidi" w:hAnsiTheme="majorBidi" w:cstheme="majorBidi"/>
          <w:b/>
          <w:bCs/>
          <w:sz w:val="28"/>
          <w:szCs w:val="28"/>
        </w:rPr>
        <w:t xml:space="preserve"> (HPWS</w:t>
      </w:r>
      <w:proofErr w:type="gramStart"/>
      <w:r w:rsidRPr="0009445F">
        <w:rPr>
          <w:rFonts w:asciiTheme="majorBidi" w:hAnsiTheme="majorBidi" w:cstheme="majorBidi"/>
          <w:b/>
          <w:bCs/>
          <w:sz w:val="28"/>
          <w:szCs w:val="28"/>
        </w:rPr>
        <w:t>)</w:t>
      </w:r>
      <w:r>
        <w:rPr>
          <w:rFonts w:asciiTheme="majorBidi" w:hAnsiTheme="majorBidi" w:cstheme="majorBidi" w:hint="cs"/>
          <w:b/>
          <w:bCs/>
          <w:sz w:val="28"/>
          <w:szCs w:val="28"/>
          <w:rtl/>
        </w:rPr>
        <w:t>(</w:t>
      </w:r>
      <w:proofErr w:type="gramEnd"/>
      <w:r>
        <w:rPr>
          <w:rFonts w:asciiTheme="majorBidi" w:hAnsiTheme="majorBidi" w:cstheme="majorBidi" w:hint="cs"/>
          <w:b/>
          <w:bCs/>
          <w:sz w:val="28"/>
          <w:szCs w:val="28"/>
          <w:rtl/>
        </w:rPr>
        <w:t>المتغير المستقل الرئيسي)</w:t>
      </w:r>
    </w:p>
    <w:p w14:paraId="596CF749"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التعريف النظري</w:t>
      </w:r>
    </w:p>
    <w:p w14:paraId="44579279" w14:textId="7395FE89" w:rsidR="00404A54" w:rsidRPr="0009445F" w:rsidRDefault="00404A54" w:rsidP="00FF5C30">
      <w:pPr>
        <w:bidi/>
        <w:jc w:val="both"/>
        <w:rPr>
          <w:rFonts w:asciiTheme="majorBidi" w:hAnsiTheme="majorBidi" w:cstheme="majorBidi"/>
          <w:sz w:val="28"/>
          <w:szCs w:val="28"/>
        </w:rPr>
      </w:pPr>
      <w:r w:rsidRPr="0009445F">
        <w:rPr>
          <w:rFonts w:asciiTheme="majorBidi" w:hAnsiTheme="majorBidi" w:cstheme="majorBidi"/>
          <w:sz w:val="28"/>
          <w:szCs w:val="28"/>
          <w:rtl/>
        </w:rPr>
        <w:t>تشير أنظمة العمل عالية الأداء</w:t>
      </w:r>
      <w:r w:rsidRPr="0009445F">
        <w:rPr>
          <w:rFonts w:asciiTheme="majorBidi" w:hAnsiTheme="majorBidi" w:cstheme="majorBidi"/>
          <w:sz w:val="28"/>
          <w:szCs w:val="28"/>
        </w:rPr>
        <w:t xml:space="preserve"> (</w:t>
      </w:r>
      <w:r w:rsidRPr="0009445F">
        <w:rPr>
          <w:rFonts w:asciiTheme="majorBidi" w:hAnsiTheme="majorBidi" w:cstheme="majorBidi"/>
          <w:b/>
          <w:bCs/>
          <w:sz w:val="28"/>
          <w:szCs w:val="28"/>
        </w:rPr>
        <w:t>High-Performance Work Systems - HPWS</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إلى مجموعة من ممارسات الموارد البشرية المتكاملة التي تهدف إلى تحسين أداء الأفراد وتعزيز قدراتهم الوظيفية، من خلال توفير بيئة عمل داعمة وممكنة للإبداع والابتكار</w:t>
      </w:r>
      <w:r w:rsidRPr="0009445F">
        <w:rPr>
          <w:rFonts w:asciiTheme="majorBidi" w:hAnsiTheme="majorBidi" w:cstheme="majorBidi"/>
          <w:sz w:val="28"/>
          <w:szCs w:val="28"/>
        </w:rPr>
        <w:fldChar w:fldCharType="begin"/>
      </w:r>
      <w:r w:rsidR="00FB6AAE">
        <w:rPr>
          <w:rFonts w:asciiTheme="majorBidi" w:hAnsiTheme="majorBidi" w:cstheme="majorBidi"/>
          <w:sz w:val="28"/>
          <w:szCs w:val="28"/>
        </w:rPr>
        <w:instrText xml:space="preserve"> ADDIN EN.CITE &lt;EndNote&gt;&lt;Cite&gt;&lt;Author&gt;Combs&lt;/Author&gt;&lt;Year&gt;2006&lt;/Year&gt;&lt;RecNum&gt;1344&lt;/RecNum&gt;&lt;DisplayText&gt;(Combs et al., 2006)&lt;/DisplayText&gt;&lt;record&gt;&lt;rec-number&gt;1344&lt;/rec-number&gt;&lt;foreign-keys&gt;&lt;key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high‐performance work practices matter? A meta‐analysis of their effects on organizational performance&lt;/title&gt;&lt;secondary-title&gt;Personnel psychology&lt;/secondary-title&gt;&lt;/titles&gt;&lt;periodical&gt;&lt;full-title&gt;Personnel psychology&lt;/full-title&gt;&lt;/periodical&gt;&lt;pages&gt;501-528&lt;/pages&gt;&lt;volume&gt;59&lt;/volume&gt;&lt;number&gt;3&lt;/number&gt;&lt;dates&gt;&lt;year&gt;2006&lt;/year&gt;&lt;/dates&gt;&lt;isbn&gt;0031-5826&lt;/isbn&gt;&lt;urls&gt;&lt;/urls&gt;&lt;/record&gt;&lt;/Cite&gt;&lt;/EndNote&gt;</w:instrText>
      </w:r>
      <w:r w:rsidRPr="0009445F">
        <w:rPr>
          <w:rFonts w:asciiTheme="majorBidi" w:hAnsiTheme="majorBidi" w:cstheme="majorBidi"/>
          <w:sz w:val="28"/>
          <w:szCs w:val="28"/>
        </w:rPr>
        <w:fldChar w:fldCharType="separate"/>
      </w:r>
      <w:r w:rsidRPr="0009445F">
        <w:rPr>
          <w:rFonts w:asciiTheme="majorBidi" w:hAnsiTheme="majorBidi" w:cstheme="majorBidi"/>
          <w:noProof/>
          <w:sz w:val="28"/>
          <w:szCs w:val="28"/>
        </w:rPr>
        <w:t>(Combs et al., 2006)</w:t>
      </w:r>
      <w:r w:rsidRPr="0009445F">
        <w:rPr>
          <w:rFonts w:asciiTheme="majorBidi" w:hAnsiTheme="majorBidi" w:cstheme="majorBidi"/>
          <w:sz w:val="28"/>
          <w:szCs w:val="28"/>
        </w:rPr>
        <w:fldChar w:fldCharType="end"/>
      </w:r>
      <w:r w:rsidRPr="0009445F">
        <w:rPr>
          <w:rFonts w:asciiTheme="majorBidi" w:hAnsiTheme="majorBidi" w:cstheme="majorBidi"/>
          <w:sz w:val="28"/>
          <w:szCs w:val="28"/>
          <w:rtl/>
        </w:rPr>
        <w:t xml:space="preserve">. تشمل هذه الأنظمة ممارسات مثل التوظيف الانتقائي، التدريب والتطوير، المكافآت التحفيزية، مشاركة الموظفين في اتخاذ القرارات، وتمكينهم من أداء أدوارهم بمرونة  </w:t>
      </w:r>
      <w:r w:rsidRPr="0009445F">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&lt;EndNote&gt;&lt;Cite&gt;&lt;Author&gt;Kehoe&lt;/Author&gt;&lt;Year&gt;2013&lt;/Year&gt;&lt;RecNum&gt;1362&lt;/RecNum&gt;&lt;DisplayText&gt;(Kehoe and Wright, 2013)&lt;/DisplayText&gt;&lt;record&gt;&lt;rec-number&gt;1362&lt;/rec-number&gt;&lt;foreign-keys&gt;&lt;key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Pr>
          <w:rFonts w:asciiTheme="majorBidi" w:hAnsiTheme="majorBidi" w:cstheme="majorBidi"/>
          <w:sz w:val="28"/>
          <w:szCs w:val="28"/>
          <w:rtl/>
        </w:rPr>
        <w:instrText>&gt;</w:instrText>
      </w:r>
      <w:r w:rsidRPr="0009445F">
        <w:rPr>
          <w:rFonts w:asciiTheme="majorBidi" w:hAnsiTheme="majorBidi" w:cstheme="majorBidi"/>
          <w:sz w:val="28"/>
          <w:szCs w:val="28"/>
          <w:rtl/>
        </w:rPr>
        <w:fldChar w:fldCharType="separate"/>
      </w:r>
      <w:r w:rsidRPr="0009445F">
        <w:rPr>
          <w:rFonts w:asciiTheme="majorBidi" w:hAnsiTheme="majorBidi" w:cstheme="majorBidi"/>
          <w:noProof/>
          <w:sz w:val="28"/>
          <w:szCs w:val="28"/>
          <w:rtl/>
        </w:rPr>
        <w:t>(</w:t>
      </w:r>
      <w:r w:rsidRPr="0009445F">
        <w:rPr>
          <w:rFonts w:asciiTheme="majorBidi" w:hAnsiTheme="majorBidi" w:cstheme="majorBidi"/>
          <w:noProof/>
          <w:sz w:val="28"/>
          <w:szCs w:val="28"/>
        </w:rPr>
        <w:t>Kehoe and Wright, 2013</w:t>
      </w:r>
      <w:r w:rsidRPr="0009445F">
        <w:rPr>
          <w:rFonts w:asciiTheme="majorBidi" w:hAnsiTheme="majorBidi" w:cstheme="majorBidi"/>
          <w:noProof/>
          <w:sz w:val="28"/>
          <w:szCs w:val="28"/>
          <w:rtl/>
        </w:rPr>
        <w:t>)</w:t>
      </w:r>
      <w:r w:rsidRPr="0009445F">
        <w:rPr>
          <w:rFonts w:asciiTheme="majorBidi" w:hAnsiTheme="majorBidi" w:cstheme="majorBidi"/>
          <w:sz w:val="28"/>
          <w:szCs w:val="28"/>
          <w:rtl/>
        </w:rPr>
        <w:fldChar w:fldCharType="end"/>
      </w:r>
      <w:r w:rsidRPr="0009445F">
        <w:rPr>
          <w:rFonts w:asciiTheme="majorBidi" w:hAnsiTheme="majorBidi" w:cstheme="majorBidi"/>
          <w:sz w:val="28"/>
          <w:szCs w:val="28"/>
          <w:rtl/>
        </w:rPr>
        <w:t>.</w:t>
      </w:r>
    </w:p>
    <w:p w14:paraId="6E9AF576"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التعريف الإجرائي</w:t>
      </w:r>
    </w:p>
    <w:p w14:paraId="4C52C016" w14:textId="37483D4D" w:rsidR="00FF5C30" w:rsidRDefault="00404A54" w:rsidP="006652C1">
      <w:pPr>
        <w:bidi/>
        <w:jc w:val="both"/>
        <w:rPr>
          <w:rFonts w:asciiTheme="majorBidi" w:hAnsiTheme="majorBidi" w:cstheme="majorBidi"/>
          <w:sz w:val="28"/>
          <w:szCs w:val="28"/>
          <w:rtl/>
        </w:rPr>
      </w:pPr>
      <w:r w:rsidRPr="0009445F">
        <w:rPr>
          <w:rFonts w:asciiTheme="majorBidi" w:hAnsiTheme="majorBidi" w:cstheme="majorBidi"/>
          <w:sz w:val="28"/>
          <w:szCs w:val="28"/>
          <w:rtl/>
        </w:rPr>
        <w:t>في هذه الدراسة، يتم تعريف أنظمة العمل عالية الأداء</w:t>
      </w:r>
      <w:r w:rsidRPr="0009445F">
        <w:rPr>
          <w:rFonts w:asciiTheme="majorBidi" w:hAnsiTheme="majorBidi" w:cstheme="majorBidi"/>
          <w:sz w:val="28"/>
          <w:szCs w:val="28"/>
        </w:rPr>
        <w:t xml:space="preserve"> (HPWS) </w:t>
      </w:r>
      <w:r w:rsidRPr="0009445F">
        <w:rPr>
          <w:rFonts w:asciiTheme="majorBidi" w:hAnsiTheme="majorBidi" w:cstheme="majorBidi"/>
          <w:sz w:val="28"/>
          <w:szCs w:val="28"/>
          <w:rtl/>
        </w:rPr>
        <w:t>على أنها مجموعة من الممارسات التنظيمية التي تشمل التوظيف الانتقائي، التدريب والتطوير المستمر، المكافآت القائمة على الأداء، ومشاركة الموظفين في اتخاذ القرارات</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سيتم قياس</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أنظمة العمل عالية الأداء</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من خلال استبيان يعتمد على تقييم الموظفين لمدى تطبيق هذه الممارسات داخل مؤسساتهم، ومدى تأثيرها على بيئة العمل وتحفيز الإبداع لديهم</w:t>
      </w:r>
      <w:r w:rsidRPr="0009445F">
        <w:rPr>
          <w:rFonts w:asciiTheme="majorBidi" w:hAnsiTheme="majorBidi" w:cstheme="majorBidi"/>
          <w:sz w:val="28"/>
          <w:szCs w:val="28"/>
        </w:rPr>
        <w:t>.</w:t>
      </w:r>
    </w:p>
    <w:p w14:paraId="1CE46FA9" w14:textId="77777777" w:rsidR="00FF5C30" w:rsidRPr="0009445F" w:rsidRDefault="00FF5C30" w:rsidP="00FF5C30">
      <w:pPr>
        <w:bidi/>
        <w:rPr>
          <w:rFonts w:asciiTheme="majorBidi" w:hAnsiTheme="majorBidi" w:cstheme="majorBidi"/>
          <w:sz w:val="28"/>
          <w:szCs w:val="28"/>
        </w:rPr>
      </w:pPr>
    </w:p>
    <w:p w14:paraId="081189E3" w14:textId="77777777" w:rsidR="00404A54" w:rsidRPr="0009445F" w:rsidRDefault="00404A54" w:rsidP="00404A54">
      <w:pPr>
        <w:bidi/>
        <w:rPr>
          <w:rFonts w:asciiTheme="majorBidi" w:hAnsiTheme="majorBidi" w:cstheme="majorBidi"/>
          <w:b/>
          <w:bCs/>
          <w:sz w:val="28"/>
          <w:szCs w:val="28"/>
          <w:rtl/>
          <w:lang w:bidi="ar-EG"/>
        </w:rPr>
      </w:pPr>
      <w:r w:rsidRPr="0009445F">
        <w:rPr>
          <w:rFonts w:asciiTheme="majorBidi" w:hAnsiTheme="majorBidi" w:cstheme="majorBidi"/>
          <w:b/>
          <w:bCs/>
          <w:sz w:val="28"/>
          <w:szCs w:val="28"/>
          <w:rtl/>
        </w:rPr>
        <w:t>1.</w:t>
      </w:r>
      <w:r>
        <w:rPr>
          <w:rFonts w:asciiTheme="majorBidi" w:hAnsiTheme="majorBidi" w:cstheme="majorBidi" w:hint="cs"/>
          <w:b/>
          <w:bCs/>
          <w:sz w:val="28"/>
          <w:szCs w:val="28"/>
          <w:rtl/>
        </w:rPr>
        <w:t>9</w:t>
      </w:r>
      <w:r w:rsidRPr="0009445F">
        <w:rPr>
          <w:rFonts w:asciiTheme="majorBidi" w:hAnsiTheme="majorBidi" w:cstheme="majorBidi"/>
          <w:b/>
          <w:bCs/>
          <w:sz w:val="28"/>
          <w:szCs w:val="28"/>
          <w:rtl/>
        </w:rPr>
        <w:t>.</w:t>
      </w:r>
      <w:r>
        <w:rPr>
          <w:rFonts w:asciiTheme="majorBidi" w:hAnsiTheme="majorBidi" w:cstheme="majorBidi" w:hint="cs"/>
          <w:b/>
          <w:bCs/>
          <w:sz w:val="28"/>
          <w:szCs w:val="28"/>
          <w:rtl/>
        </w:rPr>
        <w:t>2</w:t>
      </w:r>
      <w:r w:rsidRPr="0009445F">
        <w:rPr>
          <w:rFonts w:asciiTheme="majorBidi" w:hAnsiTheme="majorBidi" w:cstheme="majorBidi"/>
          <w:b/>
          <w:bCs/>
          <w:sz w:val="28"/>
          <w:szCs w:val="28"/>
          <w:rtl/>
        </w:rPr>
        <w:t>. التوظيف الانتقائي</w:t>
      </w:r>
      <w:r>
        <w:rPr>
          <w:rFonts w:asciiTheme="majorBidi" w:hAnsiTheme="majorBidi" w:cstheme="majorBidi" w:hint="cs"/>
          <w:b/>
          <w:bCs/>
          <w:sz w:val="28"/>
          <w:szCs w:val="28"/>
          <w:rtl/>
        </w:rPr>
        <w:t xml:space="preserve"> (بعد فرعي من </w:t>
      </w:r>
      <w:proofErr w:type="gramStart"/>
      <w:r>
        <w:rPr>
          <w:rFonts w:asciiTheme="majorBidi" w:hAnsiTheme="majorBidi" w:cstheme="majorBidi"/>
          <w:b/>
          <w:bCs/>
          <w:sz w:val="28"/>
          <w:szCs w:val="28"/>
        </w:rPr>
        <w:t>HPWS</w:t>
      </w:r>
      <w:r>
        <w:rPr>
          <w:rFonts w:asciiTheme="majorBidi" w:hAnsiTheme="majorBidi" w:cstheme="majorBidi" w:hint="cs"/>
          <w:b/>
          <w:bCs/>
          <w:sz w:val="28"/>
          <w:szCs w:val="28"/>
          <w:rtl/>
          <w:lang w:bidi="ar-EG"/>
        </w:rPr>
        <w:t xml:space="preserve"> )</w:t>
      </w:r>
      <w:proofErr w:type="gramEnd"/>
    </w:p>
    <w:p w14:paraId="23E36C62"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التعريف النظري</w:t>
      </w:r>
    </w:p>
    <w:p w14:paraId="66C1B7CD" w14:textId="6110FF87" w:rsidR="00404A54" w:rsidRPr="0009445F" w:rsidRDefault="00404A54" w:rsidP="00FF5C30">
      <w:pPr>
        <w:bidi/>
        <w:jc w:val="both"/>
        <w:rPr>
          <w:rFonts w:asciiTheme="majorBidi" w:hAnsiTheme="majorBidi" w:cstheme="majorBidi"/>
          <w:sz w:val="28"/>
          <w:szCs w:val="28"/>
          <w:rtl/>
        </w:rPr>
      </w:pPr>
      <w:r w:rsidRPr="0009445F">
        <w:rPr>
          <w:rFonts w:asciiTheme="majorBidi" w:hAnsiTheme="majorBidi" w:cstheme="majorBidi"/>
          <w:sz w:val="28"/>
          <w:szCs w:val="28"/>
          <w:rtl/>
        </w:rPr>
        <w:t xml:space="preserve">يشير التوظيف الانتقائي إلى الممارسات التي تتبعها المؤسسات في اختيار الموظفين بناءً على المهارات والخبرات والمعرفة التي تتناسب مع متطلبات الوظيفة وثقافة المنظمة </w:t>
      </w:r>
      <w:r w:rsidRPr="0009445F">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00FB6AAE">
        <w:rPr>
          <w:rFonts w:asciiTheme="majorBidi" w:hAnsiTheme="majorBidi" w:cstheme="majorBidi"/>
          <w:sz w:val="28"/>
          <w:szCs w:val="28"/>
          <w:rtl/>
        </w:rPr>
        <w:instrText>&gt;&lt;</w:instrText>
      </w:r>
      <w:r w:rsidR="00FB6AAE">
        <w:rPr>
          <w:rFonts w:asciiTheme="majorBidi" w:hAnsiTheme="majorBidi" w:cstheme="majorBidi"/>
          <w:sz w:val="28"/>
          <w:szCs w:val="28"/>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in personnel and human resources management&lt;/full-title&gt;&lt;/periodical&gt;&lt;pages&gt;217-271&lt;/pages&gt;&lt;dates&gt;&lt;year&gt;2006&lt;/year&gt;&lt;/dates&gt;&lt;isbn&gt;0742-7301&lt;/isbn&gt;&lt;urls&gt;&lt;/urls&gt;&lt;/record&gt;&lt;/Cite&gt;&lt;/EndNote</w:instrText>
      </w:r>
      <w:r w:rsidR="00FB6AAE">
        <w:rPr>
          <w:rFonts w:asciiTheme="majorBidi" w:hAnsiTheme="majorBidi" w:cstheme="majorBidi"/>
          <w:sz w:val="28"/>
          <w:szCs w:val="28"/>
          <w:rtl/>
        </w:rPr>
        <w:instrText>&gt;</w:instrText>
      </w:r>
      <w:r w:rsidRPr="0009445F">
        <w:rPr>
          <w:rFonts w:asciiTheme="majorBidi" w:hAnsiTheme="majorBidi" w:cstheme="majorBidi"/>
          <w:sz w:val="28"/>
          <w:szCs w:val="28"/>
          <w:rtl/>
        </w:rPr>
        <w:fldChar w:fldCharType="separate"/>
      </w:r>
      <w:r w:rsidRPr="0009445F">
        <w:rPr>
          <w:rFonts w:asciiTheme="majorBidi" w:hAnsiTheme="majorBidi" w:cstheme="majorBidi"/>
          <w:noProof/>
          <w:sz w:val="28"/>
          <w:szCs w:val="28"/>
          <w:rtl/>
        </w:rPr>
        <w:t>(</w:t>
      </w:r>
      <w:r w:rsidRPr="0009445F">
        <w:rPr>
          <w:rFonts w:asciiTheme="majorBidi" w:hAnsiTheme="majorBidi" w:cstheme="majorBidi"/>
          <w:noProof/>
          <w:sz w:val="28"/>
          <w:szCs w:val="28"/>
        </w:rPr>
        <w:t>Lepak et al., 2006</w:t>
      </w:r>
      <w:r w:rsidRPr="0009445F">
        <w:rPr>
          <w:rFonts w:asciiTheme="majorBidi" w:hAnsiTheme="majorBidi" w:cstheme="majorBidi"/>
          <w:noProof/>
          <w:sz w:val="28"/>
          <w:szCs w:val="28"/>
          <w:rtl/>
        </w:rPr>
        <w:t>)</w:t>
      </w:r>
      <w:r w:rsidRPr="0009445F">
        <w:rPr>
          <w:rFonts w:asciiTheme="majorBidi" w:hAnsiTheme="majorBidi" w:cstheme="majorBidi"/>
          <w:sz w:val="28"/>
          <w:szCs w:val="28"/>
          <w:rtl/>
        </w:rPr>
        <w:fldChar w:fldCharType="end"/>
      </w:r>
      <w:r w:rsidRPr="0009445F">
        <w:rPr>
          <w:rFonts w:asciiTheme="majorBidi" w:hAnsiTheme="majorBidi" w:cstheme="majorBidi"/>
          <w:sz w:val="28"/>
          <w:szCs w:val="28"/>
          <w:rtl/>
        </w:rPr>
        <w:t>. في إطار</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أنظمة العمل عالية الأداء، يعد التوظيف الانتقائي أداة أساسية لضمان اختيار الأفراد ذوي الكفاءة والقدرة على الإبداع</w:t>
      </w:r>
      <w:r w:rsidRPr="0009445F">
        <w:rPr>
          <w:rFonts w:asciiTheme="majorBidi" w:hAnsiTheme="majorBidi" w:cstheme="majorBidi"/>
          <w:sz w:val="28"/>
          <w:szCs w:val="28"/>
        </w:rPr>
        <w:t>.</w:t>
      </w:r>
    </w:p>
    <w:p w14:paraId="30B52943"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التعريف الإجرائي</w:t>
      </w:r>
    </w:p>
    <w:p w14:paraId="7135037D" w14:textId="2DE0AB86" w:rsidR="00677384" w:rsidRPr="0009445F" w:rsidRDefault="00404A54" w:rsidP="006652C1">
      <w:pPr>
        <w:bidi/>
        <w:jc w:val="both"/>
        <w:rPr>
          <w:rFonts w:asciiTheme="majorBidi" w:hAnsiTheme="majorBidi" w:cstheme="majorBidi"/>
          <w:sz w:val="28"/>
          <w:szCs w:val="28"/>
        </w:rPr>
      </w:pPr>
      <w:r w:rsidRPr="0009445F">
        <w:rPr>
          <w:rFonts w:asciiTheme="majorBidi" w:hAnsiTheme="majorBidi" w:cstheme="majorBidi"/>
          <w:sz w:val="28"/>
          <w:szCs w:val="28"/>
          <w:rtl/>
        </w:rPr>
        <w:t>يشير التوظيف الانتقائي إلى مدى حرص المؤسسات على اختيار الموظفين بناءً على مهاراتهم الإبداعية، وقدرتهم على تقديم أفكار جديدة، ومدى توافقهم مع ثقافة المنظمة</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سيتم قياسه عبر استبيان يقيس مدى وضوح معايير التوظيف، ومدى تركيزها على المهارات الابتكارية خلال عملية الاختيار والتوظيف</w:t>
      </w:r>
      <w:r w:rsidRPr="0009445F">
        <w:rPr>
          <w:rFonts w:asciiTheme="majorBidi" w:hAnsiTheme="majorBidi" w:cstheme="majorBidi"/>
          <w:sz w:val="28"/>
          <w:szCs w:val="28"/>
        </w:rPr>
        <w:t>.</w:t>
      </w:r>
    </w:p>
    <w:p w14:paraId="6A1859E7"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lastRenderedPageBreak/>
        <w:t>1.</w:t>
      </w:r>
      <w:r>
        <w:rPr>
          <w:rFonts w:asciiTheme="majorBidi" w:hAnsiTheme="majorBidi" w:cstheme="majorBidi" w:hint="cs"/>
          <w:b/>
          <w:bCs/>
          <w:sz w:val="28"/>
          <w:szCs w:val="28"/>
          <w:rtl/>
        </w:rPr>
        <w:t>9</w:t>
      </w:r>
      <w:r w:rsidRPr="0009445F">
        <w:rPr>
          <w:rFonts w:asciiTheme="majorBidi" w:hAnsiTheme="majorBidi" w:cstheme="majorBidi"/>
          <w:b/>
          <w:bCs/>
          <w:sz w:val="28"/>
          <w:szCs w:val="28"/>
          <w:rtl/>
        </w:rPr>
        <w:t>.</w:t>
      </w:r>
      <w:r>
        <w:rPr>
          <w:rFonts w:asciiTheme="majorBidi" w:hAnsiTheme="majorBidi" w:cstheme="majorBidi" w:hint="cs"/>
          <w:b/>
          <w:bCs/>
          <w:sz w:val="28"/>
          <w:szCs w:val="28"/>
          <w:rtl/>
        </w:rPr>
        <w:t>3</w:t>
      </w:r>
      <w:r w:rsidRPr="0009445F">
        <w:rPr>
          <w:rFonts w:asciiTheme="majorBidi" w:hAnsiTheme="majorBidi" w:cstheme="majorBidi"/>
          <w:b/>
          <w:bCs/>
          <w:sz w:val="28"/>
          <w:szCs w:val="28"/>
          <w:rtl/>
        </w:rPr>
        <w:t>. التدريب والتطوير</w:t>
      </w:r>
      <w:r>
        <w:rPr>
          <w:rFonts w:asciiTheme="majorBidi" w:hAnsiTheme="majorBidi" w:cstheme="majorBidi" w:hint="cs"/>
          <w:b/>
          <w:bCs/>
          <w:sz w:val="28"/>
          <w:szCs w:val="28"/>
          <w:rtl/>
        </w:rPr>
        <w:t xml:space="preserve"> (بعد فرعي من </w:t>
      </w:r>
      <w:proofErr w:type="gramStart"/>
      <w:r>
        <w:rPr>
          <w:rFonts w:asciiTheme="majorBidi" w:hAnsiTheme="majorBidi" w:cstheme="majorBidi"/>
          <w:b/>
          <w:bCs/>
          <w:sz w:val="28"/>
          <w:szCs w:val="28"/>
        </w:rPr>
        <w:t>HPWS</w:t>
      </w:r>
      <w:r>
        <w:rPr>
          <w:rFonts w:asciiTheme="majorBidi" w:hAnsiTheme="majorBidi" w:cstheme="majorBidi" w:hint="cs"/>
          <w:b/>
          <w:bCs/>
          <w:sz w:val="28"/>
          <w:szCs w:val="28"/>
          <w:rtl/>
          <w:lang w:bidi="ar-EG"/>
        </w:rPr>
        <w:t xml:space="preserve"> )</w:t>
      </w:r>
      <w:proofErr w:type="gramEnd"/>
    </w:p>
    <w:p w14:paraId="433DD9CB"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التعريف النظري</w:t>
      </w:r>
    </w:p>
    <w:p w14:paraId="36D929A6" w14:textId="72607206" w:rsidR="00404A54" w:rsidRPr="0009445F" w:rsidRDefault="00404A54" w:rsidP="00FF5C30">
      <w:pPr>
        <w:bidi/>
        <w:jc w:val="both"/>
        <w:rPr>
          <w:rFonts w:asciiTheme="majorBidi" w:hAnsiTheme="majorBidi" w:cstheme="majorBidi"/>
          <w:sz w:val="28"/>
          <w:szCs w:val="28"/>
          <w:rtl/>
        </w:rPr>
      </w:pPr>
      <w:r w:rsidRPr="0009445F">
        <w:rPr>
          <w:rFonts w:asciiTheme="majorBidi" w:hAnsiTheme="majorBidi" w:cstheme="majorBidi"/>
          <w:sz w:val="28"/>
          <w:szCs w:val="28"/>
          <w:rtl/>
        </w:rPr>
        <w:t xml:space="preserve">يشير التدريب والتطوير إلى البرامج والأنشطة التي توفرها المؤسسات لموظفيها بهدف تعزيز مهاراتهم، وتحسين قدراتهم في مواجهة التحديات الوظيفية </w:t>
      </w:r>
      <w:r w:rsidRPr="0009445F">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00FB6AAE">
        <w:rPr>
          <w:rFonts w:asciiTheme="majorBidi" w:hAnsiTheme="majorBidi" w:cstheme="majorBidi"/>
          <w:sz w:val="28"/>
          <w:szCs w:val="28"/>
          <w:rtl/>
        </w:rPr>
        <w:instrText>&gt;</w:instrText>
      </w:r>
      <w:r w:rsidRPr="0009445F">
        <w:rPr>
          <w:rFonts w:asciiTheme="majorBidi" w:hAnsiTheme="majorBidi" w:cstheme="majorBidi"/>
          <w:sz w:val="28"/>
          <w:szCs w:val="28"/>
          <w:rtl/>
        </w:rPr>
        <w:fldChar w:fldCharType="separate"/>
      </w:r>
      <w:r w:rsidRPr="0009445F">
        <w:rPr>
          <w:rFonts w:asciiTheme="majorBidi" w:hAnsiTheme="majorBidi" w:cstheme="majorBidi"/>
          <w:noProof/>
          <w:sz w:val="28"/>
          <w:szCs w:val="28"/>
          <w:rtl/>
        </w:rPr>
        <w:t>(</w:t>
      </w:r>
      <w:r w:rsidRPr="0009445F">
        <w:rPr>
          <w:rFonts w:asciiTheme="majorBidi" w:hAnsiTheme="majorBidi" w:cstheme="majorBidi"/>
          <w:noProof/>
          <w:sz w:val="28"/>
          <w:szCs w:val="28"/>
        </w:rPr>
        <w:t>Jiang et al., 2012</w:t>
      </w:r>
      <w:r w:rsidRPr="0009445F">
        <w:rPr>
          <w:rFonts w:asciiTheme="majorBidi" w:hAnsiTheme="majorBidi" w:cstheme="majorBidi"/>
          <w:noProof/>
          <w:sz w:val="28"/>
          <w:szCs w:val="28"/>
          <w:rtl/>
        </w:rPr>
        <w:t>)</w:t>
      </w:r>
      <w:r w:rsidRPr="0009445F">
        <w:rPr>
          <w:rFonts w:asciiTheme="majorBidi" w:hAnsiTheme="majorBidi" w:cstheme="majorBidi"/>
          <w:sz w:val="28"/>
          <w:szCs w:val="28"/>
          <w:rtl/>
        </w:rPr>
        <w:fldChar w:fldCharType="end"/>
      </w:r>
      <w:r w:rsidRPr="0009445F">
        <w:rPr>
          <w:rFonts w:asciiTheme="majorBidi" w:hAnsiTheme="majorBidi" w:cstheme="majorBidi"/>
          <w:sz w:val="28"/>
          <w:szCs w:val="28"/>
          <w:rtl/>
        </w:rPr>
        <w:t>. في بيئات العمل الإبداعية، يعد التدريب أداة أساسية لتطوير التفكير النقدي والقدرة على تقديم حلول مبتكرة</w:t>
      </w:r>
      <w:r w:rsidRPr="0009445F">
        <w:rPr>
          <w:rFonts w:asciiTheme="majorBidi" w:hAnsiTheme="majorBidi" w:cstheme="majorBidi"/>
          <w:sz w:val="28"/>
          <w:szCs w:val="28"/>
        </w:rPr>
        <w:t>.</w:t>
      </w:r>
    </w:p>
    <w:p w14:paraId="441F842B"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التعريف الإجرائي</w:t>
      </w:r>
    </w:p>
    <w:p w14:paraId="081E4EAD" w14:textId="77777777" w:rsidR="00404A54" w:rsidRDefault="00404A54" w:rsidP="00FF5C30">
      <w:pPr>
        <w:bidi/>
        <w:jc w:val="both"/>
        <w:rPr>
          <w:rFonts w:asciiTheme="majorBidi" w:hAnsiTheme="majorBidi" w:cstheme="majorBidi"/>
          <w:sz w:val="28"/>
          <w:szCs w:val="28"/>
          <w:rtl/>
        </w:rPr>
      </w:pPr>
      <w:r w:rsidRPr="0009445F">
        <w:rPr>
          <w:rFonts w:asciiTheme="majorBidi" w:hAnsiTheme="majorBidi" w:cstheme="majorBidi"/>
          <w:sz w:val="28"/>
          <w:szCs w:val="28"/>
          <w:rtl/>
        </w:rPr>
        <w:t>يُعرَّف التدريب والتطوير في هذه الدراسة على أنه مدى توافر البرامج التدريبية التي تهدف إلى تحسين مهارات الموظفين، وتعزيز قدرتهم على التفكير الإبداعي، وتوفير حلول جديدة لمشكلات العمل</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سيتم قياسه من خلال تقييم الموظفين لجودة البرامج التدريبية، ومدى تأثيرها على قدرتهم على تقديم أفكار إبداعية</w:t>
      </w:r>
      <w:r w:rsidRPr="0009445F">
        <w:rPr>
          <w:rFonts w:asciiTheme="majorBidi" w:hAnsiTheme="majorBidi" w:cstheme="majorBidi"/>
          <w:sz w:val="28"/>
          <w:szCs w:val="28"/>
        </w:rPr>
        <w:t>.</w:t>
      </w:r>
    </w:p>
    <w:p w14:paraId="6EC4FCE3" w14:textId="77777777" w:rsidR="00677384" w:rsidRPr="0009445F" w:rsidRDefault="00677384" w:rsidP="00677384">
      <w:pPr>
        <w:bidi/>
        <w:rPr>
          <w:rFonts w:asciiTheme="majorBidi" w:hAnsiTheme="majorBidi" w:cstheme="majorBidi"/>
          <w:sz w:val="28"/>
          <w:szCs w:val="28"/>
        </w:rPr>
      </w:pPr>
    </w:p>
    <w:p w14:paraId="0DBCE94A"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1.</w:t>
      </w:r>
      <w:r>
        <w:rPr>
          <w:rFonts w:asciiTheme="majorBidi" w:hAnsiTheme="majorBidi" w:cstheme="majorBidi" w:hint="cs"/>
          <w:b/>
          <w:bCs/>
          <w:sz w:val="28"/>
          <w:szCs w:val="28"/>
          <w:rtl/>
        </w:rPr>
        <w:t>9</w:t>
      </w:r>
      <w:r w:rsidRPr="0009445F">
        <w:rPr>
          <w:rFonts w:asciiTheme="majorBidi" w:hAnsiTheme="majorBidi" w:cstheme="majorBidi"/>
          <w:b/>
          <w:bCs/>
          <w:sz w:val="28"/>
          <w:szCs w:val="28"/>
          <w:rtl/>
        </w:rPr>
        <w:t>.</w:t>
      </w:r>
      <w:r>
        <w:rPr>
          <w:rFonts w:asciiTheme="majorBidi" w:hAnsiTheme="majorBidi" w:cstheme="majorBidi" w:hint="cs"/>
          <w:b/>
          <w:bCs/>
          <w:sz w:val="28"/>
          <w:szCs w:val="28"/>
          <w:rtl/>
        </w:rPr>
        <w:t>4</w:t>
      </w:r>
      <w:r w:rsidRPr="0009445F">
        <w:rPr>
          <w:rFonts w:asciiTheme="majorBidi" w:hAnsiTheme="majorBidi" w:cstheme="majorBidi"/>
          <w:b/>
          <w:bCs/>
          <w:sz w:val="28"/>
          <w:szCs w:val="28"/>
          <w:rtl/>
        </w:rPr>
        <w:t>. المكافآت القائمة على الأداء</w:t>
      </w:r>
      <w:r>
        <w:rPr>
          <w:rFonts w:asciiTheme="majorBidi" w:hAnsiTheme="majorBidi" w:cstheme="majorBidi" w:hint="cs"/>
          <w:b/>
          <w:bCs/>
          <w:sz w:val="28"/>
          <w:szCs w:val="28"/>
          <w:rtl/>
        </w:rPr>
        <w:t xml:space="preserve"> (بعد فرعي من </w:t>
      </w:r>
      <w:proofErr w:type="gramStart"/>
      <w:r>
        <w:rPr>
          <w:rFonts w:asciiTheme="majorBidi" w:hAnsiTheme="majorBidi" w:cstheme="majorBidi"/>
          <w:b/>
          <w:bCs/>
          <w:sz w:val="28"/>
          <w:szCs w:val="28"/>
        </w:rPr>
        <w:t>HPWS</w:t>
      </w:r>
      <w:r>
        <w:rPr>
          <w:rFonts w:asciiTheme="majorBidi" w:hAnsiTheme="majorBidi" w:cstheme="majorBidi" w:hint="cs"/>
          <w:b/>
          <w:bCs/>
          <w:sz w:val="28"/>
          <w:szCs w:val="28"/>
          <w:rtl/>
          <w:lang w:bidi="ar-EG"/>
        </w:rPr>
        <w:t xml:space="preserve"> )</w:t>
      </w:r>
      <w:proofErr w:type="gramEnd"/>
    </w:p>
    <w:p w14:paraId="234E7654"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التعريف النظري</w:t>
      </w:r>
    </w:p>
    <w:p w14:paraId="6F5DD2EC" w14:textId="1F20ECED" w:rsidR="00677384" w:rsidRPr="0009445F" w:rsidRDefault="00404A54" w:rsidP="006652C1">
      <w:pPr>
        <w:bidi/>
        <w:jc w:val="both"/>
        <w:rPr>
          <w:rFonts w:asciiTheme="majorBidi" w:hAnsiTheme="majorBidi" w:cstheme="majorBidi"/>
          <w:sz w:val="28"/>
          <w:szCs w:val="28"/>
          <w:rtl/>
        </w:rPr>
      </w:pPr>
      <w:r w:rsidRPr="0009445F">
        <w:rPr>
          <w:rFonts w:asciiTheme="majorBidi" w:hAnsiTheme="majorBidi" w:cstheme="majorBidi"/>
          <w:sz w:val="28"/>
          <w:szCs w:val="28"/>
          <w:rtl/>
        </w:rPr>
        <w:t xml:space="preserve">تشير المكافآت القائمة على الأداء إلى أنظمة التعويضات والحوافز التي تقدمها المؤسسات للموظفين بناءً على إنجازاتهم وأدائهم في العمل </w:t>
      </w:r>
      <w:r w:rsidRPr="0009445F">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&lt;EndNote&gt;&lt;Cite&gt;&lt;Author&gt;Kehoe&lt;/Author&gt;&lt;Year&gt;2013&lt;/Year&gt;&lt;RecNum&gt;1362&lt;/RecNum&gt;&lt;DisplayText&gt;(Kehoe and Wright, 2013)&lt;/DisplayText&gt;&lt;record&gt;&lt;rec-number&gt;1362&lt;/rec-number&gt;&lt;foreign-keys&gt;&lt;key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Pr>
          <w:rFonts w:asciiTheme="majorBidi" w:hAnsiTheme="majorBidi" w:cstheme="majorBidi"/>
          <w:sz w:val="28"/>
          <w:szCs w:val="28"/>
          <w:rtl/>
        </w:rPr>
        <w:instrText>&gt;</w:instrText>
      </w:r>
      <w:r w:rsidRPr="0009445F">
        <w:rPr>
          <w:rFonts w:asciiTheme="majorBidi" w:hAnsiTheme="majorBidi" w:cstheme="majorBidi"/>
          <w:sz w:val="28"/>
          <w:szCs w:val="28"/>
          <w:rtl/>
        </w:rPr>
        <w:fldChar w:fldCharType="separate"/>
      </w:r>
      <w:r w:rsidRPr="0009445F">
        <w:rPr>
          <w:rFonts w:asciiTheme="majorBidi" w:hAnsiTheme="majorBidi" w:cstheme="majorBidi"/>
          <w:noProof/>
          <w:sz w:val="28"/>
          <w:szCs w:val="28"/>
          <w:rtl/>
        </w:rPr>
        <w:t>(</w:t>
      </w:r>
      <w:r w:rsidRPr="0009445F">
        <w:rPr>
          <w:rFonts w:asciiTheme="majorBidi" w:hAnsiTheme="majorBidi" w:cstheme="majorBidi"/>
          <w:noProof/>
          <w:sz w:val="28"/>
          <w:szCs w:val="28"/>
        </w:rPr>
        <w:t>Kehoe and Wright, 2013</w:t>
      </w:r>
      <w:r w:rsidRPr="0009445F">
        <w:rPr>
          <w:rFonts w:asciiTheme="majorBidi" w:hAnsiTheme="majorBidi" w:cstheme="majorBidi"/>
          <w:noProof/>
          <w:sz w:val="28"/>
          <w:szCs w:val="28"/>
          <w:rtl/>
        </w:rPr>
        <w:t>)</w:t>
      </w:r>
      <w:r w:rsidRPr="0009445F">
        <w:rPr>
          <w:rFonts w:asciiTheme="majorBidi" w:hAnsiTheme="majorBidi" w:cstheme="majorBidi"/>
          <w:sz w:val="28"/>
          <w:szCs w:val="28"/>
          <w:rtl/>
        </w:rPr>
        <w:fldChar w:fldCharType="end"/>
      </w:r>
      <w:r w:rsidRPr="0009445F">
        <w:rPr>
          <w:rFonts w:asciiTheme="majorBidi" w:hAnsiTheme="majorBidi" w:cstheme="majorBidi"/>
          <w:sz w:val="28"/>
          <w:szCs w:val="28"/>
          <w:rtl/>
        </w:rPr>
        <w:t>. يمكن أن تشمل هذه المكافآت الحوافز المالية، المكافآت غير المادية، التقدير المهني، والترقيات، وهي تعد محفزًا رئيسيًا لتعزيز السلوك الإبداعي داخل المؤسسات</w:t>
      </w:r>
      <w:r w:rsidRPr="0009445F">
        <w:rPr>
          <w:rFonts w:asciiTheme="majorBidi" w:hAnsiTheme="majorBidi" w:cstheme="majorBidi"/>
          <w:sz w:val="28"/>
          <w:szCs w:val="28"/>
        </w:rPr>
        <w:t>.</w:t>
      </w:r>
    </w:p>
    <w:p w14:paraId="67D95FF0"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التعريف الإجرائي</w:t>
      </w:r>
    </w:p>
    <w:p w14:paraId="499563D5" w14:textId="54DEE9D7" w:rsidR="00404A54" w:rsidRDefault="00404A54" w:rsidP="00FF5C30">
      <w:pPr>
        <w:bidi/>
        <w:jc w:val="both"/>
        <w:rPr>
          <w:rFonts w:asciiTheme="majorBidi" w:hAnsiTheme="majorBidi" w:cstheme="majorBidi"/>
          <w:sz w:val="28"/>
          <w:szCs w:val="28"/>
          <w:rtl/>
        </w:rPr>
      </w:pPr>
      <w:r w:rsidRPr="0009445F">
        <w:rPr>
          <w:rFonts w:asciiTheme="majorBidi" w:hAnsiTheme="majorBidi" w:cstheme="majorBidi"/>
          <w:sz w:val="28"/>
          <w:szCs w:val="28"/>
          <w:rtl/>
        </w:rPr>
        <w:t>تشير المكافآت القائمة على الأداء إلى مدى ارتباط الحوافز المالية وغير المالية بإنجازات الموظفين الإبداعية، وتشجيعهم على تقديم أفكار جديدة لتحسين الأداء المؤسسي</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سيتم قياسها من خلال تقييم الموظفين لمدى عدالة أنظمة المكافآت، ووضوح معاييرها، وتأثيرها على تحفيز الإبداع في بيئة العمل</w:t>
      </w:r>
      <w:r w:rsidRPr="0009445F">
        <w:rPr>
          <w:rFonts w:asciiTheme="majorBidi" w:hAnsiTheme="majorBidi" w:cstheme="majorBidi"/>
          <w:sz w:val="28"/>
          <w:szCs w:val="28"/>
        </w:rPr>
        <w:t>.</w:t>
      </w:r>
    </w:p>
    <w:p w14:paraId="5BAC19F1" w14:textId="77777777" w:rsidR="00677384" w:rsidRPr="0009445F" w:rsidRDefault="00677384" w:rsidP="00677384">
      <w:pPr>
        <w:bidi/>
        <w:rPr>
          <w:rFonts w:asciiTheme="majorBidi" w:hAnsiTheme="majorBidi" w:cstheme="majorBidi"/>
          <w:sz w:val="28"/>
          <w:szCs w:val="28"/>
        </w:rPr>
      </w:pPr>
    </w:p>
    <w:p w14:paraId="24197A20"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1.</w:t>
      </w:r>
      <w:r>
        <w:rPr>
          <w:rFonts w:asciiTheme="majorBidi" w:hAnsiTheme="majorBidi" w:cstheme="majorBidi" w:hint="cs"/>
          <w:b/>
          <w:bCs/>
          <w:sz w:val="28"/>
          <w:szCs w:val="28"/>
          <w:rtl/>
        </w:rPr>
        <w:t>9</w:t>
      </w:r>
      <w:r w:rsidRPr="0009445F">
        <w:rPr>
          <w:rFonts w:asciiTheme="majorBidi" w:hAnsiTheme="majorBidi" w:cstheme="majorBidi"/>
          <w:b/>
          <w:bCs/>
          <w:sz w:val="28"/>
          <w:szCs w:val="28"/>
          <w:rtl/>
        </w:rPr>
        <w:t>.</w:t>
      </w:r>
      <w:r>
        <w:rPr>
          <w:rFonts w:asciiTheme="majorBidi" w:hAnsiTheme="majorBidi" w:cstheme="majorBidi" w:hint="cs"/>
          <w:b/>
          <w:bCs/>
          <w:sz w:val="28"/>
          <w:szCs w:val="28"/>
          <w:rtl/>
        </w:rPr>
        <w:t>5</w:t>
      </w:r>
      <w:r w:rsidRPr="0009445F">
        <w:rPr>
          <w:rFonts w:asciiTheme="majorBidi" w:hAnsiTheme="majorBidi" w:cstheme="majorBidi"/>
          <w:b/>
          <w:bCs/>
          <w:sz w:val="28"/>
          <w:szCs w:val="28"/>
          <w:rtl/>
        </w:rPr>
        <w:t>. مشاركة الموظفين</w:t>
      </w:r>
      <w:r>
        <w:rPr>
          <w:rFonts w:asciiTheme="majorBidi" w:hAnsiTheme="majorBidi" w:cstheme="majorBidi" w:hint="cs"/>
          <w:b/>
          <w:bCs/>
          <w:sz w:val="28"/>
          <w:szCs w:val="28"/>
          <w:rtl/>
        </w:rPr>
        <w:t xml:space="preserve"> (بعد فرعي من </w:t>
      </w:r>
      <w:proofErr w:type="gramStart"/>
      <w:r>
        <w:rPr>
          <w:rFonts w:asciiTheme="majorBidi" w:hAnsiTheme="majorBidi" w:cstheme="majorBidi"/>
          <w:b/>
          <w:bCs/>
          <w:sz w:val="28"/>
          <w:szCs w:val="28"/>
        </w:rPr>
        <w:t>HPWS</w:t>
      </w:r>
      <w:r>
        <w:rPr>
          <w:rFonts w:asciiTheme="majorBidi" w:hAnsiTheme="majorBidi" w:cstheme="majorBidi" w:hint="cs"/>
          <w:b/>
          <w:bCs/>
          <w:sz w:val="28"/>
          <w:szCs w:val="28"/>
          <w:rtl/>
          <w:lang w:bidi="ar-EG"/>
        </w:rPr>
        <w:t xml:space="preserve"> )</w:t>
      </w:r>
      <w:proofErr w:type="gramEnd"/>
    </w:p>
    <w:p w14:paraId="006EEB7B"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التعريف النظري</w:t>
      </w:r>
    </w:p>
    <w:p w14:paraId="3A4C7698" w14:textId="77777777" w:rsidR="00404A54" w:rsidRDefault="00404A54" w:rsidP="00FF5C30">
      <w:pPr>
        <w:bidi/>
        <w:jc w:val="both"/>
        <w:rPr>
          <w:rFonts w:asciiTheme="majorBidi" w:hAnsiTheme="majorBidi" w:cstheme="majorBidi"/>
          <w:sz w:val="28"/>
          <w:szCs w:val="28"/>
          <w:rtl/>
        </w:rPr>
      </w:pPr>
      <w:r w:rsidRPr="0009445F">
        <w:rPr>
          <w:rFonts w:asciiTheme="majorBidi" w:hAnsiTheme="majorBidi" w:cstheme="majorBidi"/>
          <w:sz w:val="28"/>
          <w:szCs w:val="28"/>
          <w:rtl/>
        </w:rPr>
        <w:t>تشير مشاركة الموظفين إلى مدى إشراكهم في عمليات اتخاذ القرار، وتقديم المقترحات، والمساهمة في تحسين الأداء التنظيمي. في إطار</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أنظمة العمل عالية الأداء، يتم تعزيز مشاركة الموظفين من خلال الاستماع إلى أفكارهم، تشجيعهم على التجربة، وتمكينهم من تنفيذ الحلول المبتكرة</w:t>
      </w:r>
      <w:r w:rsidRPr="0009445F">
        <w:rPr>
          <w:rFonts w:asciiTheme="majorBidi" w:hAnsiTheme="majorBidi" w:cstheme="majorBidi"/>
          <w:sz w:val="28"/>
          <w:szCs w:val="28"/>
        </w:rPr>
        <w:t>.</w:t>
      </w:r>
    </w:p>
    <w:p w14:paraId="7B586CDC" w14:textId="77777777" w:rsidR="006652C1" w:rsidRDefault="006652C1" w:rsidP="006652C1">
      <w:pPr>
        <w:bidi/>
        <w:jc w:val="both"/>
        <w:rPr>
          <w:rFonts w:asciiTheme="majorBidi" w:hAnsiTheme="majorBidi" w:cstheme="majorBidi"/>
          <w:sz w:val="28"/>
          <w:szCs w:val="28"/>
          <w:rtl/>
        </w:rPr>
      </w:pPr>
    </w:p>
    <w:p w14:paraId="7E92E5D7" w14:textId="77777777" w:rsidR="006652C1" w:rsidRPr="0009445F" w:rsidRDefault="006652C1" w:rsidP="006652C1">
      <w:pPr>
        <w:bidi/>
        <w:jc w:val="both"/>
        <w:rPr>
          <w:rFonts w:asciiTheme="majorBidi" w:hAnsiTheme="majorBidi" w:cstheme="majorBidi"/>
          <w:sz w:val="28"/>
          <w:szCs w:val="28"/>
          <w:rtl/>
        </w:rPr>
      </w:pPr>
    </w:p>
    <w:p w14:paraId="226E85CE"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lastRenderedPageBreak/>
        <w:t>التعريف الإجرائي</w:t>
      </w:r>
    </w:p>
    <w:p w14:paraId="050FF3F3" w14:textId="77777777" w:rsidR="00404A54" w:rsidRDefault="00404A54" w:rsidP="00FF5C30">
      <w:pPr>
        <w:bidi/>
        <w:jc w:val="both"/>
        <w:rPr>
          <w:rFonts w:asciiTheme="majorBidi" w:hAnsiTheme="majorBidi" w:cstheme="majorBidi"/>
          <w:sz w:val="28"/>
          <w:szCs w:val="28"/>
          <w:rtl/>
        </w:rPr>
      </w:pPr>
      <w:r w:rsidRPr="0009445F">
        <w:rPr>
          <w:rFonts w:asciiTheme="majorBidi" w:hAnsiTheme="majorBidi" w:cstheme="majorBidi"/>
          <w:sz w:val="28"/>
          <w:szCs w:val="28"/>
          <w:rtl/>
        </w:rPr>
        <w:t>تُعرَّف مشاركة الموظفين في هذه الدراسة بأنها مدى إشراكهم في عمليات صنع القرار، وتشجيعهم على تقديم الاقتراحات، ومدى دعم المؤسسات لتطبيق أفكارهم</w:t>
      </w:r>
      <w:r w:rsidRPr="0009445F">
        <w:rPr>
          <w:rFonts w:asciiTheme="majorBidi" w:hAnsiTheme="majorBidi" w:cstheme="majorBidi"/>
          <w:sz w:val="28"/>
          <w:szCs w:val="28"/>
        </w:rPr>
        <w:t xml:space="preserve">. </w:t>
      </w:r>
      <w:r w:rsidRPr="0009445F">
        <w:rPr>
          <w:rFonts w:asciiTheme="majorBidi" w:hAnsiTheme="majorBidi" w:cstheme="majorBidi"/>
          <w:sz w:val="28"/>
          <w:szCs w:val="28"/>
          <w:rtl/>
        </w:rPr>
        <w:t>سيتم قياسها من خلال استبيان يقيس مستوى مشاركة الموظفين في القرارات التشغيلية، ومدى توفر بيئة داعمة تحفز الإبداع من خلال التمكين والمشاركة الفاعلة</w:t>
      </w:r>
      <w:r w:rsidRPr="0009445F">
        <w:rPr>
          <w:rFonts w:asciiTheme="majorBidi" w:hAnsiTheme="majorBidi" w:cstheme="majorBidi"/>
          <w:sz w:val="28"/>
          <w:szCs w:val="28"/>
        </w:rPr>
        <w:t>.</w:t>
      </w:r>
    </w:p>
    <w:p w14:paraId="08D4DB83" w14:textId="77777777" w:rsidR="00677384" w:rsidRPr="00335704" w:rsidRDefault="00677384" w:rsidP="00677384">
      <w:pPr>
        <w:bidi/>
        <w:rPr>
          <w:rFonts w:asciiTheme="majorBidi" w:hAnsiTheme="majorBidi" w:cstheme="majorBidi"/>
          <w:sz w:val="28"/>
          <w:szCs w:val="28"/>
        </w:rPr>
      </w:pPr>
    </w:p>
    <w:p w14:paraId="500E6906" w14:textId="77777777" w:rsidR="00404A54" w:rsidRPr="0009445F" w:rsidRDefault="00404A54" w:rsidP="00404A54">
      <w:pPr>
        <w:bidi/>
        <w:rPr>
          <w:rFonts w:asciiTheme="majorBidi" w:hAnsiTheme="majorBidi" w:cstheme="majorBidi"/>
          <w:b/>
          <w:bCs/>
          <w:sz w:val="28"/>
          <w:szCs w:val="28"/>
          <w:rtl/>
        </w:rPr>
      </w:pPr>
      <w:r w:rsidRPr="0009445F">
        <w:rPr>
          <w:rFonts w:asciiTheme="majorBidi" w:hAnsiTheme="majorBidi" w:cstheme="majorBidi"/>
          <w:b/>
          <w:bCs/>
          <w:sz w:val="28"/>
          <w:szCs w:val="28"/>
          <w:rtl/>
        </w:rPr>
        <w:t>1.</w:t>
      </w:r>
      <w:r>
        <w:rPr>
          <w:rFonts w:asciiTheme="majorBidi" w:hAnsiTheme="majorBidi" w:cstheme="majorBidi" w:hint="cs"/>
          <w:b/>
          <w:bCs/>
          <w:sz w:val="28"/>
          <w:szCs w:val="28"/>
          <w:rtl/>
        </w:rPr>
        <w:t>9</w:t>
      </w:r>
      <w:r w:rsidRPr="0009445F">
        <w:rPr>
          <w:rFonts w:asciiTheme="majorBidi" w:hAnsiTheme="majorBidi" w:cstheme="majorBidi"/>
          <w:b/>
          <w:bCs/>
          <w:sz w:val="28"/>
          <w:szCs w:val="28"/>
          <w:rtl/>
        </w:rPr>
        <w:t>.</w:t>
      </w:r>
      <w:r>
        <w:rPr>
          <w:rFonts w:asciiTheme="majorBidi" w:hAnsiTheme="majorBidi" w:cstheme="majorBidi" w:hint="cs"/>
          <w:b/>
          <w:bCs/>
          <w:sz w:val="28"/>
          <w:szCs w:val="28"/>
          <w:rtl/>
        </w:rPr>
        <w:t>6</w:t>
      </w:r>
      <w:r w:rsidRPr="0009445F">
        <w:rPr>
          <w:rFonts w:asciiTheme="majorBidi" w:hAnsiTheme="majorBidi" w:cstheme="majorBidi"/>
          <w:b/>
          <w:bCs/>
          <w:sz w:val="28"/>
          <w:szCs w:val="28"/>
          <w:rtl/>
        </w:rPr>
        <w:t>. الأداء الإبداعي</w:t>
      </w:r>
      <w:r>
        <w:rPr>
          <w:rFonts w:asciiTheme="majorBidi" w:hAnsiTheme="majorBidi" w:cstheme="majorBidi" w:hint="cs"/>
          <w:b/>
          <w:bCs/>
          <w:sz w:val="28"/>
          <w:szCs w:val="28"/>
          <w:rtl/>
        </w:rPr>
        <w:t xml:space="preserve"> (المتغير التابع)</w:t>
      </w:r>
    </w:p>
    <w:p w14:paraId="53DFEA6A"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التعريف النظري</w:t>
      </w:r>
    </w:p>
    <w:p w14:paraId="5030B92D" w14:textId="2595B72A" w:rsidR="00404A54" w:rsidRPr="0009445F" w:rsidRDefault="00404A54" w:rsidP="00FF5C30">
      <w:pPr>
        <w:bidi/>
        <w:jc w:val="both"/>
        <w:rPr>
          <w:rFonts w:asciiTheme="majorBidi" w:hAnsiTheme="majorBidi" w:cstheme="majorBidi"/>
          <w:sz w:val="28"/>
          <w:szCs w:val="28"/>
        </w:rPr>
      </w:pPr>
      <w:r w:rsidRPr="0009445F">
        <w:rPr>
          <w:rFonts w:asciiTheme="majorBidi" w:hAnsiTheme="majorBidi" w:cstheme="majorBidi"/>
          <w:sz w:val="28"/>
          <w:szCs w:val="28"/>
          <w:rtl/>
        </w:rPr>
        <w:t xml:space="preserve">يشير الأداء الإبداعي إلى قدرة الموظفين على توليد أفكار جديدة وقابلة للتطبيق داخل بيئة العمل، مما يسهم في تحسين جودة الخدمات وتطوير العمليات التشغيلية </w:t>
      </w:r>
      <w:r w:rsidRPr="0009445F">
        <w:rPr>
          <w:rFonts w:asciiTheme="majorBidi" w:hAnsiTheme="majorBidi" w:cstheme="majorBidi"/>
          <w:sz w:val="28"/>
          <w:szCs w:val="28"/>
        </w:rPr>
        <w:fldChar w:fldCharType="begin"/>
      </w:r>
      <w:r w:rsidR="00FB6AAE">
        <w:rPr>
          <w:rFonts w:asciiTheme="majorBidi" w:hAnsiTheme="majorBidi" w:cstheme="majorBidi"/>
          <w:sz w:val="28"/>
          <w:szCs w:val="28"/>
        </w:rPr>
        <w:instrText xml:space="preserve"> 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context&lt;/title&gt;&lt;/titles&gt;&lt;dates&gt;&lt;year&gt;1996&lt;/year&gt;&lt;/dates&gt;&lt;publisher&gt;Boulder, CO: Westview Press&lt;/publisher&gt;&lt;urls&gt;&lt;/urls&gt;&lt;/record&gt;&lt;/Cite&gt;&lt;/EndNote&gt;</w:instrText>
      </w:r>
      <w:r w:rsidRPr="0009445F">
        <w:rPr>
          <w:rFonts w:asciiTheme="majorBidi" w:hAnsiTheme="majorBidi" w:cstheme="majorBidi"/>
          <w:sz w:val="28"/>
          <w:szCs w:val="28"/>
        </w:rPr>
        <w:fldChar w:fldCharType="separate"/>
      </w:r>
      <w:r w:rsidRPr="0009445F">
        <w:rPr>
          <w:rFonts w:asciiTheme="majorBidi" w:hAnsiTheme="majorBidi" w:cstheme="majorBidi"/>
          <w:noProof/>
          <w:sz w:val="28"/>
          <w:szCs w:val="28"/>
        </w:rPr>
        <w:t>(Amabile Teresa, 1996)</w:t>
      </w:r>
      <w:r w:rsidRPr="0009445F">
        <w:rPr>
          <w:rFonts w:asciiTheme="majorBidi" w:hAnsiTheme="majorBidi" w:cstheme="majorBidi"/>
          <w:sz w:val="28"/>
          <w:szCs w:val="28"/>
        </w:rPr>
        <w:fldChar w:fldCharType="end"/>
      </w:r>
      <w:r w:rsidRPr="0009445F">
        <w:rPr>
          <w:rFonts w:asciiTheme="majorBidi" w:hAnsiTheme="majorBidi" w:cstheme="majorBidi"/>
          <w:sz w:val="28"/>
          <w:szCs w:val="28"/>
          <w:rtl/>
        </w:rPr>
        <w:t xml:space="preserve">. ويشمل ذلك ابتكار حلول جديدة للمشكلات، وتقديم أفكار مبتكرة، والقدرة على التكيف مع التغيرات التنظيمية </w:t>
      </w:r>
      <w:r w:rsidRPr="0009445F">
        <w:rPr>
          <w:rFonts w:asciiTheme="majorBidi" w:hAnsiTheme="majorBidi" w:cstheme="majorBidi"/>
          <w:sz w:val="28"/>
          <w:szCs w:val="28"/>
          <w:rtl/>
        </w:rPr>
        <w:fldChar w:fldCharType="begin"/>
      </w:r>
      <w:r w:rsidR="00FB6AAE">
        <w:rPr>
          <w:rFonts w:asciiTheme="majorBidi" w:hAnsiTheme="majorBidi" w:cstheme="majorBidi"/>
          <w:sz w:val="28"/>
          <w:szCs w:val="28"/>
          <w:rtl/>
        </w:rPr>
        <w:instrText xml:space="preserve"> </w:instrText>
      </w:r>
      <w:r w:rsidR="00FB6AAE">
        <w:rPr>
          <w:rFonts w:asciiTheme="majorBidi" w:hAnsiTheme="majorBidi" w:cstheme="majorBidi"/>
          <w:sz w:val="28"/>
          <w:szCs w:val="28"/>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00FB6AAE">
        <w:rPr>
          <w:rFonts w:asciiTheme="majorBidi" w:hAnsiTheme="majorBidi" w:cstheme="majorBidi"/>
          <w:sz w:val="28"/>
          <w:szCs w:val="28"/>
          <w:rtl/>
        </w:rPr>
        <w:instrText>&gt;</w:instrText>
      </w:r>
      <w:r w:rsidRPr="0009445F">
        <w:rPr>
          <w:rFonts w:asciiTheme="majorBidi" w:hAnsiTheme="majorBidi" w:cstheme="majorBidi"/>
          <w:sz w:val="28"/>
          <w:szCs w:val="28"/>
          <w:rtl/>
        </w:rPr>
        <w:fldChar w:fldCharType="separate"/>
      </w:r>
      <w:r w:rsidRPr="0009445F">
        <w:rPr>
          <w:rFonts w:asciiTheme="majorBidi" w:hAnsiTheme="majorBidi" w:cstheme="majorBidi"/>
          <w:noProof/>
          <w:sz w:val="28"/>
          <w:szCs w:val="28"/>
          <w:rtl/>
        </w:rPr>
        <w:t>(</w:t>
      </w:r>
      <w:r w:rsidRPr="0009445F">
        <w:rPr>
          <w:rFonts w:asciiTheme="majorBidi" w:hAnsiTheme="majorBidi" w:cstheme="majorBidi"/>
          <w:noProof/>
          <w:sz w:val="28"/>
          <w:szCs w:val="28"/>
        </w:rPr>
        <w:t>Shalley et al., 2004</w:t>
      </w:r>
      <w:r w:rsidRPr="0009445F">
        <w:rPr>
          <w:rFonts w:asciiTheme="majorBidi" w:hAnsiTheme="majorBidi" w:cstheme="majorBidi"/>
          <w:noProof/>
          <w:sz w:val="28"/>
          <w:szCs w:val="28"/>
          <w:rtl/>
        </w:rPr>
        <w:t>)</w:t>
      </w:r>
      <w:r w:rsidRPr="0009445F">
        <w:rPr>
          <w:rFonts w:asciiTheme="majorBidi" w:hAnsiTheme="majorBidi" w:cstheme="majorBidi"/>
          <w:sz w:val="28"/>
          <w:szCs w:val="28"/>
          <w:rtl/>
        </w:rPr>
        <w:fldChar w:fldCharType="end"/>
      </w:r>
      <w:r w:rsidRPr="0009445F">
        <w:rPr>
          <w:rFonts w:asciiTheme="majorBidi" w:hAnsiTheme="majorBidi" w:cstheme="majorBidi"/>
          <w:sz w:val="28"/>
          <w:szCs w:val="28"/>
          <w:rtl/>
        </w:rPr>
        <w:t>.</w:t>
      </w:r>
    </w:p>
    <w:p w14:paraId="783CD6ED"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التعريف الإجرائي</w:t>
      </w:r>
    </w:p>
    <w:p w14:paraId="510E2B4C" w14:textId="77777777" w:rsidR="00404A54" w:rsidRDefault="00404A54" w:rsidP="00FF5C30">
      <w:pPr>
        <w:bidi/>
        <w:jc w:val="both"/>
        <w:rPr>
          <w:rFonts w:asciiTheme="majorBidi" w:hAnsiTheme="majorBidi" w:cstheme="majorBidi"/>
          <w:sz w:val="28"/>
          <w:szCs w:val="28"/>
          <w:rtl/>
        </w:rPr>
      </w:pPr>
      <w:r w:rsidRPr="0009445F">
        <w:rPr>
          <w:rFonts w:asciiTheme="majorBidi" w:hAnsiTheme="majorBidi" w:cstheme="majorBidi"/>
          <w:sz w:val="28"/>
          <w:szCs w:val="28"/>
          <w:rtl/>
        </w:rPr>
        <w:t>يُعرَّف الأداء الإبداعي في هذه الدراسة بأنه قدرة الموظفين على توليد أفكار جديدة، وتحسين العمليات التشغيلية، وحل المشكلات بطرق مبتكرة داخل بيئة العمل. سيتم قياسه من خلال استبيان يعتمد على تقييم الموظفين لمستوى مساهماتهم الإبداعية، ومدى دعم مؤسساتهم لهم في تطوير أفكار جديدة وتنفيذها</w:t>
      </w:r>
      <w:r w:rsidRPr="0009445F">
        <w:rPr>
          <w:rFonts w:asciiTheme="majorBidi" w:hAnsiTheme="majorBidi" w:cstheme="majorBidi"/>
          <w:sz w:val="28"/>
          <w:szCs w:val="28"/>
        </w:rPr>
        <w:t>.</w:t>
      </w:r>
    </w:p>
    <w:p w14:paraId="29D454B0" w14:textId="77777777" w:rsidR="00677384" w:rsidRDefault="00677384" w:rsidP="00677384">
      <w:pPr>
        <w:bidi/>
        <w:rPr>
          <w:rFonts w:asciiTheme="majorBidi" w:hAnsiTheme="majorBidi" w:cstheme="majorBidi"/>
          <w:sz w:val="28"/>
          <w:szCs w:val="28"/>
          <w:rtl/>
        </w:rPr>
      </w:pPr>
    </w:p>
    <w:p w14:paraId="1FA9777A" w14:textId="49C1453F" w:rsidR="001D3CAA" w:rsidRPr="001D3CAA" w:rsidRDefault="001D3CAA" w:rsidP="001D3CAA">
      <w:pPr>
        <w:bidi/>
        <w:rPr>
          <w:rFonts w:asciiTheme="majorBidi" w:hAnsiTheme="majorBidi" w:cstheme="majorBidi"/>
          <w:b/>
          <w:bCs/>
          <w:sz w:val="28"/>
          <w:szCs w:val="28"/>
        </w:rPr>
      </w:pPr>
      <w:r>
        <w:rPr>
          <w:rFonts w:asciiTheme="majorBidi" w:hAnsiTheme="majorBidi" w:cstheme="majorBidi" w:hint="cs"/>
          <w:b/>
          <w:bCs/>
          <w:sz w:val="28"/>
          <w:szCs w:val="28"/>
          <w:rtl/>
        </w:rPr>
        <w:t xml:space="preserve">1.9.7. </w:t>
      </w:r>
      <w:r w:rsidRPr="001D3CAA">
        <w:rPr>
          <w:rFonts w:asciiTheme="majorBidi" w:hAnsiTheme="majorBidi" w:cstheme="majorBidi"/>
          <w:b/>
          <w:bCs/>
          <w:sz w:val="28"/>
          <w:szCs w:val="28"/>
          <w:rtl/>
        </w:rPr>
        <w:t xml:space="preserve">الأبعاد الفرعية للأداء الإبداعي </w:t>
      </w:r>
    </w:p>
    <w:p w14:paraId="43595631" w14:textId="77777777" w:rsidR="001D3CAA" w:rsidRPr="001D3CAA" w:rsidRDefault="001D3CAA" w:rsidP="001D3CAA">
      <w:pPr>
        <w:bidi/>
        <w:rPr>
          <w:rFonts w:asciiTheme="majorBidi" w:hAnsiTheme="majorBidi" w:cstheme="majorBidi"/>
          <w:sz w:val="28"/>
          <w:szCs w:val="28"/>
        </w:rPr>
      </w:pPr>
      <w:r w:rsidRPr="001D3CAA">
        <w:rPr>
          <w:rFonts w:asciiTheme="majorBidi" w:hAnsiTheme="majorBidi" w:cstheme="majorBidi"/>
          <w:b/>
          <w:bCs/>
          <w:sz w:val="28"/>
          <w:szCs w:val="28"/>
          <w:rtl/>
        </w:rPr>
        <w:t>التعريف النظري</w:t>
      </w:r>
      <w:r w:rsidRPr="001D3CAA">
        <w:rPr>
          <w:rFonts w:asciiTheme="majorBidi" w:hAnsiTheme="majorBidi" w:cstheme="majorBidi"/>
          <w:sz w:val="28"/>
          <w:szCs w:val="28"/>
        </w:rPr>
        <w:br/>
      </w:r>
      <w:r w:rsidRPr="001D3CAA">
        <w:rPr>
          <w:rFonts w:asciiTheme="majorBidi" w:hAnsiTheme="majorBidi" w:cstheme="majorBidi"/>
          <w:sz w:val="28"/>
          <w:szCs w:val="28"/>
          <w:rtl/>
        </w:rPr>
        <w:t>يتكون الأداء الإبداعي من مجموعة أبعاد فرعية مترابطة، تشمل</w:t>
      </w:r>
      <w:r w:rsidRPr="001D3CAA">
        <w:rPr>
          <w:rFonts w:asciiTheme="majorBidi" w:hAnsiTheme="majorBidi" w:cstheme="majorBidi"/>
          <w:sz w:val="28"/>
          <w:szCs w:val="28"/>
        </w:rPr>
        <w:t>:</w:t>
      </w:r>
    </w:p>
    <w:p w14:paraId="554C6B98" w14:textId="314537A7" w:rsidR="001D3CAA" w:rsidRPr="001D3CAA" w:rsidRDefault="001D3CAA" w:rsidP="00FF5C30">
      <w:pPr>
        <w:numPr>
          <w:ilvl w:val="0"/>
          <w:numId w:val="102"/>
        </w:numPr>
        <w:bidi/>
        <w:jc w:val="both"/>
        <w:rPr>
          <w:rFonts w:asciiTheme="majorBidi" w:hAnsiTheme="majorBidi" w:cstheme="majorBidi"/>
          <w:sz w:val="28"/>
          <w:szCs w:val="28"/>
        </w:rPr>
      </w:pPr>
      <w:r w:rsidRPr="001D3CAA">
        <w:rPr>
          <w:rFonts w:asciiTheme="majorBidi" w:hAnsiTheme="majorBidi" w:cstheme="majorBidi"/>
          <w:b/>
          <w:bCs/>
          <w:sz w:val="28"/>
          <w:szCs w:val="28"/>
          <w:rtl/>
        </w:rPr>
        <w:t>الأصالة</w:t>
      </w:r>
      <w:r w:rsidR="00FB6AAE">
        <w:rPr>
          <w:rFonts w:asciiTheme="majorBidi" w:hAnsiTheme="majorBidi" w:cstheme="majorBidi" w:hint="cs"/>
          <w:b/>
          <w:bCs/>
          <w:sz w:val="28"/>
          <w:szCs w:val="28"/>
          <w:rtl/>
        </w:rPr>
        <w:t xml:space="preserve"> </w:t>
      </w:r>
      <w:r w:rsidRPr="001D3CAA">
        <w:rPr>
          <w:rFonts w:asciiTheme="majorBidi" w:hAnsiTheme="majorBidi" w:cstheme="majorBidi"/>
          <w:b/>
          <w:bCs/>
          <w:sz w:val="28"/>
          <w:szCs w:val="28"/>
        </w:rPr>
        <w:t>(Originality)</w:t>
      </w:r>
      <w:r w:rsidR="00FB6AAE">
        <w:rPr>
          <w:rFonts w:asciiTheme="majorBidi" w:hAnsiTheme="majorBidi" w:cstheme="majorBidi" w:hint="cs"/>
          <w:b/>
          <w:bCs/>
          <w:sz w:val="28"/>
          <w:szCs w:val="28"/>
          <w:rtl/>
        </w:rPr>
        <w:t>:</w:t>
      </w:r>
      <w:r w:rsidRPr="001D3CAA">
        <w:rPr>
          <w:rFonts w:asciiTheme="majorBidi" w:hAnsiTheme="majorBidi" w:cstheme="majorBidi"/>
          <w:sz w:val="28"/>
          <w:szCs w:val="28"/>
        </w:rPr>
        <w:t xml:space="preserve"> </w:t>
      </w:r>
      <w:r w:rsidRPr="001D3CAA">
        <w:rPr>
          <w:rFonts w:asciiTheme="majorBidi" w:hAnsiTheme="majorBidi" w:cstheme="majorBidi"/>
          <w:sz w:val="28"/>
          <w:szCs w:val="28"/>
          <w:rtl/>
        </w:rPr>
        <w:t>تعني القدرة على إنتاج أفكار جديدة ومميزة تختلف عن المألوف</w:t>
      </w:r>
      <w:r w:rsidR="00FB6AAE">
        <w:rPr>
          <w:rFonts w:asciiTheme="majorBidi" w:hAnsiTheme="majorBidi" w:cstheme="majorBidi" w:hint="cs"/>
          <w:sz w:val="28"/>
          <w:szCs w:val="28"/>
          <w:rtl/>
          <w:lang w:bidi="ar-EG"/>
        </w:rPr>
        <w:t xml:space="preserve"> </w:t>
      </w:r>
      <w:r w:rsidR="00FB6AAE">
        <w:rPr>
          <w:rFonts w:asciiTheme="majorBidi" w:hAnsiTheme="majorBidi" w:cstheme="majorBidi"/>
          <w:sz w:val="28"/>
          <w:szCs w:val="28"/>
          <w:rtl/>
          <w:lang w:bidi="ar-EG"/>
        </w:rPr>
        <w:fldChar w:fldCharType="begin"/>
      </w:r>
      <w:r w:rsidR="00FB6AAE">
        <w:rPr>
          <w:rFonts w:asciiTheme="majorBidi" w:hAnsiTheme="majorBidi" w:cstheme="majorBidi"/>
          <w:sz w:val="28"/>
          <w:szCs w:val="28"/>
          <w:rtl/>
          <w:lang w:bidi="ar-EG"/>
        </w:rPr>
        <w:instrText xml:space="preserve"> </w:instrText>
      </w:r>
      <w:r w:rsidR="00FB6AAE">
        <w:rPr>
          <w:rFonts w:asciiTheme="majorBidi" w:hAnsiTheme="majorBidi" w:cstheme="majorBidi"/>
          <w:sz w:val="28"/>
          <w:szCs w:val="28"/>
          <w:lang w:bidi="ar-EG"/>
        </w:rPr>
        <w:instrText>ADDIN EN.CITE &lt;EndNote&gt;&lt;Cite&gt;&lt;Author&gt;Runco&lt;/Author&gt;&lt;Year&gt;2012&lt;/Year&gt;&lt;RecNum&gt;1296&lt;/RecNum&gt;&lt;DisplayText&gt;(Runco and Jaeger, 2012)&lt;/DisplayText&gt;&lt;record&gt;&lt;rec-number&gt;1296&lt;/rec-number&gt;&lt;foreign-keys&gt;&lt;key app="EN" db-id="t5vttv59or5xwbe2zdm5ewrxd905arrpawff" timestamp="1730309677"&gt;1296&lt;/key&gt;&lt;/foreign-keys&gt;&lt;ref-type name="Journal Article"&gt;17&lt;/ref-type&gt;&lt;contributors&gt;&lt;authors&gt;&lt;author&gt;Runco, Mark A&lt;/author&gt;&lt;author&gt;Jaeger, Garrett J&lt;/author&gt;&lt;/authors&gt;&lt;/contributors&gt;&lt;titles&gt;&lt;title&gt;The standard definition of creativity</w:instrText>
      </w:r>
      <w:r w:rsidR="00FB6AAE">
        <w:rPr>
          <w:rFonts w:asciiTheme="majorBidi" w:hAnsiTheme="majorBidi" w:cstheme="majorBidi"/>
          <w:sz w:val="28"/>
          <w:szCs w:val="28"/>
          <w:rtl/>
          <w:lang w:bidi="ar-EG"/>
        </w:rPr>
        <w:instrText>&lt;/</w:instrText>
      </w:r>
      <w:r w:rsidR="00FB6AAE">
        <w:rPr>
          <w:rFonts w:asciiTheme="majorBidi" w:hAnsiTheme="majorBidi" w:cstheme="majorBidi"/>
          <w:sz w:val="28"/>
          <w:szCs w:val="28"/>
          <w:lang w:bidi="ar-EG"/>
        </w:rPr>
        <w:instrText>title&gt;&lt;secondary-title&gt;Creativity research journal&lt;/secondary-title&gt;&lt;/titles&gt;&lt;periodical&gt;&lt;full-title&gt;Creativity research journal&lt;/full-title&gt;&lt;/periodical&gt;&lt;pages&gt;92-96&lt;/pages&gt;&lt;volume&gt;24&lt;/volume&gt;&lt;number&gt;1&lt;/number&gt;&lt;dates&gt;&lt;year&gt;2012&lt;/year&gt;&lt;/dates&gt;&lt;isbn&gt;1040</w:instrText>
      </w:r>
      <w:r w:rsidR="00FB6AAE">
        <w:rPr>
          <w:rFonts w:asciiTheme="majorBidi" w:hAnsiTheme="majorBidi" w:cstheme="majorBidi"/>
          <w:sz w:val="28"/>
          <w:szCs w:val="28"/>
          <w:rtl/>
          <w:lang w:bidi="ar-EG"/>
        </w:rPr>
        <w:instrText>-0419&lt;/</w:instrText>
      </w:r>
      <w:r w:rsidR="00FB6AAE">
        <w:rPr>
          <w:rFonts w:asciiTheme="majorBidi" w:hAnsiTheme="majorBidi" w:cstheme="majorBidi"/>
          <w:sz w:val="28"/>
          <w:szCs w:val="28"/>
          <w:lang w:bidi="ar-EG"/>
        </w:rPr>
        <w:instrText>isbn&gt;&lt;urls&gt;&lt;/urls&gt;&lt;/record&gt;&lt;/Cite&gt;&lt;/EndNote</w:instrText>
      </w:r>
      <w:r w:rsidR="00FB6AAE">
        <w:rPr>
          <w:rFonts w:asciiTheme="majorBidi" w:hAnsiTheme="majorBidi" w:cstheme="majorBidi"/>
          <w:sz w:val="28"/>
          <w:szCs w:val="28"/>
          <w:rtl/>
          <w:lang w:bidi="ar-EG"/>
        </w:rPr>
        <w:instrText>&gt;</w:instrText>
      </w:r>
      <w:r w:rsidR="00FB6AAE">
        <w:rPr>
          <w:rFonts w:asciiTheme="majorBidi" w:hAnsiTheme="majorBidi" w:cstheme="majorBidi"/>
          <w:sz w:val="28"/>
          <w:szCs w:val="28"/>
          <w:rtl/>
          <w:lang w:bidi="ar-EG"/>
        </w:rPr>
        <w:fldChar w:fldCharType="separate"/>
      </w:r>
      <w:r w:rsidR="00FB6AAE">
        <w:rPr>
          <w:rFonts w:asciiTheme="majorBidi" w:hAnsiTheme="majorBidi" w:cstheme="majorBidi"/>
          <w:noProof/>
          <w:sz w:val="28"/>
          <w:szCs w:val="28"/>
          <w:rtl/>
          <w:lang w:bidi="ar-EG"/>
        </w:rPr>
        <w:t>(</w:t>
      </w:r>
      <w:r w:rsidR="00FB6AAE">
        <w:rPr>
          <w:rFonts w:asciiTheme="majorBidi" w:hAnsiTheme="majorBidi" w:cstheme="majorBidi"/>
          <w:noProof/>
          <w:sz w:val="28"/>
          <w:szCs w:val="28"/>
          <w:lang w:bidi="ar-EG"/>
        </w:rPr>
        <w:t>Runco and Jaeger, 2012</w:t>
      </w:r>
      <w:r w:rsidR="00FB6AAE">
        <w:rPr>
          <w:rFonts w:asciiTheme="majorBidi" w:hAnsiTheme="majorBidi" w:cstheme="majorBidi"/>
          <w:noProof/>
          <w:sz w:val="28"/>
          <w:szCs w:val="28"/>
          <w:rtl/>
          <w:lang w:bidi="ar-EG"/>
        </w:rPr>
        <w:t>)</w:t>
      </w:r>
      <w:r w:rsidR="00FB6AAE">
        <w:rPr>
          <w:rFonts w:asciiTheme="majorBidi" w:hAnsiTheme="majorBidi" w:cstheme="majorBidi"/>
          <w:sz w:val="28"/>
          <w:szCs w:val="28"/>
          <w:rtl/>
          <w:lang w:bidi="ar-EG"/>
        </w:rPr>
        <w:fldChar w:fldCharType="end"/>
      </w:r>
    </w:p>
    <w:p w14:paraId="6FC87F3B" w14:textId="075E46F8" w:rsidR="001D3CAA" w:rsidRPr="001D3CAA" w:rsidRDefault="001D3CAA" w:rsidP="00FF5C30">
      <w:pPr>
        <w:numPr>
          <w:ilvl w:val="0"/>
          <w:numId w:val="102"/>
        </w:numPr>
        <w:bidi/>
        <w:jc w:val="both"/>
        <w:rPr>
          <w:rFonts w:asciiTheme="majorBidi" w:hAnsiTheme="majorBidi" w:cstheme="majorBidi"/>
          <w:sz w:val="28"/>
          <w:szCs w:val="28"/>
        </w:rPr>
      </w:pPr>
      <w:r w:rsidRPr="001D3CAA">
        <w:rPr>
          <w:rFonts w:asciiTheme="majorBidi" w:hAnsiTheme="majorBidi" w:cstheme="majorBidi"/>
          <w:b/>
          <w:bCs/>
          <w:sz w:val="28"/>
          <w:szCs w:val="28"/>
          <w:rtl/>
        </w:rPr>
        <w:t>الطلاقة</w:t>
      </w:r>
      <w:r w:rsidR="00FB6AAE">
        <w:rPr>
          <w:rFonts w:asciiTheme="majorBidi" w:hAnsiTheme="majorBidi" w:cstheme="majorBidi" w:hint="cs"/>
          <w:b/>
          <w:bCs/>
          <w:sz w:val="28"/>
          <w:szCs w:val="28"/>
          <w:rtl/>
        </w:rPr>
        <w:t xml:space="preserve"> </w:t>
      </w:r>
      <w:r w:rsidRPr="001D3CAA">
        <w:rPr>
          <w:rFonts w:asciiTheme="majorBidi" w:hAnsiTheme="majorBidi" w:cstheme="majorBidi"/>
          <w:b/>
          <w:bCs/>
          <w:sz w:val="28"/>
          <w:szCs w:val="28"/>
        </w:rPr>
        <w:t>(Fluency)</w:t>
      </w:r>
      <w:r w:rsidR="00FB6AAE">
        <w:rPr>
          <w:rFonts w:asciiTheme="majorBidi" w:hAnsiTheme="majorBidi" w:cstheme="majorBidi" w:hint="cs"/>
          <w:b/>
          <w:bCs/>
          <w:sz w:val="28"/>
          <w:szCs w:val="28"/>
          <w:rtl/>
        </w:rPr>
        <w:t>:</w:t>
      </w:r>
      <w:r w:rsidRPr="001D3CAA">
        <w:rPr>
          <w:rFonts w:asciiTheme="majorBidi" w:hAnsiTheme="majorBidi" w:cstheme="majorBidi"/>
          <w:sz w:val="28"/>
          <w:szCs w:val="28"/>
        </w:rPr>
        <w:t xml:space="preserve"> </w:t>
      </w:r>
      <w:r w:rsidRPr="001D3CAA">
        <w:rPr>
          <w:rFonts w:asciiTheme="majorBidi" w:hAnsiTheme="majorBidi" w:cstheme="majorBidi"/>
          <w:sz w:val="28"/>
          <w:szCs w:val="28"/>
          <w:rtl/>
        </w:rPr>
        <w:t>تشير إلى قدرة الموظف على توليد عدد كبير من الأفكار في المواقف المختلفة</w:t>
      </w:r>
      <w:r w:rsidR="00AF349E">
        <w:rPr>
          <w:rFonts w:asciiTheme="majorBidi" w:hAnsiTheme="majorBidi" w:cstheme="majorBidi" w:hint="cs"/>
          <w:sz w:val="28"/>
          <w:szCs w:val="28"/>
          <w:rtl/>
        </w:rPr>
        <w:t xml:space="preserve"> </w:t>
      </w:r>
      <w:r w:rsidR="00AF349E">
        <w:rPr>
          <w:rFonts w:asciiTheme="majorBidi" w:hAnsiTheme="majorBidi" w:cstheme="majorBidi"/>
          <w:sz w:val="28"/>
          <w:szCs w:val="28"/>
          <w:rtl/>
        </w:rPr>
        <w:fldChar w:fldCharType="begin"/>
      </w:r>
      <w:r w:rsidR="005D473F">
        <w:rPr>
          <w:rFonts w:asciiTheme="majorBidi" w:hAnsiTheme="majorBidi" w:cstheme="majorBidi"/>
          <w:sz w:val="28"/>
          <w:szCs w:val="28"/>
          <w:rtl/>
        </w:rPr>
        <w:instrText xml:space="preserve"> </w:instrText>
      </w:r>
      <w:r w:rsidR="005D473F">
        <w:rPr>
          <w:rFonts w:asciiTheme="majorBidi" w:hAnsiTheme="majorBidi" w:cstheme="majorBidi"/>
          <w:sz w:val="28"/>
          <w:szCs w:val="28"/>
        </w:rPr>
        <w:instrText>ADDIN EN.CITE &lt;EndNote&gt;&lt;Cite&gt;&lt;Author&gt;Torrance&lt;/Author&gt;&lt;Year&gt;1988&lt;/Year&gt;&lt;RecNum&gt;3044&lt;/RecNum&gt;&lt;DisplayText&gt;(Torrance, 1988)&lt;/DisplayText&gt;&lt;record&gt;&lt;rec-number&gt;3044&lt;/rec-number&gt;&lt;foreign-keys&gt;&lt;key app="EN" db-id="t5vttv59or5xwbe2zdm5ewrxd905arrpawff" timestamp</w:instrText>
      </w:r>
      <w:r w:rsidR="005D473F">
        <w:rPr>
          <w:rFonts w:asciiTheme="majorBidi" w:hAnsiTheme="majorBidi" w:cstheme="majorBidi"/>
          <w:sz w:val="28"/>
          <w:szCs w:val="28"/>
          <w:rtl/>
        </w:rPr>
        <w:instrText>="1755719259"&gt;3044&lt;/</w:instrText>
      </w:r>
      <w:r w:rsidR="005D473F">
        <w:rPr>
          <w:rFonts w:asciiTheme="majorBidi" w:hAnsiTheme="majorBidi" w:cstheme="majorBidi"/>
          <w:sz w:val="28"/>
          <w:szCs w:val="28"/>
        </w:rPr>
        <w:instrText>key&gt;&lt;/foreign-keys&gt;&lt;ref-type name="Journal Article"&gt;17&lt;/ref-type&gt;&lt;contributors&gt;&lt;authors&gt;&lt;author&gt;Torrance, ER&lt;/author&gt;&lt;/authors&gt;&lt;/contributors&gt;&lt;titles&gt;&lt;title&gt;Creativity as manifest in testing&lt;/title&gt;&lt;secondary-title&gt;The nature of creativity&lt;/secondary-title&gt;&lt;/titles&gt;&lt;periodical&gt;&lt;full-title&gt;The nature of creativity&lt;/full-title&gt;&lt;/periodical&gt;&lt;dates&gt;&lt;year&gt;1988&lt;/year&gt;&lt;/dates&gt;&lt;urls&gt;&lt;/urls&gt;&lt;/record&gt;&lt;/Cite&gt;&lt;/EndNote</w:instrText>
      </w:r>
      <w:r w:rsidR="005D473F">
        <w:rPr>
          <w:rFonts w:asciiTheme="majorBidi" w:hAnsiTheme="majorBidi" w:cstheme="majorBidi"/>
          <w:sz w:val="28"/>
          <w:szCs w:val="28"/>
          <w:rtl/>
        </w:rPr>
        <w:instrText>&gt;</w:instrText>
      </w:r>
      <w:r w:rsidR="00AF349E">
        <w:rPr>
          <w:rFonts w:asciiTheme="majorBidi" w:hAnsiTheme="majorBidi" w:cstheme="majorBidi"/>
          <w:sz w:val="28"/>
          <w:szCs w:val="28"/>
          <w:rtl/>
        </w:rPr>
        <w:fldChar w:fldCharType="separate"/>
      </w:r>
      <w:r w:rsidR="005D473F">
        <w:rPr>
          <w:rFonts w:asciiTheme="majorBidi" w:hAnsiTheme="majorBidi" w:cstheme="majorBidi"/>
          <w:noProof/>
          <w:sz w:val="28"/>
          <w:szCs w:val="28"/>
          <w:rtl/>
        </w:rPr>
        <w:t>(</w:t>
      </w:r>
      <w:r w:rsidR="005D473F">
        <w:rPr>
          <w:rFonts w:asciiTheme="majorBidi" w:hAnsiTheme="majorBidi" w:cstheme="majorBidi"/>
          <w:noProof/>
          <w:sz w:val="28"/>
          <w:szCs w:val="28"/>
        </w:rPr>
        <w:t>Torrance, 1988</w:t>
      </w:r>
      <w:r w:rsidR="005D473F">
        <w:rPr>
          <w:rFonts w:asciiTheme="majorBidi" w:hAnsiTheme="majorBidi" w:cstheme="majorBidi"/>
          <w:noProof/>
          <w:sz w:val="28"/>
          <w:szCs w:val="28"/>
          <w:rtl/>
        </w:rPr>
        <w:t>)</w:t>
      </w:r>
      <w:r w:rsidR="00AF349E">
        <w:rPr>
          <w:rFonts w:asciiTheme="majorBidi" w:hAnsiTheme="majorBidi" w:cstheme="majorBidi"/>
          <w:sz w:val="28"/>
          <w:szCs w:val="28"/>
          <w:rtl/>
        </w:rPr>
        <w:fldChar w:fldCharType="end"/>
      </w:r>
    </w:p>
    <w:p w14:paraId="79C5F28A" w14:textId="1564CB73" w:rsidR="001D3CAA" w:rsidRPr="001D3CAA" w:rsidRDefault="001D3CAA" w:rsidP="00FF5C30">
      <w:pPr>
        <w:numPr>
          <w:ilvl w:val="0"/>
          <w:numId w:val="102"/>
        </w:numPr>
        <w:bidi/>
        <w:jc w:val="both"/>
        <w:rPr>
          <w:rFonts w:asciiTheme="majorBidi" w:hAnsiTheme="majorBidi" w:cstheme="majorBidi"/>
          <w:sz w:val="28"/>
          <w:szCs w:val="28"/>
        </w:rPr>
      </w:pPr>
      <w:r w:rsidRPr="001D3CAA">
        <w:rPr>
          <w:rFonts w:asciiTheme="majorBidi" w:hAnsiTheme="majorBidi" w:cstheme="majorBidi"/>
          <w:b/>
          <w:bCs/>
          <w:sz w:val="28"/>
          <w:szCs w:val="28"/>
          <w:rtl/>
        </w:rPr>
        <w:t>المرونة</w:t>
      </w:r>
      <w:r w:rsidR="00FB6AAE">
        <w:rPr>
          <w:rFonts w:asciiTheme="majorBidi" w:hAnsiTheme="majorBidi" w:cstheme="majorBidi" w:hint="cs"/>
          <w:b/>
          <w:bCs/>
          <w:sz w:val="28"/>
          <w:szCs w:val="28"/>
          <w:rtl/>
        </w:rPr>
        <w:t xml:space="preserve"> </w:t>
      </w:r>
      <w:r w:rsidRPr="001D3CAA">
        <w:rPr>
          <w:rFonts w:asciiTheme="majorBidi" w:hAnsiTheme="majorBidi" w:cstheme="majorBidi"/>
          <w:b/>
          <w:bCs/>
          <w:sz w:val="28"/>
          <w:szCs w:val="28"/>
        </w:rPr>
        <w:t>(Flexibility)</w:t>
      </w:r>
      <w:r w:rsidR="00FB6AAE">
        <w:rPr>
          <w:rFonts w:asciiTheme="majorBidi" w:hAnsiTheme="majorBidi" w:cstheme="majorBidi" w:hint="cs"/>
          <w:b/>
          <w:bCs/>
          <w:sz w:val="28"/>
          <w:szCs w:val="28"/>
          <w:rtl/>
        </w:rPr>
        <w:t>:</w:t>
      </w:r>
      <w:r w:rsidRPr="001D3CAA">
        <w:rPr>
          <w:rFonts w:asciiTheme="majorBidi" w:hAnsiTheme="majorBidi" w:cstheme="majorBidi"/>
          <w:sz w:val="28"/>
          <w:szCs w:val="28"/>
        </w:rPr>
        <w:t xml:space="preserve"> </w:t>
      </w:r>
      <w:r w:rsidRPr="001D3CAA">
        <w:rPr>
          <w:rFonts w:asciiTheme="majorBidi" w:hAnsiTheme="majorBidi" w:cstheme="majorBidi"/>
          <w:sz w:val="28"/>
          <w:szCs w:val="28"/>
          <w:rtl/>
        </w:rPr>
        <w:t>تعكس قدرة الفرد على تغيير أنماط التفكير وتبني زوايا نظر متعددة لمعالجة التحديات</w:t>
      </w:r>
      <w:r w:rsidR="00AF349E">
        <w:rPr>
          <w:rFonts w:asciiTheme="majorBidi" w:hAnsiTheme="majorBidi" w:cstheme="majorBidi" w:hint="cs"/>
          <w:sz w:val="28"/>
          <w:szCs w:val="28"/>
          <w:rtl/>
        </w:rPr>
        <w:t xml:space="preserve"> </w:t>
      </w:r>
      <w:r w:rsidR="00AF349E">
        <w:rPr>
          <w:rFonts w:asciiTheme="majorBidi" w:hAnsiTheme="majorBidi" w:cstheme="majorBidi"/>
          <w:sz w:val="28"/>
          <w:szCs w:val="28"/>
          <w:rtl/>
        </w:rPr>
        <w:fldChar w:fldCharType="begin"/>
      </w:r>
      <w:r w:rsidR="005D473F">
        <w:rPr>
          <w:rFonts w:asciiTheme="majorBidi" w:hAnsiTheme="majorBidi" w:cstheme="majorBidi"/>
          <w:sz w:val="28"/>
          <w:szCs w:val="28"/>
          <w:rtl/>
        </w:rPr>
        <w:instrText xml:space="preserve"> </w:instrText>
      </w:r>
      <w:r w:rsidR="005D473F">
        <w:rPr>
          <w:rFonts w:asciiTheme="majorBidi" w:hAnsiTheme="majorBidi" w:cstheme="majorBidi"/>
          <w:sz w:val="28"/>
          <w:szCs w:val="28"/>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005D473F">
        <w:rPr>
          <w:rFonts w:asciiTheme="majorBidi" w:hAnsiTheme="majorBidi" w:cstheme="majorBidi"/>
          <w:sz w:val="28"/>
          <w:szCs w:val="28"/>
          <w:rtl/>
        </w:rPr>
        <w:instrText>&gt;&lt;</w:instrText>
      </w:r>
      <w:r w:rsidR="005D473F">
        <w:rPr>
          <w:rFonts w:asciiTheme="majorBidi" w:hAnsiTheme="majorBidi" w:cstheme="majorBidi"/>
          <w:sz w:val="28"/>
          <w:szCs w:val="28"/>
        </w:rPr>
        <w:instrText>publisher&gt;Boulder, CO: Westview Press&lt;/publisher&gt;&lt;urls&gt;&lt;/urls&gt;&lt;/record&gt;&lt;/Cite&gt;&lt;/EndNote</w:instrText>
      </w:r>
      <w:r w:rsidR="005D473F">
        <w:rPr>
          <w:rFonts w:asciiTheme="majorBidi" w:hAnsiTheme="majorBidi" w:cstheme="majorBidi"/>
          <w:sz w:val="28"/>
          <w:szCs w:val="28"/>
          <w:rtl/>
        </w:rPr>
        <w:instrText>&gt;</w:instrText>
      </w:r>
      <w:r w:rsidR="00AF349E">
        <w:rPr>
          <w:rFonts w:asciiTheme="majorBidi" w:hAnsiTheme="majorBidi" w:cstheme="majorBidi"/>
          <w:sz w:val="28"/>
          <w:szCs w:val="28"/>
          <w:rtl/>
        </w:rPr>
        <w:fldChar w:fldCharType="separate"/>
      </w:r>
      <w:r w:rsidR="005D473F">
        <w:rPr>
          <w:rFonts w:asciiTheme="majorBidi" w:hAnsiTheme="majorBidi" w:cstheme="majorBidi"/>
          <w:noProof/>
          <w:sz w:val="28"/>
          <w:szCs w:val="28"/>
          <w:rtl/>
        </w:rPr>
        <w:t>(</w:t>
      </w:r>
      <w:r w:rsidR="005D473F">
        <w:rPr>
          <w:rFonts w:asciiTheme="majorBidi" w:hAnsiTheme="majorBidi" w:cstheme="majorBidi"/>
          <w:noProof/>
          <w:sz w:val="28"/>
          <w:szCs w:val="28"/>
        </w:rPr>
        <w:t>Amabile Teresa, 1996</w:t>
      </w:r>
      <w:r w:rsidR="005D473F">
        <w:rPr>
          <w:rFonts w:asciiTheme="majorBidi" w:hAnsiTheme="majorBidi" w:cstheme="majorBidi"/>
          <w:noProof/>
          <w:sz w:val="28"/>
          <w:szCs w:val="28"/>
          <w:rtl/>
        </w:rPr>
        <w:t>)</w:t>
      </w:r>
      <w:r w:rsidR="00AF349E">
        <w:rPr>
          <w:rFonts w:asciiTheme="majorBidi" w:hAnsiTheme="majorBidi" w:cstheme="majorBidi"/>
          <w:sz w:val="28"/>
          <w:szCs w:val="28"/>
          <w:rtl/>
        </w:rPr>
        <w:fldChar w:fldCharType="end"/>
      </w:r>
    </w:p>
    <w:p w14:paraId="1E05B292" w14:textId="73F0639D" w:rsidR="00FF5C30" w:rsidRPr="00FF5C30" w:rsidRDefault="001D3CAA" w:rsidP="00FF5C30">
      <w:pPr>
        <w:numPr>
          <w:ilvl w:val="0"/>
          <w:numId w:val="102"/>
        </w:numPr>
        <w:bidi/>
        <w:jc w:val="both"/>
        <w:rPr>
          <w:rFonts w:asciiTheme="majorBidi" w:hAnsiTheme="majorBidi" w:cstheme="majorBidi"/>
          <w:sz w:val="28"/>
          <w:szCs w:val="28"/>
        </w:rPr>
      </w:pPr>
      <w:r w:rsidRPr="001D3CAA">
        <w:rPr>
          <w:rFonts w:asciiTheme="majorBidi" w:hAnsiTheme="majorBidi" w:cstheme="majorBidi"/>
          <w:b/>
          <w:bCs/>
          <w:sz w:val="28"/>
          <w:szCs w:val="28"/>
          <w:rtl/>
        </w:rPr>
        <w:t>الحساسية للمشكلات</w:t>
      </w:r>
      <w:r w:rsidR="00FB6AAE">
        <w:rPr>
          <w:rFonts w:asciiTheme="majorBidi" w:hAnsiTheme="majorBidi" w:cstheme="majorBidi" w:hint="cs"/>
          <w:b/>
          <w:bCs/>
          <w:sz w:val="28"/>
          <w:szCs w:val="28"/>
          <w:rtl/>
        </w:rPr>
        <w:t xml:space="preserve"> </w:t>
      </w:r>
      <w:r w:rsidRPr="001D3CAA">
        <w:rPr>
          <w:rFonts w:asciiTheme="majorBidi" w:hAnsiTheme="majorBidi" w:cstheme="majorBidi"/>
          <w:b/>
          <w:bCs/>
          <w:sz w:val="28"/>
          <w:szCs w:val="28"/>
        </w:rPr>
        <w:t>(Problem Sensitivity)</w:t>
      </w:r>
      <w:r w:rsidR="00FB6AAE">
        <w:rPr>
          <w:rFonts w:asciiTheme="majorBidi" w:hAnsiTheme="majorBidi" w:cstheme="majorBidi" w:hint="cs"/>
          <w:b/>
          <w:bCs/>
          <w:sz w:val="28"/>
          <w:szCs w:val="28"/>
          <w:rtl/>
        </w:rPr>
        <w:t>:</w:t>
      </w:r>
      <w:r w:rsidRPr="001D3CAA">
        <w:rPr>
          <w:rFonts w:asciiTheme="majorBidi" w:hAnsiTheme="majorBidi" w:cstheme="majorBidi"/>
          <w:sz w:val="28"/>
          <w:szCs w:val="28"/>
        </w:rPr>
        <w:t xml:space="preserve"> </w:t>
      </w:r>
      <w:r w:rsidRPr="001D3CAA">
        <w:rPr>
          <w:rFonts w:asciiTheme="majorBidi" w:hAnsiTheme="majorBidi" w:cstheme="majorBidi"/>
          <w:sz w:val="28"/>
          <w:szCs w:val="28"/>
          <w:rtl/>
        </w:rPr>
        <w:t>تمثل وعي الفرد بالمشكلات والقدرة على تحديدها واقتراح حلول مبتكرة لها</w:t>
      </w:r>
      <w:r w:rsidR="00AF349E">
        <w:rPr>
          <w:rFonts w:asciiTheme="majorBidi" w:hAnsiTheme="majorBidi" w:cstheme="majorBidi" w:hint="cs"/>
          <w:sz w:val="28"/>
          <w:szCs w:val="28"/>
          <w:rtl/>
        </w:rPr>
        <w:t xml:space="preserve"> </w:t>
      </w:r>
      <w:r w:rsidR="00AF349E">
        <w:rPr>
          <w:rFonts w:asciiTheme="majorBidi" w:hAnsiTheme="majorBidi" w:cstheme="majorBidi"/>
          <w:sz w:val="28"/>
          <w:szCs w:val="28"/>
          <w:rtl/>
        </w:rPr>
        <w:fldChar w:fldCharType="begin"/>
      </w:r>
      <w:r w:rsidR="005D473F">
        <w:rPr>
          <w:rFonts w:asciiTheme="majorBidi" w:hAnsiTheme="majorBidi" w:cstheme="majorBidi"/>
          <w:sz w:val="28"/>
          <w:szCs w:val="28"/>
          <w:rtl/>
        </w:rPr>
        <w:instrText xml:space="preserve"> </w:instrText>
      </w:r>
      <w:r w:rsidR="005D473F">
        <w:rPr>
          <w:rFonts w:asciiTheme="majorBidi" w:hAnsiTheme="majorBidi" w:cstheme="majorBidi"/>
          <w:sz w:val="28"/>
          <w:szCs w:val="28"/>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005D473F">
        <w:rPr>
          <w:rFonts w:asciiTheme="majorBidi" w:hAnsiTheme="majorBidi" w:cstheme="majorBidi"/>
          <w:sz w:val="28"/>
          <w:szCs w:val="28"/>
          <w:rtl/>
        </w:rPr>
        <w:instrText>&gt;</w:instrText>
      </w:r>
      <w:r w:rsidR="00AF349E">
        <w:rPr>
          <w:rFonts w:asciiTheme="majorBidi" w:hAnsiTheme="majorBidi" w:cstheme="majorBidi"/>
          <w:sz w:val="28"/>
          <w:szCs w:val="28"/>
          <w:rtl/>
        </w:rPr>
        <w:fldChar w:fldCharType="separate"/>
      </w:r>
      <w:r w:rsidR="005D473F">
        <w:rPr>
          <w:rFonts w:asciiTheme="majorBidi" w:hAnsiTheme="majorBidi" w:cstheme="majorBidi"/>
          <w:noProof/>
          <w:sz w:val="28"/>
          <w:szCs w:val="28"/>
          <w:rtl/>
        </w:rPr>
        <w:t>(</w:t>
      </w:r>
      <w:r w:rsidR="005D473F">
        <w:rPr>
          <w:rFonts w:asciiTheme="majorBidi" w:hAnsiTheme="majorBidi" w:cstheme="majorBidi"/>
          <w:noProof/>
          <w:sz w:val="28"/>
          <w:szCs w:val="28"/>
        </w:rPr>
        <w:t>Shalley et al., 2004</w:t>
      </w:r>
      <w:r w:rsidR="005D473F">
        <w:rPr>
          <w:rFonts w:asciiTheme="majorBidi" w:hAnsiTheme="majorBidi" w:cstheme="majorBidi"/>
          <w:noProof/>
          <w:sz w:val="28"/>
          <w:szCs w:val="28"/>
          <w:rtl/>
        </w:rPr>
        <w:t>)</w:t>
      </w:r>
      <w:r w:rsidR="00AF349E">
        <w:rPr>
          <w:rFonts w:asciiTheme="majorBidi" w:hAnsiTheme="majorBidi" w:cstheme="majorBidi"/>
          <w:sz w:val="28"/>
          <w:szCs w:val="28"/>
          <w:rtl/>
        </w:rPr>
        <w:fldChar w:fldCharType="end"/>
      </w:r>
      <w:r w:rsidR="00FF5C30">
        <w:rPr>
          <w:rFonts w:asciiTheme="majorBidi" w:hAnsiTheme="majorBidi" w:cstheme="majorBidi" w:hint="cs"/>
          <w:sz w:val="28"/>
          <w:szCs w:val="28"/>
          <w:rtl/>
        </w:rPr>
        <w:t>.</w:t>
      </w:r>
    </w:p>
    <w:p w14:paraId="28139AAB" w14:textId="5BA0464E" w:rsidR="001D3CAA" w:rsidRPr="00FF5C30" w:rsidRDefault="001D3CAA" w:rsidP="00FF5C30">
      <w:pPr>
        <w:bidi/>
        <w:rPr>
          <w:rFonts w:asciiTheme="majorBidi" w:hAnsiTheme="majorBidi" w:cstheme="majorBidi"/>
          <w:b/>
          <w:bCs/>
          <w:sz w:val="28"/>
          <w:szCs w:val="28"/>
          <w:rtl/>
        </w:rPr>
      </w:pPr>
      <w:r w:rsidRPr="001D3CAA">
        <w:rPr>
          <w:rFonts w:asciiTheme="majorBidi" w:hAnsiTheme="majorBidi" w:cstheme="majorBidi"/>
          <w:b/>
          <w:bCs/>
          <w:sz w:val="28"/>
          <w:szCs w:val="28"/>
          <w:rtl/>
        </w:rPr>
        <w:t>التعريف الإجرائي</w:t>
      </w:r>
      <w:r w:rsidRPr="001D3CAA">
        <w:rPr>
          <w:rFonts w:asciiTheme="majorBidi" w:hAnsiTheme="majorBidi" w:cstheme="majorBidi"/>
          <w:sz w:val="28"/>
          <w:szCs w:val="28"/>
        </w:rPr>
        <w:br/>
      </w:r>
      <w:r w:rsidRPr="001D3CAA">
        <w:rPr>
          <w:rFonts w:asciiTheme="majorBidi" w:hAnsiTheme="majorBidi" w:cstheme="majorBidi"/>
          <w:sz w:val="28"/>
          <w:szCs w:val="28"/>
          <w:rtl/>
        </w:rPr>
        <w:t xml:space="preserve">في هذه الدراسة، تُعرَّف الأبعاد الفرعية للأداء الإبداعي بأنها القدرات التي يمارسها الموظفون في بيئة العمل </w:t>
      </w:r>
      <w:r w:rsidRPr="001D3CAA">
        <w:rPr>
          <w:rFonts w:asciiTheme="majorBidi" w:hAnsiTheme="majorBidi" w:cstheme="majorBidi"/>
          <w:sz w:val="28"/>
          <w:szCs w:val="28"/>
          <w:rtl/>
        </w:rPr>
        <w:lastRenderedPageBreak/>
        <w:t>من خلال الأصالة، الطلاقة، المرونة، والحساسية للمشكلات، وسيتم قياسها عبر استبيان يقيم مدى إدراك الموظفين لمدى تطبيق هذه الأبعاد في أدائهم الوظيفي اليومي</w:t>
      </w:r>
      <w:r w:rsidRPr="001D3CAA">
        <w:rPr>
          <w:rFonts w:asciiTheme="majorBidi" w:hAnsiTheme="majorBidi" w:cstheme="majorBidi"/>
          <w:sz w:val="28"/>
          <w:szCs w:val="28"/>
        </w:rPr>
        <w:t>.</w:t>
      </w:r>
    </w:p>
    <w:p w14:paraId="4BB01363" w14:textId="77777777" w:rsidR="005D473F" w:rsidRPr="001D3CAA" w:rsidRDefault="005D473F" w:rsidP="005D473F">
      <w:pPr>
        <w:bidi/>
        <w:rPr>
          <w:rFonts w:asciiTheme="majorBidi" w:hAnsiTheme="majorBidi" w:cstheme="majorBidi"/>
          <w:sz w:val="28"/>
          <w:szCs w:val="28"/>
          <w:rtl/>
        </w:rPr>
      </w:pPr>
    </w:p>
    <w:p w14:paraId="279FDD59" w14:textId="2A6D85AD"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lang w:bidi="ar-EG"/>
        </w:rPr>
        <w:t>1.</w:t>
      </w:r>
      <w:r>
        <w:rPr>
          <w:rFonts w:asciiTheme="majorBidi" w:hAnsiTheme="majorBidi" w:cstheme="majorBidi" w:hint="cs"/>
          <w:b/>
          <w:bCs/>
          <w:sz w:val="28"/>
          <w:szCs w:val="28"/>
          <w:rtl/>
          <w:lang w:bidi="ar-EG"/>
        </w:rPr>
        <w:t>9</w:t>
      </w:r>
      <w:r w:rsidRPr="0009445F">
        <w:rPr>
          <w:rFonts w:asciiTheme="majorBidi" w:hAnsiTheme="majorBidi" w:cstheme="majorBidi"/>
          <w:b/>
          <w:bCs/>
          <w:sz w:val="28"/>
          <w:szCs w:val="28"/>
          <w:rtl/>
          <w:lang w:bidi="ar-EG"/>
        </w:rPr>
        <w:t>.</w:t>
      </w:r>
      <w:r w:rsidR="001D3CAA">
        <w:rPr>
          <w:rFonts w:asciiTheme="majorBidi" w:hAnsiTheme="majorBidi" w:cstheme="majorBidi" w:hint="cs"/>
          <w:b/>
          <w:bCs/>
          <w:sz w:val="28"/>
          <w:szCs w:val="28"/>
          <w:rtl/>
          <w:lang w:bidi="ar-EG"/>
        </w:rPr>
        <w:t>8</w:t>
      </w:r>
      <w:r w:rsidRPr="0009445F">
        <w:rPr>
          <w:rFonts w:asciiTheme="majorBidi" w:hAnsiTheme="majorBidi" w:cstheme="majorBidi"/>
          <w:b/>
          <w:bCs/>
          <w:sz w:val="28"/>
          <w:szCs w:val="28"/>
          <w:rtl/>
          <w:lang w:bidi="ar-EG"/>
        </w:rPr>
        <w:t xml:space="preserve">. </w:t>
      </w:r>
      <w:r w:rsidRPr="0009445F">
        <w:rPr>
          <w:rFonts w:asciiTheme="majorBidi" w:hAnsiTheme="majorBidi" w:cstheme="majorBidi"/>
          <w:b/>
          <w:bCs/>
          <w:sz w:val="28"/>
          <w:szCs w:val="28"/>
          <w:rtl/>
        </w:rPr>
        <w:t>نوع القطاع (الفنادق مقابل المطاعم)</w:t>
      </w:r>
      <w:r>
        <w:rPr>
          <w:rFonts w:asciiTheme="majorBidi" w:hAnsiTheme="majorBidi" w:cstheme="majorBidi" w:hint="cs"/>
          <w:b/>
          <w:bCs/>
          <w:sz w:val="28"/>
          <w:szCs w:val="28"/>
          <w:rtl/>
        </w:rPr>
        <w:t xml:space="preserve"> (المتغير الضابط)</w:t>
      </w:r>
    </w:p>
    <w:p w14:paraId="3AFB77E6"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التعريف النظري</w:t>
      </w:r>
    </w:p>
    <w:p w14:paraId="5C3380DA" w14:textId="77777777" w:rsidR="00404A54" w:rsidRPr="0009445F" w:rsidRDefault="00404A54" w:rsidP="00FF5C30">
      <w:pPr>
        <w:bidi/>
        <w:jc w:val="both"/>
        <w:rPr>
          <w:rFonts w:asciiTheme="majorBidi" w:hAnsiTheme="majorBidi" w:cstheme="majorBidi"/>
          <w:sz w:val="28"/>
          <w:szCs w:val="28"/>
          <w:rtl/>
        </w:rPr>
      </w:pPr>
      <w:r w:rsidRPr="0009445F">
        <w:rPr>
          <w:rFonts w:asciiTheme="majorBidi" w:hAnsiTheme="majorBidi" w:cstheme="majorBidi"/>
          <w:sz w:val="28"/>
          <w:szCs w:val="28"/>
          <w:rtl/>
        </w:rPr>
        <w:t>يميز نوع القطاع بين الفنادق والمطاعم كبيئات مميزة داخل صناعة الضيافة الأوسع، ولكل منها متطلبات تشغيلية فريدة وتوقعات العملاء</w:t>
      </w:r>
      <w:r w:rsidRPr="0009445F">
        <w:rPr>
          <w:rFonts w:asciiTheme="majorBidi" w:hAnsiTheme="majorBidi" w:cstheme="majorBidi"/>
          <w:sz w:val="28"/>
          <w:szCs w:val="28"/>
        </w:rPr>
        <w:t>.</w:t>
      </w:r>
    </w:p>
    <w:p w14:paraId="3EE32448" w14:textId="77777777" w:rsidR="00404A54" w:rsidRPr="0009445F" w:rsidRDefault="00404A54" w:rsidP="00404A54">
      <w:pPr>
        <w:bidi/>
        <w:rPr>
          <w:rFonts w:asciiTheme="majorBidi" w:hAnsiTheme="majorBidi" w:cstheme="majorBidi"/>
          <w:b/>
          <w:bCs/>
          <w:sz w:val="28"/>
          <w:szCs w:val="28"/>
        </w:rPr>
      </w:pPr>
      <w:r w:rsidRPr="0009445F">
        <w:rPr>
          <w:rFonts w:asciiTheme="majorBidi" w:hAnsiTheme="majorBidi" w:cstheme="majorBidi"/>
          <w:b/>
          <w:bCs/>
          <w:sz w:val="28"/>
          <w:szCs w:val="28"/>
          <w:rtl/>
        </w:rPr>
        <w:t>التعريف الإجرائي</w:t>
      </w:r>
    </w:p>
    <w:p w14:paraId="2AF3A604" w14:textId="77777777" w:rsidR="00404A54" w:rsidRDefault="00404A54" w:rsidP="00FF5C30">
      <w:pPr>
        <w:bidi/>
        <w:jc w:val="both"/>
        <w:rPr>
          <w:rFonts w:asciiTheme="majorBidi" w:hAnsiTheme="majorBidi" w:cstheme="majorBidi"/>
          <w:sz w:val="28"/>
          <w:szCs w:val="28"/>
          <w:rtl/>
        </w:rPr>
      </w:pPr>
      <w:r w:rsidRPr="0009445F">
        <w:rPr>
          <w:rFonts w:asciiTheme="majorBidi" w:hAnsiTheme="majorBidi" w:cstheme="majorBidi"/>
          <w:sz w:val="28"/>
          <w:szCs w:val="28"/>
          <w:rtl/>
        </w:rPr>
        <w:t>يُعامل نوع القطاع كمتغير فئوي، يميز بين الموظفين العاملين في الفنادق مقابل المطاعم. تدرس الدراسة كيف يؤثر أنظمة العمل عالية الأداء على الأداء الإبداعي داخل كل قطاع، ومقارنة الممارسات عبر هاتين البيئتين الخدميتين المتميزتين.</w:t>
      </w:r>
    </w:p>
    <w:p w14:paraId="5B2A8AB0" w14:textId="77777777" w:rsidR="005D473F" w:rsidRPr="0009445F" w:rsidRDefault="005D473F" w:rsidP="005D473F">
      <w:pPr>
        <w:bidi/>
        <w:rPr>
          <w:rFonts w:asciiTheme="majorBidi" w:hAnsiTheme="majorBidi" w:cstheme="majorBidi"/>
          <w:sz w:val="28"/>
          <w:szCs w:val="28"/>
          <w:rtl/>
        </w:rPr>
      </w:pPr>
    </w:p>
    <w:p w14:paraId="661B4E68" w14:textId="1FD54C5A" w:rsidR="001D3CAA" w:rsidRPr="001D3CAA" w:rsidRDefault="001D3CAA" w:rsidP="001D3CAA">
      <w:pPr>
        <w:bidi/>
        <w:rPr>
          <w:rFonts w:asciiTheme="majorBidi" w:hAnsiTheme="majorBidi" w:cstheme="majorBidi"/>
          <w:b/>
          <w:bCs/>
          <w:sz w:val="28"/>
          <w:szCs w:val="28"/>
        </w:rPr>
      </w:pPr>
      <w:r>
        <w:rPr>
          <w:rFonts w:asciiTheme="majorBidi" w:hAnsiTheme="majorBidi" w:cstheme="majorBidi" w:hint="cs"/>
          <w:b/>
          <w:bCs/>
          <w:sz w:val="28"/>
          <w:szCs w:val="28"/>
          <w:rtl/>
        </w:rPr>
        <w:t xml:space="preserve">1.9.9. </w:t>
      </w:r>
      <w:r w:rsidRPr="001D3CAA">
        <w:rPr>
          <w:rFonts w:asciiTheme="majorBidi" w:hAnsiTheme="majorBidi" w:cstheme="majorBidi"/>
          <w:b/>
          <w:bCs/>
          <w:sz w:val="28"/>
          <w:szCs w:val="28"/>
          <w:rtl/>
        </w:rPr>
        <w:t>الثقافة التنظيمية</w:t>
      </w:r>
      <w:r w:rsidRPr="001D3CAA">
        <w:rPr>
          <w:rFonts w:asciiTheme="majorBidi" w:hAnsiTheme="majorBidi" w:cstheme="majorBidi"/>
          <w:b/>
          <w:bCs/>
          <w:sz w:val="28"/>
          <w:szCs w:val="28"/>
        </w:rPr>
        <w:t xml:space="preserve"> (Organizational Culture) – </w:t>
      </w:r>
      <w:r>
        <w:rPr>
          <w:rFonts w:asciiTheme="majorBidi" w:hAnsiTheme="majorBidi" w:cstheme="majorBidi" w:hint="cs"/>
          <w:b/>
          <w:bCs/>
          <w:sz w:val="28"/>
          <w:szCs w:val="28"/>
          <w:rtl/>
        </w:rPr>
        <w:t>(</w:t>
      </w:r>
      <w:r w:rsidRPr="001D3CAA">
        <w:rPr>
          <w:rFonts w:asciiTheme="majorBidi" w:hAnsiTheme="majorBidi" w:cstheme="majorBidi"/>
          <w:b/>
          <w:bCs/>
          <w:sz w:val="28"/>
          <w:szCs w:val="28"/>
          <w:rtl/>
        </w:rPr>
        <w:t>المتغير الوسيط</w:t>
      </w:r>
      <w:r>
        <w:rPr>
          <w:rFonts w:asciiTheme="majorBidi" w:hAnsiTheme="majorBidi" w:cstheme="majorBidi" w:hint="cs"/>
          <w:b/>
          <w:bCs/>
          <w:sz w:val="28"/>
          <w:szCs w:val="28"/>
          <w:rtl/>
        </w:rPr>
        <w:t>)</w:t>
      </w:r>
    </w:p>
    <w:p w14:paraId="409BC732" w14:textId="0C70FBEF" w:rsidR="001D3CAA" w:rsidRPr="00FF5C30" w:rsidRDefault="001D3CAA" w:rsidP="00FF5C30">
      <w:pPr>
        <w:bidi/>
        <w:jc w:val="both"/>
        <w:rPr>
          <w:rFonts w:asciiTheme="majorBidi" w:hAnsiTheme="majorBidi" w:cstheme="majorBidi"/>
          <w:b/>
          <w:bCs/>
          <w:sz w:val="28"/>
          <w:szCs w:val="28"/>
        </w:rPr>
      </w:pPr>
      <w:r w:rsidRPr="001D3CAA">
        <w:rPr>
          <w:rFonts w:asciiTheme="majorBidi" w:hAnsiTheme="majorBidi" w:cstheme="majorBidi"/>
          <w:b/>
          <w:bCs/>
          <w:sz w:val="28"/>
          <w:szCs w:val="28"/>
          <w:rtl/>
        </w:rPr>
        <w:t>التعريف النظري</w:t>
      </w:r>
      <w:r w:rsidR="00FF5C30">
        <w:rPr>
          <w:rFonts w:asciiTheme="majorBidi" w:hAnsiTheme="majorBidi" w:cstheme="majorBidi" w:hint="cs"/>
          <w:b/>
          <w:bCs/>
          <w:sz w:val="28"/>
          <w:szCs w:val="28"/>
          <w:rtl/>
        </w:rPr>
        <w:t xml:space="preserve">: </w:t>
      </w:r>
      <w:r w:rsidRPr="001D3CAA">
        <w:rPr>
          <w:rFonts w:asciiTheme="majorBidi" w:hAnsiTheme="majorBidi" w:cstheme="majorBidi"/>
          <w:sz w:val="28"/>
          <w:szCs w:val="28"/>
          <w:rtl/>
        </w:rPr>
        <w:t>تشير الثقافة التنظيمية إلى القيم والمعتقدات والافتراضات المشتركة بين أعضاء المنظمة، والتي تشكل نمطًا موجهًا للسلوك الفردي والجماعي، وتحدد كيفية تعامل الأفراد مع بعضهم ومع بيئتهم الداخلية والخارجية</w:t>
      </w:r>
      <w:r w:rsidR="00AF349E">
        <w:rPr>
          <w:rFonts w:asciiTheme="majorBidi" w:hAnsiTheme="majorBidi" w:cstheme="majorBidi" w:hint="cs"/>
          <w:sz w:val="28"/>
          <w:szCs w:val="28"/>
          <w:rtl/>
        </w:rPr>
        <w:t xml:space="preserve"> </w:t>
      </w:r>
      <w:r w:rsidR="00AF349E">
        <w:rPr>
          <w:rFonts w:asciiTheme="majorBidi" w:hAnsiTheme="majorBidi" w:cstheme="majorBidi"/>
          <w:sz w:val="28"/>
          <w:szCs w:val="28"/>
          <w:rtl/>
        </w:rPr>
        <w:fldChar w:fldCharType="begin"/>
      </w:r>
      <w:r w:rsidR="005D473F">
        <w:rPr>
          <w:rFonts w:asciiTheme="majorBidi" w:hAnsiTheme="majorBidi" w:cstheme="majorBidi"/>
          <w:sz w:val="28"/>
          <w:szCs w:val="28"/>
          <w:rtl/>
        </w:rPr>
        <w:instrText xml:space="preserve"> </w:instrText>
      </w:r>
      <w:r w:rsidR="005D473F">
        <w:rPr>
          <w:rFonts w:asciiTheme="majorBidi" w:hAnsiTheme="majorBidi" w:cstheme="majorBidi"/>
          <w:sz w:val="28"/>
          <w:szCs w:val="28"/>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5D473F">
        <w:rPr>
          <w:rFonts w:asciiTheme="majorBidi" w:hAnsiTheme="majorBidi" w:cstheme="majorBidi"/>
          <w:sz w:val="28"/>
          <w:szCs w:val="28"/>
          <w:rtl/>
        </w:rPr>
        <w:instrText>31695466"&gt;1524&lt;/</w:instrText>
      </w:r>
      <w:r w:rsidR="005D473F">
        <w:rPr>
          <w:rFonts w:asciiTheme="majorBidi" w:hAnsiTheme="majorBidi" w:cstheme="majorBidi"/>
          <w:sz w:val="28"/>
          <w:szCs w:val="28"/>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5D473F">
        <w:rPr>
          <w:rFonts w:asciiTheme="majorBidi" w:hAnsiTheme="majorBidi" w:cstheme="majorBidi"/>
          <w:sz w:val="28"/>
          <w:szCs w:val="28"/>
          <w:rtl/>
        </w:rPr>
        <w:instrText>&lt;/</w:instrText>
      </w:r>
      <w:r w:rsidR="005D473F">
        <w:rPr>
          <w:rFonts w:asciiTheme="majorBidi" w:hAnsiTheme="majorBidi" w:cstheme="majorBidi"/>
          <w:sz w:val="28"/>
          <w:szCs w:val="28"/>
        </w:rPr>
        <w:instrText>year&gt;&lt;/dates&gt;&lt;publisher&gt;John Wiley &amp;amp; Sons&lt;/publisher&gt;&lt;isbn&gt;047064057X&lt;/isbn&gt;&lt;urls&gt;&lt;/urls&gt;&lt;/record&gt;&lt;/Cite&gt;&lt;/EndNote</w:instrText>
      </w:r>
      <w:r w:rsidR="005D473F">
        <w:rPr>
          <w:rFonts w:asciiTheme="majorBidi" w:hAnsiTheme="majorBidi" w:cstheme="majorBidi"/>
          <w:sz w:val="28"/>
          <w:szCs w:val="28"/>
          <w:rtl/>
        </w:rPr>
        <w:instrText>&gt;</w:instrText>
      </w:r>
      <w:r w:rsidR="00AF349E">
        <w:rPr>
          <w:rFonts w:asciiTheme="majorBidi" w:hAnsiTheme="majorBidi" w:cstheme="majorBidi"/>
          <w:sz w:val="28"/>
          <w:szCs w:val="28"/>
          <w:rtl/>
        </w:rPr>
        <w:fldChar w:fldCharType="separate"/>
      </w:r>
      <w:r w:rsidR="005D473F">
        <w:rPr>
          <w:rFonts w:asciiTheme="majorBidi" w:hAnsiTheme="majorBidi" w:cstheme="majorBidi"/>
          <w:noProof/>
          <w:sz w:val="28"/>
          <w:szCs w:val="28"/>
          <w:rtl/>
        </w:rPr>
        <w:t>(</w:t>
      </w:r>
      <w:r w:rsidR="005D473F">
        <w:rPr>
          <w:rFonts w:asciiTheme="majorBidi" w:hAnsiTheme="majorBidi" w:cstheme="majorBidi"/>
          <w:noProof/>
          <w:sz w:val="28"/>
          <w:szCs w:val="28"/>
        </w:rPr>
        <w:t>Schein, 2010</w:t>
      </w:r>
      <w:r w:rsidR="005D473F">
        <w:rPr>
          <w:rFonts w:asciiTheme="majorBidi" w:hAnsiTheme="majorBidi" w:cstheme="majorBidi"/>
          <w:noProof/>
          <w:sz w:val="28"/>
          <w:szCs w:val="28"/>
          <w:rtl/>
        </w:rPr>
        <w:t>)</w:t>
      </w:r>
      <w:r w:rsidR="00AF349E">
        <w:rPr>
          <w:rFonts w:asciiTheme="majorBidi" w:hAnsiTheme="majorBidi" w:cstheme="majorBidi"/>
          <w:sz w:val="28"/>
          <w:szCs w:val="28"/>
          <w:rtl/>
        </w:rPr>
        <w:fldChar w:fldCharType="end"/>
      </w:r>
      <w:r w:rsidR="00AF349E">
        <w:rPr>
          <w:rFonts w:asciiTheme="majorBidi" w:hAnsiTheme="majorBidi" w:cstheme="majorBidi" w:hint="cs"/>
          <w:sz w:val="28"/>
          <w:szCs w:val="28"/>
          <w:rtl/>
        </w:rPr>
        <w:t xml:space="preserve">. </w:t>
      </w:r>
      <w:r w:rsidRPr="001D3CAA">
        <w:rPr>
          <w:rFonts w:asciiTheme="majorBidi" w:hAnsiTheme="majorBidi" w:cstheme="majorBidi"/>
          <w:sz w:val="28"/>
          <w:szCs w:val="28"/>
          <w:rtl/>
        </w:rPr>
        <w:t>وهي بمثابة "الهوية غير الرسمية" للمنظمة، وتنعكس في الأعراف التنظيمية، ورؤية المؤسسة ورسالتها، وطريقة حل المشكلات اليومية</w:t>
      </w:r>
      <w:r w:rsidR="00AF349E">
        <w:rPr>
          <w:rFonts w:asciiTheme="majorBidi" w:hAnsiTheme="majorBidi" w:cstheme="majorBidi" w:hint="cs"/>
          <w:sz w:val="28"/>
          <w:szCs w:val="28"/>
          <w:rtl/>
        </w:rPr>
        <w:t xml:space="preserve"> </w:t>
      </w:r>
      <w:r w:rsidR="00AF349E">
        <w:rPr>
          <w:rFonts w:asciiTheme="majorBidi" w:hAnsiTheme="majorBidi" w:cstheme="majorBidi"/>
          <w:sz w:val="28"/>
          <w:szCs w:val="28"/>
          <w:rtl/>
        </w:rPr>
        <w:fldChar w:fldCharType="begin"/>
      </w:r>
      <w:r w:rsidR="005D473F">
        <w:rPr>
          <w:rFonts w:asciiTheme="majorBidi" w:hAnsiTheme="majorBidi" w:cstheme="majorBidi"/>
          <w:sz w:val="28"/>
          <w:szCs w:val="28"/>
          <w:rtl/>
        </w:rPr>
        <w:instrText xml:space="preserve"> </w:instrText>
      </w:r>
      <w:r w:rsidR="005D473F">
        <w:rPr>
          <w:rFonts w:asciiTheme="majorBidi" w:hAnsiTheme="majorBidi" w:cstheme="majorBidi"/>
          <w:sz w:val="28"/>
          <w:szCs w:val="28"/>
        </w:rPr>
        <w:instrText>ADDIN EN.CITE &lt;EndNote&gt;&lt;Cite&gt;&lt;Author&gt;Denison&lt;/Author&gt;&lt;Year&gt;1990&lt;/Year&gt;&lt;RecNum&gt;3046&lt;/RecNum&gt;&lt;DisplayText&gt;(Denison, 1990, Hofstede, 2001)&lt;/DisplayText&gt;&lt;record&gt;&lt;rec-number&gt;3046&lt;/rec-number&gt;&lt;foreign-keys&gt;&lt;key app="EN" db-id="t5vttv59or5xwbe2zdm5ewrxd905arrpawff" timestamp="1755719441"&gt;3046&lt;/key&gt;&lt;/foreign-keys&gt;&lt;ref-type name="Journal Article"&gt;17&lt;/ref-type&gt;&lt;contributors&gt;&lt;authors&gt;&lt;author&gt;Denison, Dan&lt;/author&gt;&lt;/authors&gt;&lt;/contributors&gt;&lt;titles&gt;&lt;title&gt;Corporate culture and organizational&lt;/title&gt;&lt;secondary-title&gt;New</w:instrText>
      </w:r>
      <w:r w:rsidR="005D473F">
        <w:rPr>
          <w:rFonts w:asciiTheme="majorBidi" w:hAnsiTheme="majorBidi" w:cstheme="majorBidi"/>
          <w:sz w:val="28"/>
          <w:szCs w:val="28"/>
          <w:rtl/>
        </w:rPr>
        <w:instrText xml:space="preserve"> </w:instrText>
      </w:r>
      <w:r w:rsidR="005D473F">
        <w:rPr>
          <w:rFonts w:asciiTheme="majorBidi" w:hAnsiTheme="majorBidi" w:cstheme="majorBidi"/>
          <w:sz w:val="28"/>
          <w:szCs w:val="28"/>
        </w:rPr>
        <w:instrText>York: Wiley. Dike, P.(2013). The impact of workplace diversity on organizations. Dobbin, F., &amp;amp; Jung, J.(2010). Corporate board gender diversity and stock performance: The competence gap or institutional investor bias. NCL Rev&lt;/secondary-title&gt;&lt;/titles&gt;&lt;periodical&gt;&lt;full-title&gt;New York: Wiley. Dike, P.(2013). The impact of workplace diversity on organizations. Dobbin, F., &amp;amp; Jung, J.(2010). Corporate board gender diversity and stock performance: The competence gap or institutional investor bias. NCL</w:instrText>
      </w:r>
      <w:r w:rsidR="005D473F">
        <w:rPr>
          <w:rFonts w:asciiTheme="majorBidi" w:hAnsiTheme="majorBidi" w:cstheme="majorBidi"/>
          <w:sz w:val="28"/>
          <w:szCs w:val="28"/>
          <w:rtl/>
        </w:rPr>
        <w:instrText xml:space="preserve"> </w:instrText>
      </w:r>
      <w:r w:rsidR="005D473F">
        <w:rPr>
          <w:rFonts w:asciiTheme="majorBidi" w:hAnsiTheme="majorBidi" w:cstheme="majorBidi"/>
          <w:sz w:val="28"/>
          <w:szCs w:val="28"/>
        </w:rPr>
        <w:instrText>Rev&lt;/full-title&gt;&lt;/periodical&gt;&lt;pages&gt;809&lt;/pages&gt;&lt;volume&gt;89&lt;/volume&gt;&lt;dates&gt;&lt;year&gt;1990&lt;/year&gt;&lt;/dates&gt;&lt;urls&gt;&lt;/urls&gt;&lt;/record&gt;&lt;/Cite&gt;&lt;Cite&gt;&lt;Author&gt;Hofstede&lt;/Author&gt;&lt;Year&gt;2001&lt;/Year&gt;&lt;RecNum&gt;362&lt;/RecNum&gt;&lt;record&gt;&lt;rec-number&gt;362&lt;/rec-number&gt;&lt;foreign-keys&gt;&lt;key app</w:instrText>
      </w:r>
      <w:r w:rsidR="005D473F">
        <w:rPr>
          <w:rFonts w:asciiTheme="majorBidi" w:hAnsiTheme="majorBidi" w:cstheme="majorBidi"/>
          <w:sz w:val="28"/>
          <w:szCs w:val="28"/>
          <w:rtl/>
        </w:rPr>
        <w:instrText>="</w:instrText>
      </w:r>
      <w:r w:rsidR="005D473F">
        <w:rPr>
          <w:rFonts w:asciiTheme="majorBidi" w:hAnsiTheme="majorBidi" w:cstheme="majorBidi"/>
          <w:sz w:val="28"/>
          <w:szCs w:val="28"/>
        </w:rPr>
        <w:instrText>EN" db-id="t5vttv59or5xwbe2zdm5ewrxd905arrpawff" timestamp="1722257270"&gt;362&lt;/key&gt;&lt;/foreign-keys&gt;&lt;ref-type name="Book"&gt;6&lt;/ref-type&gt;&lt;contributors&gt;&lt;authors&gt;&lt;author&gt;Hofstede, Geert&lt;/author&gt;&lt;/authors&gt;&lt;/contributors&gt;&lt;titles&gt;&lt;title&gt;Culture&amp;apos;s consequences</w:instrText>
      </w:r>
      <w:r w:rsidR="005D473F">
        <w:rPr>
          <w:rFonts w:asciiTheme="majorBidi" w:hAnsiTheme="majorBidi" w:cstheme="majorBidi"/>
          <w:sz w:val="28"/>
          <w:szCs w:val="28"/>
          <w:rtl/>
        </w:rPr>
        <w:instrText xml:space="preserve">: </w:instrText>
      </w:r>
      <w:r w:rsidR="005D473F">
        <w:rPr>
          <w:rFonts w:asciiTheme="majorBidi" w:hAnsiTheme="majorBidi" w:cstheme="majorBidi"/>
          <w:sz w:val="28"/>
          <w:szCs w:val="28"/>
        </w:rPr>
        <w:instrText>Comparing values, behaviors, institutions and organizations across nations&lt;/title&gt;&lt;/titles&gt;&lt;dates&gt;&lt;year&gt;2001&lt;/year&gt;&lt;/dates&gt;&lt;publisher&gt;Sage publications&lt;/publisher&gt;&lt;isbn&gt;1452207933&lt;/isbn&gt;&lt;urls&gt;&lt;/urls&gt;&lt;/record&gt;&lt;/Cite&gt;&lt;/EndNote</w:instrText>
      </w:r>
      <w:r w:rsidR="005D473F">
        <w:rPr>
          <w:rFonts w:asciiTheme="majorBidi" w:hAnsiTheme="majorBidi" w:cstheme="majorBidi"/>
          <w:sz w:val="28"/>
          <w:szCs w:val="28"/>
          <w:rtl/>
        </w:rPr>
        <w:instrText>&gt;</w:instrText>
      </w:r>
      <w:r w:rsidR="00AF349E">
        <w:rPr>
          <w:rFonts w:asciiTheme="majorBidi" w:hAnsiTheme="majorBidi" w:cstheme="majorBidi"/>
          <w:sz w:val="28"/>
          <w:szCs w:val="28"/>
          <w:rtl/>
        </w:rPr>
        <w:fldChar w:fldCharType="separate"/>
      </w:r>
      <w:r w:rsidR="005D473F">
        <w:rPr>
          <w:rFonts w:asciiTheme="majorBidi" w:hAnsiTheme="majorBidi" w:cstheme="majorBidi"/>
          <w:noProof/>
          <w:sz w:val="28"/>
          <w:szCs w:val="28"/>
          <w:rtl/>
        </w:rPr>
        <w:t>(</w:t>
      </w:r>
      <w:r w:rsidR="005D473F">
        <w:rPr>
          <w:rFonts w:asciiTheme="majorBidi" w:hAnsiTheme="majorBidi" w:cstheme="majorBidi"/>
          <w:noProof/>
          <w:sz w:val="28"/>
          <w:szCs w:val="28"/>
        </w:rPr>
        <w:t>Denison, 1990, Hofstede, 2001</w:t>
      </w:r>
      <w:r w:rsidR="005D473F">
        <w:rPr>
          <w:rFonts w:asciiTheme="majorBidi" w:hAnsiTheme="majorBidi" w:cstheme="majorBidi"/>
          <w:noProof/>
          <w:sz w:val="28"/>
          <w:szCs w:val="28"/>
          <w:rtl/>
        </w:rPr>
        <w:t>)</w:t>
      </w:r>
      <w:r w:rsidR="00AF349E">
        <w:rPr>
          <w:rFonts w:asciiTheme="majorBidi" w:hAnsiTheme="majorBidi" w:cstheme="majorBidi"/>
          <w:sz w:val="28"/>
          <w:szCs w:val="28"/>
          <w:rtl/>
        </w:rPr>
        <w:fldChar w:fldCharType="end"/>
      </w:r>
      <w:r w:rsidR="00AF349E">
        <w:rPr>
          <w:rFonts w:asciiTheme="majorBidi" w:hAnsiTheme="majorBidi" w:cstheme="majorBidi" w:hint="cs"/>
          <w:sz w:val="28"/>
          <w:szCs w:val="28"/>
          <w:rtl/>
        </w:rPr>
        <w:t>.</w:t>
      </w:r>
    </w:p>
    <w:p w14:paraId="333593B8" w14:textId="08A8A74D" w:rsidR="001D3CAA" w:rsidRPr="00FF5C30" w:rsidRDefault="001D3CAA" w:rsidP="00FF5C30">
      <w:pPr>
        <w:bidi/>
        <w:jc w:val="both"/>
        <w:rPr>
          <w:rFonts w:asciiTheme="majorBidi" w:hAnsiTheme="majorBidi" w:cstheme="majorBidi"/>
          <w:b/>
          <w:bCs/>
          <w:sz w:val="28"/>
          <w:szCs w:val="28"/>
        </w:rPr>
      </w:pPr>
      <w:r w:rsidRPr="001D3CAA">
        <w:rPr>
          <w:rFonts w:asciiTheme="majorBidi" w:hAnsiTheme="majorBidi" w:cstheme="majorBidi"/>
          <w:b/>
          <w:bCs/>
          <w:sz w:val="28"/>
          <w:szCs w:val="28"/>
          <w:rtl/>
        </w:rPr>
        <w:t>التعريف الإجرائي</w:t>
      </w:r>
      <w:r w:rsidR="00FF5C30">
        <w:rPr>
          <w:rFonts w:asciiTheme="majorBidi" w:hAnsiTheme="majorBidi" w:cstheme="majorBidi" w:hint="cs"/>
          <w:b/>
          <w:bCs/>
          <w:sz w:val="28"/>
          <w:szCs w:val="28"/>
          <w:rtl/>
        </w:rPr>
        <w:t xml:space="preserve">: </w:t>
      </w:r>
      <w:r w:rsidRPr="001D3CAA">
        <w:rPr>
          <w:rFonts w:asciiTheme="majorBidi" w:hAnsiTheme="majorBidi" w:cstheme="majorBidi"/>
          <w:sz w:val="28"/>
          <w:szCs w:val="28"/>
          <w:rtl/>
        </w:rPr>
        <w:t>في هذه الدراسة، تُعرَّف الثقافة التنظيمية بأنها الإطار القيمي والمعياري الذي يوجه سلوك الموظفين في الفنادق والمطاعم بمدينة الرياض، بما يؤثر في العلاقة بين أنظمة العمل عالية الأداء والأداء الإبداعي. وسيتم قياسها من خلال أبعادها المتمثلة في: المشاركة</w:t>
      </w:r>
      <w:r w:rsidRPr="001D3CAA">
        <w:rPr>
          <w:rFonts w:asciiTheme="majorBidi" w:hAnsiTheme="majorBidi" w:cstheme="majorBidi"/>
          <w:sz w:val="28"/>
          <w:szCs w:val="28"/>
        </w:rPr>
        <w:t xml:space="preserve"> (Involvement)</w:t>
      </w:r>
      <w:r w:rsidRPr="001D3CAA">
        <w:rPr>
          <w:rFonts w:asciiTheme="majorBidi" w:hAnsiTheme="majorBidi" w:cstheme="majorBidi"/>
          <w:sz w:val="28"/>
          <w:szCs w:val="28"/>
          <w:rtl/>
        </w:rPr>
        <w:t>، الاتساق</w:t>
      </w:r>
      <w:r w:rsidRPr="001D3CAA">
        <w:rPr>
          <w:rFonts w:asciiTheme="majorBidi" w:hAnsiTheme="majorBidi" w:cstheme="majorBidi"/>
          <w:sz w:val="28"/>
          <w:szCs w:val="28"/>
        </w:rPr>
        <w:t xml:space="preserve"> (Consistency)</w:t>
      </w:r>
      <w:r w:rsidRPr="001D3CAA">
        <w:rPr>
          <w:rFonts w:asciiTheme="majorBidi" w:hAnsiTheme="majorBidi" w:cstheme="majorBidi"/>
          <w:sz w:val="28"/>
          <w:szCs w:val="28"/>
          <w:rtl/>
        </w:rPr>
        <w:t>، القدرة على التكيف</w:t>
      </w:r>
      <w:r w:rsidRPr="001D3CAA">
        <w:rPr>
          <w:rFonts w:asciiTheme="majorBidi" w:hAnsiTheme="majorBidi" w:cstheme="majorBidi"/>
          <w:sz w:val="28"/>
          <w:szCs w:val="28"/>
        </w:rPr>
        <w:t xml:space="preserve"> (Adaptability)</w:t>
      </w:r>
      <w:r w:rsidRPr="001D3CAA">
        <w:rPr>
          <w:rFonts w:asciiTheme="majorBidi" w:hAnsiTheme="majorBidi" w:cstheme="majorBidi"/>
          <w:sz w:val="28"/>
          <w:szCs w:val="28"/>
          <w:rtl/>
        </w:rPr>
        <w:t>، والرسالة التنظيمية</w:t>
      </w:r>
      <w:r w:rsidRPr="001D3CAA">
        <w:rPr>
          <w:rFonts w:asciiTheme="majorBidi" w:hAnsiTheme="majorBidi" w:cstheme="majorBidi"/>
          <w:sz w:val="28"/>
          <w:szCs w:val="28"/>
        </w:rPr>
        <w:t xml:space="preserve"> (Mission)</w:t>
      </w:r>
      <w:r w:rsidRPr="001D3CAA">
        <w:rPr>
          <w:rFonts w:asciiTheme="majorBidi" w:hAnsiTheme="majorBidi" w:cstheme="majorBidi"/>
          <w:sz w:val="28"/>
          <w:szCs w:val="28"/>
          <w:rtl/>
        </w:rPr>
        <w:t>، وذلك عبر استبيان يقيس إدراك الموظفين لهذه الأبعاد داخل مؤسساتهم</w:t>
      </w:r>
      <w:r w:rsidRPr="001D3CAA">
        <w:rPr>
          <w:rFonts w:asciiTheme="majorBidi" w:hAnsiTheme="majorBidi" w:cstheme="majorBidi"/>
          <w:sz w:val="28"/>
          <w:szCs w:val="28"/>
        </w:rPr>
        <w:t>.</w:t>
      </w:r>
    </w:p>
    <w:p w14:paraId="3355D54B" w14:textId="77777777" w:rsidR="006652C1" w:rsidRDefault="006652C1" w:rsidP="006652C1">
      <w:pPr>
        <w:bidi/>
        <w:jc w:val="both"/>
        <w:rPr>
          <w:rFonts w:asciiTheme="majorBidi" w:hAnsiTheme="majorBidi" w:cstheme="majorBidi"/>
          <w:sz w:val="28"/>
          <w:szCs w:val="28"/>
          <w:rtl/>
        </w:rPr>
      </w:pPr>
    </w:p>
    <w:p w14:paraId="5EF6B43F" w14:textId="77777777" w:rsidR="004675F9" w:rsidRDefault="004675F9" w:rsidP="004675F9">
      <w:pPr>
        <w:bidi/>
        <w:jc w:val="both"/>
        <w:rPr>
          <w:rFonts w:asciiTheme="majorBidi" w:hAnsiTheme="majorBidi" w:cstheme="majorBidi"/>
          <w:sz w:val="28"/>
          <w:szCs w:val="28"/>
          <w:rtl/>
        </w:rPr>
      </w:pPr>
    </w:p>
    <w:p w14:paraId="41339777" w14:textId="77777777" w:rsidR="004675F9" w:rsidRDefault="004675F9" w:rsidP="004675F9">
      <w:pPr>
        <w:bidi/>
        <w:jc w:val="both"/>
        <w:rPr>
          <w:rFonts w:asciiTheme="majorBidi" w:hAnsiTheme="majorBidi" w:cstheme="majorBidi"/>
          <w:sz w:val="28"/>
          <w:szCs w:val="28"/>
          <w:rtl/>
        </w:rPr>
      </w:pPr>
    </w:p>
    <w:p w14:paraId="737F2DF8" w14:textId="77777777" w:rsidR="004675F9" w:rsidRDefault="004675F9" w:rsidP="004675F9">
      <w:pPr>
        <w:bidi/>
        <w:jc w:val="both"/>
        <w:rPr>
          <w:rFonts w:asciiTheme="majorBidi" w:hAnsiTheme="majorBidi" w:cstheme="majorBidi"/>
          <w:sz w:val="28"/>
          <w:szCs w:val="28"/>
          <w:rtl/>
        </w:rPr>
      </w:pPr>
    </w:p>
    <w:p w14:paraId="115F31DD" w14:textId="77777777" w:rsidR="004675F9" w:rsidRDefault="004675F9" w:rsidP="004675F9">
      <w:pPr>
        <w:bidi/>
        <w:jc w:val="both"/>
        <w:rPr>
          <w:rFonts w:asciiTheme="majorBidi" w:hAnsiTheme="majorBidi" w:cstheme="majorBidi"/>
          <w:sz w:val="28"/>
          <w:szCs w:val="28"/>
          <w:rtl/>
        </w:rPr>
      </w:pPr>
    </w:p>
    <w:p w14:paraId="439C9B0B" w14:textId="77777777" w:rsidR="004675F9" w:rsidRDefault="004675F9" w:rsidP="004675F9">
      <w:pPr>
        <w:bidi/>
        <w:jc w:val="both"/>
        <w:rPr>
          <w:rFonts w:asciiTheme="majorBidi" w:hAnsiTheme="majorBidi" w:cstheme="majorBidi"/>
          <w:sz w:val="28"/>
          <w:szCs w:val="28"/>
          <w:rtl/>
        </w:rPr>
      </w:pPr>
    </w:p>
    <w:p w14:paraId="7095AF11" w14:textId="77777777" w:rsidR="004675F9" w:rsidRPr="001D3CAA" w:rsidRDefault="004675F9" w:rsidP="004675F9">
      <w:pPr>
        <w:bidi/>
        <w:jc w:val="both"/>
        <w:rPr>
          <w:rFonts w:asciiTheme="majorBidi" w:hAnsiTheme="majorBidi" w:cstheme="majorBidi"/>
          <w:sz w:val="28"/>
          <w:szCs w:val="28"/>
          <w:rtl/>
        </w:rPr>
      </w:pPr>
    </w:p>
    <w:p w14:paraId="5E450154" w14:textId="77777777" w:rsidR="00404A54" w:rsidRDefault="00404A54" w:rsidP="00404A54">
      <w:pPr>
        <w:bidi/>
        <w:rPr>
          <w:rFonts w:asciiTheme="majorBidi" w:hAnsiTheme="majorBidi" w:cstheme="majorBidi"/>
          <w:b/>
          <w:bCs/>
          <w:sz w:val="28"/>
          <w:szCs w:val="28"/>
          <w:rtl/>
        </w:rPr>
      </w:pPr>
      <w:r w:rsidRPr="0009445F">
        <w:rPr>
          <w:rFonts w:asciiTheme="majorBidi" w:hAnsiTheme="majorBidi" w:cstheme="majorBidi"/>
          <w:b/>
          <w:bCs/>
          <w:sz w:val="28"/>
          <w:szCs w:val="28"/>
          <w:rtl/>
        </w:rPr>
        <w:t>1.11. هيكل الدراسة:</w:t>
      </w:r>
    </w:p>
    <w:p w14:paraId="1850DAEB" w14:textId="77777777" w:rsidR="00404A54" w:rsidRPr="00585DBF" w:rsidRDefault="00404A54" w:rsidP="00404A54">
      <w:pPr>
        <w:bidi/>
        <w:rPr>
          <w:rFonts w:asciiTheme="majorBidi" w:hAnsiTheme="majorBidi" w:cstheme="majorBidi"/>
          <w:b/>
          <w:bCs/>
          <w:sz w:val="28"/>
          <w:szCs w:val="28"/>
        </w:rPr>
      </w:pPr>
      <w:r w:rsidRPr="00585DBF">
        <w:rPr>
          <w:rFonts w:asciiTheme="majorBidi" w:hAnsiTheme="majorBidi" w:cstheme="majorBidi"/>
          <w:b/>
          <w:bCs/>
          <w:sz w:val="28"/>
          <w:szCs w:val="28"/>
          <w:rtl/>
        </w:rPr>
        <w:t>هيكل الدراسة المقترح</w:t>
      </w:r>
    </w:p>
    <w:p w14:paraId="70EB3652" w14:textId="77777777" w:rsidR="00404A54" w:rsidRPr="00585DBF" w:rsidRDefault="00404A54" w:rsidP="00404A54">
      <w:pPr>
        <w:bidi/>
        <w:rPr>
          <w:rFonts w:asciiTheme="majorBidi" w:hAnsiTheme="majorBidi" w:cstheme="majorBidi"/>
          <w:b/>
          <w:bCs/>
          <w:sz w:val="28"/>
          <w:szCs w:val="28"/>
        </w:rPr>
      </w:pPr>
      <w:r w:rsidRPr="00585DBF">
        <w:rPr>
          <w:rFonts w:asciiTheme="majorBidi" w:hAnsiTheme="majorBidi" w:cstheme="majorBidi"/>
          <w:b/>
          <w:bCs/>
          <w:sz w:val="28"/>
          <w:szCs w:val="28"/>
          <w:rtl/>
        </w:rPr>
        <w:t>الفصل الأول: المقدمة</w:t>
      </w:r>
    </w:p>
    <w:p w14:paraId="0A8FD689" w14:textId="77777777" w:rsidR="00404A54" w:rsidRPr="00585DBF" w:rsidRDefault="00404A54" w:rsidP="00404A54">
      <w:pPr>
        <w:bidi/>
        <w:rPr>
          <w:rFonts w:asciiTheme="majorBidi" w:hAnsiTheme="majorBidi" w:cstheme="majorBidi"/>
          <w:sz w:val="28"/>
          <w:szCs w:val="28"/>
          <w:rtl/>
        </w:rPr>
      </w:pPr>
      <w:r>
        <w:rPr>
          <w:rFonts w:asciiTheme="majorBidi" w:hAnsiTheme="majorBidi" w:cstheme="majorBidi" w:hint="cs"/>
          <w:sz w:val="28"/>
          <w:szCs w:val="28"/>
          <w:rtl/>
        </w:rPr>
        <w:t>1.</w:t>
      </w:r>
      <w:proofErr w:type="gramStart"/>
      <w:r>
        <w:rPr>
          <w:rFonts w:asciiTheme="majorBidi" w:hAnsiTheme="majorBidi" w:cstheme="majorBidi" w:hint="cs"/>
          <w:sz w:val="28"/>
          <w:szCs w:val="28"/>
          <w:rtl/>
        </w:rPr>
        <w:t>1.</w:t>
      </w:r>
      <w:r w:rsidRPr="00585DBF">
        <w:rPr>
          <w:rFonts w:asciiTheme="majorBidi" w:hAnsiTheme="majorBidi" w:cstheme="majorBidi"/>
          <w:sz w:val="28"/>
          <w:szCs w:val="28"/>
          <w:rtl/>
        </w:rPr>
        <w:t>المقدمة</w:t>
      </w:r>
      <w:proofErr w:type="gramEnd"/>
      <w:r w:rsidRPr="00585DBF">
        <w:rPr>
          <w:rFonts w:asciiTheme="majorBidi" w:hAnsiTheme="majorBidi" w:cstheme="majorBidi"/>
          <w:sz w:val="28"/>
          <w:szCs w:val="28"/>
          <w:rtl/>
        </w:rPr>
        <w:t xml:space="preserve"> العامة</w:t>
      </w:r>
      <w:r w:rsidRPr="00585DBF">
        <w:rPr>
          <w:rFonts w:asciiTheme="majorBidi" w:hAnsiTheme="majorBidi" w:cstheme="majorBidi"/>
          <w:sz w:val="28"/>
          <w:szCs w:val="28"/>
        </w:rPr>
        <w:br/>
      </w:r>
      <w:r w:rsidRPr="00585DBF">
        <w:rPr>
          <w:rFonts w:asciiTheme="majorBidi" w:hAnsiTheme="majorBidi" w:cstheme="majorBidi" w:hint="cs"/>
          <w:sz w:val="28"/>
          <w:szCs w:val="28"/>
          <w:rtl/>
        </w:rPr>
        <w:t xml:space="preserve">1.2. </w:t>
      </w:r>
      <w:r w:rsidRPr="00585DBF">
        <w:rPr>
          <w:rFonts w:asciiTheme="majorBidi" w:hAnsiTheme="majorBidi" w:cstheme="majorBidi"/>
          <w:sz w:val="28"/>
          <w:szCs w:val="28"/>
          <w:rtl/>
        </w:rPr>
        <w:t>مشكلة الدراسة</w:t>
      </w:r>
      <w:r w:rsidRPr="00585DBF">
        <w:rPr>
          <w:rFonts w:asciiTheme="majorBidi" w:hAnsiTheme="majorBidi" w:cstheme="majorBidi"/>
          <w:sz w:val="28"/>
          <w:szCs w:val="28"/>
        </w:rPr>
        <w:br/>
      </w:r>
      <w:r w:rsidRPr="00585DBF">
        <w:rPr>
          <w:rFonts w:asciiTheme="majorBidi" w:hAnsiTheme="majorBidi" w:cstheme="majorBidi" w:hint="cs"/>
          <w:sz w:val="28"/>
          <w:szCs w:val="28"/>
          <w:rtl/>
        </w:rPr>
        <w:t>1.3. اهداف الدراسة</w:t>
      </w:r>
      <w:r w:rsidRPr="00585DBF">
        <w:rPr>
          <w:rFonts w:asciiTheme="majorBidi" w:hAnsiTheme="majorBidi" w:cstheme="majorBidi"/>
          <w:sz w:val="28"/>
          <w:szCs w:val="28"/>
        </w:rPr>
        <w:br/>
      </w:r>
      <w:r w:rsidRPr="00585DBF">
        <w:rPr>
          <w:rFonts w:asciiTheme="majorBidi" w:hAnsiTheme="majorBidi" w:cstheme="majorBidi" w:hint="cs"/>
          <w:sz w:val="28"/>
          <w:szCs w:val="28"/>
          <w:rtl/>
        </w:rPr>
        <w:t>1.4. الدراسات السابقة</w:t>
      </w:r>
      <w:r w:rsidRPr="00585DBF">
        <w:rPr>
          <w:rFonts w:asciiTheme="majorBidi" w:hAnsiTheme="majorBidi" w:cstheme="majorBidi"/>
          <w:sz w:val="28"/>
          <w:szCs w:val="28"/>
        </w:rPr>
        <w:br/>
      </w:r>
      <w:r w:rsidRPr="00585DBF">
        <w:rPr>
          <w:rFonts w:asciiTheme="majorBidi" w:hAnsiTheme="majorBidi" w:cstheme="majorBidi" w:hint="cs"/>
          <w:sz w:val="28"/>
          <w:szCs w:val="28"/>
          <w:rtl/>
          <w:lang w:bidi="ar-EG"/>
        </w:rPr>
        <w:t>1.5. فروض الدراسة</w:t>
      </w:r>
      <w:r w:rsidRPr="00585DBF">
        <w:rPr>
          <w:rFonts w:asciiTheme="majorBidi" w:hAnsiTheme="majorBidi" w:cstheme="majorBidi"/>
          <w:sz w:val="28"/>
          <w:szCs w:val="28"/>
        </w:rPr>
        <w:br/>
      </w:r>
      <w:r w:rsidRPr="00585DBF">
        <w:rPr>
          <w:rFonts w:asciiTheme="majorBidi" w:hAnsiTheme="majorBidi" w:cstheme="majorBidi" w:hint="cs"/>
          <w:sz w:val="28"/>
          <w:szCs w:val="28"/>
          <w:rtl/>
        </w:rPr>
        <w:t>1.6. نموذج الدراسة</w:t>
      </w:r>
      <w:r w:rsidRPr="00585DBF">
        <w:rPr>
          <w:rFonts w:asciiTheme="majorBidi" w:hAnsiTheme="majorBidi" w:cstheme="majorBidi"/>
          <w:sz w:val="28"/>
          <w:szCs w:val="28"/>
        </w:rPr>
        <w:br/>
      </w:r>
      <w:r w:rsidRPr="00585DBF">
        <w:rPr>
          <w:rFonts w:asciiTheme="majorBidi" w:hAnsiTheme="majorBidi" w:cstheme="majorBidi" w:hint="cs"/>
          <w:sz w:val="28"/>
          <w:szCs w:val="28"/>
          <w:rtl/>
        </w:rPr>
        <w:t>1.7. حدود الدراسة</w:t>
      </w:r>
      <w:r w:rsidRPr="00585DBF">
        <w:rPr>
          <w:rFonts w:asciiTheme="majorBidi" w:hAnsiTheme="majorBidi" w:cstheme="majorBidi"/>
          <w:sz w:val="28"/>
          <w:szCs w:val="28"/>
        </w:rPr>
        <w:br/>
      </w:r>
      <w:r w:rsidRPr="00585DBF">
        <w:rPr>
          <w:rFonts w:asciiTheme="majorBidi" w:hAnsiTheme="majorBidi" w:cstheme="majorBidi" w:hint="cs"/>
          <w:sz w:val="28"/>
          <w:szCs w:val="28"/>
          <w:rtl/>
        </w:rPr>
        <w:t xml:space="preserve">1.8. </w:t>
      </w:r>
      <w:r w:rsidRPr="00585DBF">
        <w:rPr>
          <w:rFonts w:asciiTheme="majorBidi" w:hAnsiTheme="majorBidi" w:cstheme="majorBidi"/>
          <w:sz w:val="28"/>
          <w:szCs w:val="28"/>
          <w:rtl/>
        </w:rPr>
        <w:t>منهج الدراسة</w:t>
      </w:r>
      <w:r w:rsidRPr="00585DBF">
        <w:rPr>
          <w:rFonts w:asciiTheme="majorBidi" w:hAnsiTheme="majorBidi" w:cstheme="majorBidi"/>
          <w:sz w:val="28"/>
          <w:szCs w:val="28"/>
        </w:rPr>
        <w:br/>
      </w:r>
      <w:r w:rsidRPr="00585DBF">
        <w:rPr>
          <w:rFonts w:asciiTheme="majorBidi" w:hAnsiTheme="majorBidi" w:cstheme="majorBidi" w:hint="cs"/>
          <w:sz w:val="28"/>
          <w:szCs w:val="28"/>
          <w:rtl/>
        </w:rPr>
        <w:t>1.9. تعريف المصطلحات الأساسية</w:t>
      </w:r>
    </w:p>
    <w:p w14:paraId="4B260B3A" w14:textId="7EE47CF4" w:rsidR="00404A54" w:rsidRPr="00585DBF" w:rsidRDefault="00404A54" w:rsidP="00404A54">
      <w:pPr>
        <w:bidi/>
        <w:rPr>
          <w:rFonts w:asciiTheme="majorBidi" w:hAnsiTheme="majorBidi" w:cstheme="majorBidi"/>
          <w:sz w:val="28"/>
          <w:szCs w:val="28"/>
        </w:rPr>
      </w:pPr>
      <w:r>
        <w:rPr>
          <w:rFonts w:asciiTheme="majorBidi" w:hAnsiTheme="majorBidi" w:cstheme="majorBidi" w:hint="cs"/>
          <w:sz w:val="28"/>
          <w:szCs w:val="28"/>
          <w:rtl/>
        </w:rPr>
        <w:t xml:space="preserve">1.10. هيكل الدراسة </w:t>
      </w:r>
    </w:p>
    <w:p w14:paraId="0D899886" w14:textId="77777777" w:rsidR="00404A54" w:rsidRPr="00585DBF" w:rsidRDefault="00404A54" w:rsidP="00404A54">
      <w:pPr>
        <w:bidi/>
        <w:rPr>
          <w:rFonts w:asciiTheme="majorBidi" w:hAnsiTheme="majorBidi" w:cstheme="majorBidi"/>
          <w:b/>
          <w:bCs/>
          <w:sz w:val="28"/>
          <w:szCs w:val="28"/>
        </w:rPr>
      </w:pPr>
      <w:r w:rsidRPr="00585DBF">
        <w:rPr>
          <w:rFonts w:asciiTheme="majorBidi" w:hAnsiTheme="majorBidi" w:cstheme="majorBidi"/>
          <w:b/>
          <w:bCs/>
          <w:sz w:val="28"/>
          <w:szCs w:val="28"/>
          <w:rtl/>
        </w:rPr>
        <w:t>الفصل الثاني: الإطار النظري والدراسات السابقة</w:t>
      </w:r>
    </w:p>
    <w:p w14:paraId="3E1FE7D8" w14:textId="1E9A8D43" w:rsidR="005D473F" w:rsidRPr="00585DBF" w:rsidRDefault="00404A54" w:rsidP="006652C1">
      <w:pPr>
        <w:bidi/>
        <w:rPr>
          <w:rFonts w:asciiTheme="majorBidi" w:hAnsiTheme="majorBidi" w:cstheme="majorBidi"/>
          <w:sz w:val="28"/>
          <w:szCs w:val="28"/>
        </w:rPr>
      </w:pPr>
      <w:r>
        <w:rPr>
          <w:rFonts w:asciiTheme="majorBidi" w:hAnsiTheme="majorBidi" w:cstheme="majorBidi" w:hint="cs"/>
          <w:sz w:val="28"/>
          <w:szCs w:val="28"/>
          <w:rtl/>
        </w:rPr>
        <w:t xml:space="preserve">2.1. </w:t>
      </w:r>
      <w:r w:rsidRPr="00585DBF">
        <w:rPr>
          <w:rFonts w:asciiTheme="majorBidi" w:hAnsiTheme="majorBidi" w:cstheme="majorBidi"/>
          <w:sz w:val="28"/>
          <w:szCs w:val="28"/>
          <w:rtl/>
        </w:rPr>
        <w:t>أنظمة العمل عالية الأداء</w:t>
      </w:r>
      <w:r w:rsidRPr="00585DBF">
        <w:rPr>
          <w:rFonts w:asciiTheme="majorBidi" w:hAnsiTheme="majorBidi" w:cstheme="majorBidi"/>
          <w:sz w:val="28"/>
          <w:szCs w:val="28"/>
        </w:rPr>
        <w:t xml:space="preserve"> (HPWS): </w:t>
      </w:r>
      <w:r w:rsidRPr="00585DBF">
        <w:rPr>
          <w:rFonts w:asciiTheme="majorBidi" w:hAnsiTheme="majorBidi" w:cstheme="majorBidi"/>
          <w:sz w:val="28"/>
          <w:szCs w:val="28"/>
          <w:rtl/>
        </w:rPr>
        <w:t>المفهوم والمكونات</w:t>
      </w:r>
      <w:r w:rsidRPr="00585DBF">
        <w:rPr>
          <w:rFonts w:asciiTheme="majorBidi" w:hAnsiTheme="majorBidi" w:cstheme="majorBidi"/>
          <w:sz w:val="28"/>
          <w:szCs w:val="28"/>
        </w:rPr>
        <w:br/>
      </w:r>
      <w:r>
        <w:rPr>
          <w:rFonts w:asciiTheme="majorBidi" w:hAnsiTheme="majorBidi" w:cstheme="majorBidi" w:hint="cs"/>
          <w:sz w:val="28"/>
          <w:szCs w:val="28"/>
          <w:rtl/>
        </w:rPr>
        <w:t xml:space="preserve">2.2. </w:t>
      </w:r>
      <w:r w:rsidRPr="00585DBF">
        <w:rPr>
          <w:rFonts w:asciiTheme="majorBidi" w:hAnsiTheme="majorBidi" w:cstheme="majorBidi"/>
          <w:sz w:val="28"/>
          <w:szCs w:val="28"/>
          <w:rtl/>
        </w:rPr>
        <w:t>الإبداع الوظيفي: المفهوم، الأبعاد، العوامل المؤثرة</w:t>
      </w:r>
      <w:r w:rsidRPr="00585DBF">
        <w:rPr>
          <w:rFonts w:asciiTheme="majorBidi" w:hAnsiTheme="majorBidi" w:cstheme="majorBidi"/>
          <w:sz w:val="28"/>
          <w:szCs w:val="28"/>
        </w:rPr>
        <w:br/>
      </w:r>
      <w:r>
        <w:rPr>
          <w:rFonts w:asciiTheme="majorBidi" w:hAnsiTheme="majorBidi" w:cstheme="majorBidi" w:hint="cs"/>
          <w:sz w:val="28"/>
          <w:szCs w:val="28"/>
          <w:rtl/>
        </w:rPr>
        <w:t xml:space="preserve">2.3. </w:t>
      </w:r>
      <w:r w:rsidRPr="00585DBF">
        <w:rPr>
          <w:rFonts w:asciiTheme="majorBidi" w:hAnsiTheme="majorBidi" w:cstheme="majorBidi"/>
          <w:sz w:val="28"/>
          <w:szCs w:val="28"/>
          <w:rtl/>
        </w:rPr>
        <w:t>الثقافة التنظيمية: الدور والتأثير كمتغير وسيط</w:t>
      </w:r>
      <w:r w:rsidRPr="00585DBF">
        <w:rPr>
          <w:rFonts w:asciiTheme="majorBidi" w:hAnsiTheme="majorBidi" w:cstheme="majorBidi"/>
          <w:sz w:val="28"/>
          <w:szCs w:val="28"/>
        </w:rPr>
        <w:br/>
      </w:r>
      <w:r>
        <w:rPr>
          <w:rFonts w:asciiTheme="majorBidi" w:hAnsiTheme="majorBidi" w:cstheme="majorBidi" w:hint="cs"/>
          <w:sz w:val="28"/>
          <w:szCs w:val="28"/>
          <w:rtl/>
        </w:rPr>
        <w:t xml:space="preserve">2.4. </w:t>
      </w:r>
      <w:r w:rsidRPr="00585DBF">
        <w:rPr>
          <w:rFonts w:asciiTheme="majorBidi" w:hAnsiTheme="majorBidi" w:cstheme="majorBidi"/>
          <w:sz w:val="28"/>
          <w:szCs w:val="28"/>
          <w:rtl/>
        </w:rPr>
        <w:t>العلاقة بين</w:t>
      </w:r>
      <w:r w:rsidRPr="00585DBF">
        <w:rPr>
          <w:rFonts w:asciiTheme="majorBidi" w:hAnsiTheme="majorBidi" w:cstheme="majorBidi"/>
          <w:sz w:val="28"/>
          <w:szCs w:val="28"/>
        </w:rPr>
        <w:t xml:space="preserve"> HPWS </w:t>
      </w:r>
      <w:r w:rsidRPr="00585DBF">
        <w:rPr>
          <w:rFonts w:asciiTheme="majorBidi" w:hAnsiTheme="majorBidi" w:cstheme="majorBidi"/>
          <w:sz w:val="28"/>
          <w:szCs w:val="28"/>
          <w:rtl/>
        </w:rPr>
        <w:t>والإبداع الوظيفي</w:t>
      </w:r>
      <w:r w:rsidRPr="00585DBF">
        <w:rPr>
          <w:rFonts w:asciiTheme="majorBidi" w:hAnsiTheme="majorBidi" w:cstheme="majorBidi"/>
          <w:sz w:val="28"/>
          <w:szCs w:val="28"/>
        </w:rPr>
        <w:br/>
      </w:r>
      <w:r>
        <w:rPr>
          <w:rFonts w:asciiTheme="majorBidi" w:hAnsiTheme="majorBidi" w:cstheme="majorBidi" w:hint="cs"/>
          <w:sz w:val="28"/>
          <w:szCs w:val="28"/>
          <w:rtl/>
        </w:rPr>
        <w:t xml:space="preserve">2.5. </w:t>
      </w:r>
      <w:r w:rsidRPr="00585DBF">
        <w:rPr>
          <w:rFonts w:asciiTheme="majorBidi" w:hAnsiTheme="majorBidi" w:cstheme="majorBidi"/>
          <w:sz w:val="28"/>
          <w:szCs w:val="28"/>
          <w:rtl/>
        </w:rPr>
        <w:t>الفروق القطاعية (الفنادق مقابل المطاعم) في تطبيق</w:t>
      </w:r>
      <w:r w:rsidRPr="00585DBF">
        <w:rPr>
          <w:rFonts w:asciiTheme="majorBidi" w:hAnsiTheme="majorBidi" w:cstheme="majorBidi"/>
          <w:sz w:val="28"/>
          <w:szCs w:val="28"/>
        </w:rPr>
        <w:t xml:space="preserve"> HPWS</w:t>
      </w:r>
      <w:r w:rsidRPr="00585DBF">
        <w:rPr>
          <w:rFonts w:asciiTheme="majorBidi" w:hAnsiTheme="majorBidi" w:cstheme="majorBidi"/>
          <w:sz w:val="28"/>
          <w:szCs w:val="28"/>
        </w:rPr>
        <w:br/>
      </w:r>
      <w:r>
        <w:rPr>
          <w:rFonts w:asciiTheme="majorBidi" w:hAnsiTheme="majorBidi" w:cstheme="majorBidi" w:hint="cs"/>
          <w:sz w:val="28"/>
          <w:szCs w:val="28"/>
          <w:rtl/>
        </w:rPr>
        <w:t xml:space="preserve">2.6. </w:t>
      </w:r>
      <w:r w:rsidRPr="00585DBF">
        <w:rPr>
          <w:rFonts w:asciiTheme="majorBidi" w:hAnsiTheme="majorBidi" w:cstheme="majorBidi"/>
          <w:sz w:val="28"/>
          <w:szCs w:val="28"/>
          <w:rtl/>
        </w:rPr>
        <w:t>مراجعة الدراسات السابقة (محلية ودولية)</w:t>
      </w:r>
      <w:r w:rsidRPr="00585DBF">
        <w:rPr>
          <w:rFonts w:asciiTheme="majorBidi" w:hAnsiTheme="majorBidi" w:cstheme="majorBidi"/>
          <w:sz w:val="28"/>
          <w:szCs w:val="28"/>
        </w:rPr>
        <w:br/>
      </w:r>
      <w:r>
        <w:rPr>
          <w:rFonts w:asciiTheme="majorBidi" w:hAnsiTheme="majorBidi" w:cstheme="majorBidi" w:hint="cs"/>
          <w:sz w:val="28"/>
          <w:szCs w:val="28"/>
          <w:rtl/>
        </w:rPr>
        <w:t>2.7.</w:t>
      </w:r>
      <w:r w:rsidRPr="00585DBF">
        <w:rPr>
          <w:rFonts w:asciiTheme="majorBidi" w:hAnsiTheme="majorBidi" w:cstheme="majorBidi"/>
          <w:sz w:val="28"/>
          <w:szCs w:val="28"/>
        </w:rPr>
        <w:t xml:space="preserve"> </w:t>
      </w:r>
      <w:r w:rsidRPr="00585DBF">
        <w:rPr>
          <w:rFonts w:asciiTheme="majorBidi" w:hAnsiTheme="majorBidi" w:cstheme="majorBidi"/>
          <w:sz w:val="28"/>
          <w:szCs w:val="28"/>
          <w:rtl/>
        </w:rPr>
        <w:t>الفجوات البحثية التي تعالجها الدراسة الحالية</w:t>
      </w:r>
    </w:p>
    <w:p w14:paraId="731C827E" w14:textId="77777777" w:rsidR="00404A54" w:rsidRPr="00585DBF" w:rsidRDefault="00404A54" w:rsidP="00404A54">
      <w:pPr>
        <w:bidi/>
        <w:rPr>
          <w:rFonts w:asciiTheme="majorBidi" w:hAnsiTheme="majorBidi" w:cstheme="majorBidi"/>
          <w:b/>
          <w:bCs/>
          <w:sz w:val="28"/>
          <w:szCs w:val="28"/>
        </w:rPr>
      </w:pPr>
      <w:r w:rsidRPr="00585DBF">
        <w:rPr>
          <w:rFonts w:asciiTheme="majorBidi" w:hAnsiTheme="majorBidi" w:cstheme="majorBidi"/>
          <w:b/>
          <w:bCs/>
          <w:sz w:val="28"/>
          <w:szCs w:val="28"/>
          <w:rtl/>
        </w:rPr>
        <w:t>الفصل الثالث: المنهجية البحثية</w:t>
      </w:r>
    </w:p>
    <w:p w14:paraId="27C70CB1" w14:textId="1998DE1F" w:rsidR="00404A54" w:rsidRDefault="00404A54" w:rsidP="00404A54">
      <w:pPr>
        <w:bidi/>
        <w:rPr>
          <w:rFonts w:asciiTheme="majorBidi" w:hAnsiTheme="majorBidi" w:cstheme="majorBidi"/>
          <w:sz w:val="28"/>
          <w:szCs w:val="28"/>
          <w:rtl/>
        </w:rPr>
      </w:pPr>
      <w:r>
        <w:rPr>
          <w:rFonts w:asciiTheme="majorBidi" w:hAnsiTheme="majorBidi" w:cstheme="majorBidi" w:hint="cs"/>
          <w:sz w:val="28"/>
          <w:szCs w:val="28"/>
          <w:rtl/>
        </w:rPr>
        <w:t xml:space="preserve">3.1. </w:t>
      </w:r>
      <w:r w:rsidRPr="00585DBF">
        <w:rPr>
          <w:rFonts w:asciiTheme="majorBidi" w:hAnsiTheme="majorBidi" w:cstheme="majorBidi"/>
          <w:sz w:val="28"/>
          <w:szCs w:val="28"/>
          <w:rtl/>
        </w:rPr>
        <w:t>تصميم البحث (وصفي، كمي، مقارن)</w:t>
      </w:r>
      <w:r w:rsidRPr="00585DBF">
        <w:rPr>
          <w:rFonts w:asciiTheme="majorBidi" w:hAnsiTheme="majorBidi" w:cstheme="majorBidi"/>
          <w:sz w:val="28"/>
          <w:szCs w:val="28"/>
        </w:rPr>
        <w:br/>
      </w:r>
      <w:r>
        <w:rPr>
          <w:rFonts w:asciiTheme="majorBidi" w:hAnsiTheme="majorBidi" w:cstheme="majorBidi" w:hint="cs"/>
          <w:sz w:val="28"/>
          <w:szCs w:val="28"/>
          <w:rtl/>
        </w:rPr>
        <w:t xml:space="preserve">3.2. </w:t>
      </w:r>
      <w:r w:rsidRPr="00585DBF">
        <w:rPr>
          <w:rFonts w:asciiTheme="majorBidi" w:hAnsiTheme="majorBidi" w:cstheme="majorBidi"/>
          <w:sz w:val="28"/>
          <w:szCs w:val="28"/>
          <w:rtl/>
        </w:rPr>
        <w:t>مجتمع الدراسة</w:t>
      </w:r>
      <w:r w:rsidRPr="00585DBF">
        <w:rPr>
          <w:rFonts w:asciiTheme="majorBidi" w:hAnsiTheme="majorBidi" w:cstheme="majorBidi"/>
          <w:sz w:val="28"/>
          <w:szCs w:val="28"/>
        </w:rPr>
        <w:br/>
      </w:r>
      <w:r>
        <w:rPr>
          <w:rFonts w:asciiTheme="majorBidi" w:hAnsiTheme="majorBidi" w:cstheme="majorBidi" w:hint="cs"/>
          <w:sz w:val="28"/>
          <w:szCs w:val="28"/>
          <w:rtl/>
        </w:rPr>
        <w:t xml:space="preserve">3.3. </w:t>
      </w:r>
      <w:r w:rsidRPr="00585DBF">
        <w:rPr>
          <w:rFonts w:asciiTheme="majorBidi" w:hAnsiTheme="majorBidi" w:cstheme="majorBidi"/>
          <w:sz w:val="28"/>
          <w:szCs w:val="28"/>
          <w:rtl/>
        </w:rPr>
        <w:t>العينة وطريقة اختيارها</w:t>
      </w:r>
      <w:r w:rsidRPr="00585DBF">
        <w:rPr>
          <w:rFonts w:asciiTheme="majorBidi" w:hAnsiTheme="majorBidi" w:cstheme="majorBidi"/>
          <w:sz w:val="28"/>
          <w:szCs w:val="28"/>
        </w:rPr>
        <w:br/>
      </w:r>
      <w:r>
        <w:rPr>
          <w:rFonts w:asciiTheme="majorBidi" w:hAnsiTheme="majorBidi" w:cstheme="majorBidi" w:hint="cs"/>
          <w:sz w:val="28"/>
          <w:szCs w:val="28"/>
          <w:rtl/>
        </w:rPr>
        <w:t>3.4.</w:t>
      </w:r>
      <w:r w:rsidRPr="00585DBF">
        <w:rPr>
          <w:rFonts w:asciiTheme="majorBidi" w:hAnsiTheme="majorBidi" w:cstheme="majorBidi"/>
          <w:sz w:val="28"/>
          <w:szCs w:val="28"/>
        </w:rPr>
        <w:t xml:space="preserve"> </w:t>
      </w:r>
      <w:r w:rsidRPr="00585DBF">
        <w:rPr>
          <w:rFonts w:asciiTheme="majorBidi" w:hAnsiTheme="majorBidi" w:cstheme="majorBidi"/>
          <w:sz w:val="28"/>
          <w:szCs w:val="28"/>
          <w:rtl/>
        </w:rPr>
        <w:t>أدوات جمع البيانات (استبيان، مقابلات نصف مهيكلة)</w:t>
      </w:r>
      <w:r w:rsidRPr="00585DBF">
        <w:rPr>
          <w:rFonts w:asciiTheme="majorBidi" w:hAnsiTheme="majorBidi" w:cstheme="majorBidi"/>
          <w:sz w:val="28"/>
          <w:szCs w:val="28"/>
        </w:rPr>
        <w:br/>
      </w:r>
      <w:r>
        <w:rPr>
          <w:rFonts w:asciiTheme="majorBidi" w:hAnsiTheme="majorBidi" w:cstheme="majorBidi" w:hint="cs"/>
          <w:sz w:val="28"/>
          <w:szCs w:val="28"/>
          <w:rtl/>
        </w:rPr>
        <w:t xml:space="preserve">3.5. </w:t>
      </w:r>
      <w:r w:rsidRPr="00585DBF">
        <w:rPr>
          <w:rFonts w:asciiTheme="majorBidi" w:hAnsiTheme="majorBidi" w:cstheme="majorBidi"/>
          <w:sz w:val="28"/>
          <w:szCs w:val="28"/>
          <w:rtl/>
        </w:rPr>
        <w:t>صدق وثبات الأداة</w:t>
      </w:r>
      <w:r w:rsidRPr="00585DBF">
        <w:rPr>
          <w:rFonts w:asciiTheme="majorBidi" w:hAnsiTheme="majorBidi" w:cstheme="majorBidi"/>
          <w:sz w:val="28"/>
          <w:szCs w:val="28"/>
        </w:rPr>
        <w:br/>
      </w:r>
      <w:r>
        <w:rPr>
          <w:rFonts w:asciiTheme="majorBidi" w:hAnsiTheme="majorBidi" w:cstheme="majorBidi" w:hint="cs"/>
          <w:sz w:val="28"/>
          <w:szCs w:val="28"/>
          <w:rtl/>
        </w:rPr>
        <w:t xml:space="preserve">3.6. </w:t>
      </w:r>
      <w:r w:rsidRPr="00585DBF">
        <w:rPr>
          <w:rFonts w:asciiTheme="majorBidi" w:hAnsiTheme="majorBidi" w:cstheme="majorBidi"/>
          <w:sz w:val="28"/>
          <w:szCs w:val="28"/>
          <w:rtl/>
        </w:rPr>
        <w:t>المتغيرات وتعريفاتها الإجرائية</w:t>
      </w:r>
      <w:r w:rsidRPr="00585DBF">
        <w:rPr>
          <w:rFonts w:asciiTheme="majorBidi" w:hAnsiTheme="majorBidi" w:cstheme="majorBidi"/>
          <w:sz w:val="28"/>
          <w:szCs w:val="28"/>
        </w:rPr>
        <w:br/>
      </w:r>
      <w:r>
        <w:rPr>
          <w:rFonts w:asciiTheme="majorBidi" w:hAnsiTheme="majorBidi" w:cstheme="majorBidi" w:hint="cs"/>
          <w:sz w:val="28"/>
          <w:szCs w:val="28"/>
          <w:rtl/>
        </w:rPr>
        <w:t xml:space="preserve">3.7. </w:t>
      </w:r>
      <w:r w:rsidRPr="00585DBF">
        <w:rPr>
          <w:rFonts w:asciiTheme="majorBidi" w:hAnsiTheme="majorBidi" w:cstheme="majorBidi"/>
          <w:sz w:val="28"/>
          <w:szCs w:val="28"/>
          <w:rtl/>
        </w:rPr>
        <w:t>الأساليب الإحصائية المستخدمة لتحليل البيانات</w:t>
      </w:r>
      <w:r w:rsidRPr="00585DBF">
        <w:rPr>
          <w:rFonts w:asciiTheme="majorBidi" w:hAnsiTheme="majorBidi" w:cstheme="majorBidi"/>
          <w:sz w:val="28"/>
          <w:szCs w:val="28"/>
        </w:rPr>
        <w:br/>
      </w:r>
      <w:r>
        <w:rPr>
          <w:rFonts w:asciiTheme="majorBidi" w:hAnsiTheme="majorBidi" w:cstheme="majorBidi" w:hint="cs"/>
          <w:sz w:val="28"/>
          <w:szCs w:val="28"/>
          <w:rtl/>
        </w:rPr>
        <w:t xml:space="preserve">3.8. </w:t>
      </w:r>
      <w:r w:rsidRPr="00585DBF">
        <w:rPr>
          <w:rFonts w:asciiTheme="majorBidi" w:hAnsiTheme="majorBidi" w:cstheme="majorBidi"/>
          <w:sz w:val="28"/>
          <w:szCs w:val="28"/>
          <w:rtl/>
        </w:rPr>
        <w:t>الاعتبارات الأخلاقية</w:t>
      </w:r>
    </w:p>
    <w:p w14:paraId="5CFD6FEC" w14:textId="77777777" w:rsidR="005D473F" w:rsidRPr="00585DBF" w:rsidRDefault="005D473F" w:rsidP="005D473F">
      <w:pPr>
        <w:bidi/>
        <w:rPr>
          <w:rFonts w:asciiTheme="majorBidi" w:hAnsiTheme="majorBidi" w:cstheme="majorBidi"/>
          <w:sz w:val="28"/>
          <w:szCs w:val="28"/>
        </w:rPr>
      </w:pPr>
    </w:p>
    <w:p w14:paraId="1A3EB1F4" w14:textId="77777777" w:rsidR="00404A54" w:rsidRPr="00585DBF" w:rsidRDefault="00404A54" w:rsidP="00404A54">
      <w:pPr>
        <w:bidi/>
        <w:rPr>
          <w:rFonts w:asciiTheme="majorBidi" w:hAnsiTheme="majorBidi" w:cstheme="majorBidi"/>
          <w:b/>
          <w:bCs/>
          <w:sz w:val="28"/>
          <w:szCs w:val="28"/>
        </w:rPr>
      </w:pPr>
      <w:r w:rsidRPr="00585DBF">
        <w:rPr>
          <w:rFonts w:asciiTheme="majorBidi" w:hAnsiTheme="majorBidi" w:cstheme="majorBidi"/>
          <w:b/>
          <w:bCs/>
          <w:sz w:val="28"/>
          <w:szCs w:val="28"/>
          <w:rtl/>
        </w:rPr>
        <w:t>الفصل الرابع: تحليل البيانات ونتائج الدراسة</w:t>
      </w:r>
    </w:p>
    <w:p w14:paraId="16FE8A31" w14:textId="2A29F71E" w:rsidR="005D473F" w:rsidRPr="00585DBF" w:rsidRDefault="00404A54" w:rsidP="006652C1">
      <w:pPr>
        <w:bidi/>
        <w:rPr>
          <w:rFonts w:asciiTheme="majorBidi" w:hAnsiTheme="majorBidi" w:cstheme="majorBidi"/>
          <w:sz w:val="28"/>
          <w:szCs w:val="28"/>
        </w:rPr>
      </w:pPr>
      <w:r>
        <w:rPr>
          <w:rFonts w:asciiTheme="majorBidi" w:hAnsiTheme="majorBidi" w:cstheme="majorBidi" w:hint="cs"/>
          <w:sz w:val="28"/>
          <w:szCs w:val="28"/>
          <w:rtl/>
        </w:rPr>
        <w:t xml:space="preserve">4.1. </w:t>
      </w:r>
      <w:r w:rsidRPr="00585DBF">
        <w:rPr>
          <w:rFonts w:asciiTheme="majorBidi" w:hAnsiTheme="majorBidi" w:cstheme="majorBidi"/>
          <w:sz w:val="28"/>
          <w:szCs w:val="28"/>
          <w:rtl/>
        </w:rPr>
        <w:t>التحليل الوصفي للبيانات الديموغرافية</w:t>
      </w:r>
      <w:r w:rsidRPr="00585DBF">
        <w:rPr>
          <w:rFonts w:asciiTheme="majorBidi" w:hAnsiTheme="majorBidi" w:cstheme="majorBidi"/>
          <w:sz w:val="28"/>
          <w:szCs w:val="28"/>
        </w:rPr>
        <w:br/>
      </w:r>
      <w:r>
        <w:rPr>
          <w:rFonts w:asciiTheme="majorBidi" w:hAnsiTheme="majorBidi" w:cstheme="majorBidi" w:hint="cs"/>
          <w:sz w:val="28"/>
          <w:szCs w:val="28"/>
          <w:rtl/>
        </w:rPr>
        <w:t xml:space="preserve">4.2. </w:t>
      </w:r>
      <w:r w:rsidRPr="00585DBF">
        <w:rPr>
          <w:rFonts w:asciiTheme="majorBidi" w:hAnsiTheme="majorBidi" w:cstheme="majorBidi"/>
          <w:sz w:val="28"/>
          <w:szCs w:val="28"/>
          <w:rtl/>
        </w:rPr>
        <w:t>اختبار الفرضيات</w:t>
      </w:r>
      <w:r w:rsidRPr="00585DBF">
        <w:rPr>
          <w:rFonts w:asciiTheme="majorBidi" w:hAnsiTheme="majorBidi" w:cstheme="majorBidi"/>
          <w:sz w:val="28"/>
          <w:szCs w:val="28"/>
        </w:rPr>
        <w:br/>
      </w:r>
      <w:r>
        <w:rPr>
          <w:rFonts w:asciiTheme="majorBidi" w:hAnsiTheme="majorBidi" w:cstheme="majorBidi" w:hint="cs"/>
          <w:sz w:val="28"/>
          <w:szCs w:val="28"/>
          <w:rtl/>
        </w:rPr>
        <w:t xml:space="preserve">4.3. </w:t>
      </w:r>
      <w:r w:rsidRPr="00585DBF">
        <w:rPr>
          <w:rFonts w:asciiTheme="majorBidi" w:hAnsiTheme="majorBidi" w:cstheme="majorBidi"/>
          <w:sz w:val="28"/>
          <w:szCs w:val="28"/>
          <w:rtl/>
        </w:rPr>
        <w:t>تحليل الفروق بين قطاعي الفنادق والمطاعم</w:t>
      </w:r>
      <w:r w:rsidRPr="00585DBF">
        <w:rPr>
          <w:rFonts w:asciiTheme="majorBidi" w:hAnsiTheme="majorBidi" w:cstheme="majorBidi"/>
          <w:sz w:val="28"/>
          <w:szCs w:val="28"/>
        </w:rPr>
        <w:br/>
      </w:r>
      <w:r>
        <w:rPr>
          <w:rFonts w:asciiTheme="majorBidi" w:hAnsiTheme="majorBidi" w:cstheme="majorBidi" w:hint="cs"/>
          <w:sz w:val="28"/>
          <w:szCs w:val="28"/>
          <w:rtl/>
        </w:rPr>
        <w:t xml:space="preserve">4.4. </w:t>
      </w:r>
      <w:r w:rsidRPr="00585DBF">
        <w:rPr>
          <w:rFonts w:asciiTheme="majorBidi" w:hAnsiTheme="majorBidi" w:cstheme="majorBidi"/>
          <w:sz w:val="28"/>
          <w:szCs w:val="28"/>
          <w:rtl/>
        </w:rPr>
        <w:t>اختبار دور الثقافة التنظيمية كمتغير وسيط</w:t>
      </w:r>
      <w:r w:rsidRPr="00585DBF">
        <w:rPr>
          <w:rFonts w:asciiTheme="majorBidi" w:hAnsiTheme="majorBidi" w:cstheme="majorBidi"/>
          <w:sz w:val="28"/>
          <w:szCs w:val="28"/>
        </w:rPr>
        <w:br/>
      </w:r>
      <w:r>
        <w:rPr>
          <w:rFonts w:asciiTheme="majorBidi" w:hAnsiTheme="majorBidi" w:cstheme="majorBidi" w:hint="cs"/>
          <w:sz w:val="28"/>
          <w:szCs w:val="28"/>
          <w:rtl/>
        </w:rPr>
        <w:t xml:space="preserve">4.5. </w:t>
      </w:r>
      <w:r w:rsidRPr="00585DBF">
        <w:rPr>
          <w:rFonts w:asciiTheme="majorBidi" w:hAnsiTheme="majorBidi" w:cstheme="majorBidi"/>
          <w:sz w:val="28"/>
          <w:szCs w:val="28"/>
          <w:rtl/>
        </w:rPr>
        <w:t>تحليل النتائج النوعية (المقابلات)</w:t>
      </w:r>
    </w:p>
    <w:p w14:paraId="3F709802" w14:textId="77777777" w:rsidR="00404A54" w:rsidRPr="00585DBF" w:rsidRDefault="00404A54" w:rsidP="00404A54">
      <w:pPr>
        <w:bidi/>
        <w:rPr>
          <w:rFonts w:asciiTheme="majorBidi" w:hAnsiTheme="majorBidi" w:cstheme="majorBidi"/>
          <w:b/>
          <w:bCs/>
          <w:sz w:val="28"/>
          <w:szCs w:val="28"/>
        </w:rPr>
      </w:pPr>
      <w:r w:rsidRPr="00585DBF">
        <w:rPr>
          <w:rFonts w:asciiTheme="majorBidi" w:hAnsiTheme="majorBidi" w:cstheme="majorBidi"/>
          <w:b/>
          <w:bCs/>
          <w:sz w:val="28"/>
          <w:szCs w:val="28"/>
          <w:rtl/>
        </w:rPr>
        <w:t>الفصل الخامس: المناقشة والتوصيات</w:t>
      </w:r>
    </w:p>
    <w:p w14:paraId="5D846CCD" w14:textId="77777777" w:rsidR="00404A54" w:rsidRPr="00585DBF" w:rsidRDefault="00404A54" w:rsidP="00404A54">
      <w:pPr>
        <w:bidi/>
        <w:rPr>
          <w:rFonts w:asciiTheme="majorBidi" w:hAnsiTheme="majorBidi" w:cstheme="majorBidi"/>
          <w:sz w:val="28"/>
          <w:szCs w:val="28"/>
        </w:rPr>
      </w:pPr>
      <w:r>
        <w:rPr>
          <w:rFonts w:asciiTheme="majorBidi" w:hAnsiTheme="majorBidi" w:cstheme="majorBidi" w:hint="cs"/>
          <w:sz w:val="28"/>
          <w:szCs w:val="28"/>
          <w:rtl/>
        </w:rPr>
        <w:t xml:space="preserve">5.1. </w:t>
      </w:r>
      <w:r w:rsidRPr="00585DBF">
        <w:rPr>
          <w:rFonts w:asciiTheme="majorBidi" w:hAnsiTheme="majorBidi" w:cstheme="majorBidi"/>
          <w:sz w:val="28"/>
          <w:szCs w:val="28"/>
          <w:rtl/>
        </w:rPr>
        <w:t>مناقشة النتائج مقارنة بالدراسات السابقة</w:t>
      </w:r>
      <w:r w:rsidRPr="00585DBF">
        <w:rPr>
          <w:rFonts w:asciiTheme="majorBidi" w:hAnsiTheme="majorBidi" w:cstheme="majorBidi"/>
          <w:sz w:val="28"/>
          <w:szCs w:val="28"/>
        </w:rPr>
        <w:br/>
      </w:r>
      <w:r>
        <w:rPr>
          <w:rFonts w:asciiTheme="majorBidi" w:hAnsiTheme="majorBidi" w:cstheme="majorBidi" w:hint="cs"/>
          <w:sz w:val="28"/>
          <w:szCs w:val="28"/>
          <w:rtl/>
        </w:rPr>
        <w:t xml:space="preserve">5.2. </w:t>
      </w:r>
      <w:r w:rsidRPr="00585DBF">
        <w:rPr>
          <w:rFonts w:asciiTheme="majorBidi" w:hAnsiTheme="majorBidi" w:cstheme="majorBidi"/>
          <w:sz w:val="28"/>
          <w:szCs w:val="28"/>
          <w:rtl/>
        </w:rPr>
        <w:t>التفسير العلمي للعلاقات بين المتغيرات</w:t>
      </w:r>
      <w:r w:rsidRPr="00585DBF">
        <w:rPr>
          <w:rFonts w:asciiTheme="majorBidi" w:hAnsiTheme="majorBidi" w:cstheme="majorBidi"/>
          <w:sz w:val="28"/>
          <w:szCs w:val="28"/>
        </w:rPr>
        <w:br/>
      </w:r>
      <w:r>
        <w:rPr>
          <w:rFonts w:asciiTheme="majorBidi" w:hAnsiTheme="majorBidi" w:cstheme="majorBidi" w:hint="cs"/>
          <w:sz w:val="28"/>
          <w:szCs w:val="28"/>
          <w:rtl/>
        </w:rPr>
        <w:t xml:space="preserve">5.3. </w:t>
      </w:r>
      <w:r w:rsidRPr="00585DBF">
        <w:rPr>
          <w:rFonts w:asciiTheme="majorBidi" w:hAnsiTheme="majorBidi" w:cstheme="majorBidi"/>
          <w:sz w:val="28"/>
          <w:szCs w:val="28"/>
          <w:rtl/>
        </w:rPr>
        <w:t>النتائج النظرية والتطبيقية</w:t>
      </w:r>
      <w:r w:rsidRPr="00585DBF">
        <w:rPr>
          <w:rFonts w:asciiTheme="majorBidi" w:hAnsiTheme="majorBidi" w:cstheme="majorBidi"/>
          <w:sz w:val="28"/>
          <w:szCs w:val="28"/>
        </w:rPr>
        <w:br/>
      </w:r>
      <w:r>
        <w:rPr>
          <w:rFonts w:asciiTheme="majorBidi" w:hAnsiTheme="majorBidi" w:cstheme="majorBidi" w:hint="cs"/>
          <w:sz w:val="28"/>
          <w:szCs w:val="28"/>
          <w:rtl/>
        </w:rPr>
        <w:t xml:space="preserve">5.4. </w:t>
      </w:r>
      <w:r w:rsidRPr="00585DBF">
        <w:rPr>
          <w:rFonts w:asciiTheme="majorBidi" w:hAnsiTheme="majorBidi" w:cstheme="majorBidi"/>
          <w:sz w:val="28"/>
          <w:szCs w:val="28"/>
          <w:rtl/>
        </w:rPr>
        <w:t>التوصيات العملية (للموارد البشرية، السياسات، التدريب)</w:t>
      </w:r>
      <w:r w:rsidRPr="00585DBF">
        <w:rPr>
          <w:rFonts w:asciiTheme="majorBidi" w:hAnsiTheme="majorBidi" w:cstheme="majorBidi"/>
          <w:sz w:val="28"/>
          <w:szCs w:val="28"/>
        </w:rPr>
        <w:br/>
      </w:r>
      <w:r>
        <w:rPr>
          <w:rFonts w:asciiTheme="majorBidi" w:hAnsiTheme="majorBidi" w:cstheme="majorBidi" w:hint="cs"/>
          <w:sz w:val="28"/>
          <w:szCs w:val="28"/>
          <w:rtl/>
        </w:rPr>
        <w:t xml:space="preserve">5.5. </w:t>
      </w:r>
      <w:r w:rsidRPr="00585DBF">
        <w:rPr>
          <w:rFonts w:asciiTheme="majorBidi" w:hAnsiTheme="majorBidi" w:cstheme="majorBidi"/>
          <w:sz w:val="28"/>
          <w:szCs w:val="28"/>
          <w:rtl/>
        </w:rPr>
        <w:t>مقترحات لدراسات مستقبلية</w:t>
      </w:r>
      <w:r w:rsidRPr="00585DBF">
        <w:rPr>
          <w:rFonts w:asciiTheme="majorBidi" w:hAnsiTheme="majorBidi" w:cstheme="majorBidi"/>
          <w:sz w:val="28"/>
          <w:szCs w:val="28"/>
        </w:rPr>
        <w:br/>
      </w:r>
      <w:r>
        <w:rPr>
          <w:rFonts w:asciiTheme="majorBidi" w:hAnsiTheme="majorBidi" w:cstheme="majorBidi" w:hint="cs"/>
          <w:sz w:val="28"/>
          <w:szCs w:val="28"/>
          <w:rtl/>
        </w:rPr>
        <w:t xml:space="preserve">5.6. </w:t>
      </w:r>
      <w:r w:rsidRPr="00585DBF">
        <w:rPr>
          <w:rFonts w:asciiTheme="majorBidi" w:hAnsiTheme="majorBidi" w:cstheme="majorBidi"/>
          <w:sz w:val="28"/>
          <w:szCs w:val="28"/>
          <w:rtl/>
        </w:rPr>
        <w:t>حدود الدراسة</w:t>
      </w:r>
    </w:p>
    <w:p w14:paraId="3C4ED9C7" w14:textId="77777777" w:rsidR="00404A54" w:rsidRPr="00585DBF" w:rsidRDefault="00404A54" w:rsidP="00404A54">
      <w:pPr>
        <w:bidi/>
        <w:rPr>
          <w:rFonts w:asciiTheme="majorBidi" w:hAnsiTheme="majorBidi" w:cstheme="majorBidi"/>
          <w:b/>
          <w:bCs/>
          <w:sz w:val="28"/>
          <w:szCs w:val="28"/>
        </w:rPr>
      </w:pPr>
      <w:r w:rsidRPr="00585DBF">
        <w:rPr>
          <w:rFonts w:asciiTheme="majorBidi" w:hAnsiTheme="majorBidi" w:cstheme="majorBidi"/>
          <w:b/>
          <w:bCs/>
          <w:sz w:val="28"/>
          <w:szCs w:val="28"/>
          <w:rtl/>
        </w:rPr>
        <w:t>الملاحق</w:t>
      </w:r>
    </w:p>
    <w:p w14:paraId="380570F3" w14:textId="77777777" w:rsidR="00404A54" w:rsidRPr="00585DBF" w:rsidRDefault="00404A54" w:rsidP="00404A54">
      <w:pPr>
        <w:numPr>
          <w:ilvl w:val="0"/>
          <w:numId w:val="89"/>
        </w:numPr>
        <w:bidi/>
        <w:rPr>
          <w:rFonts w:asciiTheme="majorBidi" w:hAnsiTheme="majorBidi" w:cstheme="majorBidi"/>
          <w:sz w:val="28"/>
          <w:szCs w:val="28"/>
        </w:rPr>
      </w:pPr>
      <w:r w:rsidRPr="00585DBF">
        <w:rPr>
          <w:rFonts w:asciiTheme="majorBidi" w:hAnsiTheme="majorBidi" w:cstheme="majorBidi"/>
          <w:sz w:val="28"/>
          <w:szCs w:val="28"/>
          <w:rtl/>
        </w:rPr>
        <w:t>نسخة من الاستبيان</w:t>
      </w:r>
    </w:p>
    <w:p w14:paraId="43CAE2F5" w14:textId="77777777" w:rsidR="00404A54" w:rsidRPr="00585DBF" w:rsidRDefault="00404A54" w:rsidP="00404A54">
      <w:pPr>
        <w:numPr>
          <w:ilvl w:val="0"/>
          <w:numId w:val="89"/>
        </w:numPr>
        <w:bidi/>
        <w:rPr>
          <w:rFonts w:asciiTheme="majorBidi" w:hAnsiTheme="majorBidi" w:cstheme="majorBidi"/>
          <w:sz w:val="28"/>
          <w:szCs w:val="28"/>
        </w:rPr>
      </w:pPr>
      <w:r w:rsidRPr="00585DBF">
        <w:rPr>
          <w:rFonts w:asciiTheme="majorBidi" w:hAnsiTheme="majorBidi" w:cstheme="majorBidi"/>
          <w:sz w:val="28"/>
          <w:szCs w:val="28"/>
          <w:rtl/>
        </w:rPr>
        <w:t>نتائج التحليل الإحصائي</w:t>
      </w:r>
    </w:p>
    <w:p w14:paraId="5971B22F" w14:textId="77777777" w:rsidR="00404A54" w:rsidRPr="00585DBF" w:rsidRDefault="00404A54" w:rsidP="00404A54">
      <w:pPr>
        <w:numPr>
          <w:ilvl w:val="0"/>
          <w:numId w:val="89"/>
        </w:numPr>
        <w:bidi/>
        <w:rPr>
          <w:rFonts w:asciiTheme="majorBidi" w:hAnsiTheme="majorBidi" w:cstheme="majorBidi"/>
          <w:sz w:val="28"/>
          <w:szCs w:val="28"/>
        </w:rPr>
      </w:pPr>
      <w:r w:rsidRPr="00585DBF">
        <w:rPr>
          <w:rFonts w:asciiTheme="majorBidi" w:hAnsiTheme="majorBidi" w:cstheme="majorBidi"/>
          <w:sz w:val="28"/>
          <w:szCs w:val="28"/>
          <w:rtl/>
        </w:rPr>
        <w:t>مراسلات الموافقة على إجراء الدراسة</w:t>
      </w:r>
    </w:p>
    <w:p w14:paraId="79CDA577" w14:textId="77777777" w:rsidR="00404A54" w:rsidRPr="00585DBF" w:rsidRDefault="00404A54" w:rsidP="00404A54">
      <w:pPr>
        <w:bidi/>
        <w:rPr>
          <w:rFonts w:asciiTheme="majorBidi" w:hAnsiTheme="majorBidi" w:cstheme="majorBidi"/>
          <w:b/>
          <w:bCs/>
          <w:sz w:val="28"/>
          <w:szCs w:val="28"/>
        </w:rPr>
      </w:pPr>
      <w:r w:rsidRPr="00585DBF">
        <w:rPr>
          <w:rFonts w:asciiTheme="majorBidi" w:hAnsiTheme="majorBidi" w:cstheme="majorBidi"/>
          <w:b/>
          <w:bCs/>
          <w:sz w:val="28"/>
          <w:szCs w:val="28"/>
          <w:rtl/>
        </w:rPr>
        <w:t>قائمة المراجع</w:t>
      </w:r>
    </w:p>
    <w:p w14:paraId="6151B1C0" w14:textId="77777777" w:rsidR="00404A54" w:rsidRPr="00585DBF" w:rsidRDefault="00404A54" w:rsidP="00404A54">
      <w:pPr>
        <w:numPr>
          <w:ilvl w:val="0"/>
          <w:numId w:val="90"/>
        </w:numPr>
        <w:bidi/>
        <w:rPr>
          <w:rFonts w:asciiTheme="majorBidi" w:hAnsiTheme="majorBidi" w:cstheme="majorBidi"/>
          <w:sz w:val="28"/>
          <w:szCs w:val="28"/>
        </w:rPr>
      </w:pPr>
      <w:r w:rsidRPr="00585DBF">
        <w:rPr>
          <w:rFonts w:asciiTheme="majorBidi" w:hAnsiTheme="majorBidi" w:cstheme="majorBidi"/>
          <w:sz w:val="28"/>
          <w:szCs w:val="28"/>
          <w:rtl/>
        </w:rPr>
        <w:t>عربية</w:t>
      </w:r>
    </w:p>
    <w:p w14:paraId="161D05C5" w14:textId="77777777" w:rsidR="00404A54" w:rsidRPr="00585DBF" w:rsidRDefault="00404A54" w:rsidP="00404A54">
      <w:pPr>
        <w:numPr>
          <w:ilvl w:val="0"/>
          <w:numId w:val="90"/>
        </w:numPr>
        <w:bidi/>
        <w:rPr>
          <w:rFonts w:asciiTheme="majorBidi" w:hAnsiTheme="majorBidi" w:cstheme="majorBidi"/>
          <w:sz w:val="28"/>
          <w:szCs w:val="28"/>
        </w:rPr>
      </w:pPr>
      <w:r w:rsidRPr="00585DBF">
        <w:rPr>
          <w:rFonts w:asciiTheme="majorBidi" w:hAnsiTheme="majorBidi" w:cstheme="majorBidi"/>
          <w:sz w:val="28"/>
          <w:szCs w:val="28"/>
          <w:rtl/>
        </w:rPr>
        <w:t>أجنبية</w:t>
      </w:r>
    </w:p>
    <w:p w14:paraId="3C44BB04" w14:textId="77777777" w:rsidR="00F14E97" w:rsidRDefault="00F14E97" w:rsidP="00F14E97">
      <w:pPr>
        <w:bidi/>
        <w:rPr>
          <w:rFonts w:asciiTheme="majorBidi" w:hAnsiTheme="majorBidi" w:cstheme="majorBidi"/>
          <w:sz w:val="28"/>
          <w:szCs w:val="28"/>
          <w:rtl/>
        </w:rPr>
      </w:pPr>
    </w:p>
    <w:p w14:paraId="04D034E0" w14:textId="77777777" w:rsidR="00F14E97" w:rsidRDefault="00F14E97" w:rsidP="00F14E97">
      <w:pPr>
        <w:bidi/>
        <w:rPr>
          <w:rFonts w:asciiTheme="majorBidi" w:hAnsiTheme="majorBidi" w:cstheme="majorBidi"/>
          <w:sz w:val="28"/>
          <w:szCs w:val="28"/>
          <w:rtl/>
        </w:rPr>
      </w:pPr>
    </w:p>
    <w:p w14:paraId="24E24E7F" w14:textId="77777777" w:rsidR="00F14E97" w:rsidRDefault="00F14E97" w:rsidP="00F14E97">
      <w:pPr>
        <w:bidi/>
        <w:rPr>
          <w:rFonts w:asciiTheme="majorBidi" w:hAnsiTheme="majorBidi" w:cstheme="majorBidi"/>
          <w:sz w:val="28"/>
          <w:szCs w:val="28"/>
          <w:rtl/>
        </w:rPr>
      </w:pPr>
    </w:p>
    <w:p w14:paraId="5CF14C1E" w14:textId="77777777" w:rsidR="005D473F" w:rsidRDefault="005D473F" w:rsidP="005D473F">
      <w:pPr>
        <w:bidi/>
        <w:rPr>
          <w:rFonts w:asciiTheme="majorBidi" w:hAnsiTheme="majorBidi" w:cstheme="majorBidi"/>
          <w:sz w:val="28"/>
          <w:szCs w:val="28"/>
          <w:rtl/>
        </w:rPr>
      </w:pPr>
    </w:p>
    <w:p w14:paraId="33C78614" w14:textId="77777777" w:rsidR="004675F9" w:rsidRDefault="004675F9" w:rsidP="004675F9">
      <w:pPr>
        <w:bidi/>
        <w:rPr>
          <w:rFonts w:asciiTheme="majorBidi" w:hAnsiTheme="majorBidi" w:cstheme="majorBidi"/>
          <w:sz w:val="28"/>
          <w:szCs w:val="28"/>
          <w:rtl/>
        </w:rPr>
      </w:pPr>
    </w:p>
    <w:p w14:paraId="5A18FA29" w14:textId="77777777" w:rsidR="005D473F" w:rsidRDefault="005D473F" w:rsidP="005D473F">
      <w:pPr>
        <w:bidi/>
        <w:rPr>
          <w:rFonts w:asciiTheme="majorBidi" w:hAnsiTheme="majorBidi" w:cstheme="majorBidi"/>
          <w:sz w:val="28"/>
          <w:szCs w:val="28"/>
          <w:rtl/>
        </w:rPr>
      </w:pPr>
    </w:p>
    <w:p w14:paraId="010F3837" w14:textId="77777777" w:rsidR="0088233E" w:rsidRPr="00414E2F" w:rsidRDefault="0088233E" w:rsidP="00F806C7">
      <w:pPr>
        <w:bidi/>
        <w:jc w:val="center"/>
        <w:rPr>
          <w:rFonts w:asciiTheme="majorBidi" w:hAnsiTheme="majorBidi" w:cstheme="majorBidi"/>
          <w:b/>
          <w:bCs/>
          <w:sz w:val="44"/>
          <w:szCs w:val="44"/>
          <w:rtl/>
        </w:rPr>
      </w:pPr>
      <w:r>
        <w:rPr>
          <w:rFonts w:asciiTheme="majorBidi" w:hAnsiTheme="majorBidi" w:cstheme="majorBidi" w:hint="cs"/>
          <w:b/>
          <w:bCs/>
          <w:sz w:val="44"/>
          <w:szCs w:val="44"/>
          <w:rtl/>
        </w:rPr>
        <w:lastRenderedPageBreak/>
        <w:t>الفصل الثاني: الإطار النظري والدراسات السابقة.</w:t>
      </w:r>
    </w:p>
    <w:p w14:paraId="458223A3" w14:textId="77777777" w:rsidR="0088233E" w:rsidRDefault="0088233E" w:rsidP="0088233E">
      <w:pPr>
        <w:bidi/>
        <w:rPr>
          <w:rFonts w:asciiTheme="majorBidi" w:hAnsiTheme="majorBidi" w:cstheme="majorBidi"/>
          <w:sz w:val="28"/>
          <w:szCs w:val="28"/>
        </w:rPr>
      </w:pPr>
    </w:p>
    <w:p w14:paraId="3B091C34" w14:textId="77777777" w:rsidR="0088233E" w:rsidRDefault="0088233E" w:rsidP="0088233E">
      <w:pPr>
        <w:bidi/>
        <w:rPr>
          <w:rFonts w:asciiTheme="majorBidi" w:hAnsiTheme="majorBidi" w:cstheme="majorBidi"/>
          <w:sz w:val="28"/>
          <w:szCs w:val="28"/>
        </w:rPr>
      </w:pPr>
    </w:p>
    <w:p w14:paraId="47C8046D" w14:textId="4E2C404A" w:rsidR="0088233E" w:rsidRPr="0088233E" w:rsidRDefault="0088233E" w:rsidP="0088233E">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2.1. </w:t>
      </w:r>
      <w:r w:rsidRPr="007575D7">
        <w:rPr>
          <w:rFonts w:asciiTheme="majorBidi" w:hAnsiTheme="majorBidi" w:cstheme="majorBidi"/>
          <w:b/>
          <w:bCs/>
          <w:sz w:val="28"/>
          <w:szCs w:val="28"/>
          <w:rtl/>
        </w:rPr>
        <w:t>مقدمة الفصل</w:t>
      </w:r>
    </w:p>
    <w:p w14:paraId="48B50855" w14:textId="0D351089" w:rsidR="007575D7" w:rsidRPr="007575D7" w:rsidRDefault="007575D7" w:rsidP="00FF5C30">
      <w:pPr>
        <w:bidi/>
        <w:jc w:val="both"/>
        <w:rPr>
          <w:rFonts w:asciiTheme="majorBidi" w:hAnsiTheme="majorBidi" w:cstheme="majorBidi"/>
          <w:sz w:val="28"/>
          <w:szCs w:val="28"/>
        </w:rPr>
      </w:pPr>
      <w:r w:rsidRPr="007575D7">
        <w:rPr>
          <w:rFonts w:asciiTheme="majorBidi" w:hAnsiTheme="majorBidi" w:cstheme="majorBidi"/>
          <w:sz w:val="28"/>
          <w:szCs w:val="28"/>
          <w:rtl/>
        </w:rPr>
        <w:t xml:space="preserve">يُعد </w:t>
      </w:r>
      <w:r w:rsidRPr="00611E7E">
        <w:rPr>
          <w:rFonts w:asciiTheme="majorBidi" w:hAnsiTheme="majorBidi" w:cstheme="majorBidi"/>
          <w:sz w:val="28"/>
          <w:szCs w:val="28"/>
          <w:rtl/>
        </w:rPr>
        <w:t>الإطار النظري من الركائز الأساسية لأي دراسة علمية، إذ يُشكل الأساس المنطقي لفهم المتغيرات محل الدراسة والعلاقات المحتملة فيما بينها. ويهدف هذا الفصل إلى بناء أرضية نظرية متماسكة تمكّن من تفسير تأثير أنظمة العمل عالية الأداء</w:t>
      </w:r>
      <w:r w:rsidRPr="00611E7E">
        <w:rPr>
          <w:rFonts w:asciiTheme="majorBidi" w:hAnsiTheme="majorBidi" w:cstheme="majorBidi"/>
          <w:sz w:val="28"/>
          <w:szCs w:val="28"/>
        </w:rPr>
        <w:t xml:space="preserve"> (High Performance Work Systems - HPWS) </w:t>
      </w:r>
      <w:r w:rsidRPr="00611E7E">
        <w:rPr>
          <w:rFonts w:asciiTheme="majorBidi" w:hAnsiTheme="majorBidi" w:cstheme="majorBidi"/>
          <w:sz w:val="28"/>
          <w:szCs w:val="28"/>
          <w:rtl/>
        </w:rPr>
        <w:t>على الإبداع الوظيفي، من خلال الثقافة التنظيمية كمتغير وسيط. ويتطلب تحقيق هذا الهدف تحليلًا نقديًا ومعمقًا للأدبيات السابقة ذات الصلة، بما يسهم في توضيح الخلفية المفاهيمية والنظرية للدراسة، وربطها بالممارسات الإدارية المعاصرة في</w:t>
      </w:r>
      <w:r w:rsidRPr="007575D7">
        <w:rPr>
          <w:rFonts w:asciiTheme="majorBidi" w:hAnsiTheme="majorBidi" w:cstheme="majorBidi"/>
          <w:sz w:val="28"/>
          <w:szCs w:val="28"/>
          <w:rtl/>
        </w:rPr>
        <w:t xml:space="preserve"> بيئة العمل</w:t>
      </w:r>
      <w:r w:rsidRPr="007575D7">
        <w:rPr>
          <w:rFonts w:asciiTheme="majorBidi" w:hAnsiTheme="majorBidi" w:cstheme="majorBidi"/>
          <w:sz w:val="28"/>
          <w:szCs w:val="28"/>
        </w:rPr>
        <w:t>.</w:t>
      </w:r>
    </w:p>
    <w:p w14:paraId="640D787F" w14:textId="77777777" w:rsidR="007575D7" w:rsidRPr="007575D7" w:rsidRDefault="007575D7" w:rsidP="00FF5C30">
      <w:pPr>
        <w:bidi/>
        <w:jc w:val="both"/>
        <w:rPr>
          <w:rFonts w:asciiTheme="majorBidi" w:hAnsiTheme="majorBidi" w:cstheme="majorBidi"/>
          <w:sz w:val="28"/>
          <w:szCs w:val="28"/>
        </w:rPr>
      </w:pPr>
      <w:r w:rsidRPr="007575D7">
        <w:rPr>
          <w:rFonts w:asciiTheme="majorBidi" w:hAnsiTheme="majorBidi" w:cstheme="majorBidi"/>
          <w:sz w:val="28"/>
          <w:szCs w:val="28"/>
          <w:rtl/>
        </w:rPr>
        <w:t>تتناول هذه الدراسة ثلاثة مفاهيم رئيسة تتقاطع فيما بينها بشكل مركب. أولًا، أنظمة العمل عالية الأداء، التي تشكّل منهجًا استراتيجيًا في إدارة الموارد البشرية يستند إلى مجموعة من الممارسات المتكاملة التي تهدف إلى تعزيز قدرات العاملين وتحقيق أداء متميز. ثانيًا، الثقافة التنظيمية، بوصفها الإطار القيمي والسلوكي الذي يوجه تصرفات الأفراد داخل المنظمة ويؤثر في استجابتهم للممارسات الإدارية. ثالثًا، الإبداع الوظيفي، الذي يمثل القدرة على توليد أفكار جديدة ومبتكرة تُسهم في تحسين الأداء التنظيمي وتعزيز التنافسية</w:t>
      </w:r>
      <w:r w:rsidRPr="007575D7">
        <w:rPr>
          <w:rFonts w:asciiTheme="majorBidi" w:hAnsiTheme="majorBidi" w:cstheme="majorBidi"/>
          <w:sz w:val="28"/>
          <w:szCs w:val="28"/>
        </w:rPr>
        <w:t>.</w:t>
      </w:r>
    </w:p>
    <w:p w14:paraId="73D4953F" w14:textId="77777777" w:rsidR="007575D7" w:rsidRPr="007575D7" w:rsidRDefault="007575D7" w:rsidP="00FF5C30">
      <w:pPr>
        <w:bidi/>
        <w:jc w:val="both"/>
        <w:rPr>
          <w:rFonts w:asciiTheme="majorBidi" w:hAnsiTheme="majorBidi" w:cstheme="majorBidi"/>
          <w:sz w:val="28"/>
          <w:szCs w:val="28"/>
        </w:rPr>
      </w:pPr>
      <w:r w:rsidRPr="007575D7">
        <w:rPr>
          <w:rFonts w:asciiTheme="majorBidi" w:hAnsiTheme="majorBidi" w:cstheme="majorBidi"/>
          <w:sz w:val="28"/>
          <w:szCs w:val="28"/>
          <w:rtl/>
        </w:rPr>
        <w:t>ويُستعرض في هذا الفصل تطور المفاهيم المرتبطة بالمتغيرات الثلاثة، مع التركيز على أبرز النماذج النظرية التي فسّرت كل متغير، مثل نظرية الموارد</w:t>
      </w:r>
      <w:r w:rsidRPr="007575D7">
        <w:rPr>
          <w:rFonts w:asciiTheme="majorBidi" w:hAnsiTheme="majorBidi" w:cstheme="majorBidi"/>
          <w:sz w:val="28"/>
          <w:szCs w:val="28"/>
        </w:rPr>
        <w:t xml:space="preserve"> (Resource-Based View) </w:t>
      </w:r>
      <w:r w:rsidRPr="007575D7">
        <w:rPr>
          <w:rFonts w:asciiTheme="majorBidi" w:hAnsiTheme="majorBidi" w:cstheme="majorBidi"/>
          <w:sz w:val="28"/>
          <w:szCs w:val="28"/>
          <w:rtl/>
        </w:rPr>
        <w:t>في تفسير</w:t>
      </w:r>
      <w:r w:rsidRPr="007575D7">
        <w:rPr>
          <w:rFonts w:asciiTheme="majorBidi" w:hAnsiTheme="majorBidi" w:cstheme="majorBidi"/>
          <w:sz w:val="28"/>
          <w:szCs w:val="28"/>
        </w:rPr>
        <w:t xml:space="preserve"> HPWS</w:t>
      </w:r>
      <w:r w:rsidRPr="007575D7">
        <w:rPr>
          <w:rFonts w:asciiTheme="majorBidi" w:hAnsiTheme="majorBidi" w:cstheme="majorBidi"/>
          <w:sz w:val="28"/>
          <w:szCs w:val="28"/>
          <w:rtl/>
        </w:rPr>
        <w:t>، ونموذج</w:t>
      </w:r>
      <w:r w:rsidRPr="007575D7">
        <w:rPr>
          <w:rFonts w:asciiTheme="majorBidi" w:hAnsiTheme="majorBidi" w:cstheme="majorBidi"/>
          <w:sz w:val="28"/>
          <w:szCs w:val="28"/>
        </w:rPr>
        <w:t xml:space="preserve"> Schein </w:t>
      </w:r>
      <w:r w:rsidRPr="007575D7">
        <w:rPr>
          <w:rFonts w:asciiTheme="majorBidi" w:hAnsiTheme="majorBidi" w:cstheme="majorBidi"/>
          <w:sz w:val="28"/>
          <w:szCs w:val="28"/>
          <w:rtl/>
        </w:rPr>
        <w:t>و</w:t>
      </w:r>
      <w:r w:rsidRPr="007575D7">
        <w:rPr>
          <w:rFonts w:asciiTheme="majorBidi" w:hAnsiTheme="majorBidi" w:cstheme="majorBidi"/>
          <w:sz w:val="28"/>
          <w:szCs w:val="28"/>
        </w:rPr>
        <w:t xml:space="preserve">Hofstede </w:t>
      </w:r>
      <w:r w:rsidRPr="007575D7">
        <w:rPr>
          <w:rFonts w:asciiTheme="majorBidi" w:hAnsiTheme="majorBidi" w:cstheme="majorBidi"/>
          <w:sz w:val="28"/>
          <w:szCs w:val="28"/>
          <w:rtl/>
        </w:rPr>
        <w:t>و</w:t>
      </w:r>
      <w:r w:rsidRPr="007575D7">
        <w:rPr>
          <w:rFonts w:asciiTheme="majorBidi" w:hAnsiTheme="majorBidi" w:cstheme="majorBidi"/>
          <w:sz w:val="28"/>
          <w:szCs w:val="28"/>
        </w:rPr>
        <w:t xml:space="preserve">Denison </w:t>
      </w:r>
      <w:r w:rsidRPr="007575D7">
        <w:rPr>
          <w:rFonts w:asciiTheme="majorBidi" w:hAnsiTheme="majorBidi" w:cstheme="majorBidi"/>
          <w:sz w:val="28"/>
          <w:szCs w:val="28"/>
          <w:rtl/>
        </w:rPr>
        <w:t>في فهم الثقافة التنظيمية، بالإضافة إلى النظريات السلوكية والمعرفية التي فسرت مكونات الإبداع في بيئة العمل. كما يستعرض الفصل أيضًا أبرز الدراسات السابقة التي تناولت هذه المتغيرات، منفردة أو مترابطة، مع تحليل أوجه الاتفاق والاختلاف بينها وتحديد الفجوات المعرفية التي تسعى هذه الدراسة إلى معالجتها</w:t>
      </w:r>
      <w:r w:rsidRPr="007575D7">
        <w:rPr>
          <w:rFonts w:asciiTheme="majorBidi" w:hAnsiTheme="majorBidi" w:cstheme="majorBidi"/>
          <w:sz w:val="28"/>
          <w:szCs w:val="28"/>
        </w:rPr>
        <w:t>.</w:t>
      </w:r>
    </w:p>
    <w:p w14:paraId="6A23DC80" w14:textId="3B9E70ED" w:rsidR="0088233E" w:rsidRDefault="007575D7" w:rsidP="00FF5C30">
      <w:pPr>
        <w:bidi/>
        <w:jc w:val="both"/>
        <w:rPr>
          <w:rFonts w:asciiTheme="majorBidi" w:hAnsiTheme="majorBidi" w:cstheme="majorBidi"/>
          <w:sz w:val="28"/>
          <w:szCs w:val="28"/>
        </w:rPr>
      </w:pPr>
      <w:r w:rsidRPr="007575D7">
        <w:rPr>
          <w:rFonts w:asciiTheme="majorBidi" w:hAnsiTheme="majorBidi" w:cstheme="majorBidi"/>
          <w:sz w:val="28"/>
          <w:szCs w:val="28"/>
          <w:rtl/>
        </w:rPr>
        <w:t>إن تقديم معالجة نظرية دقيقة للمفاهيم والعلاقات المفترضة في هذه الدراسة لا يسهم فقط في تعزيز الجانب الأكاديمي، بل يدعم أيضًا البناء التحليلي اللازم في الفصول اللاحقة، لا سيما عند اختبار الفرضيات وتفسير النتائج. ويُعد الربط بين أنظمة العمل عالية الأداء والثقافة التنظيمية والإبداع الوظيفي مساهمة علمية ضرورية لفهم كيفية تعزيز التميز المؤسسي في قطاعي الفنادق والمطاعم بالمملكة العربية السعودية، في ظل التغيرات التنظيمية المتسارعة والتحولات التي تفرضها رؤية المملكة 2030</w:t>
      </w:r>
      <w:r w:rsidRPr="007575D7">
        <w:rPr>
          <w:rFonts w:asciiTheme="majorBidi" w:hAnsiTheme="majorBidi" w:cstheme="majorBidi"/>
          <w:sz w:val="28"/>
          <w:szCs w:val="28"/>
        </w:rPr>
        <w:t>.</w:t>
      </w:r>
    </w:p>
    <w:p w14:paraId="17E03E2E" w14:textId="77777777" w:rsidR="00FF5C30" w:rsidRDefault="00FF5C30" w:rsidP="00FF5C30">
      <w:pPr>
        <w:bidi/>
        <w:rPr>
          <w:rFonts w:asciiTheme="majorBidi" w:hAnsiTheme="majorBidi" w:cstheme="majorBidi"/>
          <w:sz w:val="28"/>
          <w:szCs w:val="28"/>
          <w:rtl/>
        </w:rPr>
      </w:pPr>
    </w:p>
    <w:p w14:paraId="43C56C8A" w14:textId="77777777" w:rsidR="006652C1" w:rsidRPr="007575D7" w:rsidRDefault="006652C1" w:rsidP="006652C1">
      <w:pPr>
        <w:bidi/>
        <w:rPr>
          <w:rFonts w:asciiTheme="majorBidi" w:hAnsiTheme="majorBidi" w:cstheme="majorBidi"/>
          <w:sz w:val="28"/>
          <w:szCs w:val="28"/>
        </w:rPr>
      </w:pPr>
    </w:p>
    <w:p w14:paraId="5CB56DEA" w14:textId="7DF27441" w:rsidR="009717FC" w:rsidRPr="00DC3DDE" w:rsidRDefault="00A765E9" w:rsidP="007575D7">
      <w:pPr>
        <w:bidi/>
        <w:rPr>
          <w:rFonts w:asciiTheme="majorBidi" w:hAnsiTheme="majorBidi" w:cstheme="majorBidi"/>
          <w:b/>
          <w:bCs/>
          <w:sz w:val="28"/>
          <w:szCs w:val="28"/>
          <w:rtl/>
        </w:rPr>
      </w:pPr>
      <w:r w:rsidRPr="00DC3DDE">
        <w:rPr>
          <w:rFonts w:asciiTheme="majorBidi" w:hAnsiTheme="majorBidi" w:cstheme="majorBidi"/>
          <w:b/>
          <w:bCs/>
          <w:sz w:val="28"/>
          <w:szCs w:val="28"/>
          <w:rtl/>
        </w:rPr>
        <w:t>2.2.1.</w:t>
      </w:r>
      <w:r w:rsidR="007575D7" w:rsidRPr="00DC3DDE">
        <w:rPr>
          <w:rFonts w:asciiTheme="majorBidi" w:hAnsiTheme="majorBidi" w:cstheme="majorBidi"/>
          <w:b/>
          <w:bCs/>
          <w:sz w:val="28"/>
          <w:szCs w:val="28"/>
          <w:rtl/>
        </w:rPr>
        <w:t xml:space="preserve"> أنظمة العمل عالية الأداء: </w:t>
      </w:r>
    </w:p>
    <w:p w14:paraId="385AB7E1" w14:textId="3F82E0C0" w:rsidR="007575D7" w:rsidRDefault="00A765E9" w:rsidP="007575D7">
      <w:pPr>
        <w:bidi/>
        <w:rPr>
          <w:rFonts w:asciiTheme="majorBidi" w:hAnsiTheme="majorBidi" w:cstheme="majorBidi"/>
          <w:b/>
          <w:bCs/>
          <w:sz w:val="28"/>
          <w:szCs w:val="28"/>
        </w:rPr>
      </w:pPr>
      <w:r w:rsidRPr="00DC3DDE">
        <w:rPr>
          <w:rFonts w:asciiTheme="majorBidi" w:hAnsiTheme="majorBidi" w:cstheme="majorBidi"/>
          <w:b/>
          <w:bCs/>
          <w:sz w:val="28"/>
          <w:szCs w:val="28"/>
          <w:rtl/>
        </w:rPr>
        <w:lastRenderedPageBreak/>
        <w:t xml:space="preserve">2.2.1.1. </w:t>
      </w:r>
      <w:r w:rsidR="007575D7" w:rsidRPr="007575D7">
        <w:rPr>
          <w:rFonts w:asciiTheme="majorBidi" w:hAnsiTheme="majorBidi" w:cstheme="majorBidi"/>
          <w:b/>
          <w:bCs/>
          <w:sz w:val="28"/>
          <w:szCs w:val="28"/>
          <w:rtl/>
        </w:rPr>
        <w:t>النشأة والتطور</w:t>
      </w:r>
    </w:p>
    <w:p w14:paraId="640B919B" w14:textId="1CCB3AE0" w:rsidR="001D3CAA" w:rsidRPr="007575D7" w:rsidRDefault="001D3CAA" w:rsidP="001D3CAA">
      <w:pPr>
        <w:bidi/>
        <w:rPr>
          <w:rFonts w:asciiTheme="majorBidi" w:hAnsiTheme="majorBidi" w:cstheme="majorBidi"/>
          <w:b/>
          <w:bCs/>
          <w:sz w:val="28"/>
          <w:szCs w:val="28"/>
        </w:rPr>
      </w:pPr>
      <w:r w:rsidRPr="001D3CAA">
        <w:rPr>
          <w:rFonts w:asciiTheme="majorBidi" w:hAnsiTheme="majorBidi" w:cstheme="majorBidi" w:hint="cs"/>
          <w:b/>
          <w:bCs/>
          <w:sz w:val="28"/>
          <w:szCs w:val="28"/>
          <w:rtl/>
        </w:rPr>
        <w:t xml:space="preserve">نشأة مفهوم </w:t>
      </w:r>
      <w:r w:rsidRPr="001D3CAA">
        <w:rPr>
          <w:rFonts w:asciiTheme="majorBidi" w:hAnsiTheme="majorBidi" w:cstheme="majorBidi"/>
          <w:b/>
          <w:bCs/>
          <w:sz w:val="28"/>
          <w:szCs w:val="28"/>
        </w:rPr>
        <w:t>HPWS</w:t>
      </w:r>
    </w:p>
    <w:p w14:paraId="24672CC5" w14:textId="2C7D0C32" w:rsidR="007575D7" w:rsidRPr="00DC3DDE" w:rsidRDefault="007575D7" w:rsidP="00FF5C30">
      <w:pPr>
        <w:bidi/>
        <w:jc w:val="both"/>
        <w:rPr>
          <w:rFonts w:asciiTheme="majorBidi" w:hAnsiTheme="majorBidi" w:cstheme="majorBidi"/>
          <w:sz w:val="28"/>
          <w:szCs w:val="28"/>
          <w:rtl/>
        </w:rPr>
      </w:pPr>
      <w:r w:rsidRPr="007575D7">
        <w:rPr>
          <w:rFonts w:asciiTheme="majorBidi" w:hAnsiTheme="majorBidi" w:cstheme="majorBidi"/>
          <w:sz w:val="28"/>
          <w:szCs w:val="28"/>
          <w:rtl/>
        </w:rPr>
        <w:t>ظهر مفهوم أنظمة العمل عالية الأداء في نهاية ثمانينيات وبداية تسعينيات القرن الماضي، ضمن توجهات إدارة الموارد البشرية التي سعت إلى تجاوز الأساليب التقليدية في التوظيف والتحفيز والتدريب، نحو ممارسات أكثر تكاملًا وفاعلية</w:t>
      </w:r>
      <w:r w:rsidRPr="007575D7">
        <w:rPr>
          <w:rFonts w:asciiTheme="majorBidi" w:hAnsiTheme="majorBidi" w:cstheme="majorBidi"/>
          <w:sz w:val="28"/>
          <w:szCs w:val="28"/>
        </w:rPr>
        <w:t xml:space="preserve"> </w:t>
      </w:r>
      <w:r w:rsidR="00A765E9" w:rsidRPr="00DC3DDE">
        <w:rPr>
          <w:rFonts w:asciiTheme="majorBidi" w:hAnsiTheme="majorBidi" w:cstheme="majorBidi"/>
          <w:sz w:val="28"/>
          <w:szCs w:val="28"/>
          <w:rtl/>
        </w:rPr>
        <w:t xml:space="preserve"> </w:t>
      </w:r>
      <w:r w:rsidR="00A765E9" w:rsidRPr="00DC3DDE">
        <w:rPr>
          <w:rFonts w:asciiTheme="majorBidi" w:hAnsiTheme="majorBidi" w:cstheme="majorBidi"/>
          <w:sz w:val="28"/>
          <w:szCs w:val="28"/>
          <w:rtl/>
        </w:rPr>
        <w:fldChar w:fldCharType="begin"/>
      </w:r>
      <w:r w:rsidR="00A765E9" w:rsidRPr="00DC3DDE">
        <w:rPr>
          <w:rFonts w:asciiTheme="majorBidi" w:hAnsiTheme="majorBidi" w:cstheme="majorBidi"/>
          <w:sz w:val="28"/>
          <w:szCs w:val="28"/>
          <w:rtl/>
        </w:rPr>
        <w:instrText xml:space="preserve"> </w:instrText>
      </w:r>
      <w:r w:rsidR="00A765E9" w:rsidRPr="00DC3DDE">
        <w:rPr>
          <w:rFonts w:asciiTheme="majorBidi" w:hAnsiTheme="majorBidi" w:cstheme="majorBidi"/>
          <w:sz w:val="28"/>
          <w:szCs w:val="28"/>
        </w:rPr>
        <w:instrText>ADDIN EN.CITE &lt;EndNote&gt;&lt;Cite&gt;&lt;Author&gt;Huselid&lt;/Author&gt;&lt;Year&gt;1995&lt;/Year&gt;&lt;RecNum&gt;2332&lt;/RecNum&gt;&lt;DisplayText&gt;(Huselid, 1995)&lt;/DisplayText&gt;&lt;record&gt;&lt;rec-number&gt;2332&lt;/rec-number&gt;&lt;foreign-keys&gt;&lt;key app="EN" db-id="t5vttv59or5xwbe2zdm5ewrxd905arrpawff" timestamp</w:instrText>
      </w:r>
      <w:r w:rsidR="00A765E9" w:rsidRPr="00DC3DDE">
        <w:rPr>
          <w:rFonts w:asciiTheme="majorBidi" w:hAnsiTheme="majorBidi" w:cstheme="majorBidi"/>
          <w:sz w:val="28"/>
          <w:szCs w:val="28"/>
          <w:rtl/>
        </w:rPr>
        <w:instrText>="1744494389"&gt;2332&lt;/</w:instrText>
      </w:r>
      <w:r w:rsidR="00A765E9" w:rsidRPr="00DC3DDE">
        <w:rPr>
          <w:rFonts w:asciiTheme="majorBidi" w:hAnsiTheme="majorBidi" w:cstheme="majorBidi"/>
          <w:sz w:val="28"/>
          <w:szCs w:val="28"/>
        </w:rPr>
        <w:instrText>key&gt;&lt;/foreign-keys&gt;&lt;ref-type name="Journal Article"&gt;17&lt;/ref-type&gt;&lt;contributors&gt;&lt;authors&gt;&lt;author&gt;Huselid, Mark A&lt;/author&gt;&lt;/authors&gt;&lt;/contributors&gt;&lt;titles&gt;&lt;title&gt;The impact of human resource management practices on turnover, productivity</w:instrText>
      </w:r>
      <w:r w:rsidR="00A765E9" w:rsidRPr="00DC3DDE">
        <w:rPr>
          <w:rFonts w:asciiTheme="majorBidi" w:hAnsiTheme="majorBidi" w:cstheme="majorBidi"/>
          <w:sz w:val="28"/>
          <w:szCs w:val="28"/>
          <w:rtl/>
        </w:rPr>
        <w:instrText xml:space="preserve">, </w:instrText>
      </w:r>
      <w:r w:rsidR="00A765E9" w:rsidRPr="00DC3DDE">
        <w:rPr>
          <w:rFonts w:asciiTheme="majorBidi" w:hAnsiTheme="majorBidi" w:cstheme="majorBidi"/>
          <w:sz w:val="28"/>
          <w:szCs w:val="28"/>
        </w:rPr>
        <w:instrText>and corporate financial performance&lt;/title&gt;&lt;secondary-title&gt;Academy of management journal&lt;/secondary-title&gt;&lt;/titles&gt;&lt;periodical&gt;&lt;full-title&gt;Academy of management journal&lt;/full-title&gt;&lt;/periodical&gt;&lt;pages&gt;635-672&lt;/pages&gt;&lt;volume&gt;38&lt;/volume&gt;&lt;number&gt;3&lt;/number</w:instrText>
      </w:r>
      <w:r w:rsidR="00A765E9" w:rsidRPr="00DC3DDE">
        <w:rPr>
          <w:rFonts w:asciiTheme="majorBidi" w:hAnsiTheme="majorBidi" w:cstheme="majorBidi"/>
          <w:sz w:val="28"/>
          <w:szCs w:val="28"/>
          <w:rtl/>
        </w:rPr>
        <w:instrText>&gt;&lt;</w:instrText>
      </w:r>
      <w:r w:rsidR="00A765E9" w:rsidRPr="00DC3DDE">
        <w:rPr>
          <w:rFonts w:asciiTheme="majorBidi" w:hAnsiTheme="majorBidi" w:cstheme="majorBidi"/>
          <w:sz w:val="28"/>
          <w:szCs w:val="28"/>
        </w:rPr>
        <w:instrText>dates&gt;&lt;year&gt;1995&lt;/year&gt;&lt;/dates&gt;&lt;isbn&gt;0001-4273&lt;/isbn&gt;&lt;urls&gt;&lt;/urls&gt;&lt;/record&gt;&lt;/Cite&gt;&lt;/EndNote</w:instrText>
      </w:r>
      <w:r w:rsidR="00A765E9" w:rsidRPr="00DC3DDE">
        <w:rPr>
          <w:rFonts w:asciiTheme="majorBidi" w:hAnsiTheme="majorBidi" w:cstheme="majorBidi"/>
          <w:sz w:val="28"/>
          <w:szCs w:val="28"/>
          <w:rtl/>
        </w:rPr>
        <w:instrText>&gt;</w:instrText>
      </w:r>
      <w:r w:rsidR="00A765E9" w:rsidRPr="00DC3DDE">
        <w:rPr>
          <w:rFonts w:asciiTheme="majorBidi" w:hAnsiTheme="majorBidi" w:cstheme="majorBidi"/>
          <w:sz w:val="28"/>
          <w:szCs w:val="28"/>
          <w:rtl/>
        </w:rPr>
        <w:fldChar w:fldCharType="separate"/>
      </w:r>
      <w:r w:rsidR="00A765E9" w:rsidRPr="00DC3DDE">
        <w:rPr>
          <w:rFonts w:asciiTheme="majorBidi" w:hAnsiTheme="majorBidi" w:cstheme="majorBidi"/>
          <w:noProof/>
          <w:sz w:val="28"/>
          <w:szCs w:val="28"/>
          <w:rtl/>
        </w:rPr>
        <w:t>(</w:t>
      </w:r>
      <w:r w:rsidR="00A765E9" w:rsidRPr="00DC3DDE">
        <w:rPr>
          <w:rFonts w:asciiTheme="majorBidi" w:hAnsiTheme="majorBidi" w:cstheme="majorBidi"/>
          <w:noProof/>
          <w:sz w:val="28"/>
          <w:szCs w:val="28"/>
        </w:rPr>
        <w:t>Huselid, 1995</w:t>
      </w:r>
      <w:r w:rsidR="00A765E9" w:rsidRPr="00DC3DDE">
        <w:rPr>
          <w:rFonts w:asciiTheme="majorBidi" w:hAnsiTheme="majorBidi" w:cstheme="majorBidi"/>
          <w:noProof/>
          <w:sz w:val="28"/>
          <w:szCs w:val="28"/>
          <w:rtl/>
        </w:rPr>
        <w:t>)</w:t>
      </w:r>
      <w:r w:rsidR="00A765E9" w:rsidRPr="00DC3DDE">
        <w:rPr>
          <w:rFonts w:asciiTheme="majorBidi" w:hAnsiTheme="majorBidi" w:cstheme="majorBidi"/>
          <w:sz w:val="28"/>
          <w:szCs w:val="28"/>
          <w:rtl/>
        </w:rPr>
        <w:fldChar w:fldCharType="end"/>
      </w:r>
      <w:r w:rsidR="00A765E9" w:rsidRPr="00DC3DDE">
        <w:rPr>
          <w:rFonts w:asciiTheme="majorBidi" w:hAnsiTheme="majorBidi" w:cstheme="majorBidi"/>
          <w:sz w:val="28"/>
          <w:szCs w:val="28"/>
          <w:rtl/>
        </w:rPr>
        <w:t xml:space="preserve">. </w:t>
      </w:r>
      <w:r w:rsidRPr="007575D7">
        <w:rPr>
          <w:rFonts w:asciiTheme="majorBidi" w:hAnsiTheme="majorBidi" w:cstheme="majorBidi"/>
          <w:sz w:val="28"/>
          <w:szCs w:val="28"/>
          <w:rtl/>
        </w:rPr>
        <w:t>الفكرة الجوهرية لهذه الأنظمة تقوم على أن تحسين الأداء المؤسسي لا يتحقق من خلال إجراء منفرد، بل من خلال حزمة مترابطة من الممارسات التي تعزز رأس المال البشري، وترفع مستويات الالتزام، وتدعم بيئة العمل الموجهة نحو الإنجاز</w:t>
      </w:r>
      <w:r w:rsidRPr="007575D7">
        <w:rPr>
          <w:rFonts w:asciiTheme="majorBidi" w:hAnsiTheme="majorBidi" w:cstheme="majorBidi"/>
          <w:sz w:val="28"/>
          <w:szCs w:val="28"/>
        </w:rPr>
        <w:t>.</w:t>
      </w:r>
      <w:r w:rsidRPr="007575D7">
        <w:rPr>
          <w:rFonts w:asciiTheme="majorBidi" w:hAnsiTheme="majorBidi" w:cstheme="majorBidi"/>
          <w:sz w:val="28"/>
          <w:szCs w:val="28"/>
        </w:rPr>
        <w:br/>
      </w:r>
      <w:r w:rsidRPr="007575D7">
        <w:rPr>
          <w:rFonts w:asciiTheme="majorBidi" w:hAnsiTheme="majorBidi" w:cstheme="majorBidi"/>
          <w:sz w:val="28"/>
          <w:szCs w:val="28"/>
          <w:rtl/>
        </w:rPr>
        <w:t>خلال العقدين الأخيرين، توسعت الدراسات التطبيقية حول</w:t>
      </w:r>
      <w:r w:rsidRPr="007575D7">
        <w:rPr>
          <w:rFonts w:asciiTheme="majorBidi" w:hAnsiTheme="majorBidi" w:cstheme="majorBidi"/>
          <w:sz w:val="28"/>
          <w:szCs w:val="28"/>
        </w:rPr>
        <w:t xml:space="preserve"> HPWS</w:t>
      </w:r>
      <w:r w:rsidRPr="007575D7">
        <w:rPr>
          <w:rFonts w:asciiTheme="majorBidi" w:hAnsiTheme="majorBidi" w:cstheme="majorBidi"/>
          <w:sz w:val="28"/>
          <w:szCs w:val="28"/>
          <w:rtl/>
        </w:rPr>
        <w:t>، لتشمل مجالات متعددة مثل التصنيع، والخدمات، وقطاع الضيافة، مع تزايد الاهتمام بدورها في تحفيز الابتكار وتعزيز الميزة التنافسية</w:t>
      </w:r>
      <w:r w:rsidR="00A765E9" w:rsidRPr="00DC3DDE">
        <w:rPr>
          <w:rFonts w:asciiTheme="majorBidi" w:hAnsiTheme="majorBidi" w:cstheme="majorBidi"/>
          <w:sz w:val="28"/>
          <w:szCs w:val="28"/>
          <w:rtl/>
        </w:rPr>
        <w:t xml:space="preserve"> </w:t>
      </w:r>
      <w:r w:rsidR="00A765E9" w:rsidRPr="00DC3DDE">
        <w:rPr>
          <w:rFonts w:asciiTheme="majorBidi" w:hAnsiTheme="majorBidi" w:cstheme="majorBidi"/>
          <w:sz w:val="28"/>
          <w:szCs w:val="28"/>
          <w:rtl/>
        </w:rPr>
        <w:fldChar w:fldCharType="begin"/>
      </w:r>
      <w:r w:rsidR="00A765E9" w:rsidRPr="00DC3DDE">
        <w:rPr>
          <w:rFonts w:asciiTheme="majorBidi" w:hAnsiTheme="majorBidi" w:cstheme="majorBidi"/>
          <w:sz w:val="28"/>
          <w:szCs w:val="28"/>
          <w:rtl/>
        </w:rPr>
        <w:instrText xml:space="preserve"> </w:instrText>
      </w:r>
      <w:r w:rsidR="00A765E9" w:rsidRPr="00DC3DDE">
        <w:rPr>
          <w:rFonts w:asciiTheme="majorBidi" w:hAnsiTheme="majorBidi" w:cstheme="majorBidi"/>
          <w:sz w:val="28"/>
          <w:szCs w:val="28"/>
        </w:rPr>
        <w:instrText>ADDIN EN.CITE &lt;EndNote&gt;&lt;Cite&gt;&lt;Author&gt;Takeuchi&lt;/Author&gt;&lt;Year&gt;2007&lt;/Year&gt;&lt;RecNum&gt;1358&lt;/RecNum&gt;&lt;DisplayText&gt;(Takeuchi et al., 2007, Boxall and Macky, 2009)&lt;/DisplayText&gt;&lt;record&gt;&lt;rec-number&gt;1358&lt;/rec-number&gt;&lt;foreign-keys&gt;&lt;key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w:instrText>
      </w:r>
      <w:r w:rsidR="00A765E9" w:rsidRPr="00DC3DDE">
        <w:rPr>
          <w:rFonts w:asciiTheme="majorBidi" w:hAnsiTheme="majorBidi" w:cstheme="majorBidi"/>
          <w:sz w:val="28"/>
          <w:szCs w:val="28"/>
          <w:rtl/>
        </w:rPr>
        <w:instrText>&gt;&lt;/</w:instrText>
      </w:r>
      <w:r w:rsidR="00A765E9" w:rsidRPr="00DC3DDE">
        <w:rPr>
          <w:rFonts w:asciiTheme="majorBidi" w:hAnsiTheme="majorBidi" w:cstheme="majorBidi"/>
          <w:sz w:val="28"/>
          <w:szCs w:val="28"/>
        </w:rPr>
        <w:instrText>titles&gt;&lt;periodical&gt;&lt;full-title&gt;Journal of applied psychology&lt;/full-title&gt;&lt;/periodical&gt;&lt;pages&gt;1069&lt;/pages&gt;&lt;volume&gt;92&lt;/volume&gt;&lt;number&gt;4&lt;/number&gt;&lt;dates&gt;&lt;year&gt;2007&lt;/year&gt;&lt;/dates&gt;&lt;isbn&gt;1939-1854&lt;/isbn&gt;&lt;urls&gt;&lt;/urls&gt;&lt;/record&gt;&lt;/Cite&gt;&lt;Cite&gt;&lt;Author&gt;Boxall&lt;/Author</w:instrText>
      </w:r>
      <w:r w:rsidR="00A765E9" w:rsidRPr="00DC3DDE">
        <w:rPr>
          <w:rFonts w:asciiTheme="majorBidi" w:hAnsiTheme="majorBidi" w:cstheme="majorBidi"/>
          <w:sz w:val="28"/>
          <w:szCs w:val="28"/>
          <w:rtl/>
        </w:rPr>
        <w:instrText>&gt;&lt;</w:instrText>
      </w:r>
      <w:r w:rsidR="00A765E9" w:rsidRPr="00DC3DDE">
        <w:rPr>
          <w:rFonts w:asciiTheme="majorBidi" w:hAnsiTheme="majorBidi" w:cstheme="majorBidi"/>
          <w:sz w:val="28"/>
          <w:szCs w:val="28"/>
        </w:rPr>
        <w:instrText>Year&gt;2009&lt;/Year&gt;&lt;RecNum&gt;2746&lt;/RecNum&gt;&lt;record&gt;&lt;rec-number&gt;2746&lt;/rec-number&gt;&lt;foreign-keys&gt;&lt;key app="EN" db-id="t5vttv59or5xwbe2zdm5ewrxd905arrpawff" timestamp="1748342843"&gt;2746&lt;/key&gt;&lt;/foreign-keys&gt;&lt;ref-type name="Journal Article"&gt;17&lt;/ref-type&gt;&lt;contributors</w:instrText>
      </w:r>
      <w:r w:rsidR="00A765E9" w:rsidRPr="00DC3DDE">
        <w:rPr>
          <w:rFonts w:asciiTheme="majorBidi" w:hAnsiTheme="majorBidi" w:cstheme="majorBidi"/>
          <w:sz w:val="28"/>
          <w:szCs w:val="28"/>
          <w:rtl/>
        </w:rPr>
        <w:instrText>&gt;&lt;</w:instrText>
      </w:r>
      <w:r w:rsidR="00A765E9" w:rsidRPr="00DC3DDE">
        <w:rPr>
          <w:rFonts w:asciiTheme="majorBidi" w:hAnsiTheme="majorBidi" w:cstheme="majorBidi"/>
          <w:sz w:val="28"/>
          <w:szCs w:val="28"/>
        </w:rPr>
        <w:instrText>authors&gt;&lt;author&gt;Boxall, Peter&lt;/author&gt;&lt;author&gt;Macky, Keith&lt;/author&gt;&lt;/authors&gt;&lt;/contributors&gt;&lt;titles&gt;&lt;title&gt;Research and theory on high‐performance work systems: progressing the high‐involvement stream&lt;/title&gt;&lt;secondary-title&gt;Human resource management journal&lt;/secondary-title&gt;&lt;/titles&gt;&lt;periodical&gt;&lt;full-title&gt;Human resource management journal&lt;/full-title&gt;&lt;/periodical&gt;&lt;pages&gt;3-23&lt;/pages&gt;&lt;volume&gt;19&lt;/volume&gt;&lt;number&gt;1&lt;/number&gt;&lt;dates&gt;&lt;year&gt;2009&lt;/year&gt;&lt;/dates&gt;&lt;isbn&gt;0954-5395&lt;/isbn&gt;&lt;urls&gt;&lt;/urls&gt;&lt;/record&gt;&lt;/Cite</w:instrText>
      </w:r>
      <w:r w:rsidR="00A765E9" w:rsidRPr="00DC3DDE">
        <w:rPr>
          <w:rFonts w:asciiTheme="majorBidi" w:hAnsiTheme="majorBidi" w:cstheme="majorBidi"/>
          <w:sz w:val="28"/>
          <w:szCs w:val="28"/>
          <w:rtl/>
        </w:rPr>
        <w:instrText>&gt;&lt;/</w:instrText>
      </w:r>
      <w:r w:rsidR="00A765E9" w:rsidRPr="00DC3DDE">
        <w:rPr>
          <w:rFonts w:asciiTheme="majorBidi" w:hAnsiTheme="majorBidi" w:cstheme="majorBidi"/>
          <w:sz w:val="28"/>
          <w:szCs w:val="28"/>
        </w:rPr>
        <w:instrText>EndNote</w:instrText>
      </w:r>
      <w:r w:rsidR="00A765E9" w:rsidRPr="00DC3DDE">
        <w:rPr>
          <w:rFonts w:asciiTheme="majorBidi" w:hAnsiTheme="majorBidi" w:cstheme="majorBidi"/>
          <w:sz w:val="28"/>
          <w:szCs w:val="28"/>
          <w:rtl/>
        </w:rPr>
        <w:instrText>&gt;</w:instrText>
      </w:r>
      <w:r w:rsidR="00A765E9" w:rsidRPr="00DC3DDE">
        <w:rPr>
          <w:rFonts w:asciiTheme="majorBidi" w:hAnsiTheme="majorBidi" w:cstheme="majorBidi"/>
          <w:sz w:val="28"/>
          <w:szCs w:val="28"/>
          <w:rtl/>
        </w:rPr>
        <w:fldChar w:fldCharType="separate"/>
      </w:r>
      <w:r w:rsidR="00A765E9" w:rsidRPr="00DC3DDE">
        <w:rPr>
          <w:rFonts w:asciiTheme="majorBidi" w:hAnsiTheme="majorBidi" w:cstheme="majorBidi"/>
          <w:noProof/>
          <w:sz w:val="28"/>
          <w:szCs w:val="28"/>
          <w:rtl/>
        </w:rPr>
        <w:t>(</w:t>
      </w:r>
      <w:r w:rsidR="00A765E9" w:rsidRPr="00DC3DDE">
        <w:rPr>
          <w:rFonts w:asciiTheme="majorBidi" w:hAnsiTheme="majorBidi" w:cstheme="majorBidi"/>
          <w:noProof/>
          <w:sz w:val="28"/>
          <w:szCs w:val="28"/>
        </w:rPr>
        <w:t>Takeuchi et al., 2007, Boxall and Macky, 2009</w:t>
      </w:r>
      <w:r w:rsidR="00A765E9" w:rsidRPr="00DC3DDE">
        <w:rPr>
          <w:rFonts w:asciiTheme="majorBidi" w:hAnsiTheme="majorBidi" w:cstheme="majorBidi"/>
          <w:noProof/>
          <w:sz w:val="28"/>
          <w:szCs w:val="28"/>
          <w:rtl/>
        </w:rPr>
        <w:t>)</w:t>
      </w:r>
      <w:r w:rsidR="00A765E9" w:rsidRPr="00DC3DDE">
        <w:rPr>
          <w:rFonts w:asciiTheme="majorBidi" w:hAnsiTheme="majorBidi" w:cstheme="majorBidi"/>
          <w:sz w:val="28"/>
          <w:szCs w:val="28"/>
          <w:rtl/>
        </w:rPr>
        <w:fldChar w:fldCharType="end"/>
      </w:r>
      <w:r w:rsidR="00A765E9" w:rsidRPr="00DC3DDE">
        <w:rPr>
          <w:rFonts w:asciiTheme="majorBidi" w:hAnsiTheme="majorBidi" w:cstheme="majorBidi"/>
          <w:sz w:val="28"/>
          <w:szCs w:val="28"/>
          <w:rtl/>
        </w:rPr>
        <w:t>.</w:t>
      </w:r>
      <w:r w:rsidRPr="007575D7">
        <w:rPr>
          <w:rFonts w:asciiTheme="majorBidi" w:hAnsiTheme="majorBidi" w:cstheme="majorBidi"/>
          <w:sz w:val="28"/>
          <w:szCs w:val="28"/>
        </w:rPr>
        <w:t xml:space="preserve"> </w:t>
      </w:r>
      <w:r w:rsidRPr="007575D7">
        <w:rPr>
          <w:rFonts w:asciiTheme="majorBidi" w:hAnsiTheme="majorBidi" w:cstheme="majorBidi"/>
          <w:sz w:val="28"/>
          <w:szCs w:val="28"/>
          <w:rtl/>
        </w:rPr>
        <w:t>كما أصبح يُنظر إلى</w:t>
      </w:r>
      <w:r w:rsidRPr="007575D7">
        <w:rPr>
          <w:rFonts w:asciiTheme="majorBidi" w:hAnsiTheme="majorBidi" w:cstheme="majorBidi"/>
          <w:sz w:val="28"/>
          <w:szCs w:val="28"/>
        </w:rPr>
        <w:t xml:space="preserve"> HPWS </w:t>
      </w:r>
      <w:r w:rsidRPr="007575D7">
        <w:rPr>
          <w:rFonts w:asciiTheme="majorBidi" w:hAnsiTheme="majorBidi" w:cstheme="majorBidi"/>
          <w:sz w:val="28"/>
          <w:szCs w:val="28"/>
          <w:rtl/>
        </w:rPr>
        <w:t>كآلية استراتيجية تربط بين ممارسات الموارد البشرية وأداء المنظمة عبر وسائط مثل الثقافة التنظيمية أو رضا العاملين</w:t>
      </w:r>
      <w:r w:rsidRPr="007575D7">
        <w:rPr>
          <w:rFonts w:asciiTheme="majorBidi" w:hAnsiTheme="majorBidi" w:cstheme="majorBidi"/>
          <w:sz w:val="28"/>
          <w:szCs w:val="28"/>
        </w:rPr>
        <w:t>.</w:t>
      </w:r>
    </w:p>
    <w:p w14:paraId="3E72C0F1" w14:textId="77777777" w:rsidR="0054713F" w:rsidRPr="00DC3DDE" w:rsidRDefault="0054713F" w:rsidP="00FF5C30">
      <w:pPr>
        <w:bidi/>
        <w:jc w:val="both"/>
        <w:rPr>
          <w:rFonts w:asciiTheme="majorBidi" w:hAnsiTheme="majorBidi" w:cstheme="majorBidi"/>
          <w:sz w:val="28"/>
          <w:szCs w:val="28"/>
        </w:rPr>
      </w:pPr>
      <w:r w:rsidRPr="00DC3DDE">
        <w:rPr>
          <w:rFonts w:asciiTheme="majorBidi" w:hAnsiTheme="majorBidi" w:cstheme="majorBidi"/>
          <w:sz w:val="28"/>
          <w:szCs w:val="28"/>
          <w:rtl/>
        </w:rPr>
        <w:t>ويُنظر إلى</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على أنها نموذج تطبيقي يجمع بين ثلاث عناصر رئيسية كما وضحنا مسبقا</w:t>
      </w:r>
      <w:r w:rsidRPr="00DC3DDE">
        <w:rPr>
          <w:rFonts w:asciiTheme="majorBidi" w:hAnsiTheme="majorBidi" w:cstheme="majorBidi"/>
          <w:sz w:val="28"/>
          <w:szCs w:val="28"/>
        </w:rPr>
        <w:t>:</w:t>
      </w:r>
    </w:p>
    <w:p w14:paraId="5360A69B" w14:textId="7DFEC2CD" w:rsidR="0054713F" w:rsidRPr="00DC3DDE" w:rsidRDefault="0054713F" w:rsidP="00FF5C30">
      <w:pPr>
        <w:numPr>
          <w:ilvl w:val="0"/>
          <w:numId w:val="8"/>
        </w:numPr>
        <w:bidi/>
        <w:jc w:val="both"/>
        <w:rPr>
          <w:rFonts w:asciiTheme="majorBidi" w:hAnsiTheme="majorBidi" w:cstheme="majorBidi"/>
          <w:sz w:val="28"/>
          <w:szCs w:val="28"/>
        </w:rPr>
      </w:pPr>
      <w:r w:rsidRPr="00DC3DDE">
        <w:rPr>
          <w:rFonts w:asciiTheme="majorBidi" w:hAnsiTheme="majorBidi" w:cstheme="majorBidi"/>
          <w:b/>
          <w:bCs/>
          <w:sz w:val="28"/>
          <w:szCs w:val="28"/>
          <w:rtl/>
        </w:rPr>
        <w:t>القدرة</w:t>
      </w:r>
      <w:r w:rsidR="00DC3DDE">
        <w:rPr>
          <w:rFonts w:asciiTheme="majorBidi" w:hAnsiTheme="majorBidi" w:cstheme="majorBidi" w:hint="cs"/>
          <w:b/>
          <w:bCs/>
          <w:sz w:val="28"/>
          <w:szCs w:val="28"/>
          <w:rtl/>
        </w:rPr>
        <w:t xml:space="preserve"> </w:t>
      </w:r>
      <w:r w:rsidRPr="00DC3DDE">
        <w:rPr>
          <w:rFonts w:asciiTheme="majorBidi" w:hAnsiTheme="majorBidi" w:cstheme="majorBidi"/>
          <w:b/>
          <w:bCs/>
          <w:sz w:val="28"/>
          <w:szCs w:val="28"/>
        </w:rPr>
        <w:t>(Ability)</w:t>
      </w:r>
      <w:r w:rsidR="00DC3DDE">
        <w:rPr>
          <w:rFonts w:asciiTheme="majorBidi" w:hAnsiTheme="majorBidi" w:cstheme="majorBidi" w:hint="cs"/>
          <w:sz w:val="28"/>
          <w:szCs w:val="28"/>
          <w:rtl/>
        </w:rPr>
        <w:t>:</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رفع كفاءة الموظف عبر التوظيف والتدريب المناسب</w:t>
      </w:r>
      <w:r w:rsidRPr="00DC3DDE">
        <w:rPr>
          <w:rFonts w:asciiTheme="majorBidi" w:hAnsiTheme="majorBidi" w:cstheme="majorBidi"/>
          <w:sz w:val="28"/>
          <w:szCs w:val="28"/>
        </w:rPr>
        <w:t>.</w:t>
      </w:r>
    </w:p>
    <w:p w14:paraId="3DE465F8" w14:textId="2A6CB725" w:rsidR="0054713F" w:rsidRPr="00DC3DDE" w:rsidRDefault="0054713F" w:rsidP="00FF5C30">
      <w:pPr>
        <w:numPr>
          <w:ilvl w:val="0"/>
          <w:numId w:val="8"/>
        </w:numPr>
        <w:bidi/>
        <w:jc w:val="both"/>
        <w:rPr>
          <w:rFonts w:asciiTheme="majorBidi" w:hAnsiTheme="majorBidi" w:cstheme="majorBidi"/>
          <w:sz w:val="28"/>
          <w:szCs w:val="28"/>
        </w:rPr>
      </w:pPr>
      <w:r w:rsidRPr="00DC3DDE">
        <w:rPr>
          <w:rFonts w:asciiTheme="majorBidi" w:hAnsiTheme="majorBidi" w:cstheme="majorBidi"/>
          <w:b/>
          <w:bCs/>
          <w:sz w:val="28"/>
          <w:szCs w:val="28"/>
          <w:rtl/>
        </w:rPr>
        <w:t>الدافعية</w:t>
      </w:r>
      <w:r w:rsidR="00DC3DDE">
        <w:rPr>
          <w:rFonts w:asciiTheme="majorBidi" w:hAnsiTheme="majorBidi" w:cstheme="majorBidi" w:hint="cs"/>
          <w:b/>
          <w:bCs/>
          <w:sz w:val="28"/>
          <w:szCs w:val="28"/>
          <w:rtl/>
        </w:rPr>
        <w:t xml:space="preserve"> </w:t>
      </w:r>
      <w:r w:rsidRPr="00DC3DDE">
        <w:rPr>
          <w:rFonts w:asciiTheme="majorBidi" w:hAnsiTheme="majorBidi" w:cstheme="majorBidi"/>
          <w:b/>
          <w:bCs/>
          <w:sz w:val="28"/>
          <w:szCs w:val="28"/>
        </w:rPr>
        <w:t>(Motivation)</w:t>
      </w:r>
      <w:r w:rsidR="00DC3DDE">
        <w:rPr>
          <w:rFonts w:asciiTheme="majorBidi" w:hAnsiTheme="majorBidi" w:cstheme="majorBidi" w:hint="cs"/>
          <w:sz w:val="28"/>
          <w:szCs w:val="28"/>
          <w:rtl/>
        </w:rPr>
        <w:t xml:space="preserve">: </w:t>
      </w:r>
      <w:r w:rsidRPr="00DC3DDE">
        <w:rPr>
          <w:rFonts w:asciiTheme="majorBidi" w:hAnsiTheme="majorBidi" w:cstheme="majorBidi"/>
          <w:sz w:val="28"/>
          <w:szCs w:val="28"/>
          <w:rtl/>
        </w:rPr>
        <w:t>تحفيز الأداء عبر أنظمة المكافآت والاعتراف بالجهود</w:t>
      </w:r>
      <w:r w:rsidRPr="00DC3DDE">
        <w:rPr>
          <w:rFonts w:asciiTheme="majorBidi" w:hAnsiTheme="majorBidi" w:cstheme="majorBidi"/>
          <w:sz w:val="28"/>
          <w:szCs w:val="28"/>
        </w:rPr>
        <w:t>.</w:t>
      </w:r>
    </w:p>
    <w:p w14:paraId="7E28B6E1" w14:textId="43503535" w:rsidR="0054713F" w:rsidRPr="00DC3DDE" w:rsidRDefault="0054713F" w:rsidP="00FF5C30">
      <w:pPr>
        <w:numPr>
          <w:ilvl w:val="0"/>
          <w:numId w:val="8"/>
        </w:numPr>
        <w:bidi/>
        <w:jc w:val="both"/>
        <w:rPr>
          <w:rFonts w:asciiTheme="majorBidi" w:hAnsiTheme="majorBidi" w:cstheme="majorBidi"/>
          <w:sz w:val="28"/>
          <w:szCs w:val="28"/>
        </w:rPr>
      </w:pPr>
      <w:r w:rsidRPr="00DC3DDE">
        <w:rPr>
          <w:rFonts w:asciiTheme="majorBidi" w:hAnsiTheme="majorBidi" w:cstheme="majorBidi"/>
          <w:b/>
          <w:bCs/>
          <w:sz w:val="28"/>
          <w:szCs w:val="28"/>
          <w:rtl/>
        </w:rPr>
        <w:t>الفرصة للمشاركة</w:t>
      </w:r>
      <w:r w:rsidR="00DC3DDE">
        <w:rPr>
          <w:rFonts w:asciiTheme="majorBidi" w:hAnsiTheme="majorBidi" w:cstheme="majorBidi" w:hint="cs"/>
          <w:b/>
          <w:bCs/>
          <w:sz w:val="28"/>
          <w:szCs w:val="28"/>
          <w:rtl/>
        </w:rPr>
        <w:t xml:space="preserve"> </w:t>
      </w:r>
      <w:r w:rsidRPr="00DC3DDE">
        <w:rPr>
          <w:rFonts w:asciiTheme="majorBidi" w:hAnsiTheme="majorBidi" w:cstheme="majorBidi"/>
          <w:b/>
          <w:bCs/>
          <w:sz w:val="28"/>
          <w:szCs w:val="28"/>
        </w:rPr>
        <w:t>(Opportunity)</w:t>
      </w:r>
      <w:r w:rsidR="00DC3DDE">
        <w:rPr>
          <w:rFonts w:asciiTheme="majorBidi" w:hAnsiTheme="majorBidi" w:cstheme="majorBidi" w:hint="cs"/>
          <w:sz w:val="28"/>
          <w:szCs w:val="28"/>
          <w:rtl/>
        </w:rPr>
        <w:t>:</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تمكين الموظف من التعبير عن أفكاره والمساهمة في اتخاذ القرار</w:t>
      </w:r>
      <w:r w:rsidRPr="00DC3DDE">
        <w:rPr>
          <w:rFonts w:asciiTheme="majorBidi" w:hAnsiTheme="majorBidi" w:cstheme="majorBidi"/>
          <w:sz w:val="28"/>
          <w:szCs w:val="28"/>
        </w:rPr>
        <w:t>.</w:t>
      </w:r>
    </w:p>
    <w:p w14:paraId="7AFCC321" w14:textId="77777777" w:rsidR="0054713F" w:rsidRDefault="0054713F" w:rsidP="00FF5C30">
      <w:pPr>
        <w:bidi/>
        <w:jc w:val="both"/>
        <w:rPr>
          <w:rFonts w:asciiTheme="majorBidi" w:hAnsiTheme="majorBidi" w:cstheme="majorBidi"/>
          <w:sz w:val="28"/>
          <w:szCs w:val="28"/>
          <w:rtl/>
        </w:rPr>
      </w:pPr>
      <w:r w:rsidRPr="00DC3DDE">
        <w:rPr>
          <w:rFonts w:asciiTheme="majorBidi" w:hAnsiTheme="majorBidi" w:cstheme="majorBidi"/>
          <w:sz w:val="28"/>
          <w:szCs w:val="28"/>
          <w:rtl/>
        </w:rPr>
        <w:t xml:space="preserve">هذه الركائز تُعرف بنموذج </w:t>
      </w:r>
      <w:r w:rsidRPr="00DC3DDE">
        <w:rPr>
          <w:rFonts w:asciiTheme="majorBidi" w:hAnsiTheme="majorBidi" w:cstheme="majorBidi"/>
          <w:b/>
          <w:bCs/>
          <w:sz w:val="28"/>
          <w:szCs w:val="28"/>
        </w:rPr>
        <w:t>AMO Framework</w:t>
      </w:r>
      <w:r w:rsidRPr="00DC3DDE">
        <w:rPr>
          <w:rFonts w:asciiTheme="majorBidi" w:hAnsiTheme="majorBidi" w:cstheme="majorBidi"/>
          <w:sz w:val="28"/>
          <w:szCs w:val="28"/>
          <w:rtl/>
        </w:rPr>
        <w:t>، الذي يعتبر من أهم الأطر النظرية المفسرة لتأثير</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على الأداء</w:t>
      </w:r>
      <w:r w:rsidRPr="00DC3DDE">
        <w:rPr>
          <w:rFonts w:asciiTheme="majorBidi" w:hAnsiTheme="majorBidi" w:cstheme="majorBidi"/>
          <w:sz w:val="28"/>
          <w:szCs w:val="28"/>
        </w:rPr>
        <w:t>.</w:t>
      </w:r>
    </w:p>
    <w:p w14:paraId="4DD6D0AF" w14:textId="260B4D2D" w:rsidR="0054713F" w:rsidRPr="00DC3DDE" w:rsidRDefault="0054713F" w:rsidP="00FF5C30">
      <w:pPr>
        <w:bidi/>
        <w:jc w:val="both"/>
        <w:rPr>
          <w:rFonts w:asciiTheme="majorBidi" w:hAnsiTheme="majorBidi" w:cstheme="majorBidi"/>
          <w:sz w:val="28"/>
          <w:szCs w:val="28"/>
          <w:rtl/>
        </w:rPr>
      </w:pPr>
      <w:r w:rsidRPr="00DC3DDE">
        <w:rPr>
          <w:rFonts w:asciiTheme="majorBidi" w:hAnsiTheme="majorBidi" w:cstheme="majorBidi"/>
          <w:sz w:val="28"/>
          <w:szCs w:val="28"/>
          <w:rtl/>
        </w:rPr>
        <w:t>أما من حيث النشأة، فقد تطور مفهوم</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 xml:space="preserve">في تسعينيات القرن العشرين، مدفوعاً بتحول المؤسسات من النماذج التقليدية لإدارة الموارد البشرية نحو نماذج أكثر استراتيجية وشمولية. وقد استمد المفهوم جذوره من </w:t>
      </w:r>
      <w:r w:rsidRPr="00611E7E">
        <w:rPr>
          <w:rFonts w:asciiTheme="majorBidi" w:hAnsiTheme="majorBidi" w:cstheme="majorBidi"/>
          <w:sz w:val="28"/>
          <w:szCs w:val="28"/>
          <w:rtl/>
        </w:rPr>
        <w:t>نظرية الموارد الديناميكية</w:t>
      </w:r>
      <w:r w:rsidR="00DC3DDE">
        <w:rPr>
          <w:rFonts w:asciiTheme="majorBidi" w:hAnsiTheme="majorBidi" w:cstheme="majorBidi" w:hint="cs"/>
          <w:b/>
          <w:bCs/>
          <w:sz w:val="28"/>
          <w:szCs w:val="28"/>
          <w:rtl/>
        </w:rPr>
        <w:t xml:space="preserve"> </w:t>
      </w:r>
      <w:r w:rsidRPr="00DC3DDE">
        <w:rPr>
          <w:rFonts w:asciiTheme="majorBidi" w:hAnsiTheme="majorBidi" w:cstheme="majorBidi"/>
          <w:b/>
          <w:bCs/>
          <w:sz w:val="28"/>
          <w:szCs w:val="28"/>
        </w:rPr>
        <w:t>(Resource-Based View - RBV)</w:t>
      </w:r>
      <w:r w:rsidRPr="00DC3DDE">
        <w:rPr>
          <w:rFonts w:asciiTheme="majorBidi" w:hAnsiTheme="majorBidi" w:cstheme="majorBidi"/>
          <w:sz w:val="28"/>
          <w:szCs w:val="28"/>
          <w:rtl/>
        </w:rPr>
        <w:t xml:space="preserve">، التي تركز على اعتبار الموارد البشرية </w:t>
      </w:r>
      <w:r w:rsidRPr="00611E7E">
        <w:rPr>
          <w:rFonts w:asciiTheme="majorBidi" w:hAnsiTheme="majorBidi" w:cstheme="majorBidi"/>
          <w:sz w:val="28"/>
          <w:szCs w:val="28"/>
          <w:rtl/>
        </w:rPr>
        <w:t>كمصدر أساسي للميزة التنافسية عندما يتم إدارتها بكفاءة عالية وتوظيفها في سياقات تنظيمية داعمة، ونظرية رأس المال البشري</w:t>
      </w:r>
      <w:r w:rsidRPr="00DC3DDE">
        <w:rPr>
          <w:rFonts w:asciiTheme="majorBidi" w:hAnsiTheme="majorBidi" w:cstheme="majorBidi"/>
          <w:b/>
          <w:bCs/>
          <w:sz w:val="28"/>
          <w:szCs w:val="28"/>
        </w:rPr>
        <w:t xml:space="preserve"> (Human Capital Theory)</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 xml:space="preserve">التي تركز على الاستثمار في الموظف كعنصر أساسي للنمو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&lt;EndNote&gt;&lt;Cite&gt;&lt;Author&gt;Barney&lt;/Author&gt;&lt;Year&gt;1991&lt;/Year&gt;&lt;RecNum&gt;2317&lt;/RecNum&gt;&lt;DisplayText&gt;(Barney, 1991)&lt;/DisplayText&gt;&lt;record&gt;&lt;rec-number&gt;2317&lt;/rec-number&gt;&lt;foreign-keys&gt;&lt;key app="EN" db-id="t5vttv59or5xwbe2zdm5ewrxd905arrpawff" timestamp="17</w:instrText>
      </w:r>
      <w:r w:rsidRPr="00DC3DDE">
        <w:rPr>
          <w:rFonts w:asciiTheme="majorBidi" w:hAnsiTheme="majorBidi" w:cstheme="majorBidi"/>
          <w:sz w:val="28"/>
          <w:szCs w:val="28"/>
          <w:rtl/>
        </w:rPr>
        <w:instrText>44387199"&gt;2317&lt;/</w:instrText>
      </w:r>
      <w:r w:rsidRPr="00DC3DDE">
        <w:rPr>
          <w:rFonts w:asciiTheme="majorBidi" w:hAnsiTheme="majorBidi" w:cstheme="majorBidi"/>
          <w:sz w:val="28"/>
          <w:szCs w:val="28"/>
        </w:rPr>
        <w:instrText>key&gt;&lt;/foreign-keys&gt;&lt;ref-type name="Journal Article"&gt;17&lt;/ref-type&gt;&lt;contributors&gt;&lt;authors&gt;&lt;author&gt;Barney, Jay&lt;/author&gt;&lt;/authors&gt;&lt;/contributors&gt;&lt;titles&gt;&lt;title&gt;Firm resources and sustained competitive advantage&lt;/title&gt;&lt;secondary-title&gt;Journal</w:instrText>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of management&lt;/secondary-title&gt;&lt;/titles&gt;&lt;periodical&gt;&lt;full-title&gt;Journal of management&lt;/full-title&gt;&lt;/periodical&gt;&lt;pages&gt;99-120&lt;/pages&gt;&lt;volume&gt;17&lt;/volume&gt;&lt;number&gt;1&lt;/number&gt;&lt;dates&gt;&lt;year&gt;1991&lt;/year&gt;&lt;/dates&gt;&lt;isbn&gt;0149-2063&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Barney, 1991</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01A3A1FE" w14:textId="1DC8203F" w:rsidR="001D3CAA" w:rsidRPr="00DC3DDE" w:rsidRDefault="0054713F" w:rsidP="00FF5C30">
      <w:pPr>
        <w:bidi/>
        <w:jc w:val="both"/>
        <w:rPr>
          <w:rFonts w:asciiTheme="majorBidi" w:hAnsiTheme="majorBidi" w:cstheme="majorBidi"/>
          <w:sz w:val="28"/>
          <w:szCs w:val="28"/>
        </w:rPr>
      </w:pPr>
      <w:r w:rsidRPr="00DC3DDE">
        <w:rPr>
          <w:rFonts w:asciiTheme="majorBidi" w:hAnsiTheme="majorBidi" w:cstheme="majorBidi"/>
          <w:sz w:val="28"/>
          <w:szCs w:val="28"/>
          <w:rtl/>
        </w:rPr>
        <w:t>يرى</w:t>
      </w:r>
      <w:r w:rsidRPr="00DC3DDE">
        <w:rPr>
          <w:rFonts w:asciiTheme="majorBidi" w:hAnsiTheme="majorBidi" w:cstheme="majorBidi"/>
          <w:sz w:val="28"/>
          <w:szCs w:val="28"/>
        </w:rPr>
        <w:t xml:space="preserve"> Becker &amp; </w:t>
      </w:r>
      <w:proofErr w:type="spellStart"/>
      <w:r w:rsidRPr="00DC3DDE">
        <w:rPr>
          <w:rFonts w:asciiTheme="majorBidi" w:hAnsiTheme="majorBidi" w:cstheme="majorBidi"/>
          <w:sz w:val="28"/>
          <w:szCs w:val="28"/>
        </w:rPr>
        <w:t>Huselid</w:t>
      </w:r>
      <w:proofErr w:type="spellEnd"/>
      <w:r w:rsidRPr="00DC3DDE">
        <w:rPr>
          <w:rFonts w:asciiTheme="majorBidi" w:hAnsiTheme="majorBidi" w:cstheme="majorBidi"/>
          <w:sz w:val="28"/>
          <w:szCs w:val="28"/>
        </w:rPr>
        <w:t xml:space="preserve"> (1998) </w:t>
      </w:r>
      <w:r w:rsidRPr="00DC3DDE">
        <w:rPr>
          <w:rFonts w:asciiTheme="majorBidi" w:hAnsiTheme="majorBidi" w:cstheme="majorBidi"/>
          <w:sz w:val="28"/>
          <w:szCs w:val="28"/>
          <w:rtl/>
        </w:rPr>
        <w:t>أن القيمة الحقيقية لـ</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 xml:space="preserve">تكمن في الترابط الداخلي بين ممارسات الموارد البشرية وقدرتها على دعم الأهداف الاستراتيجية للمؤسسة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&lt;EndNote&gt;&lt;Cite&gt;&lt;Author&gt;Becker&lt;/Author&gt;&lt;Year&gt;1998&lt;/Year&gt;&lt;RecNum&gt;2745&lt;/RecNum&gt;&lt;DisplayText&gt;(Becker, 1998)&lt;/DisplayText&gt;&lt;record&gt;&lt;rec-number&gt;2745&lt;/rec-number&gt;&lt;foreign-keys&gt;&lt;key app="EN" db-id="t5vttv59or5xwbe2zdm5ewrxd905arrpawff" timestamp="17</w:instrText>
      </w:r>
      <w:r w:rsidRPr="00DC3DDE">
        <w:rPr>
          <w:rFonts w:asciiTheme="majorBidi" w:hAnsiTheme="majorBidi" w:cstheme="majorBidi"/>
          <w:sz w:val="28"/>
          <w:szCs w:val="28"/>
          <w:rtl/>
        </w:rPr>
        <w:instrText>48342747"&gt;2745&lt;/</w:instrText>
      </w:r>
      <w:r w:rsidRPr="00DC3DDE">
        <w:rPr>
          <w:rFonts w:asciiTheme="majorBidi" w:hAnsiTheme="majorBidi" w:cstheme="majorBidi"/>
          <w:sz w:val="28"/>
          <w:szCs w:val="28"/>
        </w:rPr>
        <w:instrText>key&gt;&lt;/foreign-keys&gt;&lt;ref-type name="Journal Article"&gt;17&lt;/ref-type&gt;&lt;contributors&gt;&lt;authors&gt;&lt;author&gt;Becker, Brian&lt;/author&gt;&lt;/authors&gt;&lt;/contributors&gt;&lt;titles&gt;&lt;title&gt;High performance work systems and firm performance: A synthesis of research and managerial implications&lt;/title&gt;&lt;secondary-title&gt;Research in personnel and human resources management&lt;/secondary-title&gt;&lt;/titles&gt;&lt;periodical&gt;&lt;full-title&gt;Research in personnel and human resources management&lt;/full-title&gt;&lt;/periodical&gt;&lt;pages&gt;53&lt;/pages&gt;&lt;volume&gt;16</w:instrText>
      </w:r>
      <w:r w:rsidRPr="00DC3DDE">
        <w:rPr>
          <w:rFonts w:asciiTheme="majorBidi" w:hAnsiTheme="majorBidi" w:cstheme="majorBidi"/>
          <w:sz w:val="28"/>
          <w:szCs w:val="28"/>
          <w:rtl/>
        </w:rPr>
        <w:instrText>&lt;/</w:instrText>
      </w:r>
      <w:r w:rsidRPr="00DC3DDE">
        <w:rPr>
          <w:rFonts w:asciiTheme="majorBidi" w:hAnsiTheme="majorBidi" w:cstheme="majorBidi"/>
          <w:sz w:val="28"/>
          <w:szCs w:val="28"/>
        </w:rPr>
        <w:instrText>volume&gt;&lt;dates&gt;&lt;year&gt;1998&lt;/year&gt;&lt;/dates&gt;&lt;urls&gt;&lt;/urls&gt;&lt;/record&gt;&lt;/Cite&gt;&lt;/EndNote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Becker, 1998</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2A14EE49" w14:textId="3C6FB116" w:rsidR="0054713F" w:rsidRPr="00DC3DDE" w:rsidRDefault="0054713F" w:rsidP="00FF5C30">
      <w:pPr>
        <w:bidi/>
        <w:jc w:val="both"/>
        <w:rPr>
          <w:rFonts w:asciiTheme="majorBidi" w:hAnsiTheme="majorBidi" w:cstheme="majorBidi"/>
          <w:sz w:val="28"/>
          <w:szCs w:val="28"/>
          <w:rtl/>
        </w:rPr>
      </w:pPr>
      <w:r w:rsidRPr="00DC3DDE">
        <w:rPr>
          <w:rFonts w:asciiTheme="majorBidi" w:hAnsiTheme="majorBidi" w:cstheme="majorBidi"/>
          <w:sz w:val="28"/>
          <w:szCs w:val="28"/>
          <w:rtl/>
        </w:rPr>
        <w:t>من الناحية المفاهيمية، يعرّف</w:t>
      </w:r>
      <w:r w:rsidRPr="00DC3DDE">
        <w:rPr>
          <w:rFonts w:asciiTheme="majorBidi" w:hAnsiTheme="majorBidi" w:cstheme="majorBidi"/>
          <w:sz w:val="28"/>
          <w:szCs w:val="28"/>
        </w:rPr>
        <w:t xml:space="preserve"> Lepak et al. (2006) </w:t>
      </w:r>
      <w:r w:rsidRPr="00DC3DDE">
        <w:rPr>
          <w:rFonts w:asciiTheme="majorBidi" w:hAnsiTheme="majorBidi" w:cstheme="majorBidi"/>
          <w:sz w:val="28"/>
          <w:szCs w:val="28"/>
          <w:rtl/>
        </w:rPr>
        <w:t>أنظمة العمل عالية الأداء بأنها</w:t>
      </w:r>
      <w:r w:rsidR="001D3CAA">
        <w:rPr>
          <w:rFonts w:asciiTheme="majorBidi" w:hAnsiTheme="majorBidi" w:cstheme="majorBidi"/>
          <w:sz w:val="28"/>
          <w:szCs w:val="28"/>
        </w:rPr>
        <w:t xml:space="preserve"> </w:t>
      </w:r>
      <w:r w:rsidRPr="00DC3DDE">
        <w:rPr>
          <w:rFonts w:asciiTheme="majorBidi" w:hAnsiTheme="majorBidi" w:cstheme="majorBidi"/>
          <w:i/>
          <w:iCs/>
          <w:sz w:val="28"/>
          <w:szCs w:val="28"/>
          <w:rtl/>
        </w:rPr>
        <w:t>مجموعة من ممارسات الموارد البشرية التي تهدف إلى تعظيم إنتاجية الأفراد من خلال استقطاب أفضل الكفاءات، وتطويرهم بشكل منهجي، وتحفيزهم عبر أنظمة متقدمة، وتمكينهم من خلال المشاركة والتأثير في بيئة العمل</w:t>
      </w:r>
      <w:r w:rsidRPr="00DC3DDE">
        <w:rPr>
          <w:rFonts w:asciiTheme="majorBidi" w:hAnsiTheme="majorBidi" w:cstheme="majorBidi"/>
          <w:i/>
          <w:iCs/>
          <w:sz w:val="28"/>
          <w:szCs w:val="28"/>
        </w:rPr>
        <w:t>."</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 xml:space="preserve">هذا التعريف يؤكد على الطبيعة النظامية والتكاملية لهذه الممارسات، وهو ما يتسق مع منطق النظم المفتوحة في علم التنظيم، </w:t>
      </w:r>
      <w:r w:rsidRPr="00DC3DDE">
        <w:rPr>
          <w:rFonts w:asciiTheme="majorBidi" w:hAnsiTheme="majorBidi" w:cstheme="majorBidi"/>
          <w:sz w:val="28"/>
          <w:szCs w:val="28"/>
          <w:rtl/>
        </w:rPr>
        <w:lastRenderedPageBreak/>
        <w:t xml:space="preserve">حيث لا يُنظر إلى ممارسات الموارد البشرية كعناصر منفصلة، بل كأجزاء متفاعلة تحقق الأثر الأكبر من خلال تكاملها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&lt;EndNote&gt;&lt;Cite&gt;&lt;Author&gt;Lepak&lt;/Author&gt;&lt;Year&gt;2006&lt;/Year&gt;&lt;RecNum&gt;1346&lt;/RecNum&gt;&lt;DisplayText&gt;(Lepak et al., 2006, Boxall and Macky, 2009)&lt;/DisplayText&gt;&lt;record&gt;&lt;rec-number&gt;1346&lt;/rec-number&gt;&lt;foreign-keys&gt;&lt;key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authors&gt;&lt;/contributors&gt;&lt;titles&gt;&lt;title&gt;A conceptual review of human resource management systems in strategic human resource management research&lt;/title&gt;&lt;secondary-title&gt;Research in personnel and human resources management&lt;/secondary-title&gt;&lt;/titles&gt;&lt;periodical&gt;&lt;full-title&gt;Research in personnel and human resources management&lt;/full-title&gt;&lt;/periodical&gt;&lt;pages&gt;217-271&lt;/pages&gt;&lt;dates&gt;&lt;year&gt;2006&lt;/year&gt;&lt;/dates&gt;&lt;isbn&gt;0742-7301&lt;/isbn&gt;&lt;urls&gt;&lt;/urls&gt;&lt;/record&gt;&lt;/Cite&gt;&lt;Cite&gt;&lt;Author&gt;Boxall&lt;/Author&gt;&lt;Year&gt;2009&lt;/Year&gt;&lt;RecNum&gt;27</w:instrText>
      </w:r>
      <w:r w:rsidRPr="00DC3DDE">
        <w:rPr>
          <w:rFonts w:asciiTheme="majorBidi" w:hAnsiTheme="majorBidi" w:cstheme="majorBidi"/>
          <w:sz w:val="28"/>
          <w:szCs w:val="28"/>
          <w:rtl/>
        </w:rPr>
        <w:instrText>46&lt;/</w:instrText>
      </w:r>
      <w:r w:rsidRPr="00DC3DDE">
        <w:rPr>
          <w:rFonts w:asciiTheme="majorBidi" w:hAnsiTheme="majorBidi" w:cstheme="majorBidi"/>
          <w:sz w:val="28"/>
          <w:szCs w:val="28"/>
        </w:rPr>
        <w:instrText>RecNum&gt;&lt;record&gt;&lt;rec-number&gt;2746&lt;/rec-number&gt;&lt;foreign-keys&gt;&lt;key app="EN" db-id="t5vttv59or5xwbe2zdm5ewrxd905arrpawff" timestamp="1748342843"&gt;2746&lt;/key&gt;&lt;/foreign-keys&gt;&lt;ref-type name="Journal Article"&gt;17&lt;/ref-type&gt;&lt;contributors&gt;&lt;authors&gt;&lt;author&gt;Boxall, Peter&lt;/author&gt;&lt;author&gt;Macky, Keith&lt;/author&gt;&lt;/authors&gt;&lt;/contributors&gt;&lt;titles&gt;&lt;title&gt;Research and theory on high‐performance work systems: progressing the high‐involvement stream&lt;/title&gt;&lt;secondary-title&gt;Human resource management journal&lt;/secondary-title&gt;&lt;/titles&gt;&lt;periodical&gt;&lt;full-title&gt;Human resource management journal&lt;/full-title&gt;&lt;/periodical&gt;&lt;pages&gt;3-23&lt;/pages&gt;&lt;volume&gt;19&lt;/volume&gt;&lt;number&gt;1&lt;/number&gt;&lt;dates&gt;&lt;year&gt;2009&lt;/year&gt;&lt;/dates&gt;&lt;isbn&gt;0954-5395&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Lepak et al., 2006, Boxall and Macky, 2009</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00062FBB" w14:textId="1CD49BE4" w:rsidR="0054713F" w:rsidRPr="00DC3DDE" w:rsidRDefault="0054713F" w:rsidP="00FF5C30">
      <w:pPr>
        <w:bidi/>
        <w:jc w:val="both"/>
        <w:rPr>
          <w:rFonts w:asciiTheme="majorBidi" w:hAnsiTheme="majorBidi" w:cstheme="majorBidi"/>
          <w:sz w:val="28"/>
          <w:szCs w:val="28"/>
        </w:rPr>
      </w:pPr>
      <w:r w:rsidRPr="00DC3DDE">
        <w:rPr>
          <w:rFonts w:asciiTheme="majorBidi" w:hAnsiTheme="majorBidi" w:cstheme="majorBidi"/>
          <w:sz w:val="28"/>
          <w:szCs w:val="28"/>
          <w:rtl/>
        </w:rPr>
        <w:t>وفي تحليل موسع، يشير</w:t>
      </w:r>
      <w:r w:rsidRPr="00DC3DDE">
        <w:rPr>
          <w:rFonts w:asciiTheme="majorBidi" w:hAnsiTheme="majorBidi" w:cstheme="majorBidi"/>
          <w:sz w:val="28"/>
          <w:szCs w:val="28"/>
        </w:rPr>
        <w:t xml:space="preserve"> Wright &amp; Boswell (2002) </w:t>
      </w:r>
      <w:r w:rsidRPr="00DC3DDE">
        <w:rPr>
          <w:rFonts w:asciiTheme="majorBidi" w:hAnsiTheme="majorBidi" w:cstheme="majorBidi"/>
          <w:sz w:val="28"/>
          <w:szCs w:val="28"/>
          <w:rtl/>
        </w:rPr>
        <w:t>إلى أن</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 xml:space="preserve">تمثل تحولًا من النماذج الوظيفية في إدارة الموارد البشرية إلى النماذج القائمة على القيم الإستراتيجية، حيث يتم تصميم الممارسات ليس فقط لملء شواغر أو تنفيذ دورات تدريبية، بل لبناء قدرات تنظيمية مستدامة تعزز من فعالية رأس المال البشري وتدعم الثقافة التنظيمية المحفزة على الأداء </w:t>
      </w:r>
      <w:r w:rsidRPr="00DC3DDE">
        <w:rPr>
          <w:rFonts w:asciiTheme="majorBidi" w:hAnsiTheme="majorBidi" w:cstheme="majorBidi"/>
          <w:sz w:val="28"/>
          <w:szCs w:val="28"/>
        </w:rPr>
        <w:fldChar w:fldCharType="begin"/>
      </w:r>
      <w:r w:rsidRPr="00DC3DDE">
        <w:rPr>
          <w:rFonts w:asciiTheme="majorBidi" w:hAnsiTheme="majorBidi" w:cstheme="majorBidi"/>
          <w:sz w:val="28"/>
          <w:szCs w:val="28"/>
        </w:rPr>
        <w:instrText xml:space="preserve"> ADDIN EN.CITE &lt;EndNote&gt;&lt;Cite&gt;&lt;Author&gt;Wright&lt;/Author&gt;&lt;Year&gt;2002&lt;/Year&gt;&lt;RecNum&gt;2747&lt;/RecNum&gt;&lt;DisplayText&gt;(Wright and Boswell, 2002)&lt;/DisplayText&gt;&lt;record&gt;&lt;rec-number&gt;2747&lt;/rec-number&gt;&lt;foreign-keys&gt;&lt;key app="EN" db-id="t5vttv59or5xwbe2zdm5ewrxd905arrpawff" timestamp="1748342938"&gt;2747&lt;/key&gt;&lt;/foreign-keys&gt;&lt;ref-type name="Journal Article"&gt;17&lt;/ref-type&gt;&lt;contributors&gt;&lt;authors&gt;&lt;author&gt;Wright, Patrick M&lt;/author&gt;&lt;author&gt;Boswell, Wendy R&lt;/author&gt;&lt;/authors&gt;&lt;/contributors&gt;&lt;titles&gt;&lt;title&gt;Desegregating HRM: A review and synthesis of micro and macro human resource management research&lt;/title&gt;&lt;secondary-title&gt;Journal of management&lt;/secondary-title&gt;&lt;/titles&gt;&lt;periodical&gt;&lt;full-title&gt;Journal of management&lt;/full-title&gt;&lt;/periodical&gt;&lt;pages&gt;247-276&lt;/pages&gt;&lt;volume&gt;28&lt;/volume&gt;&lt;number&gt;3&lt;/number&gt;&lt;dates&gt;&lt;year&gt;2002&lt;/year&gt;&lt;/dates&gt;&lt;isbn&gt;0149-2063&lt;/isbn&gt;&lt;urls&gt;&lt;/urls&gt;&lt;/record&gt;&lt;/Cite&gt;&lt;/EndNote&gt;</w:instrText>
      </w:r>
      <w:r w:rsidRPr="00DC3DDE">
        <w:rPr>
          <w:rFonts w:asciiTheme="majorBidi" w:hAnsiTheme="majorBidi" w:cstheme="majorBidi"/>
          <w:sz w:val="28"/>
          <w:szCs w:val="28"/>
        </w:rPr>
        <w:fldChar w:fldCharType="separate"/>
      </w:r>
      <w:r w:rsidRPr="00DC3DDE">
        <w:rPr>
          <w:rFonts w:asciiTheme="majorBidi" w:hAnsiTheme="majorBidi" w:cstheme="majorBidi"/>
          <w:noProof/>
          <w:sz w:val="28"/>
          <w:szCs w:val="28"/>
        </w:rPr>
        <w:t>(Wright and Boswell, 2002)</w:t>
      </w:r>
      <w:r w:rsidRPr="00DC3DDE">
        <w:rPr>
          <w:rFonts w:asciiTheme="majorBidi" w:hAnsiTheme="majorBidi" w:cstheme="majorBidi"/>
          <w:sz w:val="28"/>
          <w:szCs w:val="28"/>
        </w:rPr>
        <w:fldChar w:fldCharType="end"/>
      </w:r>
      <w:r w:rsidRPr="00DC3DDE">
        <w:rPr>
          <w:rFonts w:asciiTheme="majorBidi" w:hAnsiTheme="majorBidi" w:cstheme="majorBidi"/>
          <w:sz w:val="28"/>
          <w:szCs w:val="28"/>
          <w:rtl/>
        </w:rPr>
        <w:t>.</w:t>
      </w:r>
    </w:p>
    <w:p w14:paraId="0861B7CF" w14:textId="616DDF77" w:rsidR="0054713F" w:rsidRPr="00DC3DDE" w:rsidRDefault="0054713F" w:rsidP="00FF5C30">
      <w:pPr>
        <w:bidi/>
        <w:jc w:val="both"/>
        <w:rPr>
          <w:rFonts w:asciiTheme="majorBidi" w:hAnsiTheme="majorBidi" w:cstheme="majorBidi"/>
          <w:sz w:val="28"/>
          <w:szCs w:val="28"/>
        </w:rPr>
      </w:pPr>
      <w:r w:rsidRPr="00DC3DDE">
        <w:rPr>
          <w:rFonts w:asciiTheme="majorBidi" w:hAnsiTheme="majorBidi" w:cstheme="majorBidi"/>
          <w:sz w:val="28"/>
          <w:szCs w:val="28"/>
          <w:rtl/>
        </w:rPr>
        <w:t>ويُعزز</w:t>
      </w:r>
      <w:r w:rsidRPr="00DC3DDE">
        <w:rPr>
          <w:rFonts w:asciiTheme="majorBidi" w:hAnsiTheme="majorBidi" w:cstheme="majorBidi"/>
          <w:sz w:val="28"/>
          <w:szCs w:val="28"/>
        </w:rPr>
        <w:t xml:space="preserve"> Jiang et al. (2012) </w:t>
      </w:r>
      <w:r w:rsidRPr="00DC3DDE">
        <w:rPr>
          <w:rFonts w:asciiTheme="majorBidi" w:hAnsiTheme="majorBidi" w:cstheme="majorBidi"/>
          <w:sz w:val="28"/>
          <w:szCs w:val="28"/>
          <w:rtl/>
        </w:rPr>
        <w:t xml:space="preserve">هذا الطرح في تحليله التجميعي الشامل </w:t>
      </w:r>
      <w:r w:rsidRPr="00DC3DDE">
        <w:rPr>
          <w:rFonts w:asciiTheme="majorBidi" w:hAnsiTheme="majorBidi" w:cstheme="majorBidi"/>
          <w:sz w:val="28"/>
          <w:szCs w:val="28"/>
        </w:rPr>
        <w:t>(meta-analysis)</w:t>
      </w:r>
      <w:r w:rsidRPr="00DC3DDE">
        <w:rPr>
          <w:rFonts w:asciiTheme="majorBidi" w:hAnsiTheme="majorBidi" w:cstheme="majorBidi"/>
          <w:sz w:val="28"/>
          <w:szCs w:val="28"/>
          <w:rtl/>
        </w:rPr>
        <w:t xml:space="preserve">، حيث وجد أن أنظمة العمل عالية الأداء ترتبط ارتباطًا إيجابيًا كبيرًا بالأداء التنظيمي، من خلال تأثيرها الثلاثي على مهارات الموظف </w:t>
      </w:r>
      <w:r w:rsidRPr="00DC3DDE">
        <w:rPr>
          <w:rFonts w:asciiTheme="majorBidi" w:hAnsiTheme="majorBidi" w:cstheme="majorBidi"/>
          <w:sz w:val="28"/>
          <w:szCs w:val="28"/>
        </w:rPr>
        <w:t>(Abilities)</w:t>
      </w:r>
      <w:r w:rsidRPr="00DC3DDE">
        <w:rPr>
          <w:rFonts w:asciiTheme="majorBidi" w:hAnsiTheme="majorBidi" w:cstheme="majorBidi"/>
          <w:sz w:val="28"/>
          <w:szCs w:val="28"/>
          <w:rtl/>
        </w:rPr>
        <w:t xml:space="preserve">، ومستوى التحفيز الداخلي والخارجي </w:t>
      </w:r>
      <w:r w:rsidRPr="00DC3DDE">
        <w:rPr>
          <w:rFonts w:asciiTheme="majorBidi" w:hAnsiTheme="majorBidi" w:cstheme="majorBidi"/>
          <w:sz w:val="28"/>
          <w:szCs w:val="28"/>
        </w:rPr>
        <w:t>(Motivation)</w:t>
      </w:r>
      <w:r w:rsidRPr="00DC3DDE">
        <w:rPr>
          <w:rFonts w:asciiTheme="majorBidi" w:hAnsiTheme="majorBidi" w:cstheme="majorBidi"/>
          <w:sz w:val="28"/>
          <w:szCs w:val="28"/>
          <w:rtl/>
        </w:rPr>
        <w:t xml:space="preserve">، وفرص تطبيق هذه المهارات داخل بيئة العمل </w:t>
      </w:r>
      <w:r w:rsidRPr="00DC3DDE">
        <w:rPr>
          <w:rFonts w:asciiTheme="majorBidi" w:hAnsiTheme="majorBidi" w:cstheme="majorBidi"/>
          <w:sz w:val="28"/>
          <w:szCs w:val="28"/>
        </w:rPr>
        <w:t>(Opportunities)</w:t>
      </w:r>
      <w:r w:rsidRPr="00DC3DDE">
        <w:rPr>
          <w:rFonts w:asciiTheme="majorBidi" w:hAnsiTheme="majorBidi" w:cstheme="majorBidi"/>
          <w:sz w:val="28"/>
          <w:szCs w:val="28"/>
          <w:rtl/>
        </w:rPr>
        <w:t>، وهي ما يُعرف بإطار</w:t>
      </w:r>
      <w:r w:rsidRPr="00DC3DDE">
        <w:rPr>
          <w:rFonts w:asciiTheme="majorBidi" w:hAnsiTheme="majorBidi" w:cstheme="majorBidi"/>
          <w:sz w:val="28"/>
          <w:szCs w:val="28"/>
        </w:rPr>
        <w:t xml:space="preserve"> "AMO Theory" </w:t>
      </w:r>
      <w:r w:rsidRPr="00DC3DDE">
        <w:rPr>
          <w:rFonts w:asciiTheme="majorBidi" w:hAnsiTheme="majorBidi" w:cstheme="majorBidi"/>
          <w:sz w:val="28"/>
          <w:szCs w:val="28"/>
          <w:rtl/>
        </w:rPr>
        <w:t xml:space="preserve">الذي يُعد أحد الأطر النظرية الأكثر استخدامًا لفهم آليات تأثير </w:t>
      </w:r>
      <w:r w:rsidRPr="00DC3DDE">
        <w:rPr>
          <w:rFonts w:asciiTheme="majorBidi" w:hAnsiTheme="majorBidi" w:cstheme="majorBidi"/>
          <w:sz w:val="28"/>
          <w:szCs w:val="28"/>
        </w:rPr>
        <w:t>HPWS</w:t>
      </w:r>
      <w:r w:rsidRPr="00DC3DDE">
        <w:rPr>
          <w:rFonts w:asciiTheme="majorBidi" w:hAnsiTheme="majorBidi" w:cstheme="majorBidi"/>
          <w:sz w:val="28"/>
          <w:szCs w:val="28"/>
          <w:rtl/>
        </w:rPr>
        <w:t xml:space="preserve">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Jiang et al., 2012</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27D52D62" w14:textId="143D8914" w:rsidR="0054713F" w:rsidRPr="00DC3DDE" w:rsidRDefault="0054713F" w:rsidP="00FF5C30">
      <w:pPr>
        <w:bidi/>
        <w:jc w:val="both"/>
        <w:rPr>
          <w:rFonts w:asciiTheme="majorBidi" w:hAnsiTheme="majorBidi" w:cstheme="majorBidi"/>
          <w:sz w:val="28"/>
          <w:szCs w:val="28"/>
          <w:rtl/>
        </w:rPr>
      </w:pPr>
      <w:r w:rsidRPr="00DC3DDE">
        <w:rPr>
          <w:rFonts w:asciiTheme="majorBidi" w:hAnsiTheme="majorBidi" w:cstheme="majorBidi"/>
          <w:sz w:val="28"/>
          <w:szCs w:val="28"/>
          <w:rtl/>
        </w:rPr>
        <w:t>في السياق التطبيقي، أصبحت</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 xml:space="preserve">في العقدين الأخيرين مكونًا رئيسيًا في المنظمات التي تسعى إلى تطوير بيئة عمل تنافسية ترتكز على المرونة والابتكار، لا سيما في القطاعات الخدمية مثل السياحة والضيافة، حيث تتطلب هذه البيئات أنظمة موارد بشرية لا تكتفي بالامتثال التشغيلي، بل تحفز الموظفين على الإبداع وتقديم حلول غير تقليدية في مواجهة توقعات العملاء المتغيرة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&lt;EndNote&gt;&lt;Cite&gt;&lt;Author&gt;Kaufman&lt;/Author&gt;&lt;Year&gt;2015&lt;/Year&gt;&lt;RecNum&gt;2748&lt;/RecNum&gt;&lt;DisplayText&gt;(Kaufman, 2015)&lt;/DisplayText&gt;&lt;record&gt;&lt;rec-number&gt;2748&lt;/rec-number&gt;&lt;foreign-keys&gt;&lt;key app="EN" db-id="t5vttv59or5xwbe2zdm5ewrxd905arrpawff" timestamp</w:instrText>
      </w:r>
      <w:r w:rsidRPr="00DC3DDE">
        <w:rPr>
          <w:rFonts w:asciiTheme="majorBidi" w:hAnsiTheme="majorBidi" w:cstheme="majorBidi"/>
          <w:sz w:val="28"/>
          <w:szCs w:val="28"/>
          <w:rtl/>
        </w:rPr>
        <w:instrText>="1748343103"&gt;2748&lt;/</w:instrText>
      </w:r>
      <w:r w:rsidRPr="00DC3DDE">
        <w:rPr>
          <w:rFonts w:asciiTheme="majorBidi" w:hAnsiTheme="majorBidi" w:cstheme="majorBidi"/>
          <w:sz w:val="28"/>
          <w:szCs w:val="28"/>
        </w:rPr>
        <w:instrText>key&gt;&lt;/foreign-keys&gt;&lt;ref-type name="Journal Article"&gt;17&lt;/ref-type&gt;&lt;contributors&gt;&lt;authors&gt;&lt;author&gt;Kaufman, Bruce E&lt;/author&gt;&lt;/authors&gt;&lt;/contributors&gt;&lt;titles&gt;&lt;title&gt;Market competition, HRM, and firm performance: The conventional paradigm critiqued and reformulated&lt;/title&gt;&lt;secondary-title&gt;Human Resource Management Review&lt;/secondary-title&gt;&lt;/titles&gt;&lt;periodical&gt;&lt;full-title&gt;Human resource management review&lt;/full-title&gt;&lt;/periodical&gt;&lt;pages&gt;107-125&lt;/pages&gt;&lt;volume&gt;25&lt;/volume&gt;&lt;number&gt;1&lt;/number&gt;&lt;dates</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year&gt;2015&lt;/year&gt;&lt;/dates&gt;&lt;isbn&gt;1053-4822&lt;/isbn&gt;&lt;urls&gt;&lt;/urls&gt;&lt;/record&gt;&lt;/Cite&gt;&lt;/EndNote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Kaufman, 2015</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383ADE0A" w14:textId="273131A9" w:rsidR="0054713F" w:rsidRPr="00DC3DDE" w:rsidRDefault="0054713F" w:rsidP="00FF5C30">
      <w:pPr>
        <w:bidi/>
        <w:jc w:val="both"/>
        <w:rPr>
          <w:rFonts w:asciiTheme="majorBidi" w:hAnsiTheme="majorBidi" w:cstheme="majorBidi"/>
          <w:sz w:val="28"/>
          <w:szCs w:val="28"/>
          <w:rtl/>
        </w:rPr>
      </w:pPr>
      <w:r w:rsidRPr="00DC3DDE">
        <w:rPr>
          <w:rFonts w:asciiTheme="majorBidi" w:hAnsiTheme="majorBidi" w:cstheme="majorBidi"/>
          <w:sz w:val="28"/>
          <w:szCs w:val="28"/>
          <w:rtl/>
        </w:rPr>
        <w:t>أما من حيث النشأة، فقد تطور مفهوم</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 xml:space="preserve">في تسعينيات القرن العشرين، مدفوعاً بتحول المؤسسات من النماذج التقليدية لإدارة الموارد البشرية نحو نماذج أكثر استراتيجية وشمولية. وقد استمد المفهوم جذوره من نظرية </w:t>
      </w:r>
      <w:r w:rsidRPr="00611E7E">
        <w:rPr>
          <w:rFonts w:asciiTheme="majorBidi" w:hAnsiTheme="majorBidi" w:cstheme="majorBidi"/>
          <w:sz w:val="28"/>
          <w:szCs w:val="28"/>
          <w:rtl/>
        </w:rPr>
        <w:t>الموارد الديناميكية</w:t>
      </w:r>
      <w:r w:rsidR="00DB3C88">
        <w:rPr>
          <w:rFonts w:asciiTheme="majorBidi" w:hAnsiTheme="majorBidi" w:cstheme="majorBidi" w:hint="cs"/>
          <w:b/>
          <w:bCs/>
          <w:sz w:val="28"/>
          <w:szCs w:val="28"/>
          <w:rtl/>
          <w:lang w:bidi="ar-EG"/>
        </w:rPr>
        <w:t xml:space="preserve"> </w:t>
      </w:r>
      <w:r w:rsidRPr="00DC3DDE">
        <w:rPr>
          <w:rFonts w:asciiTheme="majorBidi" w:hAnsiTheme="majorBidi" w:cstheme="majorBidi"/>
          <w:b/>
          <w:bCs/>
          <w:sz w:val="28"/>
          <w:szCs w:val="28"/>
        </w:rPr>
        <w:t>(Resource-Based View - RBV)</w:t>
      </w:r>
      <w:r w:rsidRPr="00DC3DDE">
        <w:rPr>
          <w:rFonts w:asciiTheme="majorBidi" w:hAnsiTheme="majorBidi" w:cstheme="majorBidi"/>
          <w:sz w:val="28"/>
          <w:szCs w:val="28"/>
          <w:rtl/>
        </w:rPr>
        <w:t xml:space="preserve">، التي تركز على اعتبار الموارد البشرية كمصدر أساسي للميزة التنافسية عندما يتم إدارتها بكفاءة عالية وتوظيفها في سياقات </w:t>
      </w:r>
      <w:r w:rsidRPr="00611E7E">
        <w:rPr>
          <w:rFonts w:asciiTheme="majorBidi" w:hAnsiTheme="majorBidi" w:cstheme="majorBidi"/>
          <w:sz w:val="28"/>
          <w:szCs w:val="28"/>
          <w:rtl/>
        </w:rPr>
        <w:t>تنظيمية داعمة، ونظرية رأس المال البشري</w:t>
      </w:r>
      <w:r w:rsidRPr="00DC3DDE">
        <w:rPr>
          <w:rFonts w:asciiTheme="majorBidi" w:hAnsiTheme="majorBidi" w:cstheme="majorBidi"/>
          <w:b/>
          <w:bCs/>
          <w:sz w:val="28"/>
          <w:szCs w:val="28"/>
        </w:rPr>
        <w:t xml:space="preserve"> (Human Capital Theory)</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 xml:space="preserve">التي تركز على الاستثمار في الموظف كعنصر أساسي للنمو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&lt;EndNote&gt;&lt;Cite&gt;&lt;Author&gt;Barney&lt;/Author&gt;&lt;Year&gt;1991&lt;/Year&gt;&lt;RecNum&gt;2317&lt;/RecNum&gt;&lt;DisplayText&gt;(Barney, 1991)&lt;/DisplayText&gt;&lt;record&gt;&lt;rec-number&gt;2317&lt;/rec-number&gt;&lt;foreign-keys&gt;&lt;key app="EN" db-id="t5vttv59or5xwbe2zdm5ewrxd905arrpawff" timestamp="17</w:instrText>
      </w:r>
      <w:r w:rsidRPr="00DC3DDE">
        <w:rPr>
          <w:rFonts w:asciiTheme="majorBidi" w:hAnsiTheme="majorBidi" w:cstheme="majorBidi"/>
          <w:sz w:val="28"/>
          <w:szCs w:val="28"/>
          <w:rtl/>
        </w:rPr>
        <w:instrText>44387199"&gt;2317&lt;/</w:instrText>
      </w:r>
      <w:r w:rsidRPr="00DC3DDE">
        <w:rPr>
          <w:rFonts w:asciiTheme="majorBidi" w:hAnsiTheme="majorBidi" w:cstheme="majorBidi"/>
          <w:sz w:val="28"/>
          <w:szCs w:val="28"/>
        </w:rPr>
        <w:instrText>key&gt;&lt;/foreign-keys&gt;&lt;ref-type name="Journal Article"&gt;17&lt;/ref-type&gt;&lt;contributors&gt;&lt;authors&gt;&lt;author&gt;Barney, Jay&lt;/author&gt;&lt;/authors&gt;&lt;/contributors&gt;&lt;titles&gt;&lt;title&gt;Firm resources and sustained competitive advantage&lt;/title&gt;&lt;secondary-title&gt;Journal</w:instrText>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of management&lt;/secondary-title&gt;&lt;/titles&gt;&lt;periodical&gt;&lt;full-title&gt;Journal of management&lt;/full-title&gt;&lt;/periodical&gt;&lt;pages&gt;99-120&lt;/pages&gt;&lt;volume&gt;17&lt;/volume&gt;&lt;number&gt;1&lt;/number&gt;&lt;dates&gt;&lt;year&gt;1991&lt;/year&gt;&lt;/dates&gt;&lt;isbn&gt;0149-2063&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Barney, 1991</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4564FA4D" w14:textId="0B53A55B" w:rsidR="0054713F" w:rsidRDefault="0054713F" w:rsidP="00FF5C30">
      <w:pPr>
        <w:bidi/>
        <w:jc w:val="both"/>
        <w:rPr>
          <w:rFonts w:asciiTheme="majorBidi" w:hAnsiTheme="majorBidi" w:cstheme="majorBidi"/>
          <w:sz w:val="28"/>
          <w:szCs w:val="28"/>
          <w:rtl/>
        </w:rPr>
      </w:pPr>
      <w:r w:rsidRPr="00DC3DDE">
        <w:rPr>
          <w:rFonts w:asciiTheme="majorBidi" w:hAnsiTheme="majorBidi" w:cstheme="majorBidi"/>
          <w:sz w:val="28"/>
          <w:szCs w:val="28"/>
          <w:rtl/>
        </w:rPr>
        <w:t>في بداية التسعينات، بدأت المؤسسات العالمية، وخاصة في الولايات المتحدة واليابان، في تطبيق نماذج</w:t>
      </w:r>
      <w:r w:rsidRPr="00DC3DDE">
        <w:rPr>
          <w:rFonts w:asciiTheme="majorBidi" w:hAnsiTheme="majorBidi" w:cstheme="majorBidi"/>
          <w:sz w:val="28"/>
          <w:szCs w:val="28"/>
        </w:rPr>
        <w:t xml:space="preserve"> </w:t>
      </w:r>
      <w:r w:rsidRPr="00611E7E">
        <w:rPr>
          <w:rFonts w:asciiTheme="majorBidi" w:hAnsiTheme="majorBidi" w:cstheme="majorBidi"/>
          <w:sz w:val="28"/>
          <w:szCs w:val="28"/>
        </w:rPr>
        <w:t xml:space="preserve">HPWS </w:t>
      </w:r>
      <w:r w:rsidRPr="00611E7E">
        <w:rPr>
          <w:rFonts w:asciiTheme="majorBidi" w:hAnsiTheme="majorBidi" w:cstheme="majorBidi"/>
          <w:sz w:val="28"/>
          <w:szCs w:val="28"/>
          <w:rtl/>
        </w:rPr>
        <w:t>كوسيلة لتحسين الإنتاجية في بيئات العمل المعقدة والمتغيرة. ثم تطور المفهوم ليشمل تطبيقاته في القطاعات الخدمية مثل الضيافة والرعاية الصحية والتعليم، حيث لا تعتمد القيمة المقدمة فقط على التكنولوجيا أو الأصول المادية، بل على تفاعل الموظف وجودة الخدمة</w:t>
      </w:r>
      <w:r w:rsidRPr="00611E7E">
        <w:rPr>
          <w:rFonts w:asciiTheme="majorBidi" w:hAnsiTheme="majorBidi" w:cstheme="majorBidi"/>
          <w:sz w:val="28"/>
          <w:szCs w:val="28"/>
        </w:rPr>
        <w:t>.</w:t>
      </w:r>
      <w:r w:rsidRPr="00611E7E">
        <w:rPr>
          <w:rFonts w:asciiTheme="majorBidi" w:hAnsiTheme="majorBidi" w:cstheme="majorBidi"/>
          <w:sz w:val="28"/>
          <w:szCs w:val="28"/>
          <w:rtl/>
        </w:rPr>
        <w:t xml:space="preserve"> في السنوات الأخيرة، حظي المفهوم باهتمام متزايد ليس فقط لارتباطه بتحسين الأداء المؤسسي العام، بل أيضًا لدوره في تعزيز مخرجات غير تقليدية مثل الإبداع التنظيمي، والرضا الوظيفي، وسلوكيات المواطنة التنظيمية، لا سيما في القطاعات الخدمية كثيفة العمالة مثل</w:t>
      </w:r>
      <w:r w:rsidRPr="00DC3DDE">
        <w:rPr>
          <w:rFonts w:asciiTheme="majorBidi" w:hAnsiTheme="majorBidi" w:cstheme="majorBidi"/>
          <w:sz w:val="28"/>
          <w:szCs w:val="28"/>
          <w:rtl/>
        </w:rPr>
        <w:t xml:space="preserve"> قطاعي الفنادق والمطاعم، حيث تعتمد جودة الخدمة على تفاعل الموظف وسلوكه الإبداعي في مواجهة احتياجات العملاء المتغيرة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&lt;EndNote&gt;&lt;Cite&gt;&lt;Author&gt;Kloutsiniotis&lt;/Author&gt;&lt;Year&gt;2020&lt;/Year&gt;&lt;RecNum&gt;1371&lt;/RecNum&gt;&lt;DisplayText&gt;(Kloutsiniotis and Mihail, 2020, Kehoe and Wright, 2013)&lt;/DisplayText&gt;&lt;record&gt;&lt;rec-number&gt;1371&lt;/rec-number&gt;&lt;foreign-keys&gt;&lt;key app="EN" db-id="t5vttv59or5xwbe2zdm5ewrxd905arrpawff"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gt;&lt;/periodical&gt;&lt;pages&gt;102610&lt;/pages&gt;&lt;volume&gt;90&lt;/volume&gt;&lt;dates&gt;&lt;year&gt;2020&lt;/year&gt;&lt;/dates&gt;&lt;isbn&gt;0278-4319&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w:instrText>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Kloutsiniotis and Mihail, 2020, Kehoe and Wright, 2013</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797E8C44" w14:textId="77777777" w:rsidR="006652C1" w:rsidRDefault="006652C1" w:rsidP="006652C1">
      <w:pPr>
        <w:bidi/>
        <w:jc w:val="both"/>
        <w:rPr>
          <w:rFonts w:asciiTheme="majorBidi" w:hAnsiTheme="majorBidi" w:cstheme="majorBidi"/>
          <w:sz w:val="28"/>
          <w:szCs w:val="28"/>
          <w:rtl/>
        </w:rPr>
      </w:pPr>
    </w:p>
    <w:p w14:paraId="3693EB87" w14:textId="77777777" w:rsidR="004675F9" w:rsidRPr="00DC3DDE" w:rsidRDefault="004675F9" w:rsidP="004675F9">
      <w:pPr>
        <w:bidi/>
        <w:jc w:val="both"/>
        <w:rPr>
          <w:rFonts w:asciiTheme="majorBidi" w:hAnsiTheme="majorBidi" w:cstheme="majorBidi"/>
          <w:sz w:val="28"/>
          <w:szCs w:val="28"/>
          <w:rtl/>
        </w:rPr>
      </w:pPr>
    </w:p>
    <w:p w14:paraId="252D43BB" w14:textId="396E25F2" w:rsidR="007575D7" w:rsidRDefault="0054713F" w:rsidP="007575D7">
      <w:pPr>
        <w:bidi/>
        <w:rPr>
          <w:rFonts w:asciiTheme="majorBidi" w:hAnsiTheme="majorBidi" w:cstheme="majorBidi"/>
          <w:b/>
          <w:bCs/>
          <w:i/>
          <w:iCs/>
          <w:sz w:val="28"/>
          <w:szCs w:val="28"/>
          <w:rtl/>
        </w:rPr>
      </w:pPr>
      <w:r w:rsidRPr="00DC3DDE">
        <w:rPr>
          <w:rFonts w:asciiTheme="majorBidi" w:hAnsiTheme="majorBidi" w:cstheme="majorBidi"/>
          <w:b/>
          <w:bCs/>
          <w:sz w:val="28"/>
          <w:szCs w:val="28"/>
          <w:rtl/>
        </w:rPr>
        <w:lastRenderedPageBreak/>
        <w:t xml:space="preserve">2.2.1.2. </w:t>
      </w:r>
      <w:r w:rsidR="007575D7" w:rsidRPr="007575D7">
        <w:rPr>
          <w:rFonts w:asciiTheme="majorBidi" w:hAnsiTheme="majorBidi" w:cstheme="majorBidi"/>
          <w:b/>
          <w:bCs/>
          <w:sz w:val="28"/>
          <w:szCs w:val="28"/>
          <w:rtl/>
        </w:rPr>
        <w:t xml:space="preserve">التعريفات </w:t>
      </w:r>
      <w:r w:rsidR="00A765E9" w:rsidRPr="00DC3DDE">
        <w:rPr>
          <w:rFonts w:asciiTheme="majorBidi" w:hAnsiTheme="majorBidi" w:cstheme="majorBidi"/>
          <w:b/>
          <w:bCs/>
          <w:i/>
          <w:iCs/>
          <w:sz w:val="28"/>
          <w:szCs w:val="28"/>
          <w:rtl/>
        </w:rPr>
        <w:t>(</w:t>
      </w:r>
      <w:r w:rsidR="007575D7" w:rsidRPr="007575D7">
        <w:rPr>
          <w:rFonts w:asciiTheme="majorBidi" w:hAnsiTheme="majorBidi" w:cstheme="majorBidi"/>
          <w:b/>
          <w:bCs/>
          <w:i/>
          <w:iCs/>
          <w:sz w:val="28"/>
          <w:szCs w:val="28"/>
          <w:rtl/>
        </w:rPr>
        <w:t>من الأحدث إلى الأقدم</w:t>
      </w:r>
      <w:r w:rsidR="00A765E9" w:rsidRPr="00DC3DDE">
        <w:rPr>
          <w:rFonts w:asciiTheme="majorBidi" w:hAnsiTheme="majorBidi" w:cstheme="majorBidi"/>
          <w:b/>
          <w:bCs/>
          <w:i/>
          <w:iCs/>
          <w:sz w:val="28"/>
          <w:szCs w:val="28"/>
          <w:rtl/>
        </w:rPr>
        <w:t>)</w:t>
      </w:r>
    </w:p>
    <w:p w14:paraId="0CBB24E2" w14:textId="77777777" w:rsidR="001D3CAA" w:rsidRPr="00DC3DDE" w:rsidRDefault="001D3CAA" w:rsidP="00FF5C30">
      <w:pPr>
        <w:bidi/>
        <w:jc w:val="both"/>
        <w:rPr>
          <w:rFonts w:asciiTheme="majorBidi" w:hAnsiTheme="majorBidi" w:cstheme="majorBidi"/>
          <w:sz w:val="28"/>
          <w:szCs w:val="28"/>
          <w:rtl/>
          <w:lang w:bidi="ar-EG"/>
        </w:rPr>
      </w:pPr>
      <w:r w:rsidRPr="00DC3DDE">
        <w:rPr>
          <w:rFonts w:asciiTheme="majorBidi" w:hAnsiTheme="majorBidi" w:cstheme="majorBidi"/>
          <w:sz w:val="28"/>
          <w:szCs w:val="28"/>
          <w:rtl/>
        </w:rPr>
        <w:t>وقد تبلور المفهوم بدايةً من خلال أعمال</w:t>
      </w:r>
      <w:r w:rsidRPr="00DC3DDE">
        <w:rPr>
          <w:rFonts w:asciiTheme="majorBidi" w:hAnsiTheme="majorBidi" w:cstheme="majorBidi"/>
          <w:sz w:val="28"/>
          <w:szCs w:val="28"/>
        </w:rPr>
        <w:t xml:space="preserve"> </w:t>
      </w:r>
      <w:proofErr w:type="spellStart"/>
      <w:r w:rsidRPr="00DC3DDE">
        <w:rPr>
          <w:rFonts w:asciiTheme="majorBidi" w:hAnsiTheme="majorBidi" w:cstheme="majorBidi"/>
          <w:sz w:val="28"/>
          <w:szCs w:val="28"/>
        </w:rPr>
        <w:t>Huselid</w:t>
      </w:r>
      <w:proofErr w:type="spellEnd"/>
      <w:r w:rsidRPr="00DC3DDE">
        <w:rPr>
          <w:rFonts w:asciiTheme="majorBidi" w:hAnsiTheme="majorBidi" w:cstheme="majorBidi"/>
          <w:sz w:val="28"/>
          <w:szCs w:val="28"/>
        </w:rPr>
        <w:t xml:space="preserve"> (1995) </w:t>
      </w:r>
      <w:r w:rsidRPr="00DC3DDE">
        <w:rPr>
          <w:rFonts w:asciiTheme="majorBidi" w:hAnsiTheme="majorBidi" w:cstheme="majorBidi"/>
          <w:sz w:val="28"/>
          <w:szCs w:val="28"/>
          <w:rtl/>
        </w:rPr>
        <w:t>و</w:t>
      </w:r>
      <w:r w:rsidRPr="00DC3DDE">
        <w:rPr>
          <w:rFonts w:asciiTheme="majorBidi" w:hAnsiTheme="majorBidi" w:cstheme="majorBidi"/>
          <w:sz w:val="28"/>
          <w:szCs w:val="28"/>
        </w:rPr>
        <w:t xml:space="preserve">Becker &amp; </w:t>
      </w:r>
      <w:proofErr w:type="spellStart"/>
      <w:r w:rsidRPr="00DC3DDE">
        <w:rPr>
          <w:rFonts w:asciiTheme="majorBidi" w:hAnsiTheme="majorBidi" w:cstheme="majorBidi"/>
          <w:sz w:val="28"/>
          <w:szCs w:val="28"/>
        </w:rPr>
        <w:t>Huselid</w:t>
      </w:r>
      <w:proofErr w:type="spellEnd"/>
      <w:r w:rsidRPr="00DC3DDE">
        <w:rPr>
          <w:rFonts w:asciiTheme="majorBidi" w:hAnsiTheme="majorBidi" w:cstheme="majorBidi"/>
          <w:sz w:val="28"/>
          <w:szCs w:val="28"/>
        </w:rPr>
        <w:t xml:space="preserve"> (1998)</w:t>
      </w:r>
      <w:r w:rsidRPr="00DC3DDE">
        <w:rPr>
          <w:rFonts w:asciiTheme="majorBidi" w:hAnsiTheme="majorBidi" w:cstheme="majorBidi"/>
          <w:sz w:val="28"/>
          <w:szCs w:val="28"/>
          <w:rtl/>
        </w:rPr>
        <w:t>، اللذين وضعا الأساس النظري لما عُرف لاحقًا بـ</w:t>
      </w:r>
      <w:r>
        <w:rPr>
          <w:rFonts w:asciiTheme="majorBidi" w:hAnsiTheme="majorBidi" w:cstheme="majorBidi" w:hint="cs"/>
          <w:sz w:val="28"/>
          <w:szCs w:val="28"/>
          <w:rtl/>
        </w:rPr>
        <w:t xml:space="preserve"> </w:t>
      </w:r>
      <w:r w:rsidRPr="00DC3DDE">
        <w:rPr>
          <w:rFonts w:asciiTheme="majorBidi" w:hAnsiTheme="majorBidi" w:cstheme="majorBidi"/>
          <w:sz w:val="28"/>
          <w:szCs w:val="28"/>
        </w:rPr>
        <w:t>HPWS</w:t>
      </w:r>
      <w:r w:rsidRPr="00DC3DDE">
        <w:rPr>
          <w:rFonts w:asciiTheme="majorBidi" w:hAnsiTheme="majorBidi" w:cstheme="majorBidi"/>
          <w:sz w:val="28"/>
          <w:szCs w:val="28"/>
          <w:rtl/>
        </w:rPr>
        <w:t>، حيث تم توصيفه كنظام متكامل من ممارسات الموارد البشرية التي تسعى إلى تحسين أداء الموظفين والمؤسسة في آنٍ معًا، من خلال التأثير في مهارات الأفراد، وتحفيزهم، وهيكلتهم التنظيمية بالشكل الذي يحقق التوافق الاستراتيجي</w:t>
      </w:r>
      <w:r w:rsidRPr="00DC3DDE">
        <w:rPr>
          <w:rFonts w:asciiTheme="majorBidi" w:hAnsiTheme="majorBidi" w:cstheme="majorBidi"/>
          <w:sz w:val="28"/>
          <w:szCs w:val="28"/>
          <w:rtl/>
          <w:lang w:bidi="ar-EG"/>
        </w:rPr>
        <w:t xml:space="preserve"> </w:t>
      </w:r>
      <w:r w:rsidRPr="00DC3DDE">
        <w:rPr>
          <w:rFonts w:asciiTheme="majorBidi" w:hAnsiTheme="majorBidi" w:cstheme="majorBidi"/>
          <w:sz w:val="28"/>
          <w:szCs w:val="28"/>
          <w:rtl/>
          <w:lang w:bidi="ar-EG"/>
        </w:rPr>
        <w:fldChar w:fldCharType="begin"/>
      </w:r>
      <w:r w:rsidRPr="00DC3DDE">
        <w:rPr>
          <w:rFonts w:asciiTheme="majorBidi" w:hAnsiTheme="majorBidi" w:cstheme="majorBidi"/>
          <w:sz w:val="28"/>
          <w:szCs w:val="28"/>
          <w:rtl/>
          <w:lang w:bidi="ar-EG"/>
        </w:rPr>
        <w:instrText xml:space="preserve"> </w:instrText>
      </w:r>
      <w:r w:rsidRPr="00DC3DDE">
        <w:rPr>
          <w:rFonts w:asciiTheme="majorBidi" w:hAnsiTheme="majorBidi" w:cstheme="majorBidi"/>
          <w:sz w:val="28"/>
          <w:szCs w:val="28"/>
          <w:lang w:bidi="ar-EG"/>
        </w:rPr>
        <w:instrText>ADDIN EN.CITE &lt;EndNote&gt;&lt;Cite&gt;&lt;Author&gt;Huselid&lt;/Author&gt;&lt;Year&gt;1995&lt;/Year&gt;&lt;RecNum&gt;2744&lt;/RecNum&gt;&lt;DisplayText&gt;(Huselid, 1995, Becker, 1998)&lt;/DisplayText&gt;&lt;record&gt;&lt;rec-number&gt;2744&lt;/rec-number&gt;&lt;foreign-keys&gt;&lt;key app="EN" db-id="t5vttv59or5xwbe2zdm5ewrxd905arrpawff" timestamp="1748342661"&gt;2744&lt;/key&gt;&lt;/foreign-keys&gt;&lt;ref-type name="Journal Article"&gt;17&lt;/ref-type&gt;&lt;contributors&gt;&lt;authors&gt;&lt;author&gt;Huselid, Mark A&lt;/author&gt;&lt;/authors&gt;&lt;/contributors&gt;&lt;titles&gt;&lt;title&gt;The impact of human resource management practices on turnover</w:instrText>
      </w:r>
      <w:r w:rsidRPr="00DC3DDE">
        <w:rPr>
          <w:rFonts w:asciiTheme="majorBidi" w:hAnsiTheme="majorBidi" w:cstheme="majorBidi"/>
          <w:sz w:val="28"/>
          <w:szCs w:val="28"/>
          <w:rtl/>
          <w:lang w:bidi="ar-EG"/>
        </w:rPr>
        <w:instrText xml:space="preserve">, </w:instrText>
      </w:r>
      <w:r w:rsidRPr="00DC3DDE">
        <w:rPr>
          <w:rFonts w:asciiTheme="majorBidi" w:hAnsiTheme="majorBidi" w:cstheme="majorBidi"/>
          <w:sz w:val="28"/>
          <w:szCs w:val="28"/>
          <w:lang w:bidi="ar-EG"/>
        </w:rPr>
        <w:instrText>productivity, and corporate financial performance&lt;/title&gt;&lt;secondary-title&gt;Academy of management journal&lt;/secondary-title&gt;&lt;/titles&gt;&lt;periodical&gt;&lt;full-title&gt;Academy of management journal&lt;/full-title&gt;&lt;/periodical&gt;&lt;pages&gt;635-672&lt;/pages&gt;&lt;volume&gt;38&lt;/volume&gt;&lt;number&gt;3&lt;/number&gt;&lt;dates&gt;&lt;year&gt;1995&lt;/year&gt;&lt;/dates&gt;&lt;isbn&gt;0001-4273&lt;/isbn&gt;&lt;urls&gt;&lt;/urls&gt;&lt;/record&gt;&lt;/Cite&gt;&lt;Cite&gt;&lt;Author&gt;Becker&lt;/Author&gt;&lt;Year&gt;1998&lt;/Year&gt;&lt;RecNum&gt;2745&lt;/RecNum&gt;&lt;record&gt;&lt;rec-number&gt;2745&lt;/rec-number&gt;&lt;foreign-keys&gt;&lt;key app="EN" db-id="t5vttv59or5xwbe2zdm5ewrxd905arrpawff" timestamp="1748342747"&gt;2745&lt;/key&gt;&lt;/foreign-keys&gt;&lt;ref-type name="Journal Article"&gt;17&lt;/ref-type&gt;&lt;contributors&gt;&lt;authors&gt;&lt;author&gt;Becker, Brian&lt;/author&gt;&lt;/authors&gt;&lt;/contributors&gt;&lt;titles&gt;&lt;title&gt;High performance work systems and firm performance</w:instrText>
      </w:r>
      <w:r w:rsidRPr="00DC3DDE">
        <w:rPr>
          <w:rFonts w:asciiTheme="majorBidi" w:hAnsiTheme="majorBidi" w:cstheme="majorBidi"/>
          <w:sz w:val="28"/>
          <w:szCs w:val="28"/>
          <w:rtl/>
          <w:lang w:bidi="ar-EG"/>
        </w:rPr>
        <w:instrText xml:space="preserve">: </w:instrText>
      </w:r>
      <w:r w:rsidRPr="00DC3DDE">
        <w:rPr>
          <w:rFonts w:asciiTheme="majorBidi" w:hAnsiTheme="majorBidi" w:cstheme="majorBidi"/>
          <w:sz w:val="28"/>
          <w:szCs w:val="28"/>
          <w:lang w:bidi="ar-EG"/>
        </w:rPr>
        <w:instrText>A synthesis of research and managerial implications&lt;/title&gt;&lt;secondary-title&gt;Research in personnel and human resources management&lt;/secondary-title&gt;&lt;/titles&gt;&lt;periodical&gt;&lt;full-title&gt;Research in personnel and human resources management&lt;/full-title&gt;&lt;/periodical&gt;&lt;pages&gt;53&lt;/pages&gt;&lt;volume&gt;16&lt;/volume&gt;&lt;dates&gt;&lt;year&gt;1998&lt;/year&gt;&lt;/dates&gt;&lt;urls&gt;&lt;/urls&gt;&lt;/record&gt;&lt;/Cite&gt;&lt;/EndNote</w:instrText>
      </w:r>
      <w:r w:rsidRPr="00DC3DDE">
        <w:rPr>
          <w:rFonts w:asciiTheme="majorBidi" w:hAnsiTheme="majorBidi" w:cstheme="majorBidi"/>
          <w:sz w:val="28"/>
          <w:szCs w:val="28"/>
          <w:rtl/>
          <w:lang w:bidi="ar-EG"/>
        </w:rPr>
        <w:instrText>&gt;</w:instrText>
      </w:r>
      <w:r w:rsidRPr="00DC3DDE">
        <w:rPr>
          <w:rFonts w:asciiTheme="majorBidi" w:hAnsiTheme="majorBidi" w:cstheme="majorBidi"/>
          <w:sz w:val="28"/>
          <w:szCs w:val="28"/>
          <w:rtl/>
          <w:lang w:bidi="ar-EG"/>
        </w:rPr>
        <w:fldChar w:fldCharType="separate"/>
      </w:r>
      <w:r w:rsidRPr="00DC3DDE">
        <w:rPr>
          <w:rFonts w:asciiTheme="majorBidi" w:hAnsiTheme="majorBidi" w:cstheme="majorBidi"/>
          <w:noProof/>
          <w:sz w:val="28"/>
          <w:szCs w:val="28"/>
          <w:rtl/>
          <w:lang w:bidi="ar-EG"/>
        </w:rPr>
        <w:t>(</w:t>
      </w:r>
      <w:r w:rsidRPr="00DC3DDE">
        <w:rPr>
          <w:rFonts w:asciiTheme="majorBidi" w:hAnsiTheme="majorBidi" w:cstheme="majorBidi"/>
          <w:noProof/>
          <w:sz w:val="28"/>
          <w:szCs w:val="28"/>
          <w:lang w:bidi="ar-EG"/>
        </w:rPr>
        <w:t>Huselid, 1995, Becker, 1998</w:t>
      </w:r>
      <w:r w:rsidRPr="00DC3DDE">
        <w:rPr>
          <w:rFonts w:asciiTheme="majorBidi" w:hAnsiTheme="majorBidi" w:cstheme="majorBidi"/>
          <w:noProof/>
          <w:sz w:val="28"/>
          <w:szCs w:val="28"/>
          <w:rtl/>
          <w:lang w:bidi="ar-EG"/>
        </w:rPr>
        <w:t>)</w:t>
      </w:r>
      <w:r w:rsidRPr="00DC3DDE">
        <w:rPr>
          <w:rFonts w:asciiTheme="majorBidi" w:hAnsiTheme="majorBidi" w:cstheme="majorBidi"/>
          <w:sz w:val="28"/>
          <w:szCs w:val="28"/>
          <w:rtl/>
          <w:lang w:bidi="ar-EG"/>
        </w:rPr>
        <w:fldChar w:fldCharType="end"/>
      </w:r>
      <w:r w:rsidRPr="00DC3DDE">
        <w:rPr>
          <w:rFonts w:asciiTheme="majorBidi" w:hAnsiTheme="majorBidi" w:cstheme="majorBidi"/>
          <w:sz w:val="28"/>
          <w:szCs w:val="28"/>
          <w:rtl/>
          <w:lang w:bidi="ar-EG"/>
        </w:rPr>
        <w:t>.</w:t>
      </w:r>
    </w:p>
    <w:p w14:paraId="0282A37C" w14:textId="77777777" w:rsidR="001D3CAA" w:rsidRPr="00DC3DDE" w:rsidRDefault="001D3CAA" w:rsidP="00FF5C30">
      <w:pPr>
        <w:bidi/>
        <w:jc w:val="both"/>
        <w:rPr>
          <w:rFonts w:asciiTheme="majorBidi" w:hAnsiTheme="majorBidi" w:cstheme="majorBidi"/>
          <w:sz w:val="28"/>
          <w:szCs w:val="28"/>
        </w:rPr>
      </w:pPr>
      <w:r w:rsidRPr="00DC3DDE">
        <w:rPr>
          <w:rFonts w:asciiTheme="majorBidi" w:hAnsiTheme="majorBidi" w:cstheme="majorBidi"/>
          <w:sz w:val="28"/>
          <w:szCs w:val="28"/>
          <w:rtl/>
        </w:rPr>
        <w:t>وقد تم تعريف</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من قبل</w:t>
      </w:r>
      <w:r w:rsidRPr="00DC3DDE">
        <w:rPr>
          <w:rFonts w:asciiTheme="majorBidi" w:hAnsiTheme="majorBidi" w:cstheme="majorBidi"/>
          <w:sz w:val="28"/>
          <w:szCs w:val="28"/>
        </w:rPr>
        <w:t xml:space="preserve"> Combs et al. (2006) </w:t>
      </w:r>
      <w:r w:rsidRPr="00DC3DDE">
        <w:rPr>
          <w:rFonts w:asciiTheme="majorBidi" w:hAnsiTheme="majorBidi" w:cstheme="majorBidi"/>
          <w:sz w:val="28"/>
          <w:szCs w:val="28"/>
          <w:rtl/>
        </w:rPr>
        <w:t xml:space="preserve">على أنها "حزمة من ممارسات الموارد البشرية المصممة لزيادة أداء المؤسسة من خلال تعزيز المعرفة والمهارات والدافعية لدى الموظفين"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&lt;EndNote&gt;&lt;Cite&gt;&lt;Author&gt;Combs&lt;/Author&gt;&lt;Year&gt;2006&lt;/Year&gt;&lt;RecNum&gt;1344&lt;/RecNum&gt;&lt;DisplayText&gt;(Combs et al., 2006)&lt;/DisplayText&gt;&lt;record&gt;&lt;rec-number&gt;1344&lt;/rec-number&gt;&lt;foreign-keys&gt;&lt;key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high‐performance work practices matter? A meta‐analysis of their effects on organizational performance&lt;/title&gt;&lt;secondary-title&gt;Personnel psychology&lt;/secondary-title&gt;&lt;/titles&gt;&lt;periodical&gt;&lt;full-title&gt;Personnel psychology&lt;/full-title</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periodical&gt;&lt;pages&gt;501-528&lt;/pages&gt;&lt;volume&gt;59&lt;/volume&gt;&lt;number&gt;3&lt;/number&gt;&lt;dates&gt;&lt;year&gt;2006&lt;/year&gt;&lt;/dates&gt;&lt;isbn&gt;0031-5826&lt;/isbn&gt;&lt;urls&gt;&lt;/urls&gt;&lt;/record&gt;&lt;/Cite&gt;&lt;/EndNote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Combs et al., 2006</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 كما يشير</w:t>
      </w:r>
      <w:r w:rsidRPr="00DC3DDE">
        <w:rPr>
          <w:rFonts w:asciiTheme="majorBidi" w:hAnsiTheme="majorBidi" w:cstheme="majorBidi"/>
          <w:sz w:val="28"/>
          <w:szCs w:val="28"/>
        </w:rPr>
        <w:t xml:space="preserve"> Takeuchi et al. (2007) </w:t>
      </w:r>
      <w:r w:rsidRPr="00DC3DDE">
        <w:rPr>
          <w:rFonts w:asciiTheme="majorBidi" w:hAnsiTheme="majorBidi" w:cstheme="majorBidi"/>
          <w:sz w:val="28"/>
          <w:szCs w:val="28"/>
          <w:rtl/>
        </w:rPr>
        <w:t>إلى أن</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 xml:space="preserve">تمثل نهجاً استراتيجياً يقوم على التكامل بين ممارسات التوظيف الانتقائي، والتدريب والتطوير المستمر، والمكافآت التحفيزية، ومشاركة الموظفين في اتخاذ القرارات، وذلك بهدف تعزيز الكفاءة والالتزام والإبداع في بيئة العمل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Pr="00DC3DDE">
        <w:rPr>
          <w:rFonts w:asciiTheme="majorBidi" w:hAnsiTheme="majorBidi" w:cstheme="majorBidi"/>
          <w:sz w:val="28"/>
          <w:szCs w:val="28"/>
          <w:rtl/>
        </w:rPr>
        <w:instrText>-</w:instrText>
      </w:r>
      <w:r w:rsidRPr="00DC3DDE">
        <w:rPr>
          <w:rFonts w:asciiTheme="majorBidi" w:hAnsiTheme="majorBidi" w:cstheme="majorBidi"/>
          <w:sz w:val="28"/>
          <w:szCs w:val="28"/>
        </w:rPr>
        <w:instrText>title&gt;Journal of applied psychology&lt;/full-title&gt;&lt;/periodical&gt;&lt;pages&gt;1069&lt;/pages&gt;&lt;volume&gt;92&lt;/volume&gt;&lt;number&gt;4&lt;/number&gt;&lt;dates&gt;&lt;year&gt;2007&lt;/year&gt;&lt;/dates&gt;&lt;isbn&gt;1939-1854&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Takeuchi et al., 2007</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717ABD40" w14:textId="2F66614C" w:rsidR="001D3CAA" w:rsidRPr="00DB3C88" w:rsidRDefault="001D3CAA" w:rsidP="00DB3C88">
      <w:pPr>
        <w:bidi/>
        <w:jc w:val="both"/>
        <w:rPr>
          <w:rFonts w:asciiTheme="majorBidi" w:hAnsiTheme="majorBidi" w:cstheme="majorBidi"/>
          <w:sz w:val="28"/>
          <w:szCs w:val="28"/>
          <w:lang w:bidi="ar-EG"/>
        </w:rPr>
      </w:pPr>
      <w:r w:rsidRPr="00DC3DDE">
        <w:rPr>
          <w:rFonts w:asciiTheme="majorBidi" w:hAnsiTheme="majorBidi" w:cstheme="majorBidi"/>
          <w:sz w:val="28"/>
          <w:szCs w:val="28"/>
          <w:rtl/>
        </w:rPr>
        <w:t xml:space="preserve">ويستند المفهوم نظرياً إلى إطار </w:t>
      </w:r>
      <w:r w:rsidRPr="00DC3DDE">
        <w:rPr>
          <w:rFonts w:asciiTheme="majorBidi" w:hAnsiTheme="majorBidi" w:cstheme="majorBidi"/>
          <w:b/>
          <w:bCs/>
          <w:sz w:val="28"/>
          <w:szCs w:val="28"/>
          <w:rtl/>
        </w:rPr>
        <w:t>القدرة</w:t>
      </w:r>
      <w:r w:rsidR="00611E7E">
        <w:rPr>
          <w:rFonts w:asciiTheme="majorBidi" w:hAnsiTheme="majorBidi" w:cstheme="majorBidi" w:hint="cs"/>
          <w:b/>
          <w:bCs/>
          <w:sz w:val="28"/>
          <w:szCs w:val="28"/>
          <w:rtl/>
        </w:rPr>
        <w:t xml:space="preserve"> - </w:t>
      </w:r>
      <w:r w:rsidRPr="00DC3DDE">
        <w:rPr>
          <w:rFonts w:asciiTheme="majorBidi" w:hAnsiTheme="majorBidi" w:cstheme="majorBidi"/>
          <w:b/>
          <w:bCs/>
          <w:sz w:val="28"/>
          <w:szCs w:val="28"/>
          <w:rtl/>
        </w:rPr>
        <w:t>الدافعية</w:t>
      </w:r>
      <w:r w:rsidR="00611E7E">
        <w:rPr>
          <w:rFonts w:asciiTheme="majorBidi" w:hAnsiTheme="majorBidi" w:cstheme="majorBidi" w:hint="cs"/>
          <w:b/>
          <w:bCs/>
          <w:sz w:val="28"/>
          <w:szCs w:val="28"/>
          <w:rtl/>
        </w:rPr>
        <w:t xml:space="preserve"> - </w:t>
      </w:r>
      <w:r w:rsidRPr="00DC3DDE">
        <w:rPr>
          <w:rFonts w:asciiTheme="majorBidi" w:hAnsiTheme="majorBidi" w:cstheme="majorBidi"/>
          <w:b/>
          <w:bCs/>
          <w:sz w:val="28"/>
          <w:szCs w:val="28"/>
          <w:rtl/>
        </w:rPr>
        <w:t xml:space="preserve">الفرصة </w:t>
      </w:r>
      <w:r>
        <w:rPr>
          <w:rFonts w:asciiTheme="majorBidi" w:hAnsiTheme="majorBidi" w:cstheme="majorBidi" w:hint="cs"/>
          <w:b/>
          <w:bCs/>
          <w:sz w:val="28"/>
          <w:szCs w:val="28"/>
          <w:rtl/>
        </w:rPr>
        <w:t>(</w:t>
      </w:r>
      <w:r w:rsidRPr="00DC3DDE">
        <w:rPr>
          <w:rFonts w:asciiTheme="majorBidi" w:hAnsiTheme="majorBidi" w:cstheme="majorBidi"/>
          <w:b/>
          <w:bCs/>
          <w:sz w:val="28"/>
          <w:szCs w:val="28"/>
        </w:rPr>
        <w:t>Ability–Motivation–Opportunity - AMO Model</w:t>
      </w:r>
      <w:r>
        <w:rPr>
          <w:rFonts w:asciiTheme="majorBidi" w:hAnsiTheme="majorBidi" w:cstheme="majorBidi" w:hint="cs"/>
          <w:b/>
          <w:bCs/>
          <w:sz w:val="28"/>
          <w:szCs w:val="28"/>
          <w:rtl/>
        </w:rPr>
        <w:t>)</w:t>
      </w:r>
      <w:r w:rsidRPr="00DC3DDE">
        <w:rPr>
          <w:rFonts w:asciiTheme="majorBidi" w:hAnsiTheme="majorBidi" w:cstheme="majorBidi"/>
          <w:sz w:val="28"/>
          <w:szCs w:val="28"/>
          <w:rtl/>
        </w:rPr>
        <w:t>، والذي يفترض أن الأداء العالي لا يتحقق إلا من خلال تطوير ثلاث ركائز أساسية: تمكين الأفراد من خلال بناء قدراتهم</w:t>
      </w:r>
      <w:r w:rsidRPr="00DC3DDE">
        <w:rPr>
          <w:rFonts w:asciiTheme="majorBidi" w:hAnsiTheme="majorBidi" w:cstheme="majorBidi"/>
          <w:sz w:val="28"/>
          <w:szCs w:val="28"/>
        </w:rPr>
        <w:t xml:space="preserve"> (Ability)</w:t>
      </w:r>
      <w:r w:rsidRPr="00DC3DDE">
        <w:rPr>
          <w:rFonts w:asciiTheme="majorBidi" w:hAnsiTheme="majorBidi" w:cstheme="majorBidi"/>
          <w:sz w:val="28"/>
          <w:szCs w:val="28"/>
          <w:rtl/>
        </w:rPr>
        <w:t xml:space="preserve">، تحفيزهم لتقديم أفضل ما لديهم </w:t>
      </w:r>
      <w:r w:rsidRPr="00DC3DDE">
        <w:rPr>
          <w:rFonts w:asciiTheme="majorBidi" w:hAnsiTheme="majorBidi" w:cstheme="majorBidi"/>
          <w:sz w:val="28"/>
          <w:szCs w:val="28"/>
        </w:rPr>
        <w:t>(Motivation)</w:t>
      </w:r>
      <w:r w:rsidRPr="00DC3DDE">
        <w:rPr>
          <w:rFonts w:asciiTheme="majorBidi" w:hAnsiTheme="majorBidi" w:cstheme="majorBidi"/>
          <w:sz w:val="28"/>
          <w:szCs w:val="28"/>
          <w:rtl/>
        </w:rPr>
        <w:t>، وتوفير بيئة تتيح لهم المشاركة الفعالة واتخاذ القرارات</w:t>
      </w:r>
      <w:r w:rsidRPr="00DC3DDE">
        <w:rPr>
          <w:rFonts w:asciiTheme="majorBidi" w:hAnsiTheme="majorBidi" w:cstheme="majorBidi"/>
          <w:sz w:val="28"/>
          <w:szCs w:val="28"/>
        </w:rPr>
        <w:t xml:space="preserve"> (Opportunity) </w:t>
      </w:r>
      <w:r w:rsidRPr="00DC3DDE">
        <w:rPr>
          <w:rFonts w:asciiTheme="majorBidi" w:hAnsiTheme="majorBidi" w:cstheme="majorBidi"/>
          <w:sz w:val="28"/>
          <w:szCs w:val="28"/>
          <w:rtl/>
        </w:rPr>
        <w:t xml:space="preserve">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&lt;EndNote&gt;&lt;Cite&gt;&lt;Author&gt;Jiang&lt;/Author&gt;&lt;Year&gt;2012&lt;/Year&gt;&lt;RecNum&gt;1364&lt;/RecNum&gt;&lt;DisplayText&gt;(Jiang et al., 2012, Appelbaum, 2000)&lt;/DisplayText&gt;&lt;record&gt;&lt;rec-number&gt;1364&lt;/rec-number&gt;&lt;foreign-keys&gt;&lt;key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contributors&gt;&lt;titles&gt;&lt;title&gt;How does human resource management influence organizational outcomes? A meta-analytic investigation of mediating mechanisms&lt;/title&gt;&lt;secondary-title&gt;Academy of management Journal&lt;/secondary-title&gt;&lt;/titles&gt;&lt;periodical&gt;&lt;full-title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Pr>
        <w:instrText>Academy of management journal&lt;/full-title&gt;&lt;/periodical&gt;&lt;pages&gt;1264-1294&lt;/pages&gt;&lt;volume&gt;55&lt;/volume&gt;&lt;number&gt;6&lt;/number&gt;&lt;dates&gt;&lt;year&gt;2012&lt;/year&gt;&lt;/dates&gt;&lt;isbn&gt;0001-4273&lt;/isbn&gt;&lt;urls&gt;&lt;/urls&gt;&lt;/record&gt;&lt;/Cite&gt;&lt;Cite&gt;&lt;Author&gt;Appelbaum&lt;/Author&gt;&lt;Year&gt;2000&lt;/Year&gt;&lt;RecNum&gt;2316&lt;/RecNum&gt;&lt;record&gt;&lt;rec-number&gt;2316&lt;/rec-number&gt;&lt;foreign-keys&gt;&lt;key app="EN" db-id="t5vttv59or5xwbe2zdm5ewrxd905arrpawff" timestamp="1744387034"&gt;2316&lt;/key&gt;&lt;/foreign-keys&gt;&lt;ref-type name="Book"&gt;6&lt;/ref-type&gt;&lt;contributors&gt;&lt;authors&gt;&lt;author&gt;Appelbaum, Eileen</w:instrText>
      </w:r>
      <w:r w:rsidRPr="00DC3DDE">
        <w:rPr>
          <w:rFonts w:asciiTheme="majorBidi" w:hAnsiTheme="majorBidi" w:cstheme="majorBidi"/>
          <w:sz w:val="28"/>
          <w:szCs w:val="28"/>
          <w:rtl/>
        </w:rPr>
        <w:instrText>&lt;/</w:instrText>
      </w:r>
      <w:r w:rsidRPr="00DC3DDE">
        <w:rPr>
          <w:rFonts w:asciiTheme="majorBidi" w:hAnsiTheme="majorBidi" w:cstheme="majorBidi"/>
          <w:sz w:val="28"/>
          <w:szCs w:val="28"/>
        </w:rPr>
        <w:instrText>author&gt;&lt;/authors&gt;&lt;/contributors&gt;&lt;titles&gt;&lt;title&gt;Manufacturing advantage: Why high-performance work systems pay off&lt;/title&gt;&lt;/titles&gt;&lt;dates&gt;&lt;year&gt;2000&lt;/year&gt;&lt;/dates&gt;&lt;publisher&gt;Cornell University Press&lt;/publisher&gt;&lt;isbn&gt;0801437652&lt;/isbn&gt;&lt;urls&gt;&lt;/urls&gt;&lt;/record</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Jiang et al., 2012, Appelbaum, 2000</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lang w:bidi="ar-EG"/>
        </w:rPr>
        <w:t>.</w:t>
      </w:r>
    </w:p>
    <w:p w14:paraId="548C1F52" w14:textId="272FE2B5" w:rsidR="007575D7" w:rsidRPr="007575D7" w:rsidRDefault="007575D7" w:rsidP="00FF5C30">
      <w:pPr>
        <w:numPr>
          <w:ilvl w:val="0"/>
          <w:numId w:val="2"/>
        </w:numPr>
        <w:bidi/>
        <w:jc w:val="both"/>
        <w:rPr>
          <w:rFonts w:asciiTheme="majorBidi" w:hAnsiTheme="majorBidi" w:cstheme="majorBidi"/>
          <w:sz w:val="28"/>
          <w:szCs w:val="28"/>
        </w:rPr>
      </w:pPr>
      <w:r w:rsidRPr="007575D7">
        <w:rPr>
          <w:rFonts w:asciiTheme="majorBidi" w:hAnsiTheme="majorBidi" w:cstheme="majorBidi"/>
          <w:b/>
          <w:bCs/>
          <w:sz w:val="28"/>
          <w:szCs w:val="28"/>
        </w:rPr>
        <w:t>Boxall and Macky (2014)</w:t>
      </w:r>
      <w:r w:rsidR="00A765E9" w:rsidRPr="00DC3DDE">
        <w:rPr>
          <w:rFonts w:asciiTheme="majorBidi" w:hAnsiTheme="majorBidi" w:cstheme="majorBidi"/>
          <w:sz w:val="28"/>
          <w:szCs w:val="28"/>
          <w:rtl/>
        </w:rPr>
        <w:t>:</w:t>
      </w:r>
      <w:r w:rsidRPr="007575D7">
        <w:rPr>
          <w:rFonts w:asciiTheme="majorBidi" w:hAnsiTheme="majorBidi" w:cstheme="majorBidi"/>
          <w:sz w:val="28"/>
          <w:szCs w:val="28"/>
        </w:rPr>
        <w:t xml:space="preserve"> </w:t>
      </w:r>
      <w:r w:rsidRPr="007575D7">
        <w:rPr>
          <w:rFonts w:asciiTheme="majorBidi" w:hAnsiTheme="majorBidi" w:cstheme="majorBidi"/>
          <w:sz w:val="28"/>
          <w:szCs w:val="28"/>
          <w:rtl/>
        </w:rPr>
        <w:t>مجموعة من الممارسات المترابطة لإدارة الموارد البشرية، مصممة لتعزيز قدرات العاملين وتحفيزهم بما يسهم في تحقيق أهداف المؤسسة على نحو مستدام</w:t>
      </w:r>
      <w:r w:rsidRPr="007575D7">
        <w:rPr>
          <w:rFonts w:asciiTheme="majorBidi" w:hAnsiTheme="majorBidi" w:cstheme="majorBidi"/>
          <w:sz w:val="28"/>
          <w:szCs w:val="28"/>
        </w:rPr>
        <w:t>.</w:t>
      </w:r>
    </w:p>
    <w:p w14:paraId="1E9A6415" w14:textId="3E795E9F" w:rsidR="007575D7" w:rsidRPr="007575D7" w:rsidRDefault="007575D7" w:rsidP="00FF5C30">
      <w:pPr>
        <w:numPr>
          <w:ilvl w:val="0"/>
          <w:numId w:val="2"/>
        </w:numPr>
        <w:bidi/>
        <w:jc w:val="both"/>
        <w:rPr>
          <w:rFonts w:asciiTheme="majorBidi" w:hAnsiTheme="majorBidi" w:cstheme="majorBidi"/>
          <w:sz w:val="28"/>
          <w:szCs w:val="28"/>
        </w:rPr>
      </w:pPr>
      <w:r w:rsidRPr="007575D7">
        <w:rPr>
          <w:rFonts w:asciiTheme="majorBidi" w:hAnsiTheme="majorBidi" w:cstheme="majorBidi"/>
          <w:b/>
          <w:bCs/>
          <w:sz w:val="28"/>
          <w:szCs w:val="28"/>
        </w:rPr>
        <w:t>Takeuchi et al. (2007)</w:t>
      </w:r>
      <w:r w:rsidR="00A765E9" w:rsidRPr="00DC3DDE">
        <w:rPr>
          <w:rFonts w:asciiTheme="majorBidi" w:hAnsiTheme="majorBidi" w:cstheme="majorBidi"/>
          <w:sz w:val="28"/>
          <w:szCs w:val="28"/>
          <w:rtl/>
        </w:rPr>
        <w:t>:</w:t>
      </w:r>
      <w:r w:rsidRPr="007575D7">
        <w:rPr>
          <w:rFonts w:asciiTheme="majorBidi" w:hAnsiTheme="majorBidi" w:cstheme="majorBidi"/>
          <w:sz w:val="28"/>
          <w:szCs w:val="28"/>
        </w:rPr>
        <w:t xml:space="preserve"> </w:t>
      </w:r>
      <w:r w:rsidRPr="007575D7">
        <w:rPr>
          <w:rFonts w:asciiTheme="majorBidi" w:hAnsiTheme="majorBidi" w:cstheme="majorBidi"/>
          <w:sz w:val="28"/>
          <w:szCs w:val="28"/>
          <w:rtl/>
        </w:rPr>
        <w:t>نظام متكامل من السياسات والممارسات التي تهدف إلى تحسين المعرفة والمهارات والدافعية لدى الموظفين، بما يؤدي إلى رفع مستوى الأداء الفردي والجماعي</w:t>
      </w:r>
      <w:r w:rsidR="00A765E9" w:rsidRPr="00DC3DDE">
        <w:rPr>
          <w:rFonts w:asciiTheme="majorBidi" w:hAnsiTheme="majorBidi" w:cstheme="majorBidi"/>
          <w:sz w:val="28"/>
          <w:szCs w:val="28"/>
          <w:rtl/>
        </w:rPr>
        <w:t xml:space="preserve"> </w:t>
      </w:r>
      <w:r w:rsidR="00A765E9" w:rsidRPr="00DC3DDE">
        <w:rPr>
          <w:rFonts w:asciiTheme="majorBidi" w:hAnsiTheme="majorBidi" w:cstheme="majorBidi"/>
          <w:sz w:val="28"/>
          <w:szCs w:val="28"/>
          <w:rtl/>
        </w:rPr>
        <w:fldChar w:fldCharType="begin"/>
      </w:r>
      <w:r w:rsidR="00A765E9" w:rsidRPr="00DC3DDE">
        <w:rPr>
          <w:rFonts w:asciiTheme="majorBidi" w:hAnsiTheme="majorBidi" w:cstheme="majorBidi"/>
          <w:sz w:val="28"/>
          <w:szCs w:val="28"/>
          <w:rtl/>
        </w:rPr>
        <w:instrText xml:space="preserve"> </w:instrText>
      </w:r>
      <w:r w:rsidR="00A765E9" w:rsidRPr="00DC3DDE">
        <w:rPr>
          <w:rFonts w:asciiTheme="majorBidi" w:hAnsiTheme="majorBidi" w:cstheme="majorBidi"/>
          <w:sz w:val="28"/>
          <w:szCs w:val="28"/>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A765E9" w:rsidRPr="00DC3DDE">
        <w:rPr>
          <w:rFonts w:asciiTheme="majorBidi" w:hAnsiTheme="majorBidi" w:cstheme="majorBidi"/>
          <w:sz w:val="28"/>
          <w:szCs w:val="28"/>
          <w:rtl/>
        </w:rPr>
        <w:instrText>-</w:instrText>
      </w:r>
      <w:r w:rsidR="00A765E9" w:rsidRPr="00DC3DDE">
        <w:rPr>
          <w:rFonts w:asciiTheme="majorBidi" w:hAnsiTheme="majorBidi" w:cstheme="majorBidi"/>
          <w:sz w:val="28"/>
          <w:szCs w:val="28"/>
        </w:rPr>
        <w:instrText>title&gt;Journal of applied psychology&lt;/full-title&gt;&lt;/periodical&gt;&lt;pages&gt;1069&lt;/pages&gt;&lt;volume&gt;92&lt;/volume&gt;&lt;number&gt;4&lt;/number&gt;&lt;dates&gt;&lt;year&gt;2007&lt;/year&gt;&lt;/dates&gt;&lt;isbn&gt;1939-1854&lt;/isbn&gt;&lt;urls&gt;&lt;/urls&gt;&lt;/record&gt;&lt;/Cite&gt;&lt;/EndNote</w:instrText>
      </w:r>
      <w:r w:rsidR="00A765E9" w:rsidRPr="00DC3DDE">
        <w:rPr>
          <w:rFonts w:asciiTheme="majorBidi" w:hAnsiTheme="majorBidi" w:cstheme="majorBidi"/>
          <w:sz w:val="28"/>
          <w:szCs w:val="28"/>
          <w:rtl/>
        </w:rPr>
        <w:instrText>&gt;</w:instrText>
      </w:r>
      <w:r w:rsidR="00A765E9" w:rsidRPr="00DC3DDE">
        <w:rPr>
          <w:rFonts w:asciiTheme="majorBidi" w:hAnsiTheme="majorBidi" w:cstheme="majorBidi"/>
          <w:sz w:val="28"/>
          <w:szCs w:val="28"/>
          <w:rtl/>
        </w:rPr>
        <w:fldChar w:fldCharType="separate"/>
      </w:r>
      <w:r w:rsidR="00A765E9" w:rsidRPr="00DC3DDE">
        <w:rPr>
          <w:rFonts w:asciiTheme="majorBidi" w:hAnsiTheme="majorBidi" w:cstheme="majorBidi"/>
          <w:noProof/>
          <w:sz w:val="28"/>
          <w:szCs w:val="28"/>
          <w:rtl/>
        </w:rPr>
        <w:t>(</w:t>
      </w:r>
      <w:r w:rsidR="00A765E9" w:rsidRPr="00DC3DDE">
        <w:rPr>
          <w:rFonts w:asciiTheme="majorBidi" w:hAnsiTheme="majorBidi" w:cstheme="majorBidi"/>
          <w:noProof/>
          <w:sz w:val="28"/>
          <w:szCs w:val="28"/>
        </w:rPr>
        <w:t>Takeuchi et al., 2007</w:t>
      </w:r>
      <w:r w:rsidR="00A765E9" w:rsidRPr="00DC3DDE">
        <w:rPr>
          <w:rFonts w:asciiTheme="majorBidi" w:hAnsiTheme="majorBidi" w:cstheme="majorBidi"/>
          <w:noProof/>
          <w:sz w:val="28"/>
          <w:szCs w:val="28"/>
          <w:rtl/>
        </w:rPr>
        <w:t>)</w:t>
      </w:r>
      <w:r w:rsidR="00A765E9" w:rsidRPr="00DC3DDE">
        <w:rPr>
          <w:rFonts w:asciiTheme="majorBidi" w:hAnsiTheme="majorBidi" w:cstheme="majorBidi"/>
          <w:sz w:val="28"/>
          <w:szCs w:val="28"/>
          <w:rtl/>
        </w:rPr>
        <w:fldChar w:fldCharType="end"/>
      </w:r>
      <w:r w:rsidR="00A765E9" w:rsidRPr="00DC3DDE">
        <w:rPr>
          <w:rFonts w:asciiTheme="majorBidi" w:hAnsiTheme="majorBidi" w:cstheme="majorBidi"/>
          <w:sz w:val="28"/>
          <w:szCs w:val="28"/>
          <w:rtl/>
        </w:rPr>
        <w:t>.</w:t>
      </w:r>
    </w:p>
    <w:p w14:paraId="6C98EE00" w14:textId="69436556" w:rsidR="007575D7" w:rsidRDefault="007575D7" w:rsidP="00FF5C30">
      <w:pPr>
        <w:numPr>
          <w:ilvl w:val="0"/>
          <w:numId w:val="2"/>
        </w:numPr>
        <w:bidi/>
        <w:jc w:val="both"/>
        <w:rPr>
          <w:rFonts w:asciiTheme="majorBidi" w:hAnsiTheme="majorBidi" w:cstheme="majorBidi"/>
          <w:sz w:val="28"/>
          <w:szCs w:val="28"/>
        </w:rPr>
      </w:pPr>
      <w:proofErr w:type="spellStart"/>
      <w:r w:rsidRPr="007575D7">
        <w:rPr>
          <w:rFonts w:asciiTheme="majorBidi" w:hAnsiTheme="majorBidi" w:cstheme="majorBidi"/>
          <w:b/>
          <w:bCs/>
          <w:sz w:val="28"/>
          <w:szCs w:val="28"/>
        </w:rPr>
        <w:t>Huselid</w:t>
      </w:r>
      <w:proofErr w:type="spellEnd"/>
      <w:r w:rsidRPr="007575D7">
        <w:rPr>
          <w:rFonts w:asciiTheme="majorBidi" w:hAnsiTheme="majorBidi" w:cstheme="majorBidi"/>
          <w:b/>
          <w:bCs/>
          <w:sz w:val="28"/>
          <w:szCs w:val="28"/>
        </w:rPr>
        <w:t xml:space="preserve"> (1995)</w:t>
      </w:r>
      <w:r w:rsidR="00A765E9" w:rsidRPr="00DC3DDE">
        <w:rPr>
          <w:rFonts w:asciiTheme="majorBidi" w:hAnsiTheme="majorBidi" w:cstheme="majorBidi"/>
          <w:sz w:val="28"/>
          <w:szCs w:val="28"/>
          <w:rtl/>
        </w:rPr>
        <w:t>:</w:t>
      </w:r>
      <w:r w:rsidRPr="007575D7">
        <w:rPr>
          <w:rFonts w:asciiTheme="majorBidi" w:hAnsiTheme="majorBidi" w:cstheme="majorBidi"/>
          <w:sz w:val="28"/>
          <w:szCs w:val="28"/>
        </w:rPr>
        <w:t xml:space="preserve"> </w:t>
      </w:r>
      <w:r w:rsidRPr="007575D7">
        <w:rPr>
          <w:rFonts w:asciiTheme="majorBidi" w:hAnsiTheme="majorBidi" w:cstheme="majorBidi"/>
          <w:sz w:val="28"/>
          <w:szCs w:val="28"/>
          <w:rtl/>
        </w:rPr>
        <w:t>ممارسات موارد بشرية عالية الكفاءة تشمل الاختيار الدقيق، التدريب المكثف، وإدارة الأداء، تؤدي مجتمعة إلى تحسين الإنتاجية وتقليل معدلات الدوران الوظيفي</w:t>
      </w:r>
      <w:r w:rsidR="00A765E9" w:rsidRPr="00DC3DDE">
        <w:rPr>
          <w:rFonts w:asciiTheme="majorBidi" w:hAnsiTheme="majorBidi" w:cstheme="majorBidi"/>
          <w:sz w:val="28"/>
          <w:szCs w:val="28"/>
          <w:rtl/>
        </w:rPr>
        <w:t xml:space="preserve"> </w:t>
      </w:r>
      <w:r w:rsidR="00A765E9" w:rsidRPr="00DC3DDE">
        <w:rPr>
          <w:rFonts w:asciiTheme="majorBidi" w:hAnsiTheme="majorBidi" w:cstheme="majorBidi"/>
          <w:sz w:val="28"/>
          <w:szCs w:val="28"/>
          <w:rtl/>
        </w:rPr>
        <w:fldChar w:fldCharType="begin"/>
      </w:r>
      <w:r w:rsidR="00A765E9" w:rsidRPr="00DC3DDE">
        <w:rPr>
          <w:rFonts w:asciiTheme="majorBidi" w:hAnsiTheme="majorBidi" w:cstheme="majorBidi"/>
          <w:sz w:val="28"/>
          <w:szCs w:val="28"/>
          <w:rtl/>
        </w:rPr>
        <w:instrText xml:space="preserve"> </w:instrText>
      </w:r>
      <w:r w:rsidR="00A765E9" w:rsidRPr="00DC3DDE">
        <w:rPr>
          <w:rFonts w:asciiTheme="majorBidi" w:hAnsiTheme="majorBidi" w:cstheme="majorBidi"/>
          <w:sz w:val="28"/>
          <w:szCs w:val="28"/>
        </w:rPr>
        <w:instrText>ADDIN EN.CITE &lt;EndNote&gt;&lt;Cite&gt;&lt;Author&gt;Huselid&lt;/Author&gt;&lt;Year&gt;1995&lt;/Year&gt;&lt;RecNum&gt;2332&lt;/RecNum&gt;&lt;DisplayText&gt;(Huselid, 1995)&lt;/DisplayText&gt;&lt;record&gt;&lt;rec-number&gt;2332&lt;/rec-number&gt;&lt;foreign-keys&gt;&lt;key app="EN" db-id="t5vttv59or5xwbe2zdm5ewrxd905arrpawff" timestamp</w:instrText>
      </w:r>
      <w:r w:rsidR="00A765E9" w:rsidRPr="00DC3DDE">
        <w:rPr>
          <w:rFonts w:asciiTheme="majorBidi" w:hAnsiTheme="majorBidi" w:cstheme="majorBidi"/>
          <w:sz w:val="28"/>
          <w:szCs w:val="28"/>
          <w:rtl/>
        </w:rPr>
        <w:instrText>="1744494389"&gt;2332&lt;/</w:instrText>
      </w:r>
      <w:r w:rsidR="00A765E9" w:rsidRPr="00DC3DDE">
        <w:rPr>
          <w:rFonts w:asciiTheme="majorBidi" w:hAnsiTheme="majorBidi" w:cstheme="majorBidi"/>
          <w:sz w:val="28"/>
          <w:szCs w:val="28"/>
        </w:rPr>
        <w:instrText>key&gt;&lt;/foreign-keys&gt;&lt;ref-type name="Journal Article"&gt;17&lt;/ref-type&gt;&lt;contributors&gt;&lt;authors&gt;&lt;author&gt;Huselid, Mark A&lt;/author&gt;&lt;/authors&gt;&lt;/contributors&gt;&lt;titles&gt;&lt;title&gt;The impact of human resource management practices on turnover, productivity</w:instrText>
      </w:r>
      <w:r w:rsidR="00A765E9" w:rsidRPr="00DC3DDE">
        <w:rPr>
          <w:rFonts w:asciiTheme="majorBidi" w:hAnsiTheme="majorBidi" w:cstheme="majorBidi"/>
          <w:sz w:val="28"/>
          <w:szCs w:val="28"/>
          <w:rtl/>
        </w:rPr>
        <w:instrText xml:space="preserve">, </w:instrText>
      </w:r>
      <w:r w:rsidR="00A765E9" w:rsidRPr="00DC3DDE">
        <w:rPr>
          <w:rFonts w:asciiTheme="majorBidi" w:hAnsiTheme="majorBidi" w:cstheme="majorBidi"/>
          <w:sz w:val="28"/>
          <w:szCs w:val="28"/>
        </w:rPr>
        <w:instrText>and corporate financial performance&lt;/title&gt;&lt;secondary-title&gt;Academy of management journal&lt;/secondary-title&gt;&lt;/titles&gt;&lt;periodical&gt;&lt;full-title&gt;Academy of management journal&lt;/full-title&gt;&lt;/periodical&gt;&lt;pages&gt;635-672&lt;/pages&gt;&lt;volume&gt;38&lt;/volume&gt;&lt;number&gt;3&lt;/number</w:instrText>
      </w:r>
      <w:r w:rsidR="00A765E9" w:rsidRPr="00DC3DDE">
        <w:rPr>
          <w:rFonts w:asciiTheme="majorBidi" w:hAnsiTheme="majorBidi" w:cstheme="majorBidi"/>
          <w:sz w:val="28"/>
          <w:szCs w:val="28"/>
          <w:rtl/>
        </w:rPr>
        <w:instrText>&gt;&lt;</w:instrText>
      </w:r>
      <w:r w:rsidR="00A765E9" w:rsidRPr="00DC3DDE">
        <w:rPr>
          <w:rFonts w:asciiTheme="majorBidi" w:hAnsiTheme="majorBidi" w:cstheme="majorBidi"/>
          <w:sz w:val="28"/>
          <w:szCs w:val="28"/>
        </w:rPr>
        <w:instrText>dates&gt;&lt;year&gt;1995&lt;/year&gt;&lt;/dates&gt;&lt;isbn&gt;0001-4273&lt;/isbn&gt;&lt;urls&gt;&lt;/urls&gt;&lt;/record&gt;&lt;/Cite&gt;&lt;/EndNote</w:instrText>
      </w:r>
      <w:r w:rsidR="00A765E9" w:rsidRPr="00DC3DDE">
        <w:rPr>
          <w:rFonts w:asciiTheme="majorBidi" w:hAnsiTheme="majorBidi" w:cstheme="majorBidi"/>
          <w:sz w:val="28"/>
          <w:szCs w:val="28"/>
          <w:rtl/>
        </w:rPr>
        <w:instrText>&gt;</w:instrText>
      </w:r>
      <w:r w:rsidR="00A765E9" w:rsidRPr="00DC3DDE">
        <w:rPr>
          <w:rFonts w:asciiTheme="majorBidi" w:hAnsiTheme="majorBidi" w:cstheme="majorBidi"/>
          <w:sz w:val="28"/>
          <w:szCs w:val="28"/>
          <w:rtl/>
        </w:rPr>
        <w:fldChar w:fldCharType="separate"/>
      </w:r>
      <w:r w:rsidR="00A765E9" w:rsidRPr="00DC3DDE">
        <w:rPr>
          <w:rFonts w:asciiTheme="majorBidi" w:hAnsiTheme="majorBidi" w:cstheme="majorBidi"/>
          <w:noProof/>
          <w:sz w:val="28"/>
          <w:szCs w:val="28"/>
          <w:rtl/>
        </w:rPr>
        <w:t>(</w:t>
      </w:r>
      <w:r w:rsidR="00A765E9" w:rsidRPr="00DC3DDE">
        <w:rPr>
          <w:rFonts w:asciiTheme="majorBidi" w:hAnsiTheme="majorBidi" w:cstheme="majorBidi"/>
          <w:noProof/>
          <w:sz w:val="28"/>
          <w:szCs w:val="28"/>
        </w:rPr>
        <w:t>Huselid, 1995</w:t>
      </w:r>
      <w:r w:rsidR="00A765E9" w:rsidRPr="00DC3DDE">
        <w:rPr>
          <w:rFonts w:asciiTheme="majorBidi" w:hAnsiTheme="majorBidi" w:cstheme="majorBidi"/>
          <w:noProof/>
          <w:sz w:val="28"/>
          <w:szCs w:val="28"/>
          <w:rtl/>
        </w:rPr>
        <w:t>)</w:t>
      </w:r>
      <w:r w:rsidR="00A765E9" w:rsidRPr="00DC3DDE">
        <w:rPr>
          <w:rFonts w:asciiTheme="majorBidi" w:hAnsiTheme="majorBidi" w:cstheme="majorBidi"/>
          <w:sz w:val="28"/>
          <w:szCs w:val="28"/>
          <w:rtl/>
        </w:rPr>
        <w:fldChar w:fldCharType="end"/>
      </w:r>
      <w:r w:rsidR="00A765E9" w:rsidRPr="00DC3DDE">
        <w:rPr>
          <w:rFonts w:asciiTheme="majorBidi" w:hAnsiTheme="majorBidi" w:cstheme="majorBidi"/>
          <w:sz w:val="28"/>
          <w:szCs w:val="28"/>
          <w:rtl/>
        </w:rPr>
        <w:t>.</w:t>
      </w:r>
    </w:p>
    <w:p w14:paraId="28CD3988" w14:textId="77777777" w:rsidR="006652C1" w:rsidRDefault="006652C1" w:rsidP="006652C1">
      <w:pPr>
        <w:bidi/>
        <w:jc w:val="both"/>
        <w:rPr>
          <w:rFonts w:asciiTheme="majorBidi" w:hAnsiTheme="majorBidi" w:cstheme="majorBidi"/>
          <w:sz w:val="28"/>
          <w:szCs w:val="28"/>
          <w:rtl/>
        </w:rPr>
      </w:pPr>
    </w:p>
    <w:p w14:paraId="4360102E" w14:textId="77777777" w:rsidR="004675F9" w:rsidRDefault="004675F9" w:rsidP="004675F9">
      <w:pPr>
        <w:bidi/>
        <w:jc w:val="both"/>
        <w:rPr>
          <w:rFonts w:asciiTheme="majorBidi" w:hAnsiTheme="majorBidi" w:cstheme="majorBidi"/>
          <w:sz w:val="28"/>
          <w:szCs w:val="28"/>
          <w:rtl/>
        </w:rPr>
      </w:pPr>
    </w:p>
    <w:p w14:paraId="1EED095C" w14:textId="77777777" w:rsidR="004675F9" w:rsidRDefault="004675F9" w:rsidP="004675F9">
      <w:pPr>
        <w:bidi/>
        <w:jc w:val="both"/>
        <w:rPr>
          <w:rFonts w:asciiTheme="majorBidi" w:hAnsiTheme="majorBidi" w:cstheme="majorBidi"/>
          <w:sz w:val="28"/>
          <w:szCs w:val="28"/>
          <w:rtl/>
        </w:rPr>
      </w:pPr>
    </w:p>
    <w:p w14:paraId="60AF8975" w14:textId="77777777" w:rsidR="004675F9" w:rsidRDefault="004675F9" w:rsidP="004675F9">
      <w:pPr>
        <w:bidi/>
        <w:jc w:val="both"/>
        <w:rPr>
          <w:rFonts w:asciiTheme="majorBidi" w:hAnsiTheme="majorBidi" w:cstheme="majorBidi"/>
          <w:sz w:val="28"/>
          <w:szCs w:val="28"/>
          <w:rtl/>
        </w:rPr>
      </w:pPr>
    </w:p>
    <w:p w14:paraId="3486E006" w14:textId="77777777" w:rsidR="004675F9" w:rsidRDefault="004675F9" w:rsidP="004675F9">
      <w:pPr>
        <w:bidi/>
        <w:jc w:val="both"/>
        <w:rPr>
          <w:rFonts w:asciiTheme="majorBidi" w:hAnsiTheme="majorBidi" w:cstheme="majorBidi"/>
          <w:sz w:val="28"/>
          <w:szCs w:val="28"/>
          <w:rtl/>
        </w:rPr>
      </w:pPr>
    </w:p>
    <w:p w14:paraId="47CA2C32" w14:textId="77777777" w:rsidR="004675F9" w:rsidRDefault="004675F9" w:rsidP="004675F9">
      <w:pPr>
        <w:bidi/>
        <w:jc w:val="both"/>
        <w:rPr>
          <w:rFonts w:asciiTheme="majorBidi" w:hAnsiTheme="majorBidi" w:cstheme="majorBidi"/>
          <w:sz w:val="28"/>
          <w:szCs w:val="28"/>
          <w:rtl/>
        </w:rPr>
      </w:pPr>
    </w:p>
    <w:p w14:paraId="5EF87304" w14:textId="77777777" w:rsidR="004675F9" w:rsidRPr="007575D7" w:rsidRDefault="004675F9" w:rsidP="004675F9">
      <w:pPr>
        <w:bidi/>
        <w:jc w:val="both"/>
        <w:rPr>
          <w:rFonts w:asciiTheme="majorBidi" w:hAnsiTheme="majorBidi" w:cstheme="majorBidi"/>
          <w:sz w:val="28"/>
          <w:szCs w:val="28"/>
        </w:rPr>
      </w:pPr>
    </w:p>
    <w:p w14:paraId="41EF5DDA" w14:textId="5AE6C4EE" w:rsidR="007575D7" w:rsidRPr="007575D7" w:rsidRDefault="00A765E9" w:rsidP="007575D7">
      <w:pPr>
        <w:bidi/>
        <w:rPr>
          <w:rFonts w:asciiTheme="majorBidi" w:hAnsiTheme="majorBidi" w:cstheme="majorBidi"/>
          <w:b/>
          <w:bCs/>
          <w:sz w:val="28"/>
          <w:szCs w:val="28"/>
        </w:rPr>
      </w:pPr>
      <w:r w:rsidRPr="00DC3DDE">
        <w:rPr>
          <w:rFonts w:asciiTheme="majorBidi" w:hAnsiTheme="majorBidi" w:cstheme="majorBidi"/>
          <w:b/>
          <w:bCs/>
          <w:sz w:val="28"/>
          <w:szCs w:val="28"/>
          <w:rtl/>
        </w:rPr>
        <w:lastRenderedPageBreak/>
        <w:t xml:space="preserve">2.2.1.3. </w:t>
      </w:r>
      <w:r w:rsidR="007575D7" w:rsidRPr="007575D7">
        <w:rPr>
          <w:rFonts w:asciiTheme="majorBidi" w:hAnsiTheme="majorBidi" w:cstheme="majorBidi"/>
          <w:b/>
          <w:bCs/>
          <w:sz w:val="28"/>
          <w:szCs w:val="28"/>
        </w:rPr>
        <w:t xml:space="preserve"> </w:t>
      </w:r>
      <w:r w:rsidR="006A3A9A">
        <w:rPr>
          <w:rFonts w:asciiTheme="majorBidi" w:hAnsiTheme="majorBidi" w:cstheme="majorBidi" w:hint="cs"/>
          <w:b/>
          <w:bCs/>
          <w:sz w:val="28"/>
          <w:szCs w:val="28"/>
          <w:rtl/>
        </w:rPr>
        <w:t>تعريف الباحث</w:t>
      </w:r>
    </w:p>
    <w:p w14:paraId="29FFF6BC" w14:textId="320E5521" w:rsidR="006652C1" w:rsidRPr="007575D7" w:rsidRDefault="007575D7" w:rsidP="004675F9">
      <w:pPr>
        <w:bidi/>
        <w:jc w:val="both"/>
        <w:rPr>
          <w:rFonts w:asciiTheme="majorBidi" w:hAnsiTheme="majorBidi" w:cstheme="majorBidi"/>
          <w:sz w:val="28"/>
          <w:szCs w:val="28"/>
        </w:rPr>
      </w:pPr>
      <w:r w:rsidRPr="007575D7">
        <w:rPr>
          <w:rFonts w:asciiTheme="majorBidi" w:hAnsiTheme="majorBidi" w:cstheme="majorBidi"/>
          <w:sz w:val="28"/>
          <w:szCs w:val="28"/>
          <w:rtl/>
        </w:rPr>
        <w:t>في هذه الدراسة،</w:t>
      </w:r>
      <w:r w:rsidR="006A3A9A">
        <w:rPr>
          <w:rFonts w:asciiTheme="majorBidi" w:hAnsiTheme="majorBidi" w:cstheme="majorBidi" w:hint="cs"/>
          <w:sz w:val="28"/>
          <w:szCs w:val="28"/>
          <w:rtl/>
        </w:rPr>
        <w:t xml:space="preserve"> يمكن للباحث ان يعرف</w:t>
      </w:r>
      <w:r w:rsidRPr="007575D7">
        <w:rPr>
          <w:rFonts w:asciiTheme="majorBidi" w:hAnsiTheme="majorBidi" w:cstheme="majorBidi"/>
          <w:sz w:val="28"/>
          <w:szCs w:val="28"/>
          <w:rtl/>
        </w:rPr>
        <w:t xml:space="preserve"> </w:t>
      </w:r>
      <w:r w:rsidRPr="007575D7">
        <w:rPr>
          <w:rFonts w:asciiTheme="majorBidi" w:hAnsiTheme="majorBidi" w:cstheme="majorBidi"/>
          <w:b/>
          <w:bCs/>
          <w:sz w:val="28"/>
          <w:szCs w:val="28"/>
          <w:rtl/>
        </w:rPr>
        <w:t>أنظمة العمل عالية الأداء</w:t>
      </w:r>
      <w:r w:rsidR="00A765E9" w:rsidRPr="00DC3DDE">
        <w:rPr>
          <w:rFonts w:asciiTheme="majorBidi" w:hAnsiTheme="majorBidi" w:cstheme="majorBidi"/>
          <w:sz w:val="28"/>
          <w:szCs w:val="28"/>
          <w:rtl/>
        </w:rPr>
        <w:t>:</w:t>
      </w:r>
      <w:r w:rsidRPr="007575D7">
        <w:rPr>
          <w:rFonts w:asciiTheme="majorBidi" w:hAnsiTheme="majorBidi" w:cstheme="majorBidi"/>
          <w:sz w:val="28"/>
          <w:szCs w:val="28"/>
        </w:rPr>
        <w:t xml:space="preserve"> </w:t>
      </w:r>
      <w:r w:rsidRPr="007575D7">
        <w:rPr>
          <w:rFonts w:asciiTheme="majorBidi" w:hAnsiTheme="majorBidi" w:cstheme="majorBidi"/>
          <w:i/>
          <w:iCs/>
          <w:sz w:val="28"/>
          <w:szCs w:val="28"/>
          <w:rtl/>
        </w:rPr>
        <w:t>مجموعة متكاملة من الممارسات الإدارية في مؤسسات الضيافة (الفنادق والمطاعم) بمدينة الرياض، التي تستهدف استقطاب الكفاءات، وتطوير مهاراتها، وتحفيزها، وتمكينها من أداء مهامها بفعالية، بما يحقق مستويات مرتفعة من الإنتاجية والجودة والإبداع</w:t>
      </w:r>
      <w:r w:rsidRPr="007575D7">
        <w:rPr>
          <w:rFonts w:asciiTheme="majorBidi" w:hAnsiTheme="majorBidi" w:cstheme="majorBidi"/>
          <w:sz w:val="28"/>
          <w:szCs w:val="28"/>
        </w:rPr>
        <w:t>.</w:t>
      </w:r>
    </w:p>
    <w:p w14:paraId="3DBA2C80" w14:textId="253B2526" w:rsidR="007575D7" w:rsidRPr="007575D7" w:rsidRDefault="00244983" w:rsidP="007575D7">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2.2.1.4. </w:t>
      </w:r>
      <w:r w:rsidR="007575D7" w:rsidRPr="007575D7">
        <w:rPr>
          <w:rFonts w:asciiTheme="majorBidi" w:hAnsiTheme="majorBidi" w:cstheme="majorBidi"/>
          <w:b/>
          <w:bCs/>
          <w:sz w:val="28"/>
          <w:szCs w:val="28"/>
          <w:rtl/>
        </w:rPr>
        <w:t>الأبعاد</w:t>
      </w:r>
    </w:p>
    <w:p w14:paraId="2A49F0A2" w14:textId="77777777" w:rsidR="007575D7" w:rsidRPr="007575D7" w:rsidRDefault="007575D7" w:rsidP="00FF5C30">
      <w:pPr>
        <w:bidi/>
        <w:jc w:val="both"/>
        <w:rPr>
          <w:rFonts w:asciiTheme="majorBidi" w:hAnsiTheme="majorBidi" w:cstheme="majorBidi"/>
          <w:sz w:val="28"/>
          <w:szCs w:val="28"/>
        </w:rPr>
      </w:pPr>
      <w:r w:rsidRPr="007575D7">
        <w:rPr>
          <w:rFonts w:asciiTheme="majorBidi" w:hAnsiTheme="majorBidi" w:cstheme="majorBidi"/>
          <w:sz w:val="28"/>
          <w:szCs w:val="28"/>
          <w:rtl/>
        </w:rPr>
        <w:t>يمكن تلخيص أبعاد</w:t>
      </w:r>
      <w:r w:rsidRPr="007575D7">
        <w:rPr>
          <w:rFonts w:asciiTheme="majorBidi" w:hAnsiTheme="majorBidi" w:cstheme="majorBidi"/>
          <w:sz w:val="28"/>
          <w:szCs w:val="28"/>
        </w:rPr>
        <w:t xml:space="preserve"> HPWS </w:t>
      </w:r>
      <w:r w:rsidRPr="007575D7">
        <w:rPr>
          <w:rFonts w:asciiTheme="majorBidi" w:hAnsiTheme="majorBidi" w:cstheme="majorBidi"/>
          <w:sz w:val="28"/>
          <w:szCs w:val="28"/>
          <w:rtl/>
        </w:rPr>
        <w:t>كما يلي</w:t>
      </w:r>
      <w:r w:rsidRPr="007575D7">
        <w:rPr>
          <w:rFonts w:asciiTheme="majorBidi" w:hAnsiTheme="majorBidi" w:cstheme="majorBidi"/>
          <w:sz w:val="28"/>
          <w:szCs w:val="28"/>
        </w:rPr>
        <w:t>:</w:t>
      </w:r>
    </w:p>
    <w:p w14:paraId="71A1514A" w14:textId="66689042" w:rsidR="007575D7" w:rsidRPr="007575D7" w:rsidRDefault="007575D7" w:rsidP="00FF5C30">
      <w:pPr>
        <w:numPr>
          <w:ilvl w:val="0"/>
          <w:numId w:val="3"/>
        </w:numPr>
        <w:tabs>
          <w:tab w:val="clear" w:pos="360"/>
          <w:tab w:val="num" w:pos="720"/>
        </w:tabs>
        <w:bidi/>
        <w:jc w:val="both"/>
        <w:rPr>
          <w:rFonts w:asciiTheme="majorBidi" w:hAnsiTheme="majorBidi" w:cstheme="majorBidi"/>
          <w:sz w:val="28"/>
          <w:szCs w:val="28"/>
        </w:rPr>
      </w:pPr>
      <w:r w:rsidRPr="007575D7">
        <w:rPr>
          <w:rFonts w:asciiTheme="majorBidi" w:hAnsiTheme="majorBidi" w:cstheme="majorBidi"/>
          <w:b/>
          <w:bCs/>
          <w:sz w:val="28"/>
          <w:szCs w:val="28"/>
          <w:rtl/>
        </w:rPr>
        <w:t>الاستقطاب والاختيار الدقيق</w:t>
      </w:r>
      <w:r w:rsidR="00244983" w:rsidRPr="00DC3DDE">
        <w:rPr>
          <w:rFonts w:asciiTheme="majorBidi" w:hAnsiTheme="majorBidi" w:cstheme="majorBidi"/>
          <w:b/>
          <w:bCs/>
          <w:sz w:val="28"/>
          <w:szCs w:val="28"/>
          <w:rtl/>
        </w:rPr>
        <w:t xml:space="preserve"> </w:t>
      </w:r>
      <w:r w:rsidRPr="007575D7">
        <w:rPr>
          <w:rFonts w:asciiTheme="majorBidi" w:hAnsiTheme="majorBidi" w:cstheme="majorBidi"/>
          <w:b/>
          <w:bCs/>
          <w:sz w:val="28"/>
          <w:szCs w:val="28"/>
        </w:rPr>
        <w:t>(Selective Staffing)</w:t>
      </w:r>
    </w:p>
    <w:p w14:paraId="54B866F0" w14:textId="675FCF79" w:rsidR="007575D7" w:rsidRPr="007575D7" w:rsidRDefault="007575D7" w:rsidP="00FF5C30">
      <w:pPr>
        <w:numPr>
          <w:ilvl w:val="1"/>
          <w:numId w:val="3"/>
        </w:numPr>
        <w:tabs>
          <w:tab w:val="num" w:pos="1440"/>
        </w:tabs>
        <w:bidi/>
        <w:jc w:val="both"/>
        <w:rPr>
          <w:rFonts w:asciiTheme="majorBidi" w:hAnsiTheme="majorBidi" w:cstheme="majorBidi"/>
          <w:sz w:val="28"/>
          <w:szCs w:val="28"/>
        </w:rPr>
      </w:pPr>
      <w:r w:rsidRPr="007575D7">
        <w:rPr>
          <w:rFonts w:asciiTheme="majorBidi" w:hAnsiTheme="majorBidi" w:cstheme="majorBidi"/>
          <w:sz w:val="28"/>
          <w:szCs w:val="28"/>
          <w:rtl/>
        </w:rPr>
        <w:t>يشير إلى انتقاء الموظفين بعناية بناءً على معايير الكفاءة والملاءمة الثقافية</w:t>
      </w:r>
      <w:r w:rsidR="00244983" w:rsidRPr="00DC3DDE">
        <w:rPr>
          <w:rFonts w:asciiTheme="majorBidi" w:hAnsiTheme="majorBidi" w:cstheme="majorBidi"/>
          <w:sz w:val="28"/>
          <w:szCs w:val="28"/>
          <w:rtl/>
        </w:rPr>
        <w:t xml:space="preserve"> </w:t>
      </w:r>
      <w:r w:rsidR="00244983" w:rsidRPr="00DC3DDE">
        <w:rPr>
          <w:rFonts w:asciiTheme="majorBidi" w:hAnsiTheme="majorBidi" w:cstheme="majorBidi"/>
          <w:sz w:val="28"/>
          <w:szCs w:val="28"/>
          <w:rtl/>
        </w:rPr>
        <w:fldChar w:fldCharType="begin"/>
      </w:r>
      <w:r w:rsidR="00244983" w:rsidRPr="00DC3DDE">
        <w:rPr>
          <w:rFonts w:asciiTheme="majorBidi" w:hAnsiTheme="majorBidi" w:cstheme="majorBidi"/>
          <w:sz w:val="28"/>
          <w:szCs w:val="28"/>
          <w:rtl/>
        </w:rPr>
        <w:instrText xml:space="preserve"> </w:instrText>
      </w:r>
      <w:r w:rsidR="00244983" w:rsidRPr="00DC3DDE">
        <w:rPr>
          <w:rFonts w:asciiTheme="majorBidi" w:hAnsiTheme="majorBidi" w:cstheme="majorBidi"/>
          <w:sz w:val="28"/>
          <w:szCs w:val="28"/>
        </w:rPr>
        <w:instrText>ADDIN EN.CITE &lt;EndNote&gt;&lt;Cite&gt;&lt;Author&gt;Huselid&lt;/Author&gt;&lt;Year&gt;1995&lt;/Year&gt;&lt;RecNum&gt;2332&lt;/RecNum&gt;&lt;DisplayText&gt;(Huselid, 1995)&lt;/DisplayText&gt;&lt;record&gt;&lt;rec-number&gt;2332&lt;/rec-number&gt;&lt;foreign-keys&gt;&lt;key app="EN" db-id="t5vttv59or5xwbe2zdm5ewrxd905arrpawff" timestamp</w:instrText>
      </w:r>
      <w:r w:rsidR="00244983" w:rsidRPr="00DC3DDE">
        <w:rPr>
          <w:rFonts w:asciiTheme="majorBidi" w:hAnsiTheme="majorBidi" w:cstheme="majorBidi"/>
          <w:sz w:val="28"/>
          <w:szCs w:val="28"/>
          <w:rtl/>
        </w:rPr>
        <w:instrText>="1744494389"&gt;2332&lt;/</w:instrText>
      </w:r>
      <w:r w:rsidR="00244983" w:rsidRPr="00DC3DDE">
        <w:rPr>
          <w:rFonts w:asciiTheme="majorBidi" w:hAnsiTheme="majorBidi" w:cstheme="majorBidi"/>
          <w:sz w:val="28"/>
          <w:szCs w:val="28"/>
        </w:rPr>
        <w:instrText>key&gt;&lt;/foreign-keys&gt;&lt;ref-type name="Journal Article"&gt;17&lt;/ref-type&gt;&lt;contributors&gt;&lt;authors&gt;&lt;author&gt;Huselid, Mark A&lt;/author&gt;&lt;/authors&gt;&lt;/contributors&gt;&lt;titles&gt;&lt;title&gt;The impact of human resource management practices on turnover, productivity</w:instrText>
      </w:r>
      <w:r w:rsidR="00244983" w:rsidRPr="00DC3DDE">
        <w:rPr>
          <w:rFonts w:asciiTheme="majorBidi" w:hAnsiTheme="majorBidi" w:cstheme="majorBidi"/>
          <w:sz w:val="28"/>
          <w:szCs w:val="28"/>
          <w:rtl/>
        </w:rPr>
        <w:instrText xml:space="preserve">, </w:instrText>
      </w:r>
      <w:r w:rsidR="00244983" w:rsidRPr="00DC3DDE">
        <w:rPr>
          <w:rFonts w:asciiTheme="majorBidi" w:hAnsiTheme="majorBidi" w:cstheme="majorBidi"/>
          <w:sz w:val="28"/>
          <w:szCs w:val="28"/>
        </w:rPr>
        <w:instrText>and corporate financial performance&lt;/title&gt;&lt;secondary-title&gt;Academy of management journal&lt;/secondary-title&gt;&lt;/titles&gt;&lt;periodical&gt;&lt;full-title&gt;Academy of management journal&lt;/full-title&gt;&lt;/periodical&gt;&lt;pages&gt;635-672&lt;/pages&gt;&lt;volume&gt;38&lt;/volume&gt;&lt;number&gt;3&lt;/number</w:instrText>
      </w:r>
      <w:r w:rsidR="00244983" w:rsidRPr="00DC3DDE">
        <w:rPr>
          <w:rFonts w:asciiTheme="majorBidi" w:hAnsiTheme="majorBidi" w:cstheme="majorBidi"/>
          <w:sz w:val="28"/>
          <w:szCs w:val="28"/>
          <w:rtl/>
        </w:rPr>
        <w:instrText>&gt;&lt;</w:instrText>
      </w:r>
      <w:r w:rsidR="00244983" w:rsidRPr="00DC3DDE">
        <w:rPr>
          <w:rFonts w:asciiTheme="majorBidi" w:hAnsiTheme="majorBidi" w:cstheme="majorBidi"/>
          <w:sz w:val="28"/>
          <w:szCs w:val="28"/>
        </w:rPr>
        <w:instrText>dates&gt;&lt;year&gt;1995&lt;/year&gt;&lt;/dates&gt;&lt;isbn&gt;0001-4273&lt;/isbn&gt;&lt;urls&gt;&lt;/urls&gt;&lt;/record&gt;&lt;/Cite&gt;&lt;/EndNote</w:instrText>
      </w:r>
      <w:r w:rsidR="00244983" w:rsidRPr="00DC3DDE">
        <w:rPr>
          <w:rFonts w:asciiTheme="majorBidi" w:hAnsiTheme="majorBidi" w:cstheme="majorBidi"/>
          <w:sz w:val="28"/>
          <w:szCs w:val="28"/>
          <w:rtl/>
        </w:rPr>
        <w:instrText>&gt;</w:instrText>
      </w:r>
      <w:r w:rsidR="00244983" w:rsidRPr="00DC3DDE">
        <w:rPr>
          <w:rFonts w:asciiTheme="majorBidi" w:hAnsiTheme="majorBidi" w:cstheme="majorBidi"/>
          <w:sz w:val="28"/>
          <w:szCs w:val="28"/>
          <w:rtl/>
        </w:rPr>
        <w:fldChar w:fldCharType="separate"/>
      </w:r>
      <w:r w:rsidR="00244983" w:rsidRPr="00DC3DDE">
        <w:rPr>
          <w:rFonts w:asciiTheme="majorBidi" w:hAnsiTheme="majorBidi" w:cstheme="majorBidi"/>
          <w:noProof/>
          <w:sz w:val="28"/>
          <w:szCs w:val="28"/>
          <w:rtl/>
        </w:rPr>
        <w:t>(</w:t>
      </w:r>
      <w:r w:rsidR="00244983" w:rsidRPr="00DC3DDE">
        <w:rPr>
          <w:rFonts w:asciiTheme="majorBidi" w:hAnsiTheme="majorBidi" w:cstheme="majorBidi"/>
          <w:noProof/>
          <w:sz w:val="28"/>
          <w:szCs w:val="28"/>
        </w:rPr>
        <w:t>Huselid, 1995</w:t>
      </w:r>
      <w:r w:rsidR="00244983" w:rsidRPr="00DC3DDE">
        <w:rPr>
          <w:rFonts w:asciiTheme="majorBidi" w:hAnsiTheme="majorBidi" w:cstheme="majorBidi"/>
          <w:noProof/>
          <w:sz w:val="28"/>
          <w:szCs w:val="28"/>
          <w:rtl/>
        </w:rPr>
        <w:t>)</w:t>
      </w:r>
      <w:r w:rsidR="00244983" w:rsidRPr="00DC3DDE">
        <w:rPr>
          <w:rFonts w:asciiTheme="majorBidi" w:hAnsiTheme="majorBidi" w:cstheme="majorBidi"/>
          <w:sz w:val="28"/>
          <w:szCs w:val="28"/>
          <w:rtl/>
        </w:rPr>
        <w:fldChar w:fldCharType="end"/>
      </w:r>
      <w:r w:rsidR="00244983" w:rsidRPr="00DC3DDE">
        <w:rPr>
          <w:rFonts w:asciiTheme="majorBidi" w:hAnsiTheme="majorBidi" w:cstheme="majorBidi"/>
          <w:sz w:val="28"/>
          <w:szCs w:val="28"/>
          <w:rtl/>
        </w:rPr>
        <w:t>.</w:t>
      </w:r>
    </w:p>
    <w:p w14:paraId="4151E41F" w14:textId="2FB0A626" w:rsidR="007575D7" w:rsidRPr="007575D7" w:rsidRDefault="007575D7" w:rsidP="00FF5C30">
      <w:pPr>
        <w:numPr>
          <w:ilvl w:val="0"/>
          <w:numId w:val="3"/>
        </w:numPr>
        <w:tabs>
          <w:tab w:val="clear" w:pos="360"/>
          <w:tab w:val="num" w:pos="720"/>
        </w:tabs>
        <w:bidi/>
        <w:jc w:val="both"/>
        <w:rPr>
          <w:rFonts w:asciiTheme="majorBidi" w:hAnsiTheme="majorBidi" w:cstheme="majorBidi"/>
          <w:sz w:val="28"/>
          <w:szCs w:val="28"/>
        </w:rPr>
      </w:pPr>
      <w:r w:rsidRPr="007575D7">
        <w:rPr>
          <w:rFonts w:asciiTheme="majorBidi" w:hAnsiTheme="majorBidi" w:cstheme="majorBidi"/>
          <w:b/>
          <w:bCs/>
          <w:sz w:val="28"/>
          <w:szCs w:val="28"/>
          <w:rtl/>
        </w:rPr>
        <w:t>التدريب والتطوير المستمر</w:t>
      </w:r>
      <w:r w:rsidR="00244983" w:rsidRPr="00DC3DDE">
        <w:rPr>
          <w:rFonts w:asciiTheme="majorBidi" w:hAnsiTheme="majorBidi" w:cstheme="majorBidi"/>
          <w:b/>
          <w:bCs/>
          <w:sz w:val="28"/>
          <w:szCs w:val="28"/>
          <w:rtl/>
        </w:rPr>
        <w:t xml:space="preserve"> </w:t>
      </w:r>
      <w:r w:rsidRPr="007575D7">
        <w:rPr>
          <w:rFonts w:asciiTheme="majorBidi" w:hAnsiTheme="majorBidi" w:cstheme="majorBidi"/>
          <w:b/>
          <w:bCs/>
          <w:sz w:val="28"/>
          <w:szCs w:val="28"/>
        </w:rPr>
        <w:t>(Training &amp; Development)</w:t>
      </w:r>
    </w:p>
    <w:p w14:paraId="7DA9586B" w14:textId="61520F9A" w:rsidR="007575D7" w:rsidRPr="007575D7" w:rsidRDefault="007575D7" w:rsidP="00FF5C30">
      <w:pPr>
        <w:numPr>
          <w:ilvl w:val="1"/>
          <w:numId w:val="3"/>
        </w:numPr>
        <w:tabs>
          <w:tab w:val="num" w:pos="1440"/>
        </w:tabs>
        <w:bidi/>
        <w:jc w:val="both"/>
        <w:rPr>
          <w:rFonts w:asciiTheme="majorBidi" w:hAnsiTheme="majorBidi" w:cstheme="majorBidi"/>
          <w:sz w:val="28"/>
          <w:szCs w:val="28"/>
        </w:rPr>
      </w:pPr>
      <w:r w:rsidRPr="007575D7">
        <w:rPr>
          <w:rFonts w:asciiTheme="majorBidi" w:hAnsiTheme="majorBidi" w:cstheme="majorBidi"/>
          <w:sz w:val="28"/>
          <w:szCs w:val="28"/>
          <w:rtl/>
        </w:rPr>
        <w:t>برامج تدريبية تهدف إلى تحسين المهارات والمعرفة بما يتوافق مع متطلبات العمل</w:t>
      </w:r>
      <w:r w:rsidR="00244983" w:rsidRPr="00DC3DDE">
        <w:rPr>
          <w:rFonts w:asciiTheme="majorBidi" w:hAnsiTheme="majorBidi" w:cstheme="majorBidi"/>
          <w:sz w:val="28"/>
          <w:szCs w:val="28"/>
          <w:rtl/>
        </w:rPr>
        <w:t xml:space="preserve"> </w:t>
      </w:r>
      <w:r w:rsidR="00244983" w:rsidRPr="00DC3DDE">
        <w:rPr>
          <w:rFonts w:asciiTheme="majorBidi" w:hAnsiTheme="majorBidi" w:cstheme="majorBidi"/>
          <w:sz w:val="28"/>
          <w:szCs w:val="28"/>
          <w:rtl/>
        </w:rPr>
        <w:fldChar w:fldCharType="begin"/>
      </w:r>
      <w:r w:rsidR="00244983" w:rsidRPr="00DC3DDE">
        <w:rPr>
          <w:rFonts w:asciiTheme="majorBidi" w:hAnsiTheme="majorBidi" w:cstheme="majorBidi"/>
          <w:sz w:val="28"/>
          <w:szCs w:val="28"/>
          <w:rtl/>
        </w:rPr>
        <w:instrText xml:space="preserve"> </w:instrText>
      </w:r>
      <w:r w:rsidR="00244983" w:rsidRPr="00DC3DDE">
        <w:rPr>
          <w:rFonts w:asciiTheme="majorBidi" w:hAnsiTheme="majorBidi" w:cstheme="majorBidi"/>
          <w:sz w:val="28"/>
          <w:szCs w:val="28"/>
        </w:rPr>
        <w:instrText>ADDIN EN.CITE &lt;EndNote&gt;&lt;Cite&gt;&lt;Author&gt;Boxall&lt;/Author&gt;&lt;Year&gt;2009&lt;/Year&gt;&lt;RecNum&gt;2746&lt;/RecNum&gt;&lt;DisplayText&gt;(Boxall and Macky, 2009)&lt;/DisplayText&gt;&lt;record&gt;&lt;rec-number&gt;2746&lt;/rec-number&gt;&lt;foreign-keys&gt;&lt;key app="EN" db-id="t5vttv59or5xwbe2zdm5ewrxd905arrpawff" timestamp="1748342843"&gt;2746&lt;/key&gt;&lt;/foreign-keys&gt;&lt;ref-type name="Journal Article"&gt;17&lt;/ref-type&gt;&lt;contributors&gt;&lt;authors&gt;&lt;author&gt;Boxall, Peter&lt;/author&gt;&lt;author&gt;Macky, Keith&lt;/author&gt;&lt;/authors&gt;&lt;/contributors&gt;&lt;titles&gt;&lt;title&gt;Research and theory on high‐performance work systems: progressing the high‐involvement stream&lt;/title&gt;&lt;secondary-title&gt;Human resource management journal&lt;/secondary-title&gt;&lt;/titles&gt;&lt;periodical&gt;&lt;full-title&gt;Human resource management journal&lt;/full-title&gt;&lt;/periodical&gt;&lt;pages&gt;3-23&lt;/pages&gt;&lt;volume&gt;19&lt;/volume&gt;&lt;number&gt;1&lt;/number&gt;&lt;dates&gt;&lt;year&gt;2009&lt;/year&gt;&lt;/dates&gt;&lt;isbn&gt;0954-5395&lt;/isbn&gt;&lt;urls&gt;&lt;/urls&gt;&lt;/record&gt;&lt;/Cite&gt;&lt;/EndNote</w:instrText>
      </w:r>
      <w:r w:rsidR="00244983" w:rsidRPr="00DC3DDE">
        <w:rPr>
          <w:rFonts w:asciiTheme="majorBidi" w:hAnsiTheme="majorBidi" w:cstheme="majorBidi"/>
          <w:sz w:val="28"/>
          <w:szCs w:val="28"/>
          <w:rtl/>
        </w:rPr>
        <w:instrText>&gt;</w:instrText>
      </w:r>
      <w:r w:rsidR="00244983" w:rsidRPr="00DC3DDE">
        <w:rPr>
          <w:rFonts w:asciiTheme="majorBidi" w:hAnsiTheme="majorBidi" w:cstheme="majorBidi"/>
          <w:sz w:val="28"/>
          <w:szCs w:val="28"/>
          <w:rtl/>
        </w:rPr>
        <w:fldChar w:fldCharType="separate"/>
      </w:r>
      <w:r w:rsidR="00244983" w:rsidRPr="00DC3DDE">
        <w:rPr>
          <w:rFonts w:asciiTheme="majorBidi" w:hAnsiTheme="majorBidi" w:cstheme="majorBidi"/>
          <w:noProof/>
          <w:sz w:val="28"/>
          <w:szCs w:val="28"/>
          <w:rtl/>
        </w:rPr>
        <w:t>(</w:t>
      </w:r>
      <w:r w:rsidR="00244983" w:rsidRPr="00DC3DDE">
        <w:rPr>
          <w:rFonts w:asciiTheme="majorBidi" w:hAnsiTheme="majorBidi" w:cstheme="majorBidi"/>
          <w:noProof/>
          <w:sz w:val="28"/>
          <w:szCs w:val="28"/>
        </w:rPr>
        <w:t>Boxall and Macky, 2009</w:t>
      </w:r>
      <w:r w:rsidR="00244983" w:rsidRPr="00DC3DDE">
        <w:rPr>
          <w:rFonts w:asciiTheme="majorBidi" w:hAnsiTheme="majorBidi" w:cstheme="majorBidi"/>
          <w:noProof/>
          <w:sz w:val="28"/>
          <w:szCs w:val="28"/>
          <w:rtl/>
        </w:rPr>
        <w:t>)</w:t>
      </w:r>
      <w:r w:rsidR="00244983" w:rsidRPr="00DC3DDE">
        <w:rPr>
          <w:rFonts w:asciiTheme="majorBidi" w:hAnsiTheme="majorBidi" w:cstheme="majorBidi"/>
          <w:sz w:val="28"/>
          <w:szCs w:val="28"/>
          <w:rtl/>
        </w:rPr>
        <w:fldChar w:fldCharType="end"/>
      </w:r>
      <w:r w:rsidR="00244983" w:rsidRPr="00DC3DDE">
        <w:rPr>
          <w:rFonts w:asciiTheme="majorBidi" w:hAnsiTheme="majorBidi" w:cstheme="majorBidi"/>
          <w:sz w:val="28"/>
          <w:szCs w:val="28"/>
          <w:rtl/>
        </w:rPr>
        <w:t>.</w:t>
      </w:r>
    </w:p>
    <w:p w14:paraId="64B1F4EF" w14:textId="757F52DA" w:rsidR="007575D7" w:rsidRPr="007575D7" w:rsidRDefault="007575D7" w:rsidP="00FF5C30">
      <w:pPr>
        <w:numPr>
          <w:ilvl w:val="0"/>
          <w:numId w:val="3"/>
        </w:numPr>
        <w:tabs>
          <w:tab w:val="clear" w:pos="360"/>
          <w:tab w:val="num" w:pos="720"/>
        </w:tabs>
        <w:bidi/>
        <w:jc w:val="both"/>
        <w:rPr>
          <w:rFonts w:asciiTheme="majorBidi" w:hAnsiTheme="majorBidi" w:cstheme="majorBidi"/>
          <w:sz w:val="28"/>
          <w:szCs w:val="28"/>
        </w:rPr>
      </w:pPr>
      <w:r w:rsidRPr="007575D7">
        <w:rPr>
          <w:rFonts w:asciiTheme="majorBidi" w:hAnsiTheme="majorBidi" w:cstheme="majorBidi"/>
          <w:b/>
          <w:bCs/>
          <w:sz w:val="28"/>
          <w:szCs w:val="28"/>
          <w:rtl/>
        </w:rPr>
        <w:t>إدارة الأداء</w:t>
      </w:r>
      <w:r w:rsidR="00244983" w:rsidRPr="00DC3DDE">
        <w:rPr>
          <w:rFonts w:asciiTheme="majorBidi" w:hAnsiTheme="majorBidi" w:cstheme="majorBidi"/>
          <w:b/>
          <w:bCs/>
          <w:sz w:val="28"/>
          <w:szCs w:val="28"/>
          <w:rtl/>
        </w:rPr>
        <w:t xml:space="preserve"> </w:t>
      </w:r>
      <w:r w:rsidRPr="007575D7">
        <w:rPr>
          <w:rFonts w:asciiTheme="majorBidi" w:hAnsiTheme="majorBidi" w:cstheme="majorBidi"/>
          <w:b/>
          <w:bCs/>
          <w:sz w:val="28"/>
          <w:szCs w:val="28"/>
        </w:rPr>
        <w:t>(Performance Management)</w:t>
      </w:r>
    </w:p>
    <w:p w14:paraId="1A0E5C9A" w14:textId="1652696C" w:rsidR="007575D7" w:rsidRPr="007575D7" w:rsidRDefault="007575D7" w:rsidP="00FF5C30">
      <w:pPr>
        <w:numPr>
          <w:ilvl w:val="1"/>
          <w:numId w:val="3"/>
        </w:numPr>
        <w:tabs>
          <w:tab w:val="num" w:pos="1440"/>
        </w:tabs>
        <w:bidi/>
        <w:jc w:val="both"/>
        <w:rPr>
          <w:rFonts w:asciiTheme="majorBidi" w:hAnsiTheme="majorBidi" w:cstheme="majorBidi"/>
          <w:sz w:val="28"/>
          <w:szCs w:val="28"/>
        </w:rPr>
      </w:pPr>
      <w:r w:rsidRPr="007575D7">
        <w:rPr>
          <w:rFonts w:asciiTheme="majorBidi" w:hAnsiTheme="majorBidi" w:cstheme="majorBidi"/>
          <w:sz w:val="28"/>
          <w:szCs w:val="28"/>
          <w:rtl/>
        </w:rPr>
        <w:t>أنظمة تقييم ومتابعة مستمرة للأداء، تتضمن تغذية راجعة بنّاءة وخطط تحسين</w:t>
      </w:r>
      <w:r w:rsidR="00244983" w:rsidRPr="00DC3DDE">
        <w:rPr>
          <w:rFonts w:asciiTheme="majorBidi" w:hAnsiTheme="majorBidi" w:cstheme="majorBidi"/>
          <w:sz w:val="28"/>
          <w:szCs w:val="28"/>
          <w:rtl/>
        </w:rPr>
        <w:t xml:space="preserve"> </w:t>
      </w:r>
      <w:r w:rsidR="00244983" w:rsidRPr="00DC3DDE">
        <w:rPr>
          <w:rFonts w:asciiTheme="majorBidi" w:hAnsiTheme="majorBidi" w:cstheme="majorBidi"/>
          <w:sz w:val="28"/>
          <w:szCs w:val="28"/>
          <w:rtl/>
        </w:rPr>
        <w:fldChar w:fldCharType="begin"/>
      </w:r>
      <w:r w:rsidR="00244983" w:rsidRPr="00DC3DDE">
        <w:rPr>
          <w:rFonts w:asciiTheme="majorBidi" w:hAnsiTheme="majorBidi" w:cstheme="majorBidi"/>
          <w:sz w:val="28"/>
          <w:szCs w:val="28"/>
          <w:rtl/>
        </w:rPr>
        <w:instrText xml:space="preserve"> </w:instrText>
      </w:r>
      <w:r w:rsidR="00244983" w:rsidRPr="00DC3DDE">
        <w:rPr>
          <w:rFonts w:asciiTheme="majorBidi" w:hAnsiTheme="majorBidi" w:cstheme="majorBidi"/>
          <w:sz w:val="28"/>
          <w:szCs w:val="28"/>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244983" w:rsidRPr="00DC3DDE">
        <w:rPr>
          <w:rFonts w:asciiTheme="majorBidi" w:hAnsiTheme="majorBidi" w:cstheme="majorBidi"/>
          <w:sz w:val="28"/>
          <w:szCs w:val="28"/>
          <w:rtl/>
        </w:rPr>
        <w:instrText>-</w:instrText>
      </w:r>
      <w:r w:rsidR="00244983" w:rsidRPr="00DC3DDE">
        <w:rPr>
          <w:rFonts w:asciiTheme="majorBidi" w:hAnsiTheme="majorBidi" w:cstheme="majorBidi"/>
          <w:sz w:val="28"/>
          <w:szCs w:val="28"/>
        </w:rPr>
        <w:instrText>title&gt;Journal of applied psychology&lt;/full-title&gt;&lt;/periodical&gt;&lt;pages&gt;1069&lt;/pages&gt;&lt;volume&gt;92&lt;/volume&gt;&lt;number&gt;4&lt;/number&gt;&lt;dates&gt;&lt;year&gt;2007&lt;/year&gt;&lt;/dates&gt;&lt;isbn&gt;1939-1854&lt;/isbn&gt;&lt;urls&gt;&lt;/urls&gt;&lt;/record&gt;&lt;/Cite&gt;&lt;/EndNote</w:instrText>
      </w:r>
      <w:r w:rsidR="00244983" w:rsidRPr="00DC3DDE">
        <w:rPr>
          <w:rFonts w:asciiTheme="majorBidi" w:hAnsiTheme="majorBidi" w:cstheme="majorBidi"/>
          <w:sz w:val="28"/>
          <w:szCs w:val="28"/>
          <w:rtl/>
        </w:rPr>
        <w:instrText>&gt;</w:instrText>
      </w:r>
      <w:r w:rsidR="00244983" w:rsidRPr="00DC3DDE">
        <w:rPr>
          <w:rFonts w:asciiTheme="majorBidi" w:hAnsiTheme="majorBidi" w:cstheme="majorBidi"/>
          <w:sz w:val="28"/>
          <w:szCs w:val="28"/>
          <w:rtl/>
        </w:rPr>
        <w:fldChar w:fldCharType="separate"/>
      </w:r>
      <w:r w:rsidR="00244983" w:rsidRPr="00DC3DDE">
        <w:rPr>
          <w:rFonts w:asciiTheme="majorBidi" w:hAnsiTheme="majorBidi" w:cstheme="majorBidi"/>
          <w:noProof/>
          <w:sz w:val="28"/>
          <w:szCs w:val="28"/>
          <w:rtl/>
        </w:rPr>
        <w:t>(</w:t>
      </w:r>
      <w:r w:rsidR="00244983" w:rsidRPr="00DC3DDE">
        <w:rPr>
          <w:rFonts w:asciiTheme="majorBidi" w:hAnsiTheme="majorBidi" w:cstheme="majorBidi"/>
          <w:noProof/>
          <w:sz w:val="28"/>
          <w:szCs w:val="28"/>
        </w:rPr>
        <w:t>Takeuchi et al., 2007</w:t>
      </w:r>
      <w:r w:rsidR="00244983" w:rsidRPr="00DC3DDE">
        <w:rPr>
          <w:rFonts w:asciiTheme="majorBidi" w:hAnsiTheme="majorBidi" w:cstheme="majorBidi"/>
          <w:noProof/>
          <w:sz w:val="28"/>
          <w:szCs w:val="28"/>
          <w:rtl/>
        </w:rPr>
        <w:t>)</w:t>
      </w:r>
      <w:r w:rsidR="00244983" w:rsidRPr="00DC3DDE">
        <w:rPr>
          <w:rFonts w:asciiTheme="majorBidi" w:hAnsiTheme="majorBidi" w:cstheme="majorBidi"/>
          <w:sz w:val="28"/>
          <w:szCs w:val="28"/>
          <w:rtl/>
        </w:rPr>
        <w:fldChar w:fldCharType="end"/>
      </w:r>
      <w:r w:rsidR="00244983" w:rsidRPr="00DC3DDE">
        <w:rPr>
          <w:rFonts w:asciiTheme="majorBidi" w:hAnsiTheme="majorBidi" w:cstheme="majorBidi"/>
          <w:sz w:val="28"/>
          <w:szCs w:val="28"/>
          <w:rtl/>
        </w:rPr>
        <w:t>.</w:t>
      </w:r>
    </w:p>
    <w:p w14:paraId="34034960" w14:textId="43E36947" w:rsidR="007575D7" w:rsidRPr="007575D7" w:rsidRDefault="007575D7" w:rsidP="00FF5C30">
      <w:pPr>
        <w:numPr>
          <w:ilvl w:val="0"/>
          <w:numId w:val="3"/>
        </w:numPr>
        <w:tabs>
          <w:tab w:val="clear" w:pos="360"/>
          <w:tab w:val="num" w:pos="720"/>
        </w:tabs>
        <w:bidi/>
        <w:jc w:val="both"/>
        <w:rPr>
          <w:rFonts w:asciiTheme="majorBidi" w:hAnsiTheme="majorBidi" w:cstheme="majorBidi"/>
          <w:sz w:val="28"/>
          <w:szCs w:val="28"/>
        </w:rPr>
      </w:pPr>
      <w:r w:rsidRPr="007575D7">
        <w:rPr>
          <w:rFonts w:asciiTheme="majorBidi" w:hAnsiTheme="majorBidi" w:cstheme="majorBidi"/>
          <w:b/>
          <w:bCs/>
          <w:sz w:val="28"/>
          <w:szCs w:val="28"/>
          <w:rtl/>
        </w:rPr>
        <w:t>التعويضات والمكافآت</w:t>
      </w:r>
      <w:r w:rsidR="00244983" w:rsidRPr="00DC3DDE">
        <w:rPr>
          <w:rFonts w:asciiTheme="majorBidi" w:hAnsiTheme="majorBidi" w:cstheme="majorBidi"/>
          <w:b/>
          <w:bCs/>
          <w:sz w:val="28"/>
          <w:szCs w:val="28"/>
          <w:rtl/>
        </w:rPr>
        <w:t xml:space="preserve"> </w:t>
      </w:r>
      <w:r w:rsidRPr="007575D7">
        <w:rPr>
          <w:rFonts w:asciiTheme="majorBidi" w:hAnsiTheme="majorBidi" w:cstheme="majorBidi"/>
          <w:b/>
          <w:bCs/>
          <w:sz w:val="28"/>
          <w:szCs w:val="28"/>
        </w:rPr>
        <w:t>(Compensation &amp; Rewards)</w:t>
      </w:r>
    </w:p>
    <w:p w14:paraId="7D22C203" w14:textId="1EB9A1CF" w:rsidR="007575D7" w:rsidRPr="007575D7" w:rsidRDefault="007575D7" w:rsidP="00FF5C30">
      <w:pPr>
        <w:numPr>
          <w:ilvl w:val="1"/>
          <w:numId w:val="3"/>
        </w:numPr>
        <w:tabs>
          <w:tab w:val="num" w:pos="1440"/>
        </w:tabs>
        <w:bidi/>
        <w:jc w:val="both"/>
        <w:rPr>
          <w:rFonts w:asciiTheme="majorBidi" w:hAnsiTheme="majorBidi" w:cstheme="majorBidi"/>
          <w:sz w:val="28"/>
          <w:szCs w:val="28"/>
        </w:rPr>
      </w:pPr>
      <w:r w:rsidRPr="007575D7">
        <w:rPr>
          <w:rFonts w:asciiTheme="majorBidi" w:hAnsiTheme="majorBidi" w:cstheme="majorBidi"/>
          <w:sz w:val="28"/>
          <w:szCs w:val="28"/>
          <w:rtl/>
        </w:rPr>
        <w:t>حوافز مالية وغير مالية مرتبطة بالأداء الفردي والجماعي</w:t>
      </w:r>
      <w:r w:rsidR="00244983" w:rsidRPr="00DC3DDE">
        <w:rPr>
          <w:rFonts w:asciiTheme="majorBidi" w:hAnsiTheme="majorBidi" w:cstheme="majorBidi"/>
          <w:sz w:val="28"/>
          <w:szCs w:val="28"/>
          <w:rtl/>
        </w:rPr>
        <w:t xml:space="preserve"> </w:t>
      </w:r>
      <w:r w:rsidR="00244983" w:rsidRPr="00DC3DDE">
        <w:rPr>
          <w:rFonts w:asciiTheme="majorBidi" w:hAnsiTheme="majorBidi" w:cstheme="majorBidi"/>
          <w:sz w:val="28"/>
          <w:szCs w:val="28"/>
          <w:rtl/>
        </w:rPr>
        <w:fldChar w:fldCharType="begin"/>
      </w:r>
      <w:r w:rsidR="00244983" w:rsidRPr="00DC3DDE">
        <w:rPr>
          <w:rFonts w:asciiTheme="majorBidi" w:hAnsiTheme="majorBidi" w:cstheme="majorBidi"/>
          <w:sz w:val="28"/>
          <w:szCs w:val="28"/>
          <w:rtl/>
        </w:rPr>
        <w:instrText xml:space="preserve"> </w:instrText>
      </w:r>
      <w:r w:rsidR="00244983" w:rsidRPr="00DC3DDE">
        <w:rPr>
          <w:rFonts w:asciiTheme="majorBidi" w:hAnsiTheme="majorBidi" w:cstheme="majorBidi"/>
          <w:sz w:val="28"/>
          <w:szCs w:val="28"/>
        </w:rPr>
        <w:instrText>ADDIN EN.CITE &lt;EndNote&gt;&lt;Cite&gt;&lt;Author&gt;Delery&lt;/Author&gt;&lt;Year&gt;1996&lt;/Year&gt;&lt;RecNum&gt;2743&lt;/RecNum&gt;&lt;DisplayText&gt;(Delery and Doty, 1996)&lt;/DisplayText&gt;&lt;record&gt;&lt;rec-number&gt;2743&lt;/rec-number&gt;&lt;foreign-keys&gt;&lt;key app="EN" db-id="t5vttv59or5xwbe2zdm5ewrxd905arrpawff" timestamp="1748333776"&gt;2743&lt;/key&gt;&lt;/foreign-keys&gt;&lt;ref-type name="Journal Article"&gt;17&lt;/ref-type&gt;&lt;contributors&gt;&lt;authors&gt;&lt;author&gt;Delery, John E&lt;/author&gt;&lt;author&gt;Doty, D Harold&lt;/author&gt;&lt;/authors&gt;&lt;/contributors&gt;&lt;titles&gt;&lt;title&gt;Modes of theorizing in strategic human resource management: Tests of universalistic, contingency, and configurational performance predictions&lt;/title&gt;&lt;secondary-title&gt;Academy of management Journal&lt;/secondary-title&gt;&lt;/titles&gt;&lt;periodical&gt;&lt;full-title&gt;Academy of management journal&lt;/full-title&gt;&lt;/periodical&gt;&lt;pages&gt;802-835&lt;/pages&gt;&lt;volume&gt;39&lt;/volume&gt;&lt;number&gt;4&lt;/number&gt;&lt;dates&gt;&lt;year&gt;1996&lt;/year&gt;&lt;/dates&gt;&lt;isbn&gt;0001-4273&lt;/isbn&gt;&lt;urls&gt;&lt;/urls&gt;&lt;/record&gt;&lt;/Cite&gt;&lt;/EndNote</w:instrText>
      </w:r>
      <w:r w:rsidR="00244983" w:rsidRPr="00DC3DDE">
        <w:rPr>
          <w:rFonts w:asciiTheme="majorBidi" w:hAnsiTheme="majorBidi" w:cstheme="majorBidi"/>
          <w:sz w:val="28"/>
          <w:szCs w:val="28"/>
          <w:rtl/>
        </w:rPr>
        <w:instrText>&gt;</w:instrText>
      </w:r>
      <w:r w:rsidR="00244983" w:rsidRPr="00DC3DDE">
        <w:rPr>
          <w:rFonts w:asciiTheme="majorBidi" w:hAnsiTheme="majorBidi" w:cstheme="majorBidi"/>
          <w:sz w:val="28"/>
          <w:szCs w:val="28"/>
          <w:rtl/>
        </w:rPr>
        <w:fldChar w:fldCharType="separate"/>
      </w:r>
      <w:r w:rsidR="00244983" w:rsidRPr="00DC3DDE">
        <w:rPr>
          <w:rFonts w:asciiTheme="majorBidi" w:hAnsiTheme="majorBidi" w:cstheme="majorBidi"/>
          <w:noProof/>
          <w:sz w:val="28"/>
          <w:szCs w:val="28"/>
          <w:rtl/>
        </w:rPr>
        <w:t>(</w:t>
      </w:r>
      <w:r w:rsidR="00244983" w:rsidRPr="00DC3DDE">
        <w:rPr>
          <w:rFonts w:asciiTheme="majorBidi" w:hAnsiTheme="majorBidi" w:cstheme="majorBidi"/>
          <w:noProof/>
          <w:sz w:val="28"/>
          <w:szCs w:val="28"/>
        </w:rPr>
        <w:t>Delery and Doty, 1996</w:t>
      </w:r>
      <w:r w:rsidR="00244983" w:rsidRPr="00DC3DDE">
        <w:rPr>
          <w:rFonts w:asciiTheme="majorBidi" w:hAnsiTheme="majorBidi" w:cstheme="majorBidi"/>
          <w:noProof/>
          <w:sz w:val="28"/>
          <w:szCs w:val="28"/>
          <w:rtl/>
        </w:rPr>
        <w:t>)</w:t>
      </w:r>
      <w:r w:rsidR="00244983" w:rsidRPr="00DC3DDE">
        <w:rPr>
          <w:rFonts w:asciiTheme="majorBidi" w:hAnsiTheme="majorBidi" w:cstheme="majorBidi"/>
          <w:sz w:val="28"/>
          <w:szCs w:val="28"/>
          <w:rtl/>
        </w:rPr>
        <w:fldChar w:fldCharType="end"/>
      </w:r>
      <w:r w:rsidR="00244983" w:rsidRPr="00DC3DDE">
        <w:rPr>
          <w:rFonts w:asciiTheme="majorBidi" w:hAnsiTheme="majorBidi" w:cstheme="majorBidi"/>
          <w:sz w:val="28"/>
          <w:szCs w:val="28"/>
          <w:rtl/>
        </w:rPr>
        <w:t>.</w:t>
      </w:r>
    </w:p>
    <w:p w14:paraId="3979DAA3" w14:textId="77777777" w:rsidR="007575D7" w:rsidRPr="007575D7" w:rsidRDefault="007575D7" w:rsidP="00FF5C30">
      <w:pPr>
        <w:numPr>
          <w:ilvl w:val="0"/>
          <w:numId w:val="3"/>
        </w:numPr>
        <w:tabs>
          <w:tab w:val="clear" w:pos="360"/>
          <w:tab w:val="num" w:pos="720"/>
        </w:tabs>
        <w:bidi/>
        <w:jc w:val="both"/>
        <w:rPr>
          <w:rFonts w:asciiTheme="majorBidi" w:hAnsiTheme="majorBidi" w:cstheme="majorBidi"/>
          <w:sz w:val="28"/>
          <w:szCs w:val="28"/>
        </w:rPr>
      </w:pPr>
      <w:r w:rsidRPr="007575D7">
        <w:rPr>
          <w:rFonts w:asciiTheme="majorBidi" w:hAnsiTheme="majorBidi" w:cstheme="majorBidi"/>
          <w:b/>
          <w:bCs/>
          <w:sz w:val="28"/>
          <w:szCs w:val="28"/>
          <w:rtl/>
        </w:rPr>
        <w:t>التمكين والمشاركة في اتخاذ القرار</w:t>
      </w:r>
      <w:r w:rsidRPr="007575D7">
        <w:rPr>
          <w:rFonts w:asciiTheme="majorBidi" w:hAnsiTheme="majorBidi" w:cstheme="majorBidi"/>
          <w:b/>
          <w:bCs/>
          <w:sz w:val="28"/>
          <w:szCs w:val="28"/>
        </w:rPr>
        <w:t xml:space="preserve"> (Employee Involvement &amp; Empowerment)</w:t>
      </w:r>
    </w:p>
    <w:p w14:paraId="3A3DFCBA" w14:textId="1C31F322" w:rsidR="007575D7" w:rsidRPr="007575D7" w:rsidRDefault="007575D7" w:rsidP="00FF5C30">
      <w:pPr>
        <w:numPr>
          <w:ilvl w:val="1"/>
          <w:numId w:val="3"/>
        </w:numPr>
        <w:bidi/>
        <w:jc w:val="both"/>
        <w:rPr>
          <w:rFonts w:asciiTheme="majorBidi" w:hAnsiTheme="majorBidi" w:cstheme="majorBidi"/>
          <w:sz w:val="28"/>
          <w:szCs w:val="28"/>
        </w:rPr>
      </w:pPr>
      <w:r w:rsidRPr="007575D7">
        <w:rPr>
          <w:rFonts w:asciiTheme="majorBidi" w:hAnsiTheme="majorBidi" w:cstheme="majorBidi"/>
          <w:sz w:val="28"/>
          <w:szCs w:val="28"/>
          <w:rtl/>
        </w:rPr>
        <w:t>منح الموظفين حرية ومسؤولية أكبر في أداء أعمالهم والمشاركة في القرارات المؤثرة</w:t>
      </w:r>
      <w:r w:rsidRPr="007575D7">
        <w:rPr>
          <w:rFonts w:asciiTheme="majorBidi" w:hAnsiTheme="majorBidi" w:cstheme="majorBidi"/>
          <w:sz w:val="28"/>
          <w:szCs w:val="28"/>
        </w:rPr>
        <w:t xml:space="preserve"> </w:t>
      </w:r>
      <w:r w:rsidR="007C67B2" w:rsidRPr="00DC3DDE">
        <w:rPr>
          <w:rFonts w:asciiTheme="majorBidi" w:hAnsiTheme="majorBidi" w:cstheme="majorBidi"/>
          <w:sz w:val="28"/>
          <w:szCs w:val="28"/>
          <w:rtl/>
        </w:rPr>
        <w:t xml:space="preserve"> </w:t>
      </w:r>
      <w:r w:rsidR="007C67B2" w:rsidRPr="00DC3DDE">
        <w:rPr>
          <w:rFonts w:asciiTheme="majorBidi" w:hAnsiTheme="majorBidi" w:cstheme="majorBidi"/>
          <w:sz w:val="28"/>
          <w:szCs w:val="28"/>
          <w:rtl/>
        </w:rPr>
        <w:fldChar w:fldCharType="begin"/>
      </w:r>
      <w:r w:rsidR="007C67B2" w:rsidRPr="00DC3DDE">
        <w:rPr>
          <w:rFonts w:asciiTheme="majorBidi" w:hAnsiTheme="majorBidi" w:cstheme="majorBidi"/>
          <w:sz w:val="28"/>
          <w:szCs w:val="28"/>
          <w:rtl/>
        </w:rPr>
        <w:instrText xml:space="preserve"> </w:instrText>
      </w:r>
      <w:r w:rsidR="007C67B2" w:rsidRPr="00DC3DDE">
        <w:rPr>
          <w:rFonts w:asciiTheme="majorBidi" w:hAnsiTheme="majorBidi" w:cstheme="majorBidi"/>
          <w:sz w:val="28"/>
          <w:szCs w:val="28"/>
        </w:rPr>
        <w:instrText>ADDIN EN.CITE &lt;EndNote&gt;&lt;Cite&gt;&lt;Author&gt;Lawler III&lt;/Author&gt;&lt;Year&gt;1992&lt;/Year&gt;&lt;RecNum&gt;2753&lt;/RecNum&gt;&lt;DisplayText&gt;(Lawler III, 1992)&lt;/DisplayText&gt;&lt;record&gt;&lt;rec-number&gt;2753&lt;/rec-number&gt;&lt;foreign-keys&gt;&lt;key app="EN" db-id="t5vttv59or5xwbe2zdm5ewrxd905arrpawff" timestamp="1748344384"&gt;2753&lt;/key&gt;&lt;/foreign-keys&gt;&lt;ref-type name="Journal Article"&gt;17&lt;/ref-type&gt;&lt;contributors&gt;&lt;authors&gt;&lt;author&gt;Lawler III, Edward E&lt;/author&gt;&lt;/authors&gt;&lt;/contributors&gt;&lt;titles&gt;&lt;title&gt;The ultimate advantage: Creating the high-involvement organization</w:instrText>
      </w:r>
      <w:r w:rsidR="007C67B2" w:rsidRPr="00DC3DDE">
        <w:rPr>
          <w:rFonts w:asciiTheme="majorBidi" w:hAnsiTheme="majorBidi" w:cstheme="majorBidi"/>
          <w:sz w:val="28"/>
          <w:szCs w:val="28"/>
          <w:rtl/>
        </w:rPr>
        <w:instrText>&lt;/</w:instrText>
      </w:r>
      <w:r w:rsidR="007C67B2" w:rsidRPr="00DC3DDE">
        <w:rPr>
          <w:rFonts w:asciiTheme="majorBidi" w:hAnsiTheme="majorBidi" w:cstheme="majorBidi"/>
          <w:sz w:val="28"/>
          <w:szCs w:val="28"/>
        </w:rPr>
        <w:instrText>title&gt;&lt;/titles&gt;&lt;dates&gt;&lt;year&gt;1992&lt;/year&gt;&lt;/dates&gt;&lt;urls&gt;&lt;/urls&gt;&lt;/record&gt;&lt;/Cite&gt;&lt;/EndNote</w:instrText>
      </w:r>
      <w:r w:rsidR="007C67B2" w:rsidRPr="00DC3DDE">
        <w:rPr>
          <w:rFonts w:asciiTheme="majorBidi" w:hAnsiTheme="majorBidi" w:cstheme="majorBidi"/>
          <w:sz w:val="28"/>
          <w:szCs w:val="28"/>
          <w:rtl/>
        </w:rPr>
        <w:instrText>&gt;</w:instrText>
      </w:r>
      <w:r w:rsidR="007C67B2" w:rsidRPr="00DC3DDE">
        <w:rPr>
          <w:rFonts w:asciiTheme="majorBidi" w:hAnsiTheme="majorBidi" w:cstheme="majorBidi"/>
          <w:sz w:val="28"/>
          <w:szCs w:val="28"/>
          <w:rtl/>
        </w:rPr>
        <w:fldChar w:fldCharType="separate"/>
      </w:r>
      <w:r w:rsidR="007C67B2" w:rsidRPr="00DC3DDE">
        <w:rPr>
          <w:rFonts w:asciiTheme="majorBidi" w:hAnsiTheme="majorBidi" w:cstheme="majorBidi"/>
          <w:noProof/>
          <w:sz w:val="28"/>
          <w:szCs w:val="28"/>
          <w:rtl/>
        </w:rPr>
        <w:t>(</w:t>
      </w:r>
      <w:r w:rsidR="007C67B2" w:rsidRPr="00DC3DDE">
        <w:rPr>
          <w:rFonts w:asciiTheme="majorBidi" w:hAnsiTheme="majorBidi" w:cstheme="majorBidi"/>
          <w:noProof/>
          <w:sz w:val="28"/>
          <w:szCs w:val="28"/>
        </w:rPr>
        <w:t>Lawler III, 1992</w:t>
      </w:r>
      <w:r w:rsidR="007C67B2" w:rsidRPr="00DC3DDE">
        <w:rPr>
          <w:rFonts w:asciiTheme="majorBidi" w:hAnsiTheme="majorBidi" w:cstheme="majorBidi"/>
          <w:noProof/>
          <w:sz w:val="28"/>
          <w:szCs w:val="28"/>
          <w:rtl/>
        </w:rPr>
        <w:t>)</w:t>
      </w:r>
      <w:r w:rsidR="007C67B2" w:rsidRPr="00DC3DDE">
        <w:rPr>
          <w:rFonts w:asciiTheme="majorBidi" w:hAnsiTheme="majorBidi" w:cstheme="majorBidi"/>
          <w:sz w:val="28"/>
          <w:szCs w:val="28"/>
          <w:rtl/>
        </w:rPr>
        <w:fldChar w:fldCharType="end"/>
      </w:r>
      <w:r w:rsidR="007C67B2" w:rsidRPr="00DC3DDE">
        <w:rPr>
          <w:rFonts w:asciiTheme="majorBidi" w:hAnsiTheme="majorBidi" w:cstheme="majorBidi"/>
          <w:sz w:val="28"/>
          <w:szCs w:val="28"/>
          <w:rtl/>
        </w:rPr>
        <w:t>.</w:t>
      </w:r>
    </w:p>
    <w:p w14:paraId="7715475B" w14:textId="32623FF9" w:rsidR="007575D7" w:rsidRPr="007575D7" w:rsidRDefault="007575D7" w:rsidP="007575D7">
      <w:pPr>
        <w:bidi/>
        <w:rPr>
          <w:rFonts w:asciiTheme="majorBidi" w:hAnsiTheme="majorBidi" w:cstheme="majorBidi"/>
          <w:sz w:val="28"/>
          <w:szCs w:val="28"/>
        </w:rPr>
      </w:pPr>
      <w:r w:rsidRPr="007575D7">
        <w:rPr>
          <w:rFonts w:asciiTheme="majorBidi" w:hAnsiTheme="majorBidi" w:cstheme="majorBidi"/>
          <w:b/>
          <w:bCs/>
          <w:sz w:val="28"/>
          <w:szCs w:val="28"/>
          <w:rtl/>
        </w:rPr>
        <w:t>جدول</w:t>
      </w:r>
      <w:r w:rsidRPr="007575D7">
        <w:rPr>
          <w:rFonts w:asciiTheme="majorBidi" w:hAnsiTheme="majorBidi" w:cstheme="majorBidi"/>
          <w:b/>
          <w:bCs/>
          <w:sz w:val="28"/>
          <w:szCs w:val="28"/>
        </w:rPr>
        <w:t xml:space="preserve"> (</w:t>
      </w:r>
      <w:r w:rsidR="0054713F" w:rsidRPr="00DC3DDE">
        <w:rPr>
          <w:rFonts w:asciiTheme="majorBidi" w:hAnsiTheme="majorBidi" w:cstheme="majorBidi"/>
          <w:b/>
          <w:bCs/>
          <w:sz w:val="28"/>
          <w:szCs w:val="28"/>
        </w:rPr>
        <w:t>2.1</w:t>
      </w:r>
      <w:r w:rsidRPr="007575D7">
        <w:rPr>
          <w:rFonts w:asciiTheme="majorBidi" w:hAnsiTheme="majorBidi" w:cstheme="majorBidi"/>
          <w:b/>
          <w:bCs/>
          <w:sz w:val="28"/>
          <w:szCs w:val="28"/>
        </w:rPr>
        <w:t xml:space="preserve">): </w:t>
      </w:r>
      <w:r w:rsidRPr="007575D7">
        <w:rPr>
          <w:rFonts w:asciiTheme="majorBidi" w:hAnsiTheme="majorBidi" w:cstheme="majorBidi"/>
          <w:b/>
          <w:bCs/>
          <w:sz w:val="28"/>
          <w:szCs w:val="28"/>
          <w:rtl/>
        </w:rPr>
        <w:t>أبعاد أنظمة العمل عالية الأداء وتعريفاتها</w:t>
      </w:r>
    </w:p>
    <w:tbl>
      <w:tblPr>
        <w:bidiVisual/>
        <w:tblW w:w="9498" w:type="dxa"/>
        <w:tblInd w:w="-161" w:type="dxa"/>
        <w:tblLook w:val="04A0" w:firstRow="1" w:lastRow="0" w:firstColumn="1" w:lastColumn="0" w:noHBand="0" w:noVBand="1"/>
      </w:tblPr>
      <w:tblGrid>
        <w:gridCol w:w="2818"/>
        <w:gridCol w:w="3988"/>
        <w:gridCol w:w="2692"/>
      </w:tblGrid>
      <w:tr w:rsidR="00BD395F" w:rsidRPr="00BD395F" w14:paraId="3E3B8F4F" w14:textId="77777777" w:rsidTr="00BD395F">
        <w:trPr>
          <w:trHeight w:val="324"/>
        </w:trPr>
        <w:tc>
          <w:tcPr>
            <w:tcW w:w="2818" w:type="dxa"/>
            <w:tcBorders>
              <w:top w:val="single" w:sz="8" w:space="0" w:color="auto"/>
              <w:left w:val="single" w:sz="8" w:space="0" w:color="auto"/>
              <w:bottom w:val="single" w:sz="8" w:space="0" w:color="auto"/>
              <w:right w:val="single" w:sz="8" w:space="0" w:color="auto"/>
            </w:tcBorders>
            <w:vAlign w:val="center"/>
            <w:hideMark/>
          </w:tcPr>
          <w:p w14:paraId="0CDB1BB1" w14:textId="77777777" w:rsidR="00BD395F" w:rsidRPr="00BD395F" w:rsidRDefault="00BD395F" w:rsidP="00BD395F">
            <w:pPr>
              <w:bidi/>
              <w:spacing w:after="0" w:line="240" w:lineRule="auto"/>
              <w:jc w:val="center"/>
              <w:rPr>
                <w:rFonts w:asciiTheme="majorBidi" w:eastAsia="Times New Roman" w:hAnsiTheme="majorBidi" w:cstheme="majorBidi"/>
                <w:b/>
                <w:bCs/>
                <w:color w:val="000000"/>
                <w:kern w:val="0"/>
                <w:sz w:val="28"/>
                <w:szCs w:val="28"/>
                <w14:ligatures w14:val="none"/>
              </w:rPr>
            </w:pPr>
            <w:r w:rsidRPr="00BD395F">
              <w:rPr>
                <w:rFonts w:asciiTheme="majorBidi" w:eastAsia="Times New Roman" w:hAnsiTheme="majorBidi" w:cstheme="majorBidi"/>
                <w:b/>
                <w:bCs/>
                <w:color w:val="000000"/>
                <w:kern w:val="0"/>
                <w:sz w:val="28"/>
                <w:szCs w:val="28"/>
                <w:rtl/>
                <w14:ligatures w14:val="none"/>
              </w:rPr>
              <w:t>البُعد</w:t>
            </w:r>
          </w:p>
        </w:tc>
        <w:tc>
          <w:tcPr>
            <w:tcW w:w="3988" w:type="dxa"/>
            <w:tcBorders>
              <w:top w:val="single" w:sz="8" w:space="0" w:color="auto"/>
              <w:left w:val="single" w:sz="8" w:space="0" w:color="auto"/>
              <w:bottom w:val="single" w:sz="8" w:space="0" w:color="auto"/>
              <w:right w:val="single" w:sz="8" w:space="0" w:color="auto"/>
            </w:tcBorders>
            <w:vAlign w:val="center"/>
            <w:hideMark/>
          </w:tcPr>
          <w:p w14:paraId="4CC20C13" w14:textId="77777777" w:rsidR="00BD395F" w:rsidRPr="00BD395F" w:rsidRDefault="00BD395F" w:rsidP="00BD395F">
            <w:pPr>
              <w:bidi/>
              <w:spacing w:after="0" w:line="240" w:lineRule="auto"/>
              <w:jc w:val="center"/>
              <w:rPr>
                <w:rFonts w:asciiTheme="majorBidi" w:eastAsia="Times New Roman" w:hAnsiTheme="majorBidi" w:cstheme="majorBidi"/>
                <w:b/>
                <w:bCs/>
                <w:color w:val="000000"/>
                <w:kern w:val="0"/>
                <w:sz w:val="28"/>
                <w:szCs w:val="28"/>
                <w:rtl/>
                <w14:ligatures w14:val="none"/>
              </w:rPr>
            </w:pPr>
            <w:r w:rsidRPr="00BD395F">
              <w:rPr>
                <w:rFonts w:asciiTheme="majorBidi" w:eastAsia="Times New Roman" w:hAnsiTheme="majorBidi" w:cstheme="majorBidi"/>
                <w:b/>
                <w:bCs/>
                <w:color w:val="000000"/>
                <w:kern w:val="0"/>
                <w:sz w:val="28"/>
                <w:szCs w:val="28"/>
                <w:rtl/>
                <w14:ligatures w14:val="none"/>
              </w:rPr>
              <w:t>التعريف</w:t>
            </w:r>
          </w:p>
        </w:tc>
        <w:tc>
          <w:tcPr>
            <w:tcW w:w="2692" w:type="dxa"/>
            <w:tcBorders>
              <w:top w:val="single" w:sz="8" w:space="0" w:color="auto"/>
              <w:left w:val="single" w:sz="8" w:space="0" w:color="auto"/>
              <w:bottom w:val="single" w:sz="8" w:space="0" w:color="auto"/>
              <w:right w:val="single" w:sz="8" w:space="0" w:color="auto"/>
            </w:tcBorders>
            <w:vAlign w:val="center"/>
            <w:hideMark/>
          </w:tcPr>
          <w:p w14:paraId="4B560646" w14:textId="77777777" w:rsidR="00BD395F" w:rsidRPr="00BD395F" w:rsidRDefault="00BD395F" w:rsidP="00BD395F">
            <w:pPr>
              <w:bidi/>
              <w:spacing w:after="0" w:line="240" w:lineRule="auto"/>
              <w:jc w:val="center"/>
              <w:rPr>
                <w:rFonts w:asciiTheme="majorBidi" w:eastAsia="Times New Roman" w:hAnsiTheme="majorBidi" w:cstheme="majorBidi"/>
                <w:b/>
                <w:bCs/>
                <w:color w:val="000000"/>
                <w:kern w:val="0"/>
                <w:sz w:val="28"/>
                <w:szCs w:val="28"/>
                <w:rtl/>
                <w14:ligatures w14:val="none"/>
              </w:rPr>
            </w:pPr>
            <w:r w:rsidRPr="00BD395F">
              <w:rPr>
                <w:rFonts w:asciiTheme="majorBidi" w:eastAsia="Times New Roman" w:hAnsiTheme="majorBidi" w:cstheme="majorBidi"/>
                <w:b/>
                <w:bCs/>
                <w:color w:val="000000"/>
                <w:kern w:val="0"/>
                <w:sz w:val="28"/>
                <w:szCs w:val="28"/>
                <w:rtl/>
                <w14:ligatures w14:val="none"/>
              </w:rPr>
              <w:t>المرجع</w:t>
            </w:r>
          </w:p>
        </w:tc>
      </w:tr>
      <w:tr w:rsidR="00BD395F" w:rsidRPr="00BD395F" w14:paraId="1CDB9A7A" w14:textId="77777777" w:rsidTr="00BD395F">
        <w:trPr>
          <w:trHeight w:val="324"/>
        </w:trPr>
        <w:tc>
          <w:tcPr>
            <w:tcW w:w="2818" w:type="dxa"/>
            <w:tcBorders>
              <w:top w:val="nil"/>
              <w:left w:val="single" w:sz="8" w:space="0" w:color="auto"/>
              <w:bottom w:val="single" w:sz="8" w:space="0" w:color="auto"/>
              <w:right w:val="single" w:sz="8" w:space="0" w:color="auto"/>
            </w:tcBorders>
            <w:vAlign w:val="center"/>
            <w:hideMark/>
          </w:tcPr>
          <w:p w14:paraId="0DF5A869" w14:textId="77777777" w:rsidR="00BD395F" w:rsidRPr="00BD395F" w:rsidRDefault="00BD395F" w:rsidP="00BD395F">
            <w:pPr>
              <w:bidi/>
              <w:spacing w:after="0" w:line="240" w:lineRule="auto"/>
              <w:jc w:val="center"/>
              <w:rPr>
                <w:rFonts w:asciiTheme="majorBidi" w:eastAsia="Times New Roman" w:hAnsiTheme="majorBidi" w:cstheme="majorBidi"/>
                <w:color w:val="000000"/>
                <w:kern w:val="0"/>
                <w:sz w:val="28"/>
                <w:szCs w:val="28"/>
                <w:rtl/>
                <w14:ligatures w14:val="none"/>
              </w:rPr>
            </w:pPr>
            <w:r w:rsidRPr="00BD395F">
              <w:rPr>
                <w:rFonts w:asciiTheme="majorBidi" w:eastAsia="Times New Roman" w:hAnsiTheme="majorBidi" w:cstheme="majorBidi"/>
                <w:color w:val="000000"/>
                <w:kern w:val="0"/>
                <w:sz w:val="28"/>
                <w:szCs w:val="28"/>
                <w:rtl/>
                <w14:ligatures w14:val="none"/>
              </w:rPr>
              <w:t>الاستقطاب والاختيار الدقيق</w:t>
            </w:r>
          </w:p>
        </w:tc>
        <w:tc>
          <w:tcPr>
            <w:tcW w:w="3988" w:type="dxa"/>
            <w:tcBorders>
              <w:top w:val="nil"/>
              <w:left w:val="single" w:sz="8" w:space="0" w:color="auto"/>
              <w:bottom w:val="single" w:sz="8" w:space="0" w:color="auto"/>
              <w:right w:val="single" w:sz="8" w:space="0" w:color="auto"/>
            </w:tcBorders>
            <w:vAlign w:val="center"/>
            <w:hideMark/>
          </w:tcPr>
          <w:p w14:paraId="244A8E67" w14:textId="77777777" w:rsidR="00BD395F" w:rsidRPr="00BD395F" w:rsidRDefault="00BD395F" w:rsidP="00BD395F">
            <w:pPr>
              <w:bidi/>
              <w:spacing w:after="0" w:line="240" w:lineRule="auto"/>
              <w:jc w:val="center"/>
              <w:rPr>
                <w:rFonts w:asciiTheme="majorBidi" w:eastAsia="Times New Roman" w:hAnsiTheme="majorBidi" w:cstheme="majorBidi"/>
                <w:color w:val="000000"/>
                <w:kern w:val="0"/>
                <w:sz w:val="28"/>
                <w:szCs w:val="28"/>
                <w:rtl/>
                <w14:ligatures w14:val="none"/>
              </w:rPr>
            </w:pPr>
            <w:r w:rsidRPr="00BD395F">
              <w:rPr>
                <w:rFonts w:asciiTheme="majorBidi" w:eastAsia="Times New Roman" w:hAnsiTheme="majorBidi" w:cstheme="majorBidi"/>
                <w:color w:val="000000"/>
                <w:kern w:val="0"/>
                <w:sz w:val="28"/>
                <w:szCs w:val="28"/>
                <w:rtl/>
                <w14:ligatures w14:val="none"/>
              </w:rPr>
              <w:t>اختيار الموظفين وفق معايير الكفاءة والملاءمة</w:t>
            </w:r>
          </w:p>
        </w:tc>
        <w:tc>
          <w:tcPr>
            <w:tcW w:w="2692" w:type="dxa"/>
            <w:tcBorders>
              <w:top w:val="nil"/>
              <w:left w:val="single" w:sz="8" w:space="0" w:color="auto"/>
              <w:bottom w:val="single" w:sz="8" w:space="0" w:color="auto"/>
              <w:right w:val="single" w:sz="8" w:space="0" w:color="auto"/>
            </w:tcBorders>
            <w:vAlign w:val="center"/>
            <w:hideMark/>
          </w:tcPr>
          <w:p w14:paraId="5B45B91E" w14:textId="77777777" w:rsidR="00BD395F" w:rsidRPr="00BD395F" w:rsidRDefault="00BD395F" w:rsidP="00BD395F">
            <w:pPr>
              <w:bidi/>
              <w:spacing w:after="0" w:line="240" w:lineRule="auto"/>
              <w:jc w:val="center"/>
              <w:rPr>
                <w:rFonts w:asciiTheme="majorBidi" w:eastAsia="Times New Roman" w:hAnsiTheme="majorBidi" w:cstheme="majorBidi"/>
                <w:color w:val="000000"/>
                <w:kern w:val="0"/>
                <w:sz w:val="28"/>
                <w:szCs w:val="28"/>
                <w:rtl/>
                <w14:ligatures w14:val="none"/>
              </w:rPr>
            </w:pPr>
            <w:r w:rsidRPr="00BD395F">
              <w:rPr>
                <w:rFonts w:asciiTheme="majorBidi" w:eastAsia="Times New Roman" w:hAnsiTheme="majorBidi" w:cstheme="majorBidi"/>
                <w:noProof/>
                <w:color w:val="000000"/>
                <w:kern w:val="0"/>
                <w:sz w:val="28"/>
                <w:szCs w:val="28"/>
                <w:rtl/>
                <w14:ligatures w14:val="none"/>
              </w:rPr>
              <w:t>(</w:t>
            </w:r>
            <w:r w:rsidRPr="00BD395F">
              <w:rPr>
                <w:rFonts w:asciiTheme="majorBidi" w:eastAsia="Times New Roman" w:hAnsiTheme="majorBidi" w:cstheme="majorBidi"/>
                <w:noProof/>
                <w:color w:val="000000"/>
                <w:kern w:val="0"/>
                <w:sz w:val="28"/>
                <w:szCs w:val="28"/>
                <w14:ligatures w14:val="none"/>
              </w:rPr>
              <w:t>Huselid, 1995</w:t>
            </w:r>
            <w:r w:rsidRPr="00BD395F">
              <w:rPr>
                <w:rFonts w:asciiTheme="majorBidi" w:eastAsia="Times New Roman" w:hAnsiTheme="majorBidi" w:cstheme="majorBidi"/>
                <w:noProof/>
                <w:color w:val="000000"/>
                <w:kern w:val="0"/>
                <w:sz w:val="28"/>
                <w:szCs w:val="28"/>
                <w:rtl/>
                <w14:ligatures w14:val="none"/>
              </w:rPr>
              <w:t>)</w:t>
            </w:r>
          </w:p>
        </w:tc>
      </w:tr>
      <w:tr w:rsidR="00BD395F" w:rsidRPr="00BD395F" w14:paraId="3A8915BB" w14:textId="77777777" w:rsidTr="00BD395F">
        <w:trPr>
          <w:trHeight w:val="324"/>
        </w:trPr>
        <w:tc>
          <w:tcPr>
            <w:tcW w:w="2818" w:type="dxa"/>
            <w:tcBorders>
              <w:top w:val="nil"/>
              <w:left w:val="single" w:sz="8" w:space="0" w:color="auto"/>
              <w:bottom w:val="single" w:sz="8" w:space="0" w:color="auto"/>
              <w:right w:val="single" w:sz="8" w:space="0" w:color="auto"/>
            </w:tcBorders>
            <w:vAlign w:val="center"/>
            <w:hideMark/>
          </w:tcPr>
          <w:p w14:paraId="2FC20759" w14:textId="77777777" w:rsidR="00BD395F" w:rsidRPr="00BD395F" w:rsidRDefault="00BD395F" w:rsidP="00BD395F">
            <w:pPr>
              <w:bidi/>
              <w:spacing w:after="0" w:line="240" w:lineRule="auto"/>
              <w:jc w:val="center"/>
              <w:rPr>
                <w:rFonts w:asciiTheme="majorBidi" w:eastAsia="Times New Roman" w:hAnsiTheme="majorBidi" w:cstheme="majorBidi"/>
                <w:color w:val="000000"/>
                <w:kern w:val="0"/>
                <w:sz w:val="28"/>
                <w:szCs w:val="28"/>
                <w:rtl/>
                <w14:ligatures w14:val="none"/>
              </w:rPr>
            </w:pPr>
            <w:r w:rsidRPr="00BD395F">
              <w:rPr>
                <w:rFonts w:asciiTheme="majorBidi" w:eastAsia="Times New Roman" w:hAnsiTheme="majorBidi" w:cstheme="majorBidi"/>
                <w:color w:val="000000"/>
                <w:kern w:val="0"/>
                <w:sz w:val="28"/>
                <w:szCs w:val="28"/>
                <w:rtl/>
                <w14:ligatures w14:val="none"/>
              </w:rPr>
              <w:t>التدريب والتطوير</w:t>
            </w:r>
          </w:p>
        </w:tc>
        <w:tc>
          <w:tcPr>
            <w:tcW w:w="3988" w:type="dxa"/>
            <w:tcBorders>
              <w:top w:val="nil"/>
              <w:left w:val="single" w:sz="8" w:space="0" w:color="auto"/>
              <w:bottom w:val="single" w:sz="8" w:space="0" w:color="auto"/>
              <w:right w:val="single" w:sz="8" w:space="0" w:color="auto"/>
            </w:tcBorders>
            <w:vAlign w:val="center"/>
            <w:hideMark/>
          </w:tcPr>
          <w:p w14:paraId="41A0B0AE" w14:textId="77777777" w:rsidR="00BD395F" w:rsidRPr="00BD395F" w:rsidRDefault="00BD395F" w:rsidP="00BD395F">
            <w:pPr>
              <w:bidi/>
              <w:spacing w:after="0" w:line="240" w:lineRule="auto"/>
              <w:jc w:val="center"/>
              <w:rPr>
                <w:rFonts w:asciiTheme="majorBidi" w:eastAsia="Times New Roman" w:hAnsiTheme="majorBidi" w:cstheme="majorBidi"/>
                <w:color w:val="000000"/>
                <w:kern w:val="0"/>
                <w:sz w:val="28"/>
                <w:szCs w:val="28"/>
                <w:rtl/>
                <w14:ligatures w14:val="none"/>
              </w:rPr>
            </w:pPr>
            <w:r w:rsidRPr="00BD395F">
              <w:rPr>
                <w:rFonts w:asciiTheme="majorBidi" w:eastAsia="Times New Roman" w:hAnsiTheme="majorBidi" w:cstheme="majorBidi"/>
                <w:color w:val="000000"/>
                <w:kern w:val="0"/>
                <w:sz w:val="28"/>
                <w:szCs w:val="28"/>
                <w:rtl/>
                <w14:ligatures w14:val="none"/>
              </w:rPr>
              <w:t>برامج تطويرية لرفع المهارات والمعرفة</w:t>
            </w:r>
          </w:p>
        </w:tc>
        <w:tc>
          <w:tcPr>
            <w:tcW w:w="2692" w:type="dxa"/>
            <w:tcBorders>
              <w:top w:val="nil"/>
              <w:left w:val="single" w:sz="8" w:space="0" w:color="auto"/>
              <w:bottom w:val="single" w:sz="8" w:space="0" w:color="auto"/>
              <w:right w:val="single" w:sz="8" w:space="0" w:color="auto"/>
            </w:tcBorders>
            <w:vAlign w:val="center"/>
            <w:hideMark/>
          </w:tcPr>
          <w:p w14:paraId="4CA6EAC3" w14:textId="77777777" w:rsidR="00BD395F" w:rsidRPr="00BD395F" w:rsidRDefault="00BD395F" w:rsidP="00BD395F">
            <w:pPr>
              <w:bidi/>
              <w:spacing w:after="0" w:line="240" w:lineRule="auto"/>
              <w:jc w:val="center"/>
              <w:rPr>
                <w:rFonts w:asciiTheme="majorBidi" w:eastAsia="Times New Roman" w:hAnsiTheme="majorBidi" w:cstheme="majorBidi"/>
                <w:color w:val="000000"/>
                <w:kern w:val="0"/>
                <w:sz w:val="28"/>
                <w:szCs w:val="28"/>
                <w:rtl/>
                <w14:ligatures w14:val="none"/>
              </w:rPr>
            </w:pPr>
            <w:r w:rsidRPr="00BD395F">
              <w:rPr>
                <w:rFonts w:asciiTheme="majorBidi" w:eastAsia="Times New Roman" w:hAnsiTheme="majorBidi" w:cstheme="majorBidi"/>
                <w:noProof/>
                <w:color w:val="000000"/>
                <w:kern w:val="0"/>
                <w:sz w:val="28"/>
                <w:szCs w:val="28"/>
                <w:rtl/>
                <w14:ligatures w14:val="none"/>
              </w:rPr>
              <w:t>(</w:t>
            </w:r>
            <w:r w:rsidRPr="00BD395F">
              <w:rPr>
                <w:rFonts w:asciiTheme="majorBidi" w:eastAsia="Times New Roman" w:hAnsiTheme="majorBidi" w:cstheme="majorBidi"/>
                <w:noProof/>
                <w:color w:val="000000"/>
                <w:kern w:val="0"/>
                <w:sz w:val="28"/>
                <w:szCs w:val="28"/>
                <w14:ligatures w14:val="none"/>
              </w:rPr>
              <w:t>Boxall and</w:t>
            </w:r>
            <w:r w:rsidRPr="00BD395F">
              <w:rPr>
                <w:rFonts w:asciiTheme="majorBidi" w:eastAsia="Times New Roman" w:hAnsiTheme="majorBidi" w:cstheme="majorBidi"/>
                <w:noProof/>
                <w:color w:val="000000"/>
                <w:kern w:val="0"/>
                <w:sz w:val="28"/>
                <w:szCs w:val="28"/>
                <w:rtl/>
                <w14:ligatures w14:val="none"/>
              </w:rPr>
              <w:t xml:space="preserve"> </w:t>
            </w:r>
            <w:r w:rsidRPr="00BD395F">
              <w:rPr>
                <w:rFonts w:asciiTheme="majorBidi" w:eastAsia="Times New Roman" w:hAnsiTheme="majorBidi" w:cstheme="majorBidi"/>
                <w:noProof/>
                <w:color w:val="000000"/>
                <w:kern w:val="0"/>
                <w:sz w:val="28"/>
                <w:szCs w:val="28"/>
                <w14:ligatures w14:val="none"/>
              </w:rPr>
              <w:t>Macky, 2009</w:t>
            </w:r>
            <w:r w:rsidRPr="00BD395F">
              <w:rPr>
                <w:rFonts w:asciiTheme="majorBidi" w:eastAsia="Times New Roman" w:hAnsiTheme="majorBidi" w:cstheme="majorBidi"/>
                <w:noProof/>
                <w:color w:val="000000"/>
                <w:kern w:val="0"/>
                <w:sz w:val="28"/>
                <w:szCs w:val="28"/>
                <w:rtl/>
                <w14:ligatures w14:val="none"/>
              </w:rPr>
              <w:t>)</w:t>
            </w:r>
          </w:p>
        </w:tc>
      </w:tr>
      <w:tr w:rsidR="00BD395F" w:rsidRPr="00BD395F" w14:paraId="2B1BF9EC" w14:textId="77777777" w:rsidTr="00BD395F">
        <w:trPr>
          <w:trHeight w:val="324"/>
        </w:trPr>
        <w:tc>
          <w:tcPr>
            <w:tcW w:w="2818" w:type="dxa"/>
            <w:tcBorders>
              <w:top w:val="nil"/>
              <w:left w:val="single" w:sz="8" w:space="0" w:color="auto"/>
              <w:bottom w:val="single" w:sz="8" w:space="0" w:color="auto"/>
              <w:right w:val="single" w:sz="8" w:space="0" w:color="auto"/>
            </w:tcBorders>
            <w:vAlign w:val="center"/>
            <w:hideMark/>
          </w:tcPr>
          <w:p w14:paraId="38136713" w14:textId="77777777" w:rsidR="00BD395F" w:rsidRPr="00BD395F" w:rsidRDefault="00BD395F" w:rsidP="00BD395F">
            <w:pPr>
              <w:bidi/>
              <w:spacing w:after="0" w:line="240" w:lineRule="auto"/>
              <w:jc w:val="center"/>
              <w:rPr>
                <w:rFonts w:asciiTheme="majorBidi" w:eastAsia="Times New Roman" w:hAnsiTheme="majorBidi" w:cstheme="majorBidi"/>
                <w:color w:val="000000"/>
                <w:kern w:val="0"/>
                <w:sz w:val="28"/>
                <w:szCs w:val="28"/>
                <w:rtl/>
                <w14:ligatures w14:val="none"/>
              </w:rPr>
            </w:pPr>
            <w:r w:rsidRPr="00BD395F">
              <w:rPr>
                <w:rFonts w:asciiTheme="majorBidi" w:eastAsia="Times New Roman" w:hAnsiTheme="majorBidi" w:cstheme="majorBidi"/>
                <w:color w:val="000000"/>
                <w:kern w:val="0"/>
                <w:sz w:val="28"/>
                <w:szCs w:val="28"/>
                <w:rtl/>
                <w14:ligatures w14:val="none"/>
              </w:rPr>
              <w:t>إدارة الأداء</w:t>
            </w:r>
          </w:p>
        </w:tc>
        <w:tc>
          <w:tcPr>
            <w:tcW w:w="3988" w:type="dxa"/>
            <w:tcBorders>
              <w:top w:val="nil"/>
              <w:left w:val="single" w:sz="8" w:space="0" w:color="auto"/>
              <w:bottom w:val="single" w:sz="8" w:space="0" w:color="auto"/>
              <w:right w:val="single" w:sz="8" w:space="0" w:color="auto"/>
            </w:tcBorders>
            <w:vAlign w:val="center"/>
            <w:hideMark/>
          </w:tcPr>
          <w:p w14:paraId="5B6609F5" w14:textId="77777777" w:rsidR="00BD395F" w:rsidRPr="00BD395F" w:rsidRDefault="00BD395F" w:rsidP="00BD395F">
            <w:pPr>
              <w:bidi/>
              <w:spacing w:after="0" w:line="240" w:lineRule="auto"/>
              <w:jc w:val="center"/>
              <w:rPr>
                <w:rFonts w:asciiTheme="majorBidi" w:eastAsia="Times New Roman" w:hAnsiTheme="majorBidi" w:cstheme="majorBidi"/>
                <w:color w:val="000000"/>
                <w:kern w:val="0"/>
                <w:sz w:val="28"/>
                <w:szCs w:val="28"/>
                <w:rtl/>
                <w14:ligatures w14:val="none"/>
              </w:rPr>
            </w:pPr>
            <w:r w:rsidRPr="00BD395F">
              <w:rPr>
                <w:rFonts w:asciiTheme="majorBidi" w:eastAsia="Times New Roman" w:hAnsiTheme="majorBidi" w:cstheme="majorBidi"/>
                <w:color w:val="000000"/>
                <w:kern w:val="0"/>
                <w:sz w:val="28"/>
                <w:szCs w:val="28"/>
                <w:rtl/>
                <w14:ligatures w14:val="none"/>
              </w:rPr>
              <w:t>متابعة وتقييم الأداء مع خطط للتحسين</w:t>
            </w:r>
          </w:p>
        </w:tc>
        <w:tc>
          <w:tcPr>
            <w:tcW w:w="2692" w:type="dxa"/>
            <w:tcBorders>
              <w:top w:val="nil"/>
              <w:left w:val="single" w:sz="8" w:space="0" w:color="auto"/>
              <w:bottom w:val="single" w:sz="8" w:space="0" w:color="auto"/>
              <w:right w:val="single" w:sz="8" w:space="0" w:color="auto"/>
            </w:tcBorders>
            <w:vAlign w:val="center"/>
            <w:hideMark/>
          </w:tcPr>
          <w:p w14:paraId="7498F5D6" w14:textId="77777777" w:rsidR="00BD395F" w:rsidRPr="00BD395F" w:rsidRDefault="00BD395F" w:rsidP="00BD395F">
            <w:pPr>
              <w:bidi/>
              <w:spacing w:after="0" w:line="240" w:lineRule="auto"/>
              <w:jc w:val="center"/>
              <w:rPr>
                <w:rFonts w:asciiTheme="majorBidi" w:eastAsia="Times New Roman" w:hAnsiTheme="majorBidi" w:cstheme="majorBidi"/>
                <w:color w:val="000000"/>
                <w:kern w:val="0"/>
                <w:sz w:val="28"/>
                <w:szCs w:val="28"/>
                <w:rtl/>
                <w14:ligatures w14:val="none"/>
              </w:rPr>
            </w:pPr>
            <w:r w:rsidRPr="00BD395F">
              <w:rPr>
                <w:rFonts w:asciiTheme="majorBidi" w:eastAsia="Times New Roman" w:hAnsiTheme="majorBidi" w:cstheme="majorBidi"/>
                <w:noProof/>
                <w:color w:val="000000"/>
                <w:kern w:val="0"/>
                <w:sz w:val="28"/>
                <w:szCs w:val="28"/>
                <w:rtl/>
                <w14:ligatures w14:val="none"/>
              </w:rPr>
              <w:t>(</w:t>
            </w:r>
            <w:r w:rsidRPr="00BD395F">
              <w:rPr>
                <w:rFonts w:asciiTheme="majorBidi" w:eastAsia="Times New Roman" w:hAnsiTheme="majorBidi" w:cstheme="majorBidi"/>
                <w:noProof/>
                <w:color w:val="000000"/>
                <w:kern w:val="0"/>
                <w:sz w:val="28"/>
                <w:szCs w:val="28"/>
                <w14:ligatures w14:val="none"/>
              </w:rPr>
              <w:t>Takeuchi et</w:t>
            </w:r>
            <w:r w:rsidRPr="00BD395F">
              <w:rPr>
                <w:rFonts w:asciiTheme="majorBidi" w:eastAsia="Times New Roman" w:hAnsiTheme="majorBidi" w:cstheme="majorBidi"/>
                <w:noProof/>
                <w:color w:val="000000"/>
                <w:kern w:val="0"/>
                <w:sz w:val="28"/>
                <w:szCs w:val="28"/>
                <w:rtl/>
                <w14:ligatures w14:val="none"/>
              </w:rPr>
              <w:t xml:space="preserve"> </w:t>
            </w:r>
            <w:r w:rsidRPr="00BD395F">
              <w:rPr>
                <w:rFonts w:asciiTheme="majorBidi" w:eastAsia="Times New Roman" w:hAnsiTheme="majorBidi" w:cstheme="majorBidi"/>
                <w:noProof/>
                <w:color w:val="000000"/>
                <w:kern w:val="0"/>
                <w:sz w:val="28"/>
                <w:szCs w:val="28"/>
                <w14:ligatures w14:val="none"/>
              </w:rPr>
              <w:t>al., 2007</w:t>
            </w:r>
            <w:r w:rsidRPr="00BD395F">
              <w:rPr>
                <w:rFonts w:asciiTheme="majorBidi" w:eastAsia="Times New Roman" w:hAnsiTheme="majorBidi" w:cstheme="majorBidi"/>
                <w:noProof/>
                <w:color w:val="000000"/>
                <w:kern w:val="0"/>
                <w:sz w:val="28"/>
                <w:szCs w:val="28"/>
                <w:rtl/>
                <w14:ligatures w14:val="none"/>
              </w:rPr>
              <w:t>)</w:t>
            </w:r>
          </w:p>
        </w:tc>
      </w:tr>
      <w:tr w:rsidR="00BD395F" w:rsidRPr="00BD395F" w14:paraId="0292773B" w14:textId="77777777" w:rsidTr="00BD395F">
        <w:trPr>
          <w:trHeight w:val="324"/>
        </w:trPr>
        <w:tc>
          <w:tcPr>
            <w:tcW w:w="2818" w:type="dxa"/>
            <w:tcBorders>
              <w:top w:val="nil"/>
              <w:left w:val="single" w:sz="8" w:space="0" w:color="auto"/>
              <w:bottom w:val="single" w:sz="8" w:space="0" w:color="auto"/>
              <w:right w:val="single" w:sz="8" w:space="0" w:color="auto"/>
            </w:tcBorders>
            <w:vAlign w:val="center"/>
            <w:hideMark/>
          </w:tcPr>
          <w:p w14:paraId="6B4F8ADA" w14:textId="77777777" w:rsidR="00BD395F" w:rsidRPr="00BD395F" w:rsidRDefault="00BD395F" w:rsidP="00BD395F">
            <w:pPr>
              <w:bidi/>
              <w:spacing w:after="0" w:line="240" w:lineRule="auto"/>
              <w:jc w:val="center"/>
              <w:rPr>
                <w:rFonts w:asciiTheme="majorBidi" w:eastAsia="Times New Roman" w:hAnsiTheme="majorBidi" w:cstheme="majorBidi"/>
                <w:color w:val="000000"/>
                <w:kern w:val="0"/>
                <w:sz w:val="28"/>
                <w:szCs w:val="28"/>
                <w:rtl/>
                <w14:ligatures w14:val="none"/>
              </w:rPr>
            </w:pPr>
            <w:r w:rsidRPr="00BD395F">
              <w:rPr>
                <w:rFonts w:asciiTheme="majorBidi" w:eastAsia="Times New Roman" w:hAnsiTheme="majorBidi" w:cstheme="majorBidi"/>
                <w:color w:val="000000"/>
                <w:kern w:val="0"/>
                <w:sz w:val="28"/>
                <w:szCs w:val="28"/>
                <w:rtl/>
                <w14:ligatures w14:val="none"/>
              </w:rPr>
              <w:t>التعويضات والمكافآت</w:t>
            </w:r>
          </w:p>
        </w:tc>
        <w:tc>
          <w:tcPr>
            <w:tcW w:w="3988" w:type="dxa"/>
            <w:tcBorders>
              <w:top w:val="nil"/>
              <w:left w:val="single" w:sz="8" w:space="0" w:color="auto"/>
              <w:bottom w:val="single" w:sz="8" w:space="0" w:color="auto"/>
              <w:right w:val="single" w:sz="8" w:space="0" w:color="auto"/>
            </w:tcBorders>
            <w:vAlign w:val="center"/>
            <w:hideMark/>
          </w:tcPr>
          <w:p w14:paraId="658ECF45" w14:textId="77777777" w:rsidR="00BD395F" w:rsidRPr="00BD395F" w:rsidRDefault="00BD395F" w:rsidP="00BD395F">
            <w:pPr>
              <w:bidi/>
              <w:spacing w:after="0" w:line="240" w:lineRule="auto"/>
              <w:jc w:val="center"/>
              <w:rPr>
                <w:rFonts w:asciiTheme="majorBidi" w:eastAsia="Times New Roman" w:hAnsiTheme="majorBidi" w:cstheme="majorBidi"/>
                <w:color w:val="000000"/>
                <w:kern w:val="0"/>
                <w:sz w:val="28"/>
                <w:szCs w:val="28"/>
                <w:rtl/>
                <w14:ligatures w14:val="none"/>
              </w:rPr>
            </w:pPr>
            <w:r w:rsidRPr="00BD395F">
              <w:rPr>
                <w:rFonts w:asciiTheme="majorBidi" w:eastAsia="Times New Roman" w:hAnsiTheme="majorBidi" w:cstheme="majorBidi"/>
                <w:color w:val="000000"/>
                <w:kern w:val="0"/>
                <w:sz w:val="28"/>
                <w:szCs w:val="28"/>
                <w:rtl/>
                <w14:ligatures w14:val="none"/>
              </w:rPr>
              <w:t>حوافز مالية وغير مالية مرتبطة بالأداء</w:t>
            </w:r>
          </w:p>
        </w:tc>
        <w:tc>
          <w:tcPr>
            <w:tcW w:w="2692" w:type="dxa"/>
            <w:tcBorders>
              <w:top w:val="nil"/>
              <w:left w:val="single" w:sz="8" w:space="0" w:color="auto"/>
              <w:bottom w:val="single" w:sz="8" w:space="0" w:color="auto"/>
              <w:right w:val="single" w:sz="8" w:space="0" w:color="auto"/>
            </w:tcBorders>
            <w:vAlign w:val="center"/>
            <w:hideMark/>
          </w:tcPr>
          <w:p w14:paraId="32B2707F" w14:textId="77777777" w:rsidR="00BD395F" w:rsidRPr="00BD395F" w:rsidRDefault="00BD395F" w:rsidP="00BD395F">
            <w:pPr>
              <w:bidi/>
              <w:spacing w:after="0" w:line="240" w:lineRule="auto"/>
              <w:jc w:val="center"/>
              <w:rPr>
                <w:rFonts w:asciiTheme="majorBidi" w:eastAsia="Times New Roman" w:hAnsiTheme="majorBidi" w:cstheme="majorBidi"/>
                <w:color w:val="000000"/>
                <w:kern w:val="0"/>
                <w:sz w:val="28"/>
                <w:szCs w:val="28"/>
                <w:rtl/>
                <w14:ligatures w14:val="none"/>
              </w:rPr>
            </w:pPr>
            <w:r w:rsidRPr="00BD395F">
              <w:rPr>
                <w:rFonts w:asciiTheme="majorBidi" w:eastAsia="Times New Roman" w:hAnsiTheme="majorBidi" w:cstheme="majorBidi"/>
                <w:noProof/>
                <w:color w:val="000000"/>
                <w:kern w:val="0"/>
                <w:sz w:val="28"/>
                <w:szCs w:val="28"/>
                <w:rtl/>
                <w14:ligatures w14:val="none"/>
              </w:rPr>
              <w:t>(</w:t>
            </w:r>
            <w:r w:rsidRPr="00BD395F">
              <w:rPr>
                <w:rFonts w:asciiTheme="majorBidi" w:eastAsia="Times New Roman" w:hAnsiTheme="majorBidi" w:cstheme="majorBidi"/>
                <w:noProof/>
                <w:color w:val="000000"/>
                <w:kern w:val="0"/>
                <w:sz w:val="28"/>
                <w:szCs w:val="28"/>
                <w14:ligatures w14:val="none"/>
              </w:rPr>
              <w:t>Delery and</w:t>
            </w:r>
            <w:r w:rsidRPr="00BD395F">
              <w:rPr>
                <w:rFonts w:asciiTheme="majorBidi" w:eastAsia="Times New Roman" w:hAnsiTheme="majorBidi" w:cstheme="majorBidi"/>
                <w:noProof/>
                <w:color w:val="000000"/>
                <w:kern w:val="0"/>
                <w:sz w:val="28"/>
                <w:szCs w:val="28"/>
                <w:rtl/>
                <w14:ligatures w14:val="none"/>
              </w:rPr>
              <w:t xml:space="preserve"> </w:t>
            </w:r>
            <w:r w:rsidRPr="00BD395F">
              <w:rPr>
                <w:rFonts w:asciiTheme="majorBidi" w:eastAsia="Times New Roman" w:hAnsiTheme="majorBidi" w:cstheme="majorBidi"/>
                <w:noProof/>
                <w:color w:val="000000"/>
                <w:kern w:val="0"/>
                <w:sz w:val="28"/>
                <w:szCs w:val="28"/>
                <w14:ligatures w14:val="none"/>
              </w:rPr>
              <w:t>Doty, 1996</w:t>
            </w:r>
            <w:r w:rsidRPr="00BD395F">
              <w:rPr>
                <w:rFonts w:asciiTheme="majorBidi" w:eastAsia="Times New Roman" w:hAnsiTheme="majorBidi" w:cstheme="majorBidi"/>
                <w:noProof/>
                <w:color w:val="000000"/>
                <w:kern w:val="0"/>
                <w:sz w:val="28"/>
                <w:szCs w:val="28"/>
                <w:rtl/>
                <w14:ligatures w14:val="none"/>
              </w:rPr>
              <w:t>)</w:t>
            </w:r>
          </w:p>
        </w:tc>
      </w:tr>
      <w:tr w:rsidR="00BD395F" w:rsidRPr="00BD395F" w14:paraId="241F335E" w14:textId="77777777" w:rsidTr="00BD395F">
        <w:trPr>
          <w:trHeight w:val="612"/>
        </w:trPr>
        <w:tc>
          <w:tcPr>
            <w:tcW w:w="2818" w:type="dxa"/>
            <w:tcBorders>
              <w:top w:val="nil"/>
              <w:left w:val="single" w:sz="8" w:space="0" w:color="auto"/>
              <w:bottom w:val="single" w:sz="8" w:space="0" w:color="auto"/>
              <w:right w:val="single" w:sz="8" w:space="0" w:color="auto"/>
            </w:tcBorders>
            <w:vAlign w:val="center"/>
            <w:hideMark/>
          </w:tcPr>
          <w:p w14:paraId="47F4C3A9" w14:textId="77777777" w:rsidR="00BD395F" w:rsidRPr="00BD395F" w:rsidRDefault="00BD395F" w:rsidP="00BD395F">
            <w:pPr>
              <w:bidi/>
              <w:spacing w:after="0" w:line="240" w:lineRule="auto"/>
              <w:jc w:val="center"/>
              <w:rPr>
                <w:rFonts w:asciiTheme="majorBidi" w:eastAsia="Times New Roman" w:hAnsiTheme="majorBidi" w:cstheme="majorBidi"/>
                <w:color w:val="000000"/>
                <w:kern w:val="0"/>
                <w:sz w:val="28"/>
                <w:szCs w:val="28"/>
                <w:rtl/>
                <w14:ligatures w14:val="none"/>
              </w:rPr>
            </w:pPr>
            <w:r w:rsidRPr="00BD395F">
              <w:rPr>
                <w:rFonts w:asciiTheme="majorBidi" w:eastAsia="Times New Roman" w:hAnsiTheme="majorBidi" w:cstheme="majorBidi"/>
                <w:color w:val="000000"/>
                <w:kern w:val="0"/>
                <w:sz w:val="28"/>
                <w:szCs w:val="28"/>
                <w:rtl/>
                <w14:ligatures w14:val="none"/>
              </w:rPr>
              <w:lastRenderedPageBreak/>
              <w:t>التمكين والمشاركة</w:t>
            </w:r>
          </w:p>
        </w:tc>
        <w:tc>
          <w:tcPr>
            <w:tcW w:w="3988" w:type="dxa"/>
            <w:tcBorders>
              <w:top w:val="nil"/>
              <w:left w:val="single" w:sz="8" w:space="0" w:color="auto"/>
              <w:bottom w:val="single" w:sz="8" w:space="0" w:color="auto"/>
              <w:right w:val="single" w:sz="8" w:space="0" w:color="auto"/>
            </w:tcBorders>
            <w:vAlign w:val="center"/>
            <w:hideMark/>
          </w:tcPr>
          <w:p w14:paraId="14031134" w14:textId="77777777" w:rsidR="00BD395F" w:rsidRPr="00BD395F" w:rsidRDefault="00BD395F" w:rsidP="00BD395F">
            <w:pPr>
              <w:bidi/>
              <w:spacing w:after="0" w:line="240" w:lineRule="auto"/>
              <w:jc w:val="center"/>
              <w:rPr>
                <w:rFonts w:asciiTheme="majorBidi" w:eastAsia="Times New Roman" w:hAnsiTheme="majorBidi" w:cstheme="majorBidi"/>
                <w:color w:val="000000"/>
                <w:kern w:val="0"/>
                <w:sz w:val="28"/>
                <w:szCs w:val="28"/>
                <w:rtl/>
                <w14:ligatures w14:val="none"/>
              </w:rPr>
            </w:pPr>
            <w:r w:rsidRPr="00BD395F">
              <w:rPr>
                <w:rFonts w:asciiTheme="majorBidi" w:eastAsia="Times New Roman" w:hAnsiTheme="majorBidi" w:cstheme="majorBidi"/>
                <w:color w:val="000000"/>
                <w:kern w:val="0"/>
                <w:sz w:val="28"/>
                <w:szCs w:val="28"/>
                <w:rtl/>
                <w14:ligatures w14:val="none"/>
              </w:rPr>
              <w:t>إشراك الموظفين في القرارات ومنحهم حرية أكبر في العمل</w:t>
            </w:r>
          </w:p>
        </w:tc>
        <w:tc>
          <w:tcPr>
            <w:tcW w:w="2692" w:type="dxa"/>
            <w:tcBorders>
              <w:top w:val="nil"/>
              <w:left w:val="single" w:sz="8" w:space="0" w:color="auto"/>
              <w:bottom w:val="single" w:sz="8" w:space="0" w:color="auto"/>
              <w:right w:val="single" w:sz="8" w:space="0" w:color="auto"/>
            </w:tcBorders>
            <w:vAlign w:val="center"/>
            <w:hideMark/>
          </w:tcPr>
          <w:p w14:paraId="54B7A419" w14:textId="77777777" w:rsidR="00BD395F" w:rsidRPr="00BD395F" w:rsidRDefault="00BD395F" w:rsidP="00BD395F">
            <w:pPr>
              <w:bidi/>
              <w:spacing w:after="0" w:line="240" w:lineRule="auto"/>
              <w:jc w:val="center"/>
              <w:rPr>
                <w:rFonts w:asciiTheme="majorBidi" w:eastAsia="Times New Roman" w:hAnsiTheme="majorBidi" w:cstheme="majorBidi"/>
                <w:color w:val="000000"/>
                <w:kern w:val="0"/>
                <w:sz w:val="28"/>
                <w:szCs w:val="28"/>
                <w:rtl/>
                <w14:ligatures w14:val="none"/>
              </w:rPr>
            </w:pPr>
            <w:r w:rsidRPr="00BD395F">
              <w:rPr>
                <w:rFonts w:asciiTheme="majorBidi" w:eastAsia="Times New Roman" w:hAnsiTheme="majorBidi" w:cstheme="majorBidi"/>
                <w:noProof/>
                <w:color w:val="000000"/>
                <w:kern w:val="0"/>
                <w:sz w:val="28"/>
                <w:szCs w:val="28"/>
                <w:rtl/>
                <w14:ligatures w14:val="none"/>
              </w:rPr>
              <w:t>(</w:t>
            </w:r>
            <w:r w:rsidRPr="00BD395F">
              <w:rPr>
                <w:rFonts w:asciiTheme="majorBidi" w:eastAsia="Times New Roman" w:hAnsiTheme="majorBidi" w:cstheme="majorBidi"/>
                <w:noProof/>
                <w:color w:val="000000"/>
                <w:kern w:val="0"/>
                <w:sz w:val="28"/>
                <w:szCs w:val="28"/>
                <w14:ligatures w14:val="none"/>
              </w:rPr>
              <w:t>Lawler III</w:t>
            </w:r>
            <w:r w:rsidRPr="00BD395F">
              <w:rPr>
                <w:rFonts w:asciiTheme="majorBidi" w:eastAsia="Times New Roman" w:hAnsiTheme="majorBidi" w:cstheme="majorBidi"/>
                <w:noProof/>
                <w:color w:val="000000"/>
                <w:kern w:val="0"/>
                <w:sz w:val="28"/>
                <w:szCs w:val="28"/>
                <w:rtl/>
                <w14:ligatures w14:val="none"/>
              </w:rPr>
              <w:t>, 1992)</w:t>
            </w:r>
          </w:p>
        </w:tc>
      </w:tr>
    </w:tbl>
    <w:p w14:paraId="678EBC7B" w14:textId="2CAE1D8A" w:rsidR="007575D7" w:rsidRPr="007575D7" w:rsidRDefault="007575D7" w:rsidP="007575D7">
      <w:pPr>
        <w:bidi/>
        <w:rPr>
          <w:rFonts w:asciiTheme="majorBidi" w:hAnsiTheme="majorBidi" w:cstheme="majorBidi"/>
          <w:b/>
          <w:bCs/>
          <w:sz w:val="28"/>
          <w:szCs w:val="28"/>
        </w:rPr>
      </w:pPr>
    </w:p>
    <w:p w14:paraId="3AABB358" w14:textId="3C0F8114" w:rsidR="0054713F" w:rsidRDefault="007575D7" w:rsidP="00FF5C30">
      <w:pPr>
        <w:bidi/>
        <w:jc w:val="both"/>
        <w:rPr>
          <w:rFonts w:asciiTheme="majorBidi" w:hAnsiTheme="majorBidi" w:cstheme="majorBidi"/>
          <w:sz w:val="28"/>
          <w:szCs w:val="28"/>
          <w:rtl/>
        </w:rPr>
      </w:pPr>
      <w:r w:rsidRPr="007575D7">
        <w:rPr>
          <w:rFonts w:asciiTheme="majorBidi" w:hAnsiTheme="majorBidi" w:cstheme="majorBidi"/>
          <w:sz w:val="28"/>
          <w:szCs w:val="28"/>
          <w:rtl/>
        </w:rPr>
        <w:t>كما ورد في الفصل الأول، تُعد أنظمة العمل عالية الأداء المتغير المستقل في نموذج البحث، ويُفترض أن تؤثر بشكل مباشر على الإبداع الوظيفي، وبشكل غير مباشر من خلال تعزيز الثقافة التنظيمية. فالممارسات التي تتبناها</w:t>
      </w:r>
      <w:r w:rsidRPr="007575D7">
        <w:rPr>
          <w:rFonts w:asciiTheme="majorBidi" w:hAnsiTheme="majorBidi" w:cstheme="majorBidi"/>
          <w:sz w:val="28"/>
          <w:szCs w:val="28"/>
        </w:rPr>
        <w:t xml:space="preserve"> HPWS — </w:t>
      </w:r>
      <w:r w:rsidRPr="007575D7">
        <w:rPr>
          <w:rFonts w:asciiTheme="majorBidi" w:hAnsiTheme="majorBidi" w:cstheme="majorBidi"/>
          <w:sz w:val="28"/>
          <w:szCs w:val="28"/>
          <w:rtl/>
        </w:rPr>
        <w:t>مثل التمكين، والتدريب، والتحفيز — تخلق بيئة عمل إيجابية تدعم تبادل المعرفة وتشجع على التجريب، وهو ما يشكل أرضية خصبة للإبداع</w:t>
      </w:r>
      <w:r w:rsidR="007C67B2" w:rsidRPr="00DC3DDE">
        <w:rPr>
          <w:rFonts w:asciiTheme="majorBidi" w:hAnsiTheme="majorBidi" w:cstheme="majorBidi"/>
          <w:sz w:val="28"/>
          <w:szCs w:val="28"/>
          <w:rtl/>
        </w:rPr>
        <w:t xml:space="preserve"> </w:t>
      </w:r>
      <w:r w:rsidR="007C67B2" w:rsidRPr="00DC3DDE">
        <w:rPr>
          <w:rFonts w:asciiTheme="majorBidi" w:hAnsiTheme="majorBidi" w:cstheme="majorBidi"/>
          <w:sz w:val="28"/>
          <w:szCs w:val="28"/>
          <w:rtl/>
        </w:rPr>
        <w:fldChar w:fldCharType="begin"/>
      </w:r>
      <w:r w:rsidR="007C67B2" w:rsidRPr="00DC3DDE">
        <w:rPr>
          <w:rFonts w:asciiTheme="majorBidi" w:hAnsiTheme="majorBidi" w:cstheme="majorBidi"/>
          <w:sz w:val="28"/>
          <w:szCs w:val="28"/>
          <w:rtl/>
        </w:rPr>
        <w:instrText xml:space="preserve"> </w:instrText>
      </w:r>
      <w:r w:rsidR="007C67B2" w:rsidRPr="00DC3DDE">
        <w:rPr>
          <w:rFonts w:asciiTheme="majorBidi" w:hAnsiTheme="majorBidi" w:cstheme="majorBidi"/>
          <w:sz w:val="28"/>
          <w:szCs w:val="28"/>
        </w:rPr>
        <w:instrText>ADDIN EN.CITE &lt;EndNote&gt;&lt;Cite&gt;&lt;Author&gt;Appelbaum&lt;/Author&gt;&lt;Year&gt;2000&lt;/Year&gt;&lt;RecNum&gt;2752&lt;/RecNum&gt;&lt;DisplayText&gt;(Appelbaum, 2000)&lt;/DisplayText&gt;&lt;record&gt;&lt;rec-number&gt;2752&lt;/rec-number&gt;&lt;foreign-keys&gt;&lt;key app="EN" db-id="t5vttv59or5xwbe2zdm5ewrxd905arrpawff" timestamp="1748344324"&gt;2752&lt;/key&gt;&lt;/foreign-keys&gt;&lt;ref-type name="Book"&gt;6&lt;/ref-type&gt;&lt;contributors&gt;&lt;authors&gt;&lt;author&gt;Appelbaum, Eileen&lt;/author&gt;&lt;/authors&gt;&lt;/contributors&gt;&lt;titles&gt;&lt;title&gt;Manufacturing advantage: Why high-performance work systems pay off&lt;/title&gt;&lt;/titles</w:instrText>
      </w:r>
      <w:r w:rsidR="007C67B2" w:rsidRPr="00DC3DDE">
        <w:rPr>
          <w:rFonts w:asciiTheme="majorBidi" w:hAnsiTheme="majorBidi" w:cstheme="majorBidi"/>
          <w:sz w:val="28"/>
          <w:szCs w:val="28"/>
          <w:rtl/>
        </w:rPr>
        <w:instrText>&gt;&lt;</w:instrText>
      </w:r>
      <w:r w:rsidR="007C67B2" w:rsidRPr="00DC3DDE">
        <w:rPr>
          <w:rFonts w:asciiTheme="majorBidi" w:hAnsiTheme="majorBidi" w:cstheme="majorBidi"/>
          <w:sz w:val="28"/>
          <w:szCs w:val="28"/>
        </w:rPr>
        <w:instrText>dates&gt;&lt;year&gt;2000&lt;/year&gt;&lt;/dates&gt;&lt;publisher&gt;Cornell University Press&lt;/publisher&gt;&lt;isbn&gt;0801437652&lt;/isbn&gt;&lt;urls&gt;&lt;/urls&gt;&lt;/record&gt;&lt;/Cite&gt;&lt;/EndNote</w:instrText>
      </w:r>
      <w:r w:rsidR="007C67B2" w:rsidRPr="00DC3DDE">
        <w:rPr>
          <w:rFonts w:asciiTheme="majorBidi" w:hAnsiTheme="majorBidi" w:cstheme="majorBidi"/>
          <w:sz w:val="28"/>
          <w:szCs w:val="28"/>
          <w:rtl/>
        </w:rPr>
        <w:instrText>&gt;</w:instrText>
      </w:r>
      <w:r w:rsidR="007C67B2" w:rsidRPr="00DC3DDE">
        <w:rPr>
          <w:rFonts w:asciiTheme="majorBidi" w:hAnsiTheme="majorBidi" w:cstheme="majorBidi"/>
          <w:sz w:val="28"/>
          <w:szCs w:val="28"/>
          <w:rtl/>
        </w:rPr>
        <w:fldChar w:fldCharType="separate"/>
      </w:r>
      <w:r w:rsidR="007C67B2" w:rsidRPr="00DC3DDE">
        <w:rPr>
          <w:rFonts w:asciiTheme="majorBidi" w:hAnsiTheme="majorBidi" w:cstheme="majorBidi"/>
          <w:noProof/>
          <w:sz w:val="28"/>
          <w:szCs w:val="28"/>
          <w:rtl/>
        </w:rPr>
        <w:t>(</w:t>
      </w:r>
      <w:r w:rsidR="007C67B2" w:rsidRPr="00DC3DDE">
        <w:rPr>
          <w:rFonts w:asciiTheme="majorBidi" w:hAnsiTheme="majorBidi" w:cstheme="majorBidi"/>
          <w:noProof/>
          <w:sz w:val="28"/>
          <w:szCs w:val="28"/>
        </w:rPr>
        <w:t>Appelbaum, 2000</w:t>
      </w:r>
      <w:r w:rsidR="007C67B2" w:rsidRPr="00DC3DDE">
        <w:rPr>
          <w:rFonts w:asciiTheme="majorBidi" w:hAnsiTheme="majorBidi" w:cstheme="majorBidi"/>
          <w:noProof/>
          <w:sz w:val="28"/>
          <w:szCs w:val="28"/>
          <w:rtl/>
        </w:rPr>
        <w:t>)</w:t>
      </w:r>
      <w:r w:rsidR="007C67B2" w:rsidRPr="00DC3DDE">
        <w:rPr>
          <w:rFonts w:asciiTheme="majorBidi" w:hAnsiTheme="majorBidi" w:cstheme="majorBidi"/>
          <w:sz w:val="28"/>
          <w:szCs w:val="28"/>
          <w:rtl/>
        </w:rPr>
        <w:fldChar w:fldCharType="end"/>
      </w:r>
      <w:r w:rsidR="007C67B2" w:rsidRPr="00DC3DDE">
        <w:rPr>
          <w:rFonts w:asciiTheme="majorBidi" w:hAnsiTheme="majorBidi" w:cstheme="majorBidi"/>
          <w:sz w:val="28"/>
          <w:szCs w:val="28"/>
          <w:rtl/>
        </w:rPr>
        <w:t>.</w:t>
      </w:r>
    </w:p>
    <w:p w14:paraId="56594946" w14:textId="77777777" w:rsidR="006652C1" w:rsidRPr="00DC3DDE" w:rsidRDefault="006652C1" w:rsidP="006652C1">
      <w:pPr>
        <w:bidi/>
        <w:jc w:val="both"/>
        <w:rPr>
          <w:rFonts w:asciiTheme="majorBidi" w:hAnsiTheme="majorBidi" w:cstheme="majorBidi"/>
          <w:sz w:val="28"/>
          <w:szCs w:val="28"/>
          <w:rtl/>
        </w:rPr>
      </w:pPr>
    </w:p>
    <w:p w14:paraId="279DCC00" w14:textId="5BA944AA" w:rsidR="0054713F" w:rsidRPr="00DC3DDE" w:rsidRDefault="0054713F" w:rsidP="0054713F">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 أهداف أنظمة العمل عالية الأداء</w:t>
      </w:r>
      <w:r w:rsidRPr="00DC3DDE">
        <w:rPr>
          <w:rFonts w:asciiTheme="majorBidi" w:hAnsiTheme="majorBidi" w:cstheme="majorBidi"/>
          <w:b/>
          <w:bCs/>
          <w:sz w:val="28"/>
          <w:szCs w:val="28"/>
          <w:rtl/>
          <w:lang w:bidi="ar-EG"/>
        </w:rPr>
        <w:t xml:space="preserve"> </w:t>
      </w:r>
      <w:r w:rsidRPr="00DC3DDE">
        <w:rPr>
          <w:rFonts w:asciiTheme="majorBidi" w:hAnsiTheme="majorBidi" w:cstheme="majorBidi"/>
          <w:b/>
          <w:bCs/>
          <w:sz w:val="28"/>
          <w:szCs w:val="28"/>
        </w:rPr>
        <w:t>(Objectives of HPWS)</w:t>
      </w:r>
    </w:p>
    <w:p w14:paraId="6BA7E2F4" w14:textId="77777777" w:rsidR="0054713F" w:rsidRPr="00DC3DDE" w:rsidRDefault="0054713F" w:rsidP="00A0551C">
      <w:pPr>
        <w:bidi/>
        <w:jc w:val="both"/>
        <w:rPr>
          <w:rFonts w:asciiTheme="majorBidi" w:hAnsiTheme="majorBidi" w:cstheme="majorBidi"/>
          <w:sz w:val="28"/>
          <w:szCs w:val="28"/>
        </w:rPr>
      </w:pPr>
      <w:r w:rsidRPr="00DC3DDE">
        <w:rPr>
          <w:rFonts w:asciiTheme="majorBidi" w:hAnsiTheme="majorBidi" w:cstheme="majorBidi"/>
          <w:sz w:val="28"/>
          <w:szCs w:val="28"/>
          <w:rtl/>
        </w:rPr>
        <w:t xml:space="preserve">تسعى أنظمة العمل عالية الأداء إلى تحقيق مجموعة من الأهداف الاستراتيجية التي تتجاوز الوظائف التقليدية لإدارة الموارد البشرية، لترتبط مباشرةً بتحقيق التميز التنظيمي وتعزيز القدرة التنافسية في بيئات الأعمال المتغيرة. وتستند هذه الأهداف إلى منطلقات نظرية مستمدة من المدرسة السلوكية، ونموذج الموارد المرتكزة على الكفاءة </w:t>
      </w:r>
      <w:r w:rsidRPr="00DC3DDE">
        <w:rPr>
          <w:rFonts w:asciiTheme="majorBidi" w:hAnsiTheme="majorBidi" w:cstheme="majorBidi"/>
          <w:sz w:val="28"/>
          <w:szCs w:val="28"/>
        </w:rPr>
        <w:t>(Resource-Based View)</w:t>
      </w:r>
      <w:r w:rsidRPr="00DC3DDE">
        <w:rPr>
          <w:rFonts w:asciiTheme="majorBidi" w:hAnsiTheme="majorBidi" w:cstheme="majorBidi"/>
          <w:sz w:val="28"/>
          <w:szCs w:val="28"/>
          <w:rtl/>
        </w:rPr>
        <w:t>، ونموذج القدرات الديناميكية، مما يجعلها ذات طابع متعدد الأبعاد: سلوكي، واستراتيجي، وثقافي</w:t>
      </w:r>
      <w:r w:rsidRPr="00DC3DDE">
        <w:rPr>
          <w:rFonts w:asciiTheme="majorBidi" w:hAnsiTheme="majorBidi" w:cstheme="majorBidi"/>
          <w:sz w:val="28"/>
          <w:szCs w:val="28"/>
        </w:rPr>
        <w:t>.</w:t>
      </w:r>
    </w:p>
    <w:p w14:paraId="22BAAB5F" w14:textId="77777777" w:rsidR="0054713F" w:rsidRPr="00DC3DDE" w:rsidRDefault="0054713F" w:rsidP="0054713F">
      <w:pPr>
        <w:pStyle w:val="ListParagraph"/>
        <w:numPr>
          <w:ilvl w:val="0"/>
          <w:numId w:val="9"/>
        </w:numPr>
        <w:bidi/>
        <w:rPr>
          <w:rFonts w:asciiTheme="majorBidi" w:hAnsiTheme="majorBidi" w:cstheme="majorBidi"/>
          <w:b/>
          <w:bCs/>
          <w:sz w:val="28"/>
          <w:szCs w:val="28"/>
        </w:rPr>
      </w:pPr>
      <w:r w:rsidRPr="00DC3DDE">
        <w:rPr>
          <w:rFonts w:asciiTheme="majorBidi" w:hAnsiTheme="majorBidi" w:cstheme="majorBidi"/>
          <w:b/>
          <w:bCs/>
          <w:sz w:val="28"/>
          <w:szCs w:val="28"/>
          <w:rtl/>
        </w:rPr>
        <w:t>تعزيز كفاءة رأس المال البشري</w:t>
      </w:r>
    </w:p>
    <w:p w14:paraId="6E4D1162" w14:textId="6995ED77" w:rsidR="0054713F" w:rsidRPr="00DC3DDE" w:rsidRDefault="0054713F" w:rsidP="00A0551C">
      <w:pPr>
        <w:bidi/>
        <w:jc w:val="both"/>
        <w:rPr>
          <w:rFonts w:asciiTheme="majorBidi" w:hAnsiTheme="majorBidi" w:cstheme="majorBidi"/>
          <w:sz w:val="28"/>
          <w:szCs w:val="28"/>
        </w:rPr>
      </w:pPr>
      <w:r w:rsidRPr="00DC3DDE">
        <w:rPr>
          <w:rFonts w:asciiTheme="majorBidi" w:hAnsiTheme="majorBidi" w:cstheme="majorBidi"/>
          <w:sz w:val="28"/>
          <w:szCs w:val="28"/>
          <w:rtl/>
        </w:rPr>
        <w:t>من الأهداف الجوهرية لـ</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الاستثمار في رفع الكفاءة الفردية والجماعية للعاملين، من خلال استقطاب الكفاءات، وصقل المهارات، وتوفير بيئة تطوير مستمرة. حيث يشير</w:t>
      </w:r>
      <w:r w:rsidRPr="00DC3DDE">
        <w:rPr>
          <w:rFonts w:asciiTheme="majorBidi" w:hAnsiTheme="majorBidi" w:cstheme="majorBidi"/>
          <w:sz w:val="28"/>
          <w:szCs w:val="28"/>
        </w:rPr>
        <w:t xml:space="preserve"> Lepak et al. (2006) </w:t>
      </w:r>
      <w:r w:rsidRPr="00DC3DDE">
        <w:rPr>
          <w:rFonts w:asciiTheme="majorBidi" w:hAnsiTheme="majorBidi" w:cstheme="majorBidi"/>
          <w:sz w:val="28"/>
          <w:szCs w:val="28"/>
          <w:rtl/>
        </w:rPr>
        <w:t>إلى أن</w:t>
      </w:r>
      <w:r w:rsidRPr="00DC3DDE">
        <w:rPr>
          <w:rFonts w:asciiTheme="majorBidi" w:hAnsiTheme="majorBidi" w:cstheme="majorBidi"/>
          <w:sz w:val="28"/>
          <w:szCs w:val="28"/>
        </w:rPr>
        <w:t xml:space="preserve"> HPWS</w:t>
      </w:r>
      <w:r w:rsidRPr="00DC3DDE">
        <w:rPr>
          <w:rFonts w:asciiTheme="majorBidi" w:hAnsiTheme="majorBidi" w:cstheme="majorBidi"/>
          <w:sz w:val="28"/>
          <w:szCs w:val="28"/>
          <w:rtl/>
        </w:rPr>
        <w:t xml:space="preserve"> تمثل بنية مؤسسية تهدف إلى تنمية رأس المال البشري بوصفه أصلًا استراتيجيًا يصعب تقليده، وبالتالي يمثل مصدرًا للميزة التنافسية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in personnel and human resources management&lt;/full-title&gt;&lt;/periodical&gt;&lt;pages&gt;217-271&lt;/pages&gt;&lt;dates&gt;&lt;year&gt;2006&lt;/year&gt;&lt;/dates&gt;&lt;isbn&gt;0742-7301&lt;/isbn&gt;&lt;urls&gt;&lt;/urls&gt;&lt;/record&gt;&lt;/Cite&gt;&lt;/EndNote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Lepak et al., 2006</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1DA0CD72" w14:textId="77777777" w:rsidR="0054713F" w:rsidRPr="00DC3DDE" w:rsidRDefault="0054713F" w:rsidP="0054713F">
      <w:pPr>
        <w:pStyle w:val="ListParagraph"/>
        <w:numPr>
          <w:ilvl w:val="0"/>
          <w:numId w:val="9"/>
        </w:numPr>
        <w:bidi/>
        <w:rPr>
          <w:rFonts w:asciiTheme="majorBidi" w:hAnsiTheme="majorBidi" w:cstheme="majorBidi"/>
          <w:b/>
          <w:bCs/>
          <w:sz w:val="28"/>
          <w:szCs w:val="28"/>
        </w:rPr>
      </w:pPr>
      <w:r w:rsidRPr="00DC3DDE">
        <w:rPr>
          <w:rFonts w:asciiTheme="majorBidi" w:hAnsiTheme="majorBidi" w:cstheme="majorBidi"/>
          <w:b/>
          <w:bCs/>
          <w:sz w:val="28"/>
          <w:szCs w:val="28"/>
          <w:rtl/>
        </w:rPr>
        <w:t>تحفيز السلوكيات الإبداعية والابتكارية</w:t>
      </w:r>
    </w:p>
    <w:p w14:paraId="3CF6572C" w14:textId="41F398C7" w:rsidR="0054713F" w:rsidRPr="00DC3DDE" w:rsidRDefault="0054713F" w:rsidP="00A0551C">
      <w:pPr>
        <w:bidi/>
        <w:jc w:val="both"/>
        <w:rPr>
          <w:rFonts w:asciiTheme="majorBidi" w:hAnsiTheme="majorBidi" w:cstheme="majorBidi"/>
          <w:sz w:val="28"/>
          <w:szCs w:val="28"/>
        </w:rPr>
      </w:pPr>
      <w:r w:rsidRPr="00DC3DDE">
        <w:rPr>
          <w:rFonts w:asciiTheme="majorBidi" w:hAnsiTheme="majorBidi" w:cstheme="majorBidi"/>
          <w:sz w:val="28"/>
          <w:szCs w:val="28"/>
          <w:rtl/>
        </w:rPr>
        <w:t>تركّز</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على خلق بيئة عمل تسمح للعاملين بالتفكير بمرونة وتقديم حلول مبتكرة للمشكلات، وهو ما تؤكده نظرية</w:t>
      </w:r>
      <w:r w:rsidRPr="00DC3DDE">
        <w:rPr>
          <w:rFonts w:asciiTheme="majorBidi" w:hAnsiTheme="majorBidi" w:cstheme="majorBidi"/>
          <w:sz w:val="28"/>
          <w:szCs w:val="28"/>
        </w:rPr>
        <w:t xml:space="preserve"> "AMO" </w:t>
      </w:r>
      <w:r w:rsidRPr="00DC3DDE">
        <w:rPr>
          <w:rFonts w:asciiTheme="majorBidi" w:hAnsiTheme="majorBidi" w:cstheme="majorBidi"/>
          <w:sz w:val="28"/>
          <w:szCs w:val="28"/>
          <w:rtl/>
        </w:rPr>
        <w:t>التي تنص على أن الأداء يتحدد من خلال توافر القدرات</w:t>
      </w:r>
      <w:r w:rsidRPr="00DC3DDE">
        <w:rPr>
          <w:rFonts w:asciiTheme="majorBidi" w:hAnsiTheme="majorBidi" w:cstheme="majorBidi"/>
          <w:sz w:val="28"/>
          <w:szCs w:val="28"/>
          <w:rtl/>
          <w:lang w:bidi="ar-EG"/>
        </w:rPr>
        <w:t xml:space="preserve"> </w:t>
      </w:r>
      <w:r w:rsidRPr="00DC3DDE">
        <w:rPr>
          <w:rFonts w:asciiTheme="majorBidi" w:hAnsiTheme="majorBidi" w:cstheme="majorBidi"/>
          <w:sz w:val="28"/>
          <w:szCs w:val="28"/>
        </w:rPr>
        <w:t>(A)</w:t>
      </w:r>
      <w:r w:rsidRPr="00DC3DDE">
        <w:rPr>
          <w:rFonts w:asciiTheme="majorBidi" w:hAnsiTheme="majorBidi" w:cstheme="majorBidi"/>
          <w:sz w:val="28"/>
          <w:szCs w:val="28"/>
          <w:rtl/>
        </w:rPr>
        <w:t xml:space="preserve">، والدافعية </w:t>
      </w:r>
      <w:r w:rsidRPr="00DC3DDE">
        <w:rPr>
          <w:rFonts w:asciiTheme="majorBidi" w:hAnsiTheme="majorBidi" w:cstheme="majorBidi"/>
          <w:sz w:val="28"/>
          <w:szCs w:val="28"/>
        </w:rPr>
        <w:t>(M)</w:t>
      </w:r>
      <w:r w:rsidRPr="00DC3DDE">
        <w:rPr>
          <w:rFonts w:asciiTheme="majorBidi" w:hAnsiTheme="majorBidi" w:cstheme="majorBidi"/>
          <w:sz w:val="28"/>
          <w:szCs w:val="28"/>
          <w:rtl/>
        </w:rPr>
        <w:t>، والفرص</w:t>
      </w:r>
      <w:r w:rsidRPr="00DC3DDE">
        <w:rPr>
          <w:rFonts w:asciiTheme="majorBidi" w:hAnsiTheme="majorBidi" w:cstheme="majorBidi"/>
          <w:sz w:val="28"/>
          <w:szCs w:val="28"/>
        </w:rPr>
        <w:t xml:space="preserve"> (O) </w:t>
      </w:r>
      <w:r w:rsidRPr="00DC3DDE">
        <w:rPr>
          <w:rFonts w:asciiTheme="majorBidi" w:hAnsiTheme="majorBidi" w:cstheme="majorBidi"/>
          <w:sz w:val="28"/>
          <w:szCs w:val="28"/>
          <w:rtl/>
        </w:rPr>
        <w:t xml:space="preserve">للتعبير عنها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Jiang et al., 2012</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 وقد أظهرت الأدلة التجريبية أن بيئات العمل التي تعتمد</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 xml:space="preserve">تشهد مستويات أعلى من الإبداع الفردي والسلوكيات الاستباقية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&lt;EndNote&gt;&lt;Cite&gt;&lt;Author&gt;Messersmith&lt;/Author&gt;&lt;Year&gt;2010&lt;/Year&gt;&lt;RecNum&gt;2325&lt;/RecNum&gt;&lt;DisplayText&gt;(Messersmith and Guthrie, 2010)&lt;/DisplayText&gt;&lt;record&gt;&lt;rec-number&gt;2325&lt;/rec-number&gt;&lt;foreign-keys&gt;&lt;key app="EN" db-id="t5vttv59or5xwbe2zdm5ewrxd905arrpawff" timestamp="1744398106"&gt;2325&lt;/key&gt;&lt;/foreign-keys&gt;&lt;ref-type name="Journal Article"&gt;17&lt;/ref-type&gt;&lt;contributors&gt;&lt;authors&gt;&lt;author&gt;Messersmith, Jake G&lt;/author&gt;&lt;author&gt;Guthrie, James P&lt;/author&gt;&lt;/authors&gt;&lt;/contributors&gt;&lt;titles&gt;&lt;title&gt;High performance work systems in emergent organizations: Implications for firm performance&lt;/title&gt;&lt;secondary-title&gt;Human Resource Management: Published in Cooperation with the School of Business Administration, The University of Michigan and in alliance with the Society of Human Resources Management&lt;/secondary-title&gt;&lt;/titles&gt;&lt;periodical&gt;&lt;full-title&gt;Human Resource Management: Published in Cooperation with the School of Business Administration, The University of Michigan and in alliance with the Society of Human Resources Management&lt;/full-title&gt;&lt;/periodical&gt;&lt;pages&gt;241-264&lt;/pages&gt;&lt;volume&gt;49&lt;/volume&gt;&lt;number&gt;2&lt;/number&gt;&lt;dates&gt;&lt;year&gt;2010&lt;/year&gt;&lt;/dates&gt;&lt;isbn&gt;0090-4848&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Messersmith and Guthrie, 2010</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517AF4C5" w14:textId="77777777" w:rsidR="0054713F" w:rsidRPr="00DC3DDE" w:rsidRDefault="0054713F" w:rsidP="0054713F">
      <w:pPr>
        <w:pStyle w:val="ListParagraph"/>
        <w:numPr>
          <w:ilvl w:val="0"/>
          <w:numId w:val="9"/>
        </w:numPr>
        <w:bidi/>
        <w:rPr>
          <w:rFonts w:asciiTheme="majorBidi" w:hAnsiTheme="majorBidi" w:cstheme="majorBidi"/>
          <w:b/>
          <w:bCs/>
          <w:sz w:val="28"/>
          <w:szCs w:val="28"/>
        </w:rPr>
      </w:pPr>
      <w:r w:rsidRPr="00DC3DDE">
        <w:rPr>
          <w:rFonts w:asciiTheme="majorBidi" w:hAnsiTheme="majorBidi" w:cstheme="majorBidi"/>
          <w:b/>
          <w:bCs/>
          <w:sz w:val="28"/>
          <w:szCs w:val="28"/>
          <w:rtl/>
        </w:rPr>
        <w:t>تحسين الأداء التنظيمي العام</w:t>
      </w:r>
    </w:p>
    <w:p w14:paraId="750D15D6" w14:textId="225D9E5C" w:rsidR="0054713F" w:rsidRPr="00DC3DDE" w:rsidRDefault="0054713F" w:rsidP="00A0551C">
      <w:pPr>
        <w:bidi/>
        <w:jc w:val="both"/>
        <w:rPr>
          <w:rFonts w:asciiTheme="majorBidi" w:hAnsiTheme="majorBidi" w:cstheme="majorBidi"/>
          <w:sz w:val="28"/>
          <w:szCs w:val="28"/>
        </w:rPr>
      </w:pPr>
      <w:r w:rsidRPr="00DC3DDE">
        <w:rPr>
          <w:rFonts w:asciiTheme="majorBidi" w:hAnsiTheme="majorBidi" w:cstheme="majorBidi"/>
          <w:sz w:val="28"/>
          <w:szCs w:val="28"/>
          <w:rtl/>
        </w:rPr>
        <w:t>تشير العديد من الدراسات إلى أن</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 xml:space="preserve">ترتبط ارتباطًا إيجابيًا بمؤشرات الأداء الرئيسية مثل الإنتاجية، وجودة الخدمة، ورضا العملاء، وحتى النتائج المالية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&lt;EndNote&gt;&lt;Cite&gt;&lt;Author&gt;Combs&lt;/Author&gt;&lt;Year&gt;2006&lt;/Year&gt;&lt;RecNum&gt;1344&lt;/RecNum&gt;&lt;DisplayText&gt;(Combs et al., 2006)&lt;/DisplayText&gt;&lt;record&gt;&lt;rec-number&gt;1344&lt;/rec-number&gt;&lt;foreign-keys&gt;&lt;key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high‐performance work practices matter? A meta‐analysis of their effects on organizational performance&lt;/title&gt;&lt;secondary-title&gt;Personnel psychology&lt;/secondary-title&gt;&lt;/titles&gt;&lt;periodical&gt;&lt;full-title&gt;Personnel psychology&lt;/full-title</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periodical&gt;&lt;pages&gt;501-528&lt;/pages&gt;&lt;volume&gt;59&lt;/volume&gt;&lt;number&gt;3&lt;/number&gt;&lt;dates&gt;&lt;year&gt;2006&lt;/year&gt;&lt;/dates&gt;&lt;isbn&gt;0031-5826&lt;/isbn&gt;&lt;urls&gt;&lt;/urls&gt;&lt;/record&gt;&lt;/Cite&gt;&lt;/EndNote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Combs et al., 2006</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 xml:space="preserve">. وتتحقق هذه النتيجة من خلال رفع الالتزام التنظيمي وتحفيز سلوكيات المواطنة التنظيمية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&lt;EndNote&gt;&lt;Cite&gt;&lt;Author&gt;Organ&lt;/Author&gt;&lt;Year&gt;2014&lt;/Year&gt;&lt;RecNum&gt;2754&lt;/RecNum&gt;&lt;DisplayText&gt;(Organ, 2014)&lt;/DisplayText&gt;&lt;record&gt;&lt;rec-number&gt;2754&lt;/rec-number&gt;&lt;foreign-keys&gt;&lt;key app="EN" db-id="t5vttv59or5xwbe2zdm5ewrxd905arrpawff" timestamp="1748</w:instrText>
      </w:r>
      <w:r w:rsidRPr="00DC3DDE">
        <w:rPr>
          <w:rFonts w:asciiTheme="majorBidi" w:hAnsiTheme="majorBidi" w:cstheme="majorBidi"/>
          <w:sz w:val="28"/>
          <w:szCs w:val="28"/>
          <w:rtl/>
        </w:rPr>
        <w:instrText>347018"&gt;2754&lt;/</w:instrText>
      </w:r>
      <w:r w:rsidRPr="00DC3DDE">
        <w:rPr>
          <w:rFonts w:asciiTheme="majorBidi" w:hAnsiTheme="majorBidi" w:cstheme="majorBidi"/>
          <w:sz w:val="28"/>
          <w:szCs w:val="28"/>
        </w:rPr>
        <w:instrText>key&gt;&lt;/foreign-keys&gt;&lt;ref-type name="Book Section"&gt;5&lt;/ref-type&gt;&lt;contributors&gt;&lt;authors&gt;&lt;author&gt;Organ, Dennis W&lt;/author&gt;&lt;/authors&gt;&lt;/contributors&gt;&lt;titles&gt;&lt;title&gt;Organizational citizenship behavior: It&amp;apos;s construct clean-up time&lt;/title&gt;&lt;secondary-title&gt;Organizational citizenship behavior and contextual performance&lt;/secondary-title&gt;&lt;/titles&gt;&lt;pages&gt;85-97&lt;/pages&gt;&lt;dates&gt;&lt;year&gt;2014&lt;/year&gt;&lt;/dates&gt;&lt;publisher&gt;Psychology Press&lt;/publisher&gt;&lt;urls&gt;&lt;/urls&gt;&lt;/record&gt;&lt;/Cite&gt;&lt;/EndNote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Organ, 2014</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120B9EA4" w14:textId="77777777" w:rsidR="0054713F" w:rsidRPr="00DC3DDE" w:rsidRDefault="0054713F" w:rsidP="0054713F">
      <w:pPr>
        <w:pStyle w:val="ListParagraph"/>
        <w:numPr>
          <w:ilvl w:val="0"/>
          <w:numId w:val="9"/>
        </w:numPr>
        <w:bidi/>
        <w:rPr>
          <w:rFonts w:asciiTheme="majorBidi" w:hAnsiTheme="majorBidi" w:cstheme="majorBidi"/>
          <w:b/>
          <w:bCs/>
          <w:sz w:val="28"/>
          <w:szCs w:val="28"/>
        </w:rPr>
      </w:pPr>
      <w:r w:rsidRPr="00DC3DDE">
        <w:rPr>
          <w:rFonts w:asciiTheme="majorBidi" w:hAnsiTheme="majorBidi" w:cstheme="majorBidi"/>
          <w:b/>
          <w:bCs/>
          <w:sz w:val="28"/>
          <w:szCs w:val="28"/>
          <w:rtl/>
        </w:rPr>
        <w:t>دعم الثقافة التنظيمية التشاركية</w:t>
      </w:r>
    </w:p>
    <w:p w14:paraId="65499729" w14:textId="6C2F2708" w:rsidR="00DF0B54" w:rsidRDefault="0054713F" w:rsidP="00A0551C">
      <w:pPr>
        <w:bidi/>
        <w:jc w:val="both"/>
        <w:rPr>
          <w:rFonts w:asciiTheme="majorBidi" w:hAnsiTheme="majorBidi" w:cstheme="majorBidi"/>
          <w:sz w:val="28"/>
          <w:szCs w:val="28"/>
          <w:rtl/>
        </w:rPr>
      </w:pPr>
      <w:r w:rsidRPr="00DC3DDE">
        <w:rPr>
          <w:rFonts w:asciiTheme="majorBidi" w:hAnsiTheme="majorBidi" w:cstheme="majorBidi"/>
          <w:sz w:val="28"/>
          <w:szCs w:val="28"/>
          <w:rtl/>
        </w:rPr>
        <w:lastRenderedPageBreak/>
        <w:t xml:space="preserve">يُعد تشكيل ثقافة عمل تقوم على الثقة والشفافية والمشاركة أحد الأهداف الأساسية لـ </w:t>
      </w:r>
      <w:r w:rsidRPr="00DC3DDE">
        <w:rPr>
          <w:rFonts w:asciiTheme="majorBidi" w:hAnsiTheme="majorBidi" w:cstheme="majorBidi"/>
          <w:sz w:val="28"/>
          <w:szCs w:val="28"/>
        </w:rPr>
        <w:t>HPWS</w:t>
      </w:r>
      <w:r w:rsidRPr="00DC3DDE">
        <w:rPr>
          <w:rFonts w:asciiTheme="majorBidi" w:hAnsiTheme="majorBidi" w:cstheme="majorBidi"/>
          <w:sz w:val="28"/>
          <w:szCs w:val="28"/>
          <w:rtl/>
        </w:rPr>
        <w:t xml:space="preserve">، حيث تمكّن هذه الأنظمة من خلق بيئة عمل ذات طابع تشاركي، تعزز من التماسك الداخلي وتخفف من حواجز السلطة التقليدية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&lt;EndNote&gt;&lt;Cite&gt;&lt;Author&gt;Way&lt;/Author&gt;&lt;Year&gt;2002&lt;/Year&gt;&lt;RecNum&gt;2755&lt;/RecNum&gt;&lt;DisplayText&gt;(Way, 2002)&lt;/DisplayText&gt;&lt;record&gt;&lt;rec-number&gt;2755&lt;/rec-number&gt;&lt;foreign-keys&gt;&lt;key app="EN" db-id="t5vttv59or5xwbe2zdm5ewrxd905arrpawff" timestamp="17483470</w:instrText>
      </w:r>
      <w:r w:rsidRPr="00DC3DDE">
        <w:rPr>
          <w:rFonts w:asciiTheme="majorBidi" w:hAnsiTheme="majorBidi" w:cstheme="majorBidi"/>
          <w:sz w:val="28"/>
          <w:szCs w:val="28"/>
          <w:rtl/>
        </w:rPr>
        <w:instrText>98"&gt;2755&lt;/</w:instrText>
      </w:r>
      <w:r w:rsidRPr="00DC3DDE">
        <w:rPr>
          <w:rFonts w:asciiTheme="majorBidi" w:hAnsiTheme="majorBidi" w:cstheme="majorBidi"/>
          <w:sz w:val="28"/>
          <w:szCs w:val="28"/>
        </w:rPr>
        <w:instrText>key&gt;&lt;/foreign-keys&gt;&lt;ref-type name="Journal Article"&gt;17&lt;/ref-type&gt;&lt;contributors&gt;&lt;authors&gt;&lt;author&gt;Way, Sean A&lt;/author&gt;&lt;/authors&gt;&lt;/contributors&gt;&lt;titles&gt;&lt;title&gt;High performance work systems and intermediate indicators of firm performance within the</w:instrText>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US small business sector&lt;/title&gt;&lt;secondary-title&gt;Journal of management&lt;/secondary-title&gt;&lt;/titles&gt;&lt;periodical&gt;&lt;full-title&gt;Journal of management&lt;/full-title&gt;&lt;/periodical&gt;&lt;pages&gt;765-785&lt;/pages&gt;&lt;volume&gt;28&lt;/volume&gt;&lt;number&gt;6&lt;/number&gt;&lt;dates&gt;&lt;year&gt;2002&lt;/year&gt;&lt;/dates&gt;&lt;isbn&gt;0149-2063&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Way, 2002</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Pr>
        <w:t>.</w:t>
      </w:r>
    </w:p>
    <w:p w14:paraId="1AE7CD4C" w14:textId="77777777" w:rsidR="006652C1" w:rsidRPr="00DC3DDE" w:rsidRDefault="006652C1" w:rsidP="006652C1">
      <w:pPr>
        <w:bidi/>
        <w:jc w:val="both"/>
        <w:rPr>
          <w:rFonts w:asciiTheme="majorBidi" w:hAnsiTheme="majorBidi" w:cstheme="majorBidi"/>
          <w:sz w:val="28"/>
          <w:szCs w:val="28"/>
        </w:rPr>
      </w:pPr>
    </w:p>
    <w:p w14:paraId="24249E84" w14:textId="77777777" w:rsidR="0054713F" w:rsidRPr="00DC3DDE" w:rsidRDefault="0054713F" w:rsidP="0054713F">
      <w:pPr>
        <w:pStyle w:val="ListParagraph"/>
        <w:numPr>
          <w:ilvl w:val="0"/>
          <w:numId w:val="9"/>
        </w:numPr>
        <w:bidi/>
        <w:rPr>
          <w:rFonts w:asciiTheme="majorBidi" w:hAnsiTheme="majorBidi" w:cstheme="majorBidi"/>
          <w:b/>
          <w:bCs/>
          <w:sz w:val="28"/>
          <w:szCs w:val="28"/>
        </w:rPr>
      </w:pPr>
      <w:r w:rsidRPr="00DC3DDE">
        <w:rPr>
          <w:rFonts w:asciiTheme="majorBidi" w:hAnsiTheme="majorBidi" w:cstheme="majorBidi"/>
          <w:b/>
          <w:bCs/>
          <w:sz w:val="28"/>
          <w:szCs w:val="28"/>
          <w:rtl/>
        </w:rPr>
        <w:t>تمكين التكيف الاستراتيجي والتعلم التنظيمي</w:t>
      </w:r>
    </w:p>
    <w:p w14:paraId="5555E03A" w14:textId="67F9562A" w:rsidR="00E068F4" w:rsidRDefault="0054713F" w:rsidP="009D7615">
      <w:pPr>
        <w:bidi/>
        <w:jc w:val="both"/>
        <w:rPr>
          <w:rFonts w:asciiTheme="majorBidi" w:hAnsiTheme="majorBidi" w:cstheme="majorBidi"/>
          <w:sz w:val="28"/>
          <w:szCs w:val="28"/>
          <w:rtl/>
        </w:rPr>
      </w:pPr>
      <w:r w:rsidRPr="00DC3DDE">
        <w:rPr>
          <w:rFonts w:asciiTheme="majorBidi" w:hAnsiTheme="majorBidi" w:cstheme="majorBidi"/>
          <w:sz w:val="28"/>
          <w:szCs w:val="28"/>
          <w:rtl/>
        </w:rPr>
        <w:t>في ظل التغيرات المتسارعة في بيئة الأعمال، تهدف</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 xml:space="preserve">إلى تعزيز مرونة المؤسسة من خلال تمكين الأفراد من التفاعل الذكي مع البيئة، واتخاذ قرارات قائمة على المعرفة والتعلم المستمر، بما ينعكس إيجابيًا على قابلية المنظمة للتكيف مع التحديات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&lt;EndNote&gt;&lt;Cite&gt;&lt;Author&gt;Shipton&lt;/Author&gt;&lt;Year&gt;2005&lt;/Year&gt;&lt;RecNum&gt;2756&lt;/RecNum&gt;&lt;DisplayText&gt;(Shipton et al., 2005)&lt;/DisplayText&gt;&lt;record&gt;&lt;rec-number&gt;2756&lt;/rec-number&gt;&lt;foreign-keys&gt;&lt;key app="EN" db-id="t5vttv59or5xwbe2zdm5ewrxd905arrpawff" timestamp="1748347181"&gt;2756&lt;/key&gt;&lt;/foreign-keys&gt;&lt;ref-type name="Journal Article"&gt;17&lt;/ref-type&gt;&lt;contributors&gt;&lt;authors&gt;&lt;author&gt;Shipton, Helen&lt;/author&gt;&lt;author&gt;Fay, Doris&lt;/author&gt;&lt;author&gt;West, Michael&lt;/author&gt;&lt;author&gt;Patterson, Malcolm&lt;/author&gt;&lt;author&gt;Birdi, Kamal&lt;/author&gt;&lt;/authors&gt;&lt;/contributors&gt;&lt;titles&gt;&lt;title&gt;Managing people to promote innovation&lt;/title&gt;&lt;secondary-title&gt;Creativity and innovation management&lt;/secondary-title&gt;&lt;/titles&gt;&lt;periodical&gt;&lt;full-title&gt;Creativity and Innovation Management&lt;/full-title&gt;&lt;/periodical&gt;&lt;pages&gt;118-128&lt;/pages&gt;&lt;volume&gt;14&lt;/volume&gt;&lt;number&gt;2&lt;/number&gt;&lt;dates&gt;&lt;year&gt;2005&lt;/year&gt;&lt;/dates&gt;&lt;isbn&gt;0963-1690&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Shipton et al., 2005</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3CDDFECB" w14:textId="77777777" w:rsidR="006652C1" w:rsidRDefault="006652C1" w:rsidP="006652C1">
      <w:pPr>
        <w:bidi/>
        <w:jc w:val="both"/>
        <w:rPr>
          <w:rFonts w:asciiTheme="majorBidi" w:hAnsiTheme="majorBidi" w:cstheme="majorBidi"/>
          <w:sz w:val="28"/>
          <w:szCs w:val="28"/>
          <w:rtl/>
        </w:rPr>
      </w:pPr>
    </w:p>
    <w:p w14:paraId="14D2435A" w14:textId="77777777" w:rsidR="006652C1" w:rsidRPr="007575D7" w:rsidRDefault="006652C1" w:rsidP="006652C1">
      <w:pPr>
        <w:bidi/>
        <w:jc w:val="both"/>
        <w:rPr>
          <w:rFonts w:asciiTheme="majorBidi" w:hAnsiTheme="majorBidi" w:cstheme="majorBidi"/>
          <w:sz w:val="28"/>
          <w:szCs w:val="28"/>
        </w:rPr>
      </w:pPr>
    </w:p>
    <w:p w14:paraId="58DE0B6F" w14:textId="191DDF9A" w:rsidR="007575D7" w:rsidRPr="007575D7" w:rsidRDefault="007C67B2" w:rsidP="007575D7">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2.2.2. </w:t>
      </w:r>
      <w:r w:rsidR="007575D7" w:rsidRPr="007575D7">
        <w:rPr>
          <w:rFonts w:asciiTheme="majorBidi" w:hAnsiTheme="majorBidi" w:cstheme="majorBidi"/>
          <w:b/>
          <w:bCs/>
          <w:sz w:val="28"/>
          <w:szCs w:val="28"/>
          <w:rtl/>
        </w:rPr>
        <w:t>الإبداع الوظيفي</w:t>
      </w:r>
      <w:r w:rsidRPr="00DC3DDE">
        <w:rPr>
          <w:rFonts w:asciiTheme="majorBidi" w:hAnsiTheme="majorBidi" w:cstheme="majorBidi"/>
          <w:b/>
          <w:bCs/>
          <w:sz w:val="28"/>
          <w:szCs w:val="28"/>
          <w:rtl/>
        </w:rPr>
        <w:t xml:space="preserve"> </w:t>
      </w:r>
      <w:r w:rsidR="007575D7" w:rsidRPr="007575D7">
        <w:rPr>
          <w:rFonts w:asciiTheme="majorBidi" w:hAnsiTheme="majorBidi" w:cstheme="majorBidi"/>
          <w:b/>
          <w:bCs/>
          <w:sz w:val="28"/>
          <w:szCs w:val="28"/>
        </w:rPr>
        <w:t>(Job Creativity)</w:t>
      </w:r>
    </w:p>
    <w:p w14:paraId="59698D72" w14:textId="40A7DCF1" w:rsidR="007575D7" w:rsidRPr="007575D7" w:rsidRDefault="007C67B2" w:rsidP="007575D7">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2.2.2.1. </w:t>
      </w:r>
      <w:r w:rsidR="007575D7" w:rsidRPr="007575D7">
        <w:rPr>
          <w:rFonts w:asciiTheme="majorBidi" w:hAnsiTheme="majorBidi" w:cstheme="majorBidi"/>
          <w:b/>
          <w:bCs/>
          <w:sz w:val="28"/>
          <w:szCs w:val="28"/>
          <w:rtl/>
        </w:rPr>
        <w:t>النشأة والتطور</w:t>
      </w:r>
    </w:p>
    <w:p w14:paraId="3B07302C" w14:textId="609881E3" w:rsidR="007575D7" w:rsidRPr="00DC3DDE" w:rsidRDefault="007575D7" w:rsidP="00A0551C">
      <w:pPr>
        <w:bidi/>
        <w:jc w:val="both"/>
        <w:rPr>
          <w:rFonts w:asciiTheme="majorBidi" w:hAnsiTheme="majorBidi" w:cstheme="majorBidi"/>
          <w:sz w:val="28"/>
          <w:szCs w:val="28"/>
          <w:rtl/>
        </w:rPr>
      </w:pPr>
      <w:r w:rsidRPr="007575D7">
        <w:rPr>
          <w:rFonts w:asciiTheme="majorBidi" w:hAnsiTheme="majorBidi" w:cstheme="majorBidi"/>
          <w:sz w:val="28"/>
          <w:szCs w:val="28"/>
          <w:rtl/>
        </w:rPr>
        <w:t>ظهر الاهتمام الأكاديمي بالإبداع الوظيفي في ستينيات القرن الماضي في سياق دراسات علم النفس الصناعي، حيث كان التركيز في البداية على الخصائص الفردية التي تميز الأفراد المبدعين</w:t>
      </w:r>
      <w:r w:rsidRPr="007575D7">
        <w:rPr>
          <w:rFonts w:asciiTheme="majorBidi" w:hAnsiTheme="majorBidi" w:cstheme="majorBidi"/>
          <w:sz w:val="28"/>
          <w:szCs w:val="28"/>
        </w:rPr>
        <w:t xml:space="preserve"> </w:t>
      </w:r>
      <w:r w:rsidR="007C67B2" w:rsidRPr="00DC3DDE">
        <w:rPr>
          <w:rFonts w:asciiTheme="majorBidi" w:hAnsiTheme="majorBidi" w:cstheme="majorBidi"/>
          <w:sz w:val="28"/>
          <w:szCs w:val="28"/>
          <w:rtl/>
        </w:rPr>
        <w:t xml:space="preserve"> </w:t>
      </w:r>
      <w:r w:rsidR="007C67B2" w:rsidRPr="00DC3DDE">
        <w:rPr>
          <w:rFonts w:asciiTheme="majorBidi" w:hAnsiTheme="majorBidi" w:cstheme="majorBidi"/>
          <w:sz w:val="28"/>
          <w:szCs w:val="28"/>
          <w:rtl/>
        </w:rPr>
        <w:fldChar w:fldCharType="begin"/>
      </w:r>
      <w:r w:rsidR="007C67B2" w:rsidRPr="00DC3DDE">
        <w:rPr>
          <w:rFonts w:asciiTheme="majorBidi" w:hAnsiTheme="majorBidi" w:cstheme="majorBidi"/>
          <w:sz w:val="28"/>
          <w:szCs w:val="28"/>
          <w:rtl/>
        </w:rPr>
        <w:instrText xml:space="preserve"> </w:instrText>
      </w:r>
      <w:r w:rsidR="007C67B2" w:rsidRPr="00DC3DDE">
        <w:rPr>
          <w:rFonts w:asciiTheme="majorBidi" w:hAnsiTheme="majorBidi" w:cstheme="majorBidi"/>
          <w:sz w:val="28"/>
          <w:szCs w:val="28"/>
        </w:rPr>
        <w:instrText>ADDIN EN.CITE &lt;EndNote&gt;&lt;Cite&gt;&lt;Author&gt;Guilford&lt;/Author&gt;&lt;Year&gt;1950&lt;/Year&gt;&lt;RecNum&gt;1293&lt;/RecNum&gt;&lt;DisplayText&gt;(Guilford, 1950)&lt;/DisplayText&gt;&lt;record&gt;&lt;rec-number&gt;1293&lt;/rec-number&gt;&lt;foreign-keys&gt;&lt;key app="EN" db-id="t5vttv59or5xwbe2zdm5ewrxd905arrpawff" timestamp</w:instrText>
      </w:r>
      <w:r w:rsidR="007C67B2" w:rsidRPr="00DC3DDE">
        <w:rPr>
          <w:rFonts w:asciiTheme="majorBidi" w:hAnsiTheme="majorBidi" w:cstheme="majorBidi"/>
          <w:sz w:val="28"/>
          <w:szCs w:val="28"/>
          <w:rtl/>
        </w:rPr>
        <w:instrText>="1730309664"&gt;1293&lt;/</w:instrText>
      </w:r>
      <w:r w:rsidR="007C67B2" w:rsidRPr="00DC3DDE">
        <w:rPr>
          <w:rFonts w:asciiTheme="majorBidi" w:hAnsiTheme="majorBidi" w:cstheme="majorBidi"/>
          <w:sz w:val="28"/>
          <w:szCs w:val="28"/>
        </w:rPr>
        <w:instrText>key&gt;&lt;/foreign-keys&gt;&lt;ref-type name="Generic"&gt;13&lt;/ref-type&gt;&lt;contributors&gt;&lt;authors&gt;&lt;author&gt;Guilford, J&lt;/author&gt;&lt;/authors&gt;&lt;/contributors&gt;&lt;titles&gt;&lt;title&gt;Creativity. American Psychology. 5 (9), 444–454&lt;/title&gt;&lt;/titles&gt;&lt;dates&gt;&lt;year&gt;1950&lt;/year</w:instrText>
      </w:r>
      <w:r w:rsidR="007C67B2" w:rsidRPr="00DC3DDE">
        <w:rPr>
          <w:rFonts w:asciiTheme="majorBidi" w:hAnsiTheme="majorBidi" w:cstheme="majorBidi"/>
          <w:sz w:val="28"/>
          <w:szCs w:val="28"/>
          <w:rtl/>
        </w:rPr>
        <w:instrText>&gt;&lt;/</w:instrText>
      </w:r>
      <w:r w:rsidR="007C67B2" w:rsidRPr="00DC3DDE">
        <w:rPr>
          <w:rFonts w:asciiTheme="majorBidi" w:hAnsiTheme="majorBidi" w:cstheme="majorBidi"/>
          <w:sz w:val="28"/>
          <w:szCs w:val="28"/>
        </w:rPr>
        <w:instrText>dates&gt;&lt;urls&gt;&lt;/urls&gt;&lt;/record&gt;&lt;/Cite&gt;&lt;/EndNote</w:instrText>
      </w:r>
      <w:r w:rsidR="007C67B2" w:rsidRPr="00DC3DDE">
        <w:rPr>
          <w:rFonts w:asciiTheme="majorBidi" w:hAnsiTheme="majorBidi" w:cstheme="majorBidi"/>
          <w:sz w:val="28"/>
          <w:szCs w:val="28"/>
          <w:rtl/>
        </w:rPr>
        <w:instrText>&gt;</w:instrText>
      </w:r>
      <w:r w:rsidR="007C67B2" w:rsidRPr="00DC3DDE">
        <w:rPr>
          <w:rFonts w:asciiTheme="majorBidi" w:hAnsiTheme="majorBidi" w:cstheme="majorBidi"/>
          <w:sz w:val="28"/>
          <w:szCs w:val="28"/>
          <w:rtl/>
        </w:rPr>
        <w:fldChar w:fldCharType="separate"/>
      </w:r>
      <w:r w:rsidR="007C67B2" w:rsidRPr="00DC3DDE">
        <w:rPr>
          <w:rFonts w:asciiTheme="majorBidi" w:hAnsiTheme="majorBidi" w:cstheme="majorBidi"/>
          <w:noProof/>
          <w:sz w:val="28"/>
          <w:szCs w:val="28"/>
          <w:rtl/>
        </w:rPr>
        <w:t>(</w:t>
      </w:r>
      <w:r w:rsidR="007C67B2" w:rsidRPr="00DC3DDE">
        <w:rPr>
          <w:rFonts w:asciiTheme="majorBidi" w:hAnsiTheme="majorBidi" w:cstheme="majorBidi"/>
          <w:noProof/>
          <w:sz w:val="28"/>
          <w:szCs w:val="28"/>
        </w:rPr>
        <w:t>Guilford, 1950</w:t>
      </w:r>
      <w:r w:rsidR="007C67B2" w:rsidRPr="00DC3DDE">
        <w:rPr>
          <w:rFonts w:asciiTheme="majorBidi" w:hAnsiTheme="majorBidi" w:cstheme="majorBidi"/>
          <w:noProof/>
          <w:sz w:val="28"/>
          <w:szCs w:val="28"/>
          <w:rtl/>
        </w:rPr>
        <w:t>)</w:t>
      </w:r>
      <w:r w:rsidR="007C67B2" w:rsidRPr="00DC3DDE">
        <w:rPr>
          <w:rFonts w:asciiTheme="majorBidi" w:hAnsiTheme="majorBidi" w:cstheme="majorBidi"/>
          <w:sz w:val="28"/>
          <w:szCs w:val="28"/>
          <w:rtl/>
        </w:rPr>
        <w:fldChar w:fldCharType="end"/>
      </w:r>
      <w:r w:rsidR="007C67B2" w:rsidRPr="00DC3DDE">
        <w:rPr>
          <w:rFonts w:asciiTheme="majorBidi" w:hAnsiTheme="majorBidi" w:cstheme="majorBidi"/>
          <w:sz w:val="28"/>
          <w:szCs w:val="28"/>
          <w:rtl/>
        </w:rPr>
        <w:t xml:space="preserve">. </w:t>
      </w:r>
      <w:r w:rsidRPr="007575D7">
        <w:rPr>
          <w:rFonts w:asciiTheme="majorBidi" w:hAnsiTheme="majorBidi" w:cstheme="majorBidi"/>
          <w:sz w:val="28"/>
          <w:szCs w:val="28"/>
          <w:rtl/>
        </w:rPr>
        <w:t>ومع تطور الفكر الإداري في الثمانينيات والتسعينيات، بدأ الباحثون ينظرون إلى الإبداع كعملية تفاعلية تتأثر بعوامل بيئية وتنظيمية، وليس فقط كقدرة شخصية</w:t>
      </w:r>
      <w:r w:rsidR="007C67B2" w:rsidRPr="00DC3DDE">
        <w:rPr>
          <w:rFonts w:asciiTheme="majorBidi" w:hAnsiTheme="majorBidi" w:cstheme="majorBidi"/>
          <w:sz w:val="28"/>
          <w:szCs w:val="28"/>
          <w:rtl/>
        </w:rPr>
        <w:t xml:space="preserve"> </w:t>
      </w:r>
      <w:r w:rsidR="007C67B2" w:rsidRPr="00DC3DDE">
        <w:rPr>
          <w:rFonts w:asciiTheme="majorBidi" w:hAnsiTheme="majorBidi" w:cstheme="majorBidi"/>
          <w:sz w:val="28"/>
          <w:szCs w:val="28"/>
          <w:rtl/>
        </w:rPr>
        <w:fldChar w:fldCharType="begin"/>
      </w:r>
      <w:r w:rsidR="007C67B2" w:rsidRPr="00DC3DDE">
        <w:rPr>
          <w:rFonts w:asciiTheme="majorBidi" w:hAnsiTheme="majorBidi" w:cstheme="majorBidi"/>
          <w:sz w:val="28"/>
          <w:szCs w:val="28"/>
          <w:rtl/>
        </w:rPr>
        <w:instrText xml:space="preserve"> </w:instrText>
      </w:r>
      <w:r w:rsidR="007C67B2" w:rsidRPr="00DC3DDE">
        <w:rPr>
          <w:rFonts w:asciiTheme="majorBidi" w:hAnsiTheme="majorBidi" w:cstheme="majorBidi"/>
          <w:sz w:val="28"/>
          <w:szCs w:val="28"/>
        </w:rPr>
        <w:instrText>ADDIN EN.CITE &lt;EndNote&gt;&lt;Cite&gt;&lt;Author&gt;Amabile&lt;/Author&gt;&lt;Year&gt;1988&lt;/Year&gt;&lt;RecNum&gt;2758&lt;/RecNum&gt;&lt;DisplayText&gt;(Amabile, 1988)&lt;/DisplayText&gt;&lt;record&gt;&lt;rec-number&gt;2758&lt;/rec-number&gt;&lt;foreign-keys&gt;&lt;key app="EN" db-id="t5vttv59or5xwbe2zdm5ewrxd905arrpawff" timestamp</w:instrText>
      </w:r>
      <w:r w:rsidR="007C67B2" w:rsidRPr="00DC3DDE">
        <w:rPr>
          <w:rFonts w:asciiTheme="majorBidi" w:hAnsiTheme="majorBidi" w:cstheme="majorBidi"/>
          <w:sz w:val="28"/>
          <w:szCs w:val="28"/>
          <w:rtl/>
        </w:rPr>
        <w:instrText>="1748370214"&gt;2758&lt;/</w:instrText>
      </w:r>
      <w:r w:rsidR="007C67B2" w:rsidRPr="00DC3DDE">
        <w:rPr>
          <w:rFonts w:asciiTheme="majorBidi" w:hAnsiTheme="majorBidi" w:cstheme="majorBidi"/>
          <w:sz w:val="28"/>
          <w:szCs w:val="28"/>
        </w:rPr>
        <w:instrText>key&gt;&lt;/foreign-keys&gt;&lt;ref-type name="Journal Article"&gt;17&lt;/ref-type&gt;&lt;contributors&gt;&lt;authors&gt;&lt;author&gt;Amabile, Teresa M&lt;/author&gt;&lt;/authors&gt;&lt;/contributors&gt;&lt;titles&gt;&lt;title&gt;A model of creativity and innovation in organizations&lt;/title&gt;&lt;secondary-title&gt;Research in organizational behavior&lt;/secondary-title&gt;&lt;/titles&gt;&lt;periodical&gt;&lt;full-title&gt;Research in organizational behavior&lt;/full-title&gt;&lt;/periodical&gt;&lt;pages&gt;123-167&lt;/pages&gt;&lt;volume&gt;10&lt;/volume&gt;&lt;number&gt;1&lt;/number&gt;&lt;dates&gt;&lt;year&gt;1988&lt;/year&gt;&lt;/dates&gt;&lt;urls&gt;&lt;/urls</w:instrText>
      </w:r>
      <w:r w:rsidR="007C67B2" w:rsidRPr="00DC3DDE">
        <w:rPr>
          <w:rFonts w:asciiTheme="majorBidi" w:hAnsiTheme="majorBidi" w:cstheme="majorBidi"/>
          <w:sz w:val="28"/>
          <w:szCs w:val="28"/>
          <w:rtl/>
        </w:rPr>
        <w:instrText>&gt;&lt;/</w:instrText>
      </w:r>
      <w:r w:rsidR="007C67B2" w:rsidRPr="00DC3DDE">
        <w:rPr>
          <w:rFonts w:asciiTheme="majorBidi" w:hAnsiTheme="majorBidi" w:cstheme="majorBidi"/>
          <w:sz w:val="28"/>
          <w:szCs w:val="28"/>
        </w:rPr>
        <w:instrText>record&gt;&lt;/Cite&gt;&lt;/EndNote</w:instrText>
      </w:r>
      <w:r w:rsidR="007C67B2" w:rsidRPr="00DC3DDE">
        <w:rPr>
          <w:rFonts w:asciiTheme="majorBidi" w:hAnsiTheme="majorBidi" w:cstheme="majorBidi"/>
          <w:sz w:val="28"/>
          <w:szCs w:val="28"/>
          <w:rtl/>
        </w:rPr>
        <w:instrText>&gt;</w:instrText>
      </w:r>
      <w:r w:rsidR="007C67B2" w:rsidRPr="00DC3DDE">
        <w:rPr>
          <w:rFonts w:asciiTheme="majorBidi" w:hAnsiTheme="majorBidi" w:cstheme="majorBidi"/>
          <w:sz w:val="28"/>
          <w:szCs w:val="28"/>
          <w:rtl/>
        </w:rPr>
        <w:fldChar w:fldCharType="separate"/>
      </w:r>
      <w:r w:rsidR="007C67B2" w:rsidRPr="00DC3DDE">
        <w:rPr>
          <w:rFonts w:asciiTheme="majorBidi" w:hAnsiTheme="majorBidi" w:cstheme="majorBidi"/>
          <w:noProof/>
          <w:sz w:val="28"/>
          <w:szCs w:val="28"/>
          <w:rtl/>
        </w:rPr>
        <w:t>(</w:t>
      </w:r>
      <w:r w:rsidR="007C67B2" w:rsidRPr="00DC3DDE">
        <w:rPr>
          <w:rFonts w:asciiTheme="majorBidi" w:hAnsiTheme="majorBidi" w:cstheme="majorBidi"/>
          <w:noProof/>
          <w:sz w:val="28"/>
          <w:szCs w:val="28"/>
        </w:rPr>
        <w:t>Amabile, 1988</w:t>
      </w:r>
      <w:r w:rsidR="007C67B2" w:rsidRPr="00DC3DDE">
        <w:rPr>
          <w:rFonts w:asciiTheme="majorBidi" w:hAnsiTheme="majorBidi" w:cstheme="majorBidi"/>
          <w:noProof/>
          <w:sz w:val="28"/>
          <w:szCs w:val="28"/>
          <w:rtl/>
        </w:rPr>
        <w:t>)</w:t>
      </w:r>
      <w:r w:rsidR="007C67B2" w:rsidRPr="00DC3DDE">
        <w:rPr>
          <w:rFonts w:asciiTheme="majorBidi" w:hAnsiTheme="majorBidi" w:cstheme="majorBidi"/>
          <w:sz w:val="28"/>
          <w:szCs w:val="28"/>
          <w:rtl/>
        </w:rPr>
        <w:fldChar w:fldCharType="end"/>
      </w:r>
      <w:r w:rsidR="007C67B2" w:rsidRPr="00DC3DDE">
        <w:rPr>
          <w:rFonts w:asciiTheme="majorBidi" w:hAnsiTheme="majorBidi" w:cstheme="majorBidi"/>
          <w:sz w:val="28"/>
          <w:szCs w:val="28"/>
          <w:rtl/>
        </w:rPr>
        <w:t>.</w:t>
      </w:r>
      <w:r w:rsidRPr="007575D7">
        <w:rPr>
          <w:rFonts w:asciiTheme="majorBidi" w:hAnsiTheme="majorBidi" w:cstheme="majorBidi"/>
          <w:sz w:val="28"/>
          <w:szCs w:val="28"/>
        </w:rPr>
        <w:br/>
      </w:r>
      <w:r w:rsidRPr="007575D7">
        <w:rPr>
          <w:rFonts w:asciiTheme="majorBidi" w:hAnsiTheme="majorBidi" w:cstheme="majorBidi"/>
          <w:sz w:val="28"/>
          <w:szCs w:val="28"/>
          <w:rtl/>
        </w:rPr>
        <w:t>في العقدين الأخيرين، اكتسب مفهوم الإبداع الوظيفي أهمية استراتيجية، إذ أظهرت الأبحاث أن بيئة العمل التي تدعم الاستقلالية والتجريب، وتوفر الموارد اللازمة، قادرة على رفع مستوى الإبداع الفردي والجماعي</w:t>
      </w:r>
      <w:r w:rsidR="003E3FCF" w:rsidRPr="00DC3DDE">
        <w:rPr>
          <w:rFonts w:asciiTheme="majorBidi" w:hAnsiTheme="majorBidi" w:cstheme="majorBidi"/>
          <w:sz w:val="28"/>
          <w:szCs w:val="28"/>
          <w:rtl/>
        </w:rPr>
        <w:t xml:space="preserve"> </w:t>
      </w:r>
      <w:r w:rsidR="003E3FCF" w:rsidRPr="00DC3DDE">
        <w:rPr>
          <w:rFonts w:asciiTheme="majorBidi" w:hAnsiTheme="majorBidi" w:cstheme="majorBidi"/>
          <w:sz w:val="28"/>
          <w:szCs w:val="28"/>
          <w:rtl/>
        </w:rPr>
        <w:fldChar w:fldCharType="begin"/>
      </w:r>
      <w:r w:rsidR="003E3FCF" w:rsidRPr="00DC3DDE">
        <w:rPr>
          <w:rFonts w:asciiTheme="majorBidi" w:hAnsiTheme="majorBidi" w:cstheme="majorBidi"/>
          <w:sz w:val="28"/>
          <w:szCs w:val="28"/>
          <w:rtl/>
        </w:rPr>
        <w:instrText xml:space="preserve"> </w:instrText>
      </w:r>
      <w:r w:rsidR="003E3FCF" w:rsidRPr="00DC3DDE">
        <w:rPr>
          <w:rFonts w:asciiTheme="majorBidi" w:hAnsiTheme="majorBidi" w:cstheme="majorBidi"/>
          <w:sz w:val="28"/>
          <w:szCs w:val="28"/>
        </w:rPr>
        <w:instrText>ADDIN EN.CITE &lt;EndNote&gt;&lt;Cite&gt;&lt;Author&gt;Shalley&lt;/Author&gt;&lt;Year&gt;2004&lt;/Year&gt;&lt;RecNum&gt;1373&lt;/RecNum&gt;&lt;DisplayText&gt;(Shalley et al., 2004, Anderson et al., 2014)&lt;/DisplayText&gt;&lt;record&gt;&lt;rec-number&gt;1373&lt;/rec-number&gt;&lt;foreign-keys&gt;&lt;key app="EN" db-id="t5vttv59or5xwbe2zdm</w:instrText>
      </w:r>
      <w:r w:rsidR="003E3FCF" w:rsidRPr="00DC3DDE">
        <w:rPr>
          <w:rFonts w:asciiTheme="majorBidi" w:hAnsiTheme="majorBidi" w:cstheme="majorBidi"/>
          <w:sz w:val="28"/>
          <w:szCs w:val="28"/>
          <w:rtl/>
        </w:rPr>
        <w:instrText>5</w:instrText>
      </w:r>
      <w:r w:rsidR="003E3FCF" w:rsidRPr="00DC3DDE">
        <w:rPr>
          <w:rFonts w:asciiTheme="majorBidi" w:hAnsiTheme="majorBidi" w:cstheme="majorBidi"/>
          <w:sz w:val="28"/>
          <w:szCs w:val="28"/>
        </w:rPr>
        <w:instrText>ewrxd905arrpawff" timestamp="1730978880"&gt;1373&lt;/key&gt;&lt;/foreign-keys&gt;&lt;ref-type name="Journal Article"&gt;17&lt;/ref-type&gt;&lt;contributors&gt;&lt;authors&gt;&lt;author&gt;Shalley, Christina E&lt;/author&gt;&lt;author&gt;Zhou, Jing&lt;/author&gt;&lt;author&gt;Oldham, Greg R&lt;/author&gt;&lt;/authors&gt;&lt;/contributors</w:instrText>
      </w:r>
      <w:r w:rsidR="003E3FCF" w:rsidRPr="00DC3DDE">
        <w:rPr>
          <w:rFonts w:asciiTheme="majorBidi" w:hAnsiTheme="majorBidi" w:cstheme="majorBidi"/>
          <w:sz w:val="28"/>
          <w:szCs w:val="28"/>
          <w:rtl/>
        </w:rPr>
        <w:instrText>&gt;&lt;</w:instrText>
      </w:r>
      <w:r w:rsidR="003E3FCF" w:rsidRPr="00DC3DDE">
        <w:rPr>
          <w:rFonts w:asciiTheme="majorBidi" w:hAnsiTheme="majorBidi" w:cstheme="majorBidi"/>
          <w:sz w:val="28"/>
          <w:szCs w:val="28"/>
        </w:rPr>
        <w:instrTex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Cite&gt;&lt;Author&gt;Anderson&lt;/Author&gt;&lt;Year&gt;2014&lt;/Year&gt;&lt;RecNum&gt;2318&lt;/RecNum&gt;&lt;record&gt;&lt;rec-number&gt;2318&lt;/rec-number&gt;&lt;foreign-keys&gt;&lt;key app="EN" db-id="t5vttv59or5xwbe2zdm5ewrxd905arrpawff" timestamp="1744393754"&gt;2318&lt;/key&gt;&lt;/foreign-keys&gt;&lt;ref-type name="Journal Article"&gt;17&lt;/ref-type&gt;&lt;contributors&gt;&lt;authors&gt;&lt;author&gt;Anderson, Neil&lt;/author&gt;&lt;author&gt;Potočnik,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EndNote</w:instrText>
      </w:r>
      <w:r w:rsidR="003E3FCF" w:rsidRPr="00DC3DDE">
        <w:rPr>
          <w:rFonts w:asciiTheme="majorBidi" w:hAnsiTheme="majorBidi" w:cstheme="majorBidi"/>
          <w:sz w:val="28"/>
          <w:szCs w:val="28"/>
          <w:rtl/>
        </w:rPr>
        <w:instrText>&gt;</w:instrText>
      </w:r>
      <w:r w:rsidR="003E3FCF" w:rsidRPr="00DC3DDE">
        <w:rPr>
          <w:rFonts w:asciiTheme="majorBidi" w:hAnsiTheme="majorBidi" w:cstheme="majorBidi"/>
          <w:sz w:val="28"/>
          <w:szCs w:val="28"/>
          <w:rtl/>
        </w:rPr>
        <w:fldChar w:fldCharType="separate"/>
      </w:r>
      <w:r w:rsidR="003E3FCF" w:rsidRPr="00DC3DDE">
        <w:rPr>
          <w:rFonts w:asciiTheme="majorBidi" w:hAnsiTheme="majorBidi" w:cstheme="majorBidi"/>
          <w:noProof/>
          <w:sz w:val="28"/>
          <w:szCs w:val="28"/>
          <w:rtl/>
        </w:rPr>
        <w:t>(</w:t>
      </w:r>
      <w:r w:rsidR="003E3FCF" w:rsidRPr="00DC3DDE">
        <w:rPr>
          <w:rFonts w:asciiTheme="majorBidi" w:hAnsiTheme="majorBidi" w:cstheme="majorBidi"/>
          <w:noProof/>
          <w:sz w:val="28"/>
          <w:szCs w:val="28"/>
        </w:rPr>
        <w:t>Shalley et al., 2004, Anderson et al., 2014</w:t>
      </w:r>
      <w:r w:rsidR="003E3FCF" w:rsidRPr="00DC3DDE">
        <w:rPr>
          <w:rFonts w:asciiTheme="majorBidi" w:hAnsiTheme="majorBidi" w:cstheme="majorBidi"/>
          <w:noProof/>
          <w:sz w:val="28"/>
          <w:szCs w:val="28"/>
          <w:rtl/>
        </w:rPr>
        <w:t>)</w:t>
      </w:r>
      <w:r w:rsidR="003E3FCF" w:rsidRPr="00DC3DDE">
        <w:rPr>
          <w:rFonts w:asciiTheme="majorBidi" w:hAnsiTheme="majorBidi" w:cstheme="majorBidi"/>
          <w:sz w:val="28"/>
          <w:szCs w:val="28"/>
          <w:rtl/>
        </w:rPr>
        <w:fldChar w:fldCharType="end"/>
      </w:r>
      <w:r w:rsidR="003E3FCF" w:rsidRPr="00DC3DDE">
        <w:rPr>
          <w:rFonts w:asciiTheme="majorBidi" w:hAnsiTheme="majorBidi" w:cstheme="majorBidi"/>
          <w:sz w:val="28"/>
          <w:szCs w:val="28"/>
          <w:rtl/>
        </w:rPr>
        <w:t xml:space="preserve">. </w:t>
      </w:r>
      <w:r w:rsidRPr="007575D7">
        <w:rPr>
          <w:rFonts w:asciiTheme="majorBidi" w:hAnsiTheme="majorBidi" w:cstheme="majorBidi"/>
          <w:sz w:val="28"/>
          <w:szCs w:val="28"/>
          <w:rtl/>
        </w:rPr>
        <w:t>وأصبح الإبداع يُنظر إليه اليوم باعتباره أحد المقومات الرئيسة للابتكار المؤسسي والقدرة التنافسية</w:t>
      </w:r>
      <w:r w:rsidRPr="007575D7">
        <w:rPr>
          <w:rFonts w:asciiTheme="majorBidi" w:hAnsiTheme="majorBidi" w:cstheme="majorBidi"/>
          <w:sz w:val="28"/>
          <w:szCs w:val="28"/>
        </w:rPr>
        <w:t>.</w:t>
      </w:r>
    </w:p>
    <w:p w14:paraId="2D922ECB" w14:textId="000A9AEE" w:rsidR="0054713F" w:rsidRPr="00611E7E" w:rsidRDefault="0054713F" w:rsidP="00A0551C">
      <w:pPr>
        <w:bidi/>
        <w:jc w:val="both"/>
        <w:rPr>
          <w:rFonts w:asciiTheme="majorBidi" w:hAnsiTheme="majorBidi" w:cstheme="majorBidi"/>
          <w:sz w:val="28"/>
          <w:szCs w:val="28"/>
          <w:rtl/>
        </w:rPr>
      </w:pPr>
      <w:r w:rsidRPr="00DC3DDE">
        <w:rPr>
          <w:rFonts w:asciiTheme="majorBidi" w:hAnsiTheme="majorBidi" w:cstheme="majorBidi"/>
          <w:sz w:val="28"/>
          <w:szCs w:val="28"/>
          <w:rtl/>
        </w:rPr>
        <w:t xml:space="preserve">يُعرّف الإبداع الوظيفي بأنه قدرة الفرد على توليد أفكار جديدة وفعّالة تتعلق بالمهام أو العمليات أو الحلول </w:t>
      </w:r>
      <w:r w:rsidRPr="00611E7E">
        <w:rPr>
          <w:rFonts w:asciiTheme="majorBidi" w:hAnsiTheme="majorBidi" w:cstheme="majorBidi"/>
          <w:sz w:val="28"/>
          <w:szCs w:val="28"/>
          <w:rtl/>
        </w:rPr>
        <w:t>التنظيمية، والتي تضيف قيمة مميزة للعمل أو الخدمة</w:t>
      </w:r>
      <w:r w:rsidRPr="00611E7E">
        <w:rPr>
          <w:rFonts w:asciiTheme="majorBidi" w:hAnsiTheme="majorBidi" w:cstheme="majorBidi"/>
          <w:sz w:val="28"/>
          <w:szCs w:val="28"/>
          <w:rtl/>
          <w:lang w:bidi="ar-EG"/>
        </w:rPr>
        <w:t xml:space="preserve"> </w:t>
      </w:r>
      <w:r w:rsidRPr="00611E7E">
        <w:rPr>
          <w:rFonts w:asciiTheme="majorBidi" w:hAnsiTheme="majorBidi" w:cstheme="majorBidi"/>
          <w:sz w:val="28"/>
          <w:szCs w:val="28"/>
          <w:rtl/>
          <w:lang w:bidi="ar-EG"/>
        </w:rPr>
        <w:fldChar w:fldCharType="begin"/>
      </w:r>
      <w:r w:rsidRPr="00611E7E">
        <w:rPr>
          <w:rFonts w:asciiTheme="majorBidi" w:hAnsiTheme="majorBidi" w:cstheme="majorBidi"/>
          <w:sz w:val="28"/>
          <w:szCs w:val="28"/>
          <w:rtl/>
          <w:lang w:bidi="ar-EG"/>
        </w:rPr>
        <w:instrText xml:space="preserve"> </w:instrText>
      </w:r>
      <w:r w:rsidRPr="00611E7E">
        <w:rPr>
          <w:rFonts w:asciiTheme="majorBidi" w:hAnsiTheme="majorBidi" w:cstheme="majorBidi"/>
          <w:sz w:val="28"/>
          <w:szCs w:val="28"/>
          <w:lang w:bidi="ar-EG"/>
        </w:rPr>
        <w:instrText>ADDIN EN.CITE &lt;EndNote&gt;&lt;Cite&gt;&lt;Author&gt;Amabile&lt;/Author&gt;&lt;Year&gt;1988&lt;/Year&gt;&lt;RecNum&gt;2758&lt;/RecNum&gt;&lt;DisplayText&gt;(Amabile, 1988)&lt;/DisplayText&gt;&lt;record&gt;&lt;rec-number&gt;2758&lt;/rec-number&gt;&lt;foreign-keys&gt;&lt;key app="EN" db-id="t5vttv59or5xwbe2zdm5ewrxd905arrpawff" timestamp</w:instrText>
      </w:r>
      <w:r w:rsidRPr="00611E7E">
        <w:rPr>
          <w:rFonts w:asciiTheme="majorBidi" w:hAnsiTheme="majorBidi" w:cstheme="majorBidi"/>
          <w:sz w:val="28"/>
          <w:szCs w:val="28"/>
          <w:rtl/>
          <w:lang w:bidi="ar-EG"/>
        </w:rPr>
        <w:instrText>="1748370214"&gt;2758&lt;/</w:instrText>
      </w:r>
      <w:r w:rsidRPr="00611E7E">
        <w:rPr>
          <w:rFonts w:asciiTheme="majorBidi" w:hAnsiTheme="majorBidi" w:cstheme="majorBidi"/>
          <w:sz w:val="28"/>
          <w:szCs w:val="28"/>
          <w:lang w:bidi="ar-EG"/>
        </w:rPr>
        <w:instrText>key&gt;&lt;/foreign-keys&gt;&lt;ref-type name="Journal Article"&gt;17&lt;/ref-type&gt;&lt;contributors&gt;&lt;authors&gt;&lt;author&gt;Amabile, Teresa M&lt;/author&gt;&lt;/authors&gt;&lt;/contributors&gt;&lt;titles&gt;&lt;title&gt;A model of creativity and innovation in organizations&lt;/title&gt;&lt;secondary-title&gt;Research in organizational behavior&lt;/secondary-title&gt;&lt;/titles&gt;&lt;periodical&gt;&lt;full-title&gt;Research in organizational behavior&lt;/full-title&gt;&lt;/periodical&gt;&lt;pages&gt;123-167&lt;/pages&gt;&lt;volume&gt;10&lt;/volume&gt;&lt;number&gt;1&lt;/number&gt;&lt;dates&gt;&lt;year&gt;1988&lt;/year&gt;&lt;/dates&gt;&lt;urls&gt;&lt;/urls</w:instrText>
      </w:r>
      <w:r w:rsidRPr="00611E7E">
        <w:rPr>
          <w:rFonts w:asciiTheme="majorBidi" w:hAnsiTheme="majorBidi" w:cstheme="majorBidi"/>
          <w:sz w:val="28"/>
          <w:szCs w:val="28"/>
          <w:rtl/>
          <w:lang w:bidi="ar-EG"/>
        </w:rPr>
        <w:instrText>&gt;&lt;/</w:instrText>
      </w:r>
      <w:r w:rsidRPr="00611E7E">
        <w:rPr>
          <w:rFonts w:asciiTheme="majorBidi" w:hAnsiTheme="majorBidi" w:cstheme="majorBidi"/>
          <w:sz w:val="28"/>
          <w:szCs w:val="28"/>
          <w:lang w:bidi="ar-EG"/>
        </w:rPr>
        <w:instrText>record&gt;&lt;/Cite&gt;&lt;/EndNote</w:instrText>
      </w:r>
      <w:r w:rsidRPr="00611E7E">
        <w:rPr>
          <w:rFonts w:asciiTheme="majorBidi" w:hAnsiTheme="majorBidi" w:cstheme="majorBidi"/>
          <w:sz w:val="28"/>
          <w:szCs w:val="28"/>
          <w:rtl/>
          <w:lang w:bidi="ar-EG"/>
        </w:rPr>
        <w:instrText>&gt;</w:instrText>
      </w:r>
      <w:r w:rsidRPr="00611E7E">
        <w:rPr>
          <w:rFonts w:asciiTheme="majorBidi" w:hAnsiTheme="majorBidi" w:cstheme="majorBidi"/>
          <w:sz w:val="28"/>
          <w:szCs w:val="28"/>
          <w:rtl/>
          <w:lang w:bidi="ar-EG"/>
        </w:rPr>
        <w:fldChar w:fldCharType="separate"/>
      </w:r>
      <w:r w:rsidRPr="00611E7E">
        <w:rPr>
          <w:rFonts w:asciiTheme="majorBidi" w:hAnsiTheme="majorBidi" w:cstheme="majorBidi"/>
          <w:noProof/>
          <w:sz w:val="28"/>
          <w:szCs w:val="28"/>
          <w:rtl/>
          <w:lang w:bidi="ar-EG"/>
        </w:rPr>
        <w:t>(</w:t>
      </w:r>
      <w:r w:rsidRPr="00611E7E">
        <w:rPr>
          <w:rFonts w:asciiTheme="majorBidi" w:hAnsiTheme="majorBidi" w:cstheme="majorBidi"/>
          <w:noProof/>
          <w:sz w:val="28"/>
          <w:szCs w:val="28"/>
          <w:lang w:bidi="ar-EG"/>
        </w:rPr>
        <w:t>Amabile, 1988</w:t>
      </w:r>
      <w:r w:rsidRPr="00611E7E">
        <w:rPr>
          <w:rFonts w:asciiTheme="majorBidi" w:hAnsiTheme="majorBidi" w:cstheme="majorBidi"/>
          <w:noProof/>
          <w:sz w:val="28"/>
          <w:szCs w:val="28"/>
          <w:rtl/>
          <w:lang w:bidi="ar-EG"/>
        </w:rPr>
        <w:t>)</w:t>
      </w:r>
      <w:r w:rsidRPr="00611E7E">
        <w:rPr>
          <w:rFonts w:asciiTheme="majorBidi" w:hAnsiTheme="majorBidi" w:cstheme="majorBidi"/>
          <w:sz w:val="28"/>
          <w:szCs w:val="28"/>
          <w:rtl/>
          <w:lang w:bidi="ar-EG"/>
        </w:rPr>
        <w:fldChar w:fldCharType="end"/>
      </w:r>
      <w:r w:rsidRPr="00611E7E">
        <w:rPr>
          <w:rFonts w:asciiTheme="majorBidi" w:hAnsiTheme="majorBidi" w:cstheme="majorBidi"/>
          <w:sz w:val="28"/>
          <w:szCs w:val="28"/>
          <w:rtl/>
          <w:lang w:bidi="ar-EG"/>
        </w:rPr>
        <w:t xml:space="preserve">. </w:t>
      </w:r>
      <w:r w:rsidRPr="00611E7E">
        <w:rPr>
          <w:rFonts w:asciiTheme="majorBidi" w:hAnsiTheme="majorBidi" w:cstheme="majorBidi"/>
          <w:sz w:val="28"/>
          <w:szCs w:val="28"/>
          <w:rtl/>
        </w:rPr>
        <w:t>ويركز هذا المفهوم على الجانب الإدراكي والسلوكي للفرد داخل المنظمة، باعتباره عنصرًا فاعلًا في عملية التطوير والتحسين المستمر، وليس مجرد منفذ للتوجيهات</w:t>
      </w:r>
      <w:r w:rsidRPr="00611E7E">
        <w:rPr>
          <w:rFonts w:asciiTheme="majorBidi" w:hAnsiTheme="majorBidi" w:cstheme="majorBidi"/>
          <w:sz w:val="28"/>
          <w:szCs w:val="28"/>
        </w:rPr>
        <w:t>.</w:t>
      </w:r>
      <w:r w:rsidRPr="00611E7E">
        <w:rPr>
          <w:rFonts w:asciiTheme="majorBidi" w:hAnsiTheme="majorBidi" w:cstheme="majorBidi"/>
          <w:sz w:val="28"/>
          <w:szCs w:val="28"/>
          <w:rtl/>
        </w:rPr>
        <w:t xml:space="preserve"> ويشمل ذلك أيضًا القدرة على تحسين العمليات القائمة، أو اقتراح بدائل جديدة، أو التفاعل بمرونة مع التحديات غير المتوقعة في بيئة العمل. ويؤكد هذا التعريف على أن الإبداع لا يقتصر فقط على الابتكار الجذري، بل يشمل أيضًا التجديد التدريجي والتحسين المستمر في أداء المهام اليومية </w:t>
      </w:r>
      <w:r w:rsidRPr="00611E7E">
        <w:rPr>
          <w:rFonts w:asciiTheme="majorBidi" w:hAnsiTheme="majorBidi" w:cstheme="majorBidi"/>
          <w:sz w:val="28"/>
          <w:szCs w:val="28"/>
          <w:rtl/>
        </w:rPr>
        <w:fldChar w:fldCharType="begin"/>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611E7E">
        <w:rPr>
          <w:rFonts w:asciiTheme="majorBidi" w:hAnsiTheme="majorBidi" w:cstheme="majorBidi"/>
          <w:sz w:val="28"/>
          <w:szCs w:val="28"/>
          <w:rtl/>
        </w:rPr>
        <w:instrText>&gt;</w:instrText>
      </w:r>
      <w:r w:rsidRPr="00611E7E">
        <w:rPr>
          <w:rFonts w:asciiTheme="majorBidi" w:hAnsiTheme="majorBidi" w:cstheme="majorBidi"/>
          <w:sz w:val="28"/>
          <w:szCs w:val="28"/>
          <w:rtl/>
        </w:rPr>
        <w:fldChar w:fldCharType="separate"/>
      </w:r>
      <w:r w:rsidRPr="00611E7E">
        <w:rPr>
          <w:rFonts w:asciiTheme="majorBidi" w:hAnsiTheme="majorBidi" w:cstheme="majorBidi"/>
          <w:noProof/>
          <w:sz w:val="28"/>
          <w:szCs w:val="28"/>
          <w:rtl/>
        </w:rPr>
        <w:t>(</w:t>
      </w:r>
      <w:r w:rsidRPr="00611E7E">
        <w:rPr>
          <w:rFonts w:asciiTheme="majorBidi" w:hAnsiTheme="majorBidi" w:cstheme="majorBidi"/>
          <w:noProof/>
          <w:sz w:val="28"/>
          <w:szCs w:val="28"/>
        </w:rPr>
        <w:t>Shalley et al., 2004</w:t>
      </w:r>
      <w:r w:rsidRPr="00611E7E">
        <w:rPr>
          <w:rFonts w:asciiTheme="majorBidi" w:hAnsiTheme="majorBidi" w:cstheme="majorBidi"/>
          <w:noProof/>
          <w:sz w:val="28"/>
          <w:szCs w:val="28"/>
          <w:rtl/>
        </w:rPr>
        <w:t>)</w:t>
      </w:r>
      <w:r w:rsidRPr="00611E7E">
        <w:rPr>
          <w:rFonts w:asciiTheme="majorBidi" w:hAnsiTheme="majorBidi" w:cstheme="majorBidi"/>
          <w:sz w:val="28"/>
          <w:szCs w:val="28"/>
          <w:rtl/>
        </w:rPr>
        <w:fldChar w:fldCharType="end"/>
      </w:r>
      <w:r w:rsidRPr="00611E7E">
        <w:rPr>
          <w:rFonts w:asciiTheme="majorBidi" w:hAnsiTheme="majorBidi" w:cstheme="majorBidi"/>
          <w:sz w:val="28"/>
          <w:szCs w:val="28"/>
          <w:rtl/>
        </w:rPr>
        <w:t>.</w:t>
      </w:r>
    </w:p>
    <w:p w14:paraId="5C19ED7F" w14:textId="3D249F99" w:rsidR="0054713F" w:rsidRPr="00611E7E" w:rsidRDefault="0054713F" w:rsidP="00A0551C">
      <w:pPr>
        <w:bidi/>
        <w:jc w:val="both"/>
        <w:rPr>
          <w:rFonts w:asciiTheme="majorBidi" w:hAnsiTheme="majorBidi" w:cstheme="majorBidi"/>
          <w:sz w:val="28"/>
          <w:szCs w:val="28"/>
        </w:rPr>
      </w:pPr>
      <w:r w:rsidRPr="00611E7E">
        <w:rPr>
          <w:rFonts w:asciiTheme="majorBidi" w:hAnsiTheme="majorBidi" w:cstheme="majorBidi"/>
          <w:sz w:val="28"/>
          <w:szCs w:val="28"/>
          <w:rtl/>
        </w:rPr>
        <w:t>من المنظور السلوكي، يُعد الأداء الإبداعي أحد مكونات ما يسمى بـ"السلوكيات الموجهة نحو الابتكار"</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w:t>
      </w:r>
      <w:r w:rsidRPr="00611E7E">
        <w:rPr>
          <w:rFonts w:asciiTheme="majorBidi" w:hAnsiTheme="majorBidi" w:cstheme="majorBidi"/>
          <w:sz w:val="28"/>
          <w:szCs w:val="28"/>
        </w:rPr>
        <w:t>Innovation-Oriented Behaviors</w:t>
      </w:r>
      <w:r w:rsidRPr="00611E7E">
        <w:rPr>
          <w:rFonts w:asciiTheme="majorBidi" w:hAnsiTheme="majorBidi" w:cstheme="majorBidi"/>
          <w:sz w:val="28"/>
          <w:szCs w:val="28"/>
          <w:rtl/>
        </w:rPr>
        <w:t xml:space="preserve">)، ويتميز هذا النوع من الأداء بأنه يتجاوز المتطلبات الوظيفية الرسمية، ويتطلب استعداداً للتجربة والمخاطرة المحسوبة، وامتلاك حس المبادرة الذاتية </w:t>
      </w:r>
      <w:r w:rsidRPr="00611E7E">
        <w:rPr>
          <w:rFonts w:asciiTheme="majorBidi" w:hAnsiTheme="majorBidi" w:cstheme="majorBidi"/>
          <w:sz w:val="28"/>
          <w:szCs w:val="28"/>
          <w:rtl/>
        </w:rPr>
        <w:fldChar w:fldCharType="begin"/>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ADDIN EN.CITE &lt;EndNote&gt;&lt;Cite&gt;&lt;Author&gt;Oldham&lt;/Author&gt;&lt;Year&gt;1996&lt;/Year&gt;&lt;RecNum&gt;1295&lt;/RecNum&gt;&lt;DisplayText&gt;(Oldham and Cummings, 1996)&lt;/DisplayText&gt;&lt;record&gt;&lt;rec-number&gt;1295&lt;/rec-number&gt;&lt;foreign-keys&gt;&lt;key app="EN" db-id="t5vttv59or5xwbe2zdm5ewrxd905arrpawff</w:instrText>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timestamp="1730309673"&gt;1295&lt;/key&gt;&lt;/foreign-keys&gt;&lt;ref-type name="Journal Article"&gt;17&lt;/ref-type&gt;&lt;contributors&gt;&lt;authors&gt;&lt;author&gt;Oldham, Greg R&lt;/author&gt;&lt;author&gt;Cummings, Anne&lt;/author&gt;&lt;/authors&gt;&lt;/contributors&gt;&lt;titles&gt;&lt;title&gt;Employee creativity: Personal and contextual factors at work&lt;/title&gt;&lt;secondary-title&gt;Academy of management journal&lt;/secondary-title&gt;&lt;/titles&gt;&lt;periodical&gt;&lt;full-title&gt;Academy of management journal&lt;/full-title&gt;&lt;/periodical&gt;&lt;pages&gt;607-634&lt;/pages&gt;&lt;volume&gt;39&lt;/volume&gt;&lt;number&gt;3&lt;/number&gt;&lt;dates&gt;&lt;year</w:instrText>
      </w:r>
      <w:r w:rsidRPr="00611E7E">
        <w:rPr>
          <w:rFonts w:asciiTheme="majorBidi" w:hAnsiTheme="majorBidi" w:cstheme="majorBidi"/>
          <w:sz w:val="28"/>
          <w:szCs w:val="28"/>
          <w:rtl/>
        </w:rPr>
        <w:instrText>&gt;1996&lt;/</w:instrText>
      </w:r>
      <w:r w:rsidRPr="00611E7E">
        <w:rPr>
          <w:rFonts w:asciiTheme="majorBidi" w:hAnsiTheme="majorBidi" w:cstheme="majorBidi"/>
          <w:sz w:val="28"/>
          <w:szCs w:val="28"/>
        </w:rPr>
        <w:instrText>year&gt;&lt;/dates&gt;&lt;isbn&gt;0001-4273&lt;/isbn&gt;&lt;urls&gt;&lt;/urls&gt;&lt;/record&gt;&lt;/Cite&gt;&lt;/EndNote</w:instrText>
      </w:r>
      <w:r w:rsidRPr="00611E7E">
        <w:rPr>
          <w:rFonts w:asciiTheme="majorBidi" w:hAnsiTheme="majorBidi" w:cstheme="majorBidi"/>
          <w:sz w:val="28"/>
          <w:szCs w:val="28"/>
          <w:rtl/>
        </w:rPr>
        <w:instrText>&gt;</w:instrText>
      </w:r>
      <w:r w:rsidRPr="00611E7E">
        <w:rPr>
          <w:rFonts w:asciiTheme="majorBidi" w:hAnsiTheme="majorBidi" w:cstheme="majorBidi"/>
          <w:sz w:val="28"/>
          <w:szCs w:val="28"/>
          <w:rtl/>
        </w:rPr>
        <w:fldChar w:fldCharType="separate"/>
      </w:r>
      <w:r w:rsidRPr="00611E7E">
        <w:rPr>
          <w:rFonts w:asciiTheme="majorBidi" w:hAnsiTheme="majorBidi" w:cstheme="majorBidi"/>
          <w:noProof/>
          <w:sz w:val="28"/>
          <w:szCs w:val="28"/>
          <w:rtl/>
        </w:rPr>
        <w:t>(</w:t>
      </w:r>
      <w:r w:rsidRPr="00611E7E">
        <w:rPr>
          <w:rFonts w:asciiTheme="majorBidi" w:hAnsiTheme="majorBidi" w:cstheme="majorBidi"/>
          <w:noProof/>
          <w:sz w:val="28"/>
          <w:szCs w:val="28"/>
        </w:rPr>
        <w:t xml:space="preserve">Oldham and </w:t>
      </w:r>
      <w:r w:rsidRPr="00611E7E">
        <w:rPr>
          <w:rFonts w:asciiTheme="majorBidi" w:hAnsiTheme="majorBidi" w:cstheme="majorBidi"/>
          <w:noProof/>
          <w:sz w:val="28"/>
          <w:szCs w:val="28"/>
        </w:rPr>
        <w:lastRenderedPageBreak/>
        <w:t>Cummings, 1996</w:t>
      </w:r>
      <w:r w:rsidRPr="00611E7E">
        <w:rPr>
          <w:rFonts w:asciiTheme="majorBidi" w:hAnsiTheme="majorBidi" w:cstheme="majorBidi"/>
          <w:noProof/>
          <w:sz w:val="28"/>
          <w:szCs w:val="28"/>
          <w:rtl/>
        </w:rPr>
        <w:t>)</w:t>
      </w:r>
      <w:r w:rsidRPr="00611E7E">
        <w:rPr>
          <w:rFonts w:asciiTheme="majorBidi" w:hAnsiTheme="majorBidi" w:cstheme="majorBidi"/>
          <w:sz w:val="28"/>
          <w:szCs w:val="28"/>
          <w:rtl/>
        </w:rPr>
        <w:fldChar w:fldCharType="end"/>
      </w:r>
      <w:r w:rsidRPr="00611E7E">
        <w:rPr>
          <w:rFonts w:asciiTheme="majorBidi" w:hAnsiTheme="majorBidi" w:cstheme="majorBidi"/>
          <w:sz w:val="28"/>
          <w:szCs w:val="28"/>
          <w:rtl/>
        </w:rPr>
        <w:t xml:space="preserve">. </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وقد أظهرت الدراسات أن البيئة التنظيمية التي تدعم الاستقلالية، والانفتاح على الأفكار، والتغذية الراجعة البنّاءة تُعد أكثر تحفيزًا لهذا النوع من الأداء</w:t>
      </w:r>
      <w:r w:rsidRPr="00611E7E">
        <w:rPr>
          <w:rFonts w:asciiTheme="majorBidi" w:hAnsiTheme="majorBidi" w:cstheme="majorBidi"/>
          <w:sz w:val="28"/>
          <w:szCs w:val="28"/>
        </w:rPr>
        <w:t>.</w:t>
      </w:r>
    </w:p>
    <w:p w14:paraId="69B9137A" w14:textId="43E3377D" w:rsidR="0054713F" w:rsidRPr="00DC3DDE" w:rsidRDefault="0054713F" w:rsidP="00A0551C">
      <w:pPr>
        <w:bidi/>
        <w:jc w:val="both"/>
        <w:rPr>
          <w:rFonts w:asciiTheme="majorBidi" w:hAnsiTheme="majorBidi" w:cstheme="majorBidi"/>
          <w:sz w:val="28"/>
          <w:szCs w:val="28"/>
        </w:rPr>
      </w:pPr>
      <w:r w:rsidRPr="00611E7E">
        <w:rPr>
          <w:rFonts w:asciiTheme="majorBidi" w:hAnsiTheme="majorBidi" w:cstheme="majorBidi"/>
          <w:sz w:val="28"/>
          <w:szCs w:val="28"/>
          <w:rtl/>
        </w:rPr>
        <w:t>ويُعد النموذج التفاعلي للإبداع الذي قدمته</w:t>
      </w:r>
      <w:r w:rsidRPr="00611E7E">
        <w:rPr>
          <w:rFonts w:asciiTheme="majorBidi" w:hAnsiTheme="majorBidi" w:cstheme="majorBidi"/>
          <w:sz w:val="28"/>
          <w:szCs w:val="28"/>
        </w:rPr>
        <w:t xml:space="preserve"> Amabile (1996) </w:t>
      </w:r>
      <w:r w:rsidRPr="00611E7E">
        <w:rPr>
          <w:rFonts w:asciiTheme="majorBidi" w:hAnsiTheme="majorBidi" w:cstheme="majorBidi"/>
          <w:sz w:val="28"/>
          <w:szCs w:val="28"/>
          <w:rtl/>
        </w:rPr>
        <w:t>من أكثر النماذج تأثيرًا، حيث يفترض أن الإبداع في بيئة العمل يعتمد على توافر ثلاثة عناصر أساسية</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الخبرة، والقدرة على التفكير الإبداعي، والدافعية الذاتية</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وقد طور هذا النموذج لاحقًا ليرتبط بخصائص بيئة العمل كعامل محفز أو معيق للإبداع، وهو ما يجعل العلاقة بين الموارد البشرية والإبداع عل</w:t>
      </w:r>
      <w:r w:rsidRPr="00DC3DDE">
        <w:rPr>
          <w:rFonts w:asciiTheme="majorBidi" w:hAnsiTheme="majorBidi" w:cstheme="majorBidi"/>
          <w:sz w:val="28"/>
          <w:szCs w:val="28"/>
          <w:rtl/>
        </w:rPr>
        <w:t xml:space="preserve">اقة مباشرة وغير مباشرة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publisher&gt;Boulder, CO: Westview Press&lt;/publisher&gt;&lt;urls&gt;&lt;/urls&gt;&lt;/record&gt;&lt;/Cite&gt;&lt;/EndNote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Amabile Teresa, 1996</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7C2D1033" w14:textId="7B1A822F" w:rsidR="0054713F" w:rsidRPr="00611E7E" w:rsidRDefault="0054713F" w:rsidP="00A0551C">
      <w:pPr>
        <w:bidi/>
        <w:jc w:val="both"/>
        <w:rPr>
          <w:rFonts w:asciiTheme="majorBidi" w:hAnsiTheme="majorBidi" w:cstheme="majorBidi"/>
          <w:sz w:val="28"/>
          <w:szCs w:val="28"/>
          <w:rtl/>
        </w:rPr>
      </w:pPr>
      <w:r w:rsidRPr="00DC3DDE">
        <w:rPr>
          <w:rFonts w:asciiTheme="majorBidi" w:hAnsiTheme="majorBidi" w:cstheme="majorBidi"/>
          <w:sz w:val="28"/>
          <w:szCs w:val="28"/>
          <w:rtl/>
        </w:rPr>
        <w:t xml:space="preserve">وفي السياق العربي، عرّف زايد (2017) الإبداع الوظيفي </w:t>
      </w:r>
      <w:proofErr w:type="gramStart"/>
      <w:r w:rsidRPr="00DC3DDE">
        <w:rPr>
          <w:rFonts w:asciiTheme="majorBidi" w:hAnsiTheme="majorBidi" w:cstheme="majorBidi"/>
          <w:sz w:val="28"/>
          <w:szCs w:val="28"/>
          <w:rtl/>
        </w:rPr>
        <w:t>بأنه</w:t>
      </w:r>
      <w:r w:rsidR="006A3A9A">
        <w:rPr>
          <w:rFonts w:asciiTheme="majorBidi" w:hAnsiTheme="majorBidi" w:cstheme="majorBidi" w:hint="cs"/>
          <w:sz w:val="28"/>
          <w:szCs w:val="28"/>
          <w:rtl/>
        </w:rPr>
        <w:t xml:space="preserve">: </w:t>
      </w:r>
      <w:r w:rsidRPr="00DC3DDE">
        <w:rPr>
          <w:rFonts w:asciiTheme="majorBidi" w:hAnsiTheme="majorBidi" w:cstheme="majorBidi"/>
          <w:sz w:val="28"/>
          <w:szCs w:val="28"/>
        </w:rPr>
        <w:t xml:space="preserve"> </w:t>
      </w:r>
      <w:r w:rsidRPr="00DC3DDE">
        <w:rPr>
          <w:rFonts w:asciiTheme="majorBidi" w:hAnsiTheme="majorBidi" w:cstheme="majorBidi"/>
          <w:i/>
          <w:iCs/>
          <w:sz w:val="28"/>
          <w:szCs w:val="28"/>
        </w:rPr>
        <w:t>"</w:t>
      </w:r>
      <w:proofErr w:type="gramEnd"/>
      <w:r w:rsidRPr="00DC3DDE">
        <w:rPr>
          <w:rFonts w:asciiTheme="majorBidi" w:hAnsiTheme="majorBidi" w:cstheme="majorBidi"/>
          <w:i/>
          <w:iCs/>
          <w:sz w:val="28"/>
          <w:szCs w:val="28"/>
          <w:rtl/>
        </w:rPr>
        <w:t>مجموعة من السلوكيات والعمليات الذهنية التي يمارسها الموظف لتطوير عمله أو تقديم حلول جديدة وغير تقليدية تسهم في تحسين الأداء المؤسسي</w:t>
      </w:r>
      <w:r w:rsidRPr="00DC3DDE">
        <w:rPr>
          <w:rFonts w:asciiTheme="majorBidi" w:hAnsiTheme="majorBidi" w:cstheme="majorBidi"/>
          <w:i/>
          <w:iCs/>
          <w:sz w:val="28"/>
          <w:szCs w:val="28"/>
        </w:rPr>
        <w:t>"</w:t>
      </w:r>
      <w:r w:rsidRPr="00DC3DDE">
        <w:rPr>
          <w:rFonts w:asciiTheme="majorBidi" w:hAnsiTheme="majorBidi" w:cstheme="majorBidi"/>
          <w:sz w:val="28"/>
          <w:szCs w:val="28"/>
          <w:rtl/>
        </w:rPr>
        <w:t>.</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 xml:space="preserve">ويركز هذا التعريف على الجانب السلوكي والتطبيقي في بيئة العمل، وهو ما يتوافق مع طبيعة الدراسة الحالية في قطاع الضيافة، حيث تتطلب طبيعة المهام مستوى عاليًا من المرونة والإبداع العملي </w:t>
      </w:r>
      <w:r w:rsidRPr="00611E7E">
        <w:rPr>
          <w:rFonts w:asciiTheme="majorBidi" w:hAnsiTheme="majorBidi" w:cstheme="majorBidi"/>
          <w:sz w:val="28"/>
          <w:szCs w:val="28"/>
          <w:rtl/>
        </w:rPr>
        <w:fldChar w:fldCharType="begin"/>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ADDIN EN.CITE &lt;EndNote&gt;&lt;Cite&gt;&lt;Author</w:instrText>
      </w:r>
      <w:r w:rsidRPr="00611E7E">
        <w:rPr>
          <w:rFonts w:asciiTheme="majorBidi" w:hAnsiTheme="majorBidi" w:cstheme="majorBidi"/>
          <w:sz w:val="28"/>
          <w:szCs w:val="28"/>
          <w:rtl/>
        </w:rPr>
        <w:instrText>&gt;المنان&lt;/</w:instrText>
      </w:r>
      <w:r w:rsidRPr="00611E7E">
        <w:rPr>
          <w:rFonts w:asciiTheme="majorBidi" w:hAnsiTheme="majorBidi" w:cstheme="majorBidi"/>
          <w:sz w:val="28"/>
          <w:szCs w:val="28"/>
        </w:rPr>
        <w:instrText>Author&gt;&lt;Year&gt;2017&lt;/Year&gt;&lt;RecNum&gt;2759&lt;/RecNum&gt;&lt;DisplayText</w:instrText>
      </w:r>
      <w:r w:rsidRPr="00611E7E">
        <w:rPr>
          <w:rFonts w:asciiTheme="majorBidi" w:hAnsiTheme="majorBidi" w:cstheme="majorBidi"/>
          <w:sz w:val="28"/>
          <w:szCs w:val="28"/>
          <w:rtl/>
        </w:rPr>
        <w:instrText xml:space="preserve">&gt;(المنان </w:instrText>
      </w:r>
      <w:r w:rsidRPr="00611E7E">
        <w:rPr>
          <w:rFonts w:asciiTheme="majorBidi" w:hAnsiTheme="majorBidi" w:cstheme="majorBidi"/>
          <w:sz w:val="28"/>
          <w:szCs w:val="28"/>
        </w:rPr>
        <w:instrText>and</w:instrText>
      </w:r>
      <w:r w:rsidRPr="00611E7E">
        <w:rPr>
          <w:rFonts w:asciiTheme="majorBidi" w:hAnsiTheme="majorBidi" w:cstheme="majorBidi"/>
          <w:sz w:val="28"/>
          <w:szCs w:val="28"/>
          <w:rtl/>
        </w:rPr>
        <w:instrText xml:space="preserve"> إبراهيم, 2017)&lt;/</w:instrText>
      </w:r>
      <w:r w:rsidRPr="00611E7E">
        <w:rPr>
          <w:rFonts w:asciiTheme="majorBidi" w:hAnsiTheme="majorBidi" w:cstheme="majorBidi"/>
          <w:sz w:val="28"/>
          <w:szCs w:val="28"/>
        </w:rPr>
        <w:instrText>DisplayText&gt;&lt;record&gt;&lt;rec-number&gt;2759&lt;/rec-number&gt;&lt;foreign-keys&gt;&lt;key app="EN" db-id="t5vttv59or5xwbe2zdm5ewrxd905arrpawff" timestamp="1748370952"&gt;2759&lt;/key&gt;&lt;/foreign-keys&gt;&lt;ref-type name="Thesis"&gt;32&lt;/ref-type&gt;&lt;contributors&gt;&lt;authors&gt;&lt;author</w:instrText>
      </w:r>
      <w:r w:rsidRPr="00611E7E">
        <w:rPr>
          <w:rFonts w:asciiTheme="majorBidi" w:hAnsiTheme="majorBidi" w:cstheme="majorBidi"/>
          <w:sz w:val="28"/>
          <w:szCs w:val="28"/>
          <w:rtl/>
        </w:rPr>
        <w:instrText>&gt;زايد إبراهيم عطا المنان&lt;/</w:instrText>
      </w:r>
      <w:r w:rsidRPr="00611E7E">
        <w:rPr>
          <w:rFonts w:asciiTheme="majorBidi" w:hAnsiTheme="majorBidi" w:cstheme="majorBidi"/>
          <w:sz w:val="28"/>
          <w:szCs w:val="28"/>
        </w:rPr>
        <w:instrText>author&gt;&lt;author</w:instrText>
      </w:r>
      <w:r w:rsidRPr="00611E7E">
        <w:rPr>
          <w:rFonts w:asciiTheme="majorBidi" w:hAnsiTheme="majorBidi" w:cstheme="majorBidi"/>
          <w:sz w:val="28"/>
          <w:szCs w:val="28"/>
          <w:rtl/>
        </w:rPr>
        <w:instrText>&gt;إبراهيم&lt;/</w:instrText>
      </w:r>
      <w:r w:rsidRPr="00611E7E">
        <w:rPr>
          <w:rFonts w:asciiTheme="majorBidi" w:hAnsiTheme="majorBidi" w:cstheme="majorBidi"/>
          <w:sz w:val="28"/>
          <w:szCs w:val="28"/>
        </w:rPr>
        <w:instrText>author&gt;&lt;/authors&gt;&lt;/contributors&gt;&lt;titles&gt;&lt;title</w:instrText>
      </w:r>
      <w:r w:rsidRPr="00611E7E">
        <w:rPr>
          <w:rFonts w:asciiTheme="majorBidi" w:hAnsiTheme="majorBidi" w:cstheme="majorBidi"/>
          <w:sz w:val="28"/>
          <w:szCs w:val="28"/>
          <w:rtl/>
        </w:rPr>
        <w:instrText>&gt;دور تحسين بيئة العمل في الإبداع الإداري&lt;/</w:instrText>
      </w:r>
      <w:r w:rsidRPr="00611E7E">
        <w:rPr>
          <w:rFonts w:asciiTheme="majorBidi" w:hAnsiTheme="majorBidi" w:cstheme="majorBidi"/>
          <w:sz w:val="28"/>
          <w:szCs w:val="28"/>
        </w:rPr>
        <w:instrText>title&gt;&lt;/titles&gt;&lt;dates&gt;&lt;year&gt;2017&lt;/year&gt;&lt;/dates&gt;&lt;publisher</w:instrText>
      </w:r>
      <w:r w:rsidRPr="00611E7E">
        <w:rPr>
          <w:rFonts w:asciiTheme="majorBidi" w:hAnsiTheme="majorBidi" w:cstheme="majorBidi"/>
          <w:sz w:val="28"/>
          <w:szCs w:val="28"/>
          <w:rtl/>
        </w:rPr>
        <w:instrText>&gt;جامعة الامام المهدى&lt;/</w:instrText>
      </w:r>
      <w:r w:rsidRPr="00611E7E">
        <w:rPr>
          <w:rFonts w:asciiTheme="majorBidi" w:hAnsiTheme="majorBidi" w:cstheme="majorBidi"/>
          <w:sz w:val="28"/>
          <w:szCs w:val="28"/>
        </w:rPr>
        <w:instrText>publisher&gt;&lt;urls&gt;&lt;/urls&gt;&lt;/record&gt;&lt;/Cite&gt;&lt;/EndNote</w:instrText>
      </w:r>
      <w:r w:rsidRPr="00611E7E">
        <w:rPr>
          <w:rFonts w:asciiTheme="majorBidi" w:hAnsiTheme="majorBidi" w:cstheme="majorBidi"/>
          <w:sz w:val="28"/>
          <w:szCs w:val="28"/>
          <w:rtl/>
        </w:rPr>
        <w:instrText>&gt;</w:instrText>
      </w:r>
      <w:r w:rsidRPr="00611E7E">
        <w:rPr>
          <w:rFonts w:asciiTheme="majorBidi" w:hAnsiTheme="majorBidi" w:cstheme="majorBidi"/>
          <w:sz w:val="28"/>
          <w:szCs w:val="28"/>
          <w:rtl/>
        </w:rPr>
        <w:fldChar w:fldCharType="separate"/>
      </w:r>
      <w:r w:rsidRPr="00611E7E">
        <w:rPr>
          <w:rFonts w:asciiTheme="majorBidi" w:hAnsiTheme="majorBidi" w:cstheme="majorBidi"/>
          <w:noProof/>
          <w:sz w:val="28"/>
          <w:szCs w:val="28"/>
          <w:rtl/>
        </w:rPr>
        <w:t xml:space="preserve">(المنان </w:t>
      </w:r>
      <w:r w:rsidRPr="00611E7E">
        <w:rPr>
          <w:rFonts w:asciiTheme="majorBidi" w:hAnsiTheme="majorBidi" w:cstheme="majorBidi"/>
          <w:noProof/>
          <w:sz w:val="28"/>
          <w:szCs w:val="28"/>
        </w:rPr>
        <w:t>and</w:t>
      </w:r>
      <w:r w:rsidRPr="00611E7E">
        <w:rPr>
          <w:rFonts w:asciiTheme="majorBidi" w:hAnsiTheme="majorBidi" w:cstheme="majorBidi"/>
          <w:noProof/>
          <w:sz w:val="28"/>
          <w:szCs w:val="28"/>
          <w:rtl/>
        </w:rPr>
        <w:t xml:space="preserve"> إبراهيم, 2017)</w:t>
      </w:r>
      <w:r w:rsidRPr="00611E7E">
        <w:rPr>
          <w:rFonts w:asciiTheme="majorBidi" w:hAnsiTheme="majorBidi" w:cstheme="majorBidi"/>
          <w:sz w:val="28"/>
          <w:szCs w:val="28"/>
          <w:rtl/>
        </w:rPr>
        <w:fldChar w:fldCharType="end"/>
      </w:r>
      <w:r w:rsidRPr="00611E7E">
        <w:rPr>
          <w:rFonts w:asciiTheme="majorBidi" w:hAnsiTheme="majorBidi" w:cstheme="majorBidi"/>
          <w:sz w:val="28"/>
          <w:szCs w:val="28"/>
          <w:rtl/>
        </w:rPr>
        <w:t>.</w:t>
      </w:r>
    </w:p>
    <w:p w14:paraId="67D36F68" w14:textId="77777777" w:rsidR="0054713F" w:rsidRPr="00611E7E" w:rsidRDefault="0054713F" w:rsidP="00A0551C">
      <w:pPr>
        <w:bidi/>
        <w:jc w:val="both"/>
        <w:rPr>
          <w:rFonts w:asciiTheme="majorBidi" w:hAnsiTheme="majorBidi" w:cstheme="majorBidi"/>
          <w:sz w:val="28"/>
          <w:szCs w:val="28"/>
        </w:rPr>
      </w:pPr>
      <w:r w:rsidRPr="00611E7E">
        <w:rPr>
          <w:rFonts w:asciiTheme="majorBidi" w:hAnsiTheme="majorBidi" w:cstheme="majorBidi"/>
          <w:sz w:val="28"/>
          <w:szCs w:val="28"/>
          <w:rtl/>
        </w:rPr>
        <w:t>على الصعيد التطبيقي، يُقاس الأداء الإبداعي غالبًا من خلال مؤشرات مثل: عدد الأفكار المقترحة، مدى جدوى هذه الأفكار، قدرة الموظف على تطبيق حلول مبتكرة، ومساهمته في تحسين جودة الخدمة أو المنتج.</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كما يمكن تقييمه من خلال آراء المديرين أو التقييم الذاتي للموظفين بناءً على معايير سلوكية أو إنتاجية</w:t>
      </w:r>
      <w:r w:rsidRPr="00611E7E">
        <w:rPr>
          <w:rFonts w:asciiTheme="majorBidi" w:hAnsiTheme="majorBidi" w:cstheme="majorBidi"/>
          <w:sz w:val="28"/>
          <w:szCs w:val="28"/>
        </w:rPr>
        <w:t>.</w:t>
      </w:r>
    </w:p>
    <w:p w14:paraId="3565E4CA" w14:textId="54B03502" w:rsidR="0054713F" w:rsidRPr="00611E7E" w:rsidRDefault="0054713F" w:rsidP="00A0551C">
      <w:pPr>
        <w:bidi/>
        <w:jc w:val="both"/>
        <w:rPr>
          <w:rFonts w:asciiTheme="majorBidi" w:hAnsiTheme="majorBidi" w:cstheme="majorBidi"/>
          <w:sz w:val="28"/>
          <w:szCs w:val="28"/>
          <w:rtl/>
        </w:rPr>
      </w:pPr>
      <w:r w:rsidRPr="00611E7E">
        <w:rPr>
          <w:rFonts w:asciiTheme="majorBidi" w:hAnsiTheme="majorBidi" w:cstheme="majorBidi"/>
          <w:sz w:val="28"/>
          <w:szCs w:val="28"/>
          <w:rtl/>
        </w:rPr>
        <w:t xml:space="preserve">أما من حيث النشأة المفاهيمية، فقد تطور مفهوم الإبداع في سياق التحول من التنظيمات الصناعية التقليدية إلى التنظيمات المرنة، حيث أصبح يُنظر إلى الإبداع ليس فقط كميزة تنافسية، بل كضرورة للبقاء في بيئات عمل تعتمد على الابتكار المستمر والتكيف السريع </w:t>
      </w:r>
      <w:r w:rsidRPr="00611E7E">
        <w:rPr>
          <w:rFonts w:asciiTheme="majorBidi" w:hAnsiTheme="majorBidi" w:cstheme="majorBidi"/>
          <w:sz w:val="28"/>
          <w:szCs w:val="28"/>
          <w:rtl/>
        </w:rPr>
        <w:fldChar w:fldCharType="begin"/>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ADDIN EN.CITE &lt;EndNote&gt;&lt;Cite&gt;&lt;Author&gt;Shalley&lt;/Author&gt;&lt;Year&gt;2004&lt;/Year&gt;&lt;RecNum&gt;2760&lt;/RecNum&gt;&lt;DisplayText&gt;(Shalley and Gilson, 2004)&lt;/DisplayText&gt;&lt;record&gt;&lt;rec-number&gt;2760&lt;/rec-number&gt;&lt;foreign-keys&gt;&lt;key app="EN" db-id="t5vttv59or5xwbe2zdm5ewrxd905arrpawff</w:instrText>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timestamp="1748371049"&gt;2760&lt;/key&gt;&lt;/foreign-keys&gt;&lt;ref-type name="Journal Article"&gt;17&lt;/ref-type&gt;&lt;contributors&gt;&lt;authors&gt;&lt;author&gt;Shalley, Christina E&lt;/author&gt;&lt;author&gt;Gilson, Lucy L&lt;/author&gt;&lt;/authors&gt;&lt;/contributors&gt;&lt;titles&gt;&lt;title&gt;What leaders need to know: A review of social and contextual factors that can foster or hinder creativity&lt;/title&gt;&lt;secondary-title&gt;The leadership quarterly&lt;/secondary-title&gt;&lt;/titles&gt;&lt;periodical&gt;&lt;full-title&gt;The Leadership Quarterly&lt;/full-title&gt;&lt;/periodical&gt;&lt;pages&gt;33-53&lt;/pages&gt;&lt;volume&gt;15</w:instrText>
      </w:r>
      <w:r w:rsidRPr="00611E7E">
        <w:rPr>
          <w:rFonts w:asciiTheme="majorBidi" w:hAnsiTheme="majorBidi" w:cstheme="majorBidi"/>
          <w:sz w:val="28"/>
          <w:szCs w:val="28"/>
          <w:rtl/>
        </w:rPr>
        <w:instrText>&lt;/</w:instrText>
      </w:r>
      <w:r w:rsidRPr="00611E7E">
        <w:rPr>
          <w:rFonts w:asciiTheme="majorBidi" w:hAnsiTheme="majorBidi" w:cstheme="majorBidi"/>
          <w:sz w:val="28"/>
          <w:szCs w:val="28"/>
        </w:rPr>
        <w:instrText>volume&gt;&lt;number&gt;1&lt;/number&gt;&lt;dates&gt;&lt;year&gt;2004&lt;/year&gt;&lt;/dates&gt;&lt;isbn&gt;1048-9843&lt;/isbn&gt;&lt;urls&gt;&lt;/urls&gt;&lt;/record&gt;&lt;/Cite&gt;&lt;/EndNote</w:instrText>
      </w:r>
      <w:r w:rsidRPr="00611E7E">
        <w:rPr>
          <w:rFonts w:asciiTheme="majorBidi" w:hAnsiTheme="majorBidi" w:cstheme="majorBidi"/>
          <w:sz w:val="28"/>
          <w:szCs w:val="28"/>
          <w:rtl/>
        </w:rPr>
        <w:instrText>&gt;</w:instrText>
      </w:r>
      <w:r w:rsidRPr="00611E7E">
        <w:rPr>
          <w:rFonts w:asciiTheme="majorBidi" w:hAnsiTheme="majorBidi" w:cstheme="majorBidi"/>
          <w:sz w:val="28"/>
          <w:szCs w:val="28"/>
          <w:rtl/>
        </w:rPr>
        <w:fldChar w:fldCharType="separate"/>
      </w:r>
      <w:r w:rsidRPr="00611E7E">
        <w:rPr>
          <w:rFonts w:asciiTheme="majorBidi" w:hAnsiTheme="majorBidi" w:cstheme="majorBidi"/>
          <w:noProof/>
          <w:sz w:val="28"/>
          <w:szCs w:val="28"/>
          <w:rtl/>
        </w:rPr>
        <w:t>(</w:t>
      </w:r>
      <w:r w:rsidRPr="00611E7E">
        <w:rPr>
          <w:rFonts w:asciiTheme="majorBidi" w:hAnsiTheme="majorBidi" w:cstheme="majorBidi"/>
          <w:noProof/>
          <w:sz w:val="28"/>
          <w:szCs w:val="28"/>
        </w:rPr>
        <w:t>Shalley and Gilson, 2004</w:t>
      </w:r>
      <w:r w:rsidRPr="00611E7E">
        <w:rPr>
          <w:rFonts w:asciiTheme="majorBidi" w:hAnsiTheme="majorBidi" w:cstheme="majorBidi"/>
          <w:noProof/>
          <w:sz w:val="28"/>
          <w:szCs w:val="28"/>
          <w:rtl/>
        </w:rPr>
        <w:t>)</w:t>
      </w:r>
      <w:r w:rsidRPr="00611E7E">
        <w:rPr>
          <w:rFonts w:asciiTheme="majorBidi" w:hAnsiTheme="majorBidi" w:cstheme="majorBidi"/>
          <w:sz w:val="28"/>
          <w:szCs w:val="28"/>
          <w:rtl/>
        </w:rPr>
        <w:fldChar w:fldCharType="end"/>
      </w:r>
      <w:r w:rsidRPr="00611E7E">
        <w:rPr>
          <w:rFonts w:asciiTheme="majorBidi" w:hAnsiTheme="majorBidi" w:cstheme="majorBidi"/>
          <w:sz w:val="28"/>
          <w:szCs w:val="28"/>
          <w:rtl/>
        </w:rPr>
        <w:t>. وبذلك أصبح الإبداع الوظيفي لا يُفهم بمعزل عن بيئة العمل، بل يُنظر إليه كنتيجة تفاعلية للأنظمة التنظيمية، والثقافة، وممارسات الموارد البشرية</w:t>
      </w:r>
      <w:r w:rsidRPr="00611E7E">
        <w:rPr>
          <w:rFonts w:asciiTheme="majorBidi" w:hAnsiTheme="majorBidi" w:cstheme="majorBidi"/>
          <w:sz w:val="28"/>
          <w:szCs w:val="28"/>
        </w:rPr>
        <w:t>.</w:t>
      </w:r>
    </w:p>
    <w:p w14:paraId="2106E477" w14:textId="4618B7E3" w:rsidR="0054713F" w:rsidRPr="00DC3DDE" w:rsidRDefault="0054713F" w:rsidP="00A0551C">
      <w:pPr>
        <w:bidi/>
        <w:jc w:val="both"/>
        <w:rPr>
          <w:rFonts w:asciiTheme="majorBidi" w:hAnsiTheme="majorBidi" w:cstheme="majorBidi"/>
          <w:sz w:val="28"/>
          <w:szCs w:val="28"/>
        </w:rPr>
      </w:pPr>
      <w:r w:rsidRPr="00611E7E">
        <w:rPr>
          <w:rFonts w:asciiTheme="majorBidi" w:hAnsiTheme="majorBidi" w:cstheme="majorBidi"/>
          <w:sz w:val="28"/>
          <w:szCs w:val="28"/>
          <w:rtl/>
        </w:rPr>
        <w:t>ومن الجدير بالذكر أن الأداء الإبداعي يرتبط بشكل وثيق بعدد من العوامل التنظيمية، من أبرزها</w:t>
      </w:r>
      <w:r w:rsidR="006A3A9A" w:rsidRPr="00611E7E">
        <w:rPr>
          <w:rFonts w:asciiTheme="majorBidi" w:hAnsiTheme="majorBidi" w:cstheme="majorBidi" w:hint="cs"/>
          <w:sz w:val="28"/>
          <w:szCs w:val="28"/>
          <w:rtl/>
        </w:rPr>
        <w:t xml:space="preserve">: </w:t>
      </w:r>
      <w:r w:rsidRPr="00611E7E">
        <w:rPr>
          <w:rFonts w:asciiTheme="majorBidi" w:hAnsiTheme="majorBidi" w:cstheme="majorBidi"/>
          <w:sz w:val="28"/>
          <w:szCs w:val="28"/>
          <w:rtl/>
        </w:rPr>
        <w:t>نمط القيادة، مستوى الدعم النفسي في بيئة العمل، ممارسات الموارد البشرية، والثقافة التنظيمية</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وقد أظهرت العديد من الدراسات أن أنظمة العمل عالية الأداء</w:t>
      </w:r>
      <w:r w:rsidRPr="00611E7E">
        <w:rPr>
          <w:rFonts w:asciiTheme="majorBidi" w:hAnsiTheme="majorBidi" w:cstheme="majorBidi"/>
          <w:sz w:val="28"/>
          <w:szCs w:val="28"/>
        </w:rPr>
        <w:t xml:space="preserve"> (HPWS) </w:t>
      </w:r>
      <w:r w:rsidRPr="00611E7E">
        <w:rPr>
          <w:rFonts w:asciiTheme="majorBidi" w:hAnsiTheme="majorBidi" w:cstheme="majorBidi"/>
          <w:sz w:val="28"/>
          <w:szCs w:val="28"/>
          <w:rtl/>
        </w:rPr>
        <w:t xml:space="preserve">تهيئ بيئة محفزة للإبداع من خلال تعزيز القدرات الفردية والدافعية والمشاركة، </w:t>
      </w:r>
      <w:r w:rsidRPr="00DC3DDE">
        <w:rPr>
          <w:rFonts w:asciiTheme="majorBidi" w:hAnsiTheme="majorBidi" w:cstheme="majorBidi"/>
          <w:sz w:val="28"/>
          <w:szCs w:val="28"/>
          <w:rtl/>
        </w:rPr>
        <w:t>ما يجعل من العلاقة بين</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والأداء الإبداعي موضوعًا ذا أهمية بحثية متزايدة</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 xml:space="preserve">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Jiang et al., 2012</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20775CDC" w14:textId="77777777" w:rsidR="0054713F" w:rsidRPr="00DC3DDE" w:rsidRDefault="0054713F" w:rsidP="00A0551C">
      <w:pPr>
        <w:bidi/>
        <w:jc w:val="both"/>
        <w:rPr>
          <w:rFonts w:asciiTheme="majorBidi" w:hAnsiTheme="majorBidi" w:cstheme="majorBidi"/>
          <w:sz w:val="28"/>
          <w:szCs w:val="28"/>
        </w:rPr>
      </w:pPr>
      <w:r w:rsidRPr="00DC3DDE">
        <w:rPr>
          <w:rFonts w:asciiTheme="majorBidi" w:hAnsiTheme="majorBidi" w:cstheme="majorBidi"/>
          <w:sz w:val="28"/>
          <w:szCs w:val="28"/>
          <w:rtl/>
        </w:rPr>
        <w:t>وقد ظهر في السنوات الأخيرة اتجاه متزايد في ربط الإبداع الوظيفي بممارسات أنظمة العمل عالية الأداء، بوصفها بيئات عمل تولّد وتغذي السلوكيات الابتكارية، ليس فقط عبر الحوافز والتدريب، بل أيضًا من خلال التمكين، والمشاركة، والعدالة التنظيمية. وهو ما تسعى هذه الدراسة إلى تحليله بشكل ممنهج</w:t>
      </w:r>
      <w:r w:rsidRPr="00DC3DDE">
        <w:rPr>
          <w:rFonts w:asciiTheme="majorBidi" w:hAnsiTheme="majorBidi" w:cstheme="majorBidi"/>
          <w:sz w:val="28"/>
          <w:szCs w:val="28"/>
        </w:rPr>
        <w:t>.</w:t>
      </w:r>
    </w:p>
    <w:p w14:paraId="1E321D2B" w14:textId="77777777" w:rsidR="0054713F" w:rsidRPr="00DC3DDE" w:rsidRDefault="0054713F" w:rsidP="0054713F">
      <w:pPr>
        <w:bidi/>
        <w:rPr>
          <w:rFonts w:asciiTheme="majorBidi" w:hAnsiTheme="majorBidi" w:cstheme="majorBidi"/>
          <w:b/>
          <w:bCs/>
          <w:sz w:val="28"/>
          <w:szCs w:val="28"/>
        </w:rPr>
      </w:pPr>
      <w:r w:rsidRPr="00DC3DDE">
        <w:rPr>
          <w:rFonts w:asciiTheme="majorBidi" w:hAnsiTheme="majorBidi" w:cstheme="majorBidi"/>
          <w:b/>
          <w:bCs/>
          <w:sz w:val="28"/>
          <w:szCs w:val="28"/>
          <w:rtl/>
        </w:rPr>
        <w:t>الفرق بين الإبداع الفردي والإبداع التنظيمي</w:t>
      </w:r>
    </w:p>
    <w:p w14:paraId="24B7138B" w14:textId="48770DFE" w:rsidR="0054713F" w:rsidRPr="00611E7E" w:rsidRDefault="0054713F" w:rsidP="00A0551C">
      <w:pPr>
        <w:bidi/>
        <w:jc w:val="both"/>
        <w:rPr>
          <w:rFonts w:asciiTheme="majorBidi" w:hAnsiTheme="majorBidi" w:cstheme="majorBidi"/>
          <w:sz w:val="28"/>
          <w:szCs w:val="28"/>
        </w:rPr>
      </w:pPr>
      <w:r w:rsidRPr="00611E7E">
        <w:rPr>
          <w:rFonts w:asciiTheme="majorBidi" w:hAnsiTheme="majorBidi" w:cstheme="majorBidi"/>
          <w:sz w:val="28"/>
          <w:szCs w:val="28"/>
          <w:rtl/>
        </w:rPr>
        <w:t>يشير الإبداع الفردي إلى قدرة الموظف – بوصفه وحدة مستقلة – على توليد أفكار أو حلول جديدة ومفيدة ترتبط بأداء عمله اليومي أو بتطوير عمليات داخل المؤسسة</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ويتأثر هذا النوع من الإبداع بعوامل مثل</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 xml:space="preserve">القدرات المعرفية، والدافعية الذاتية، والسمات الشخصية، والبيئة المباشرة للعمل  </w:t>
      </w:r>
      <w:r w:rsidRPr="00611E7E">
        <w:rPr>
          <w:rFonts w:asciiTheme="majorBidi" w:hAnsiTheme="majorBidi" w:cstheme="majorBidi"/>
          <w:sz w:val="28"/>
          <w:szCs w:val="28"/>
          <w:rtl/>
        </w:rPr>
        <w:fldChar w:fldCharType="begin"/>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611E7E">
        <w:rPr>
          <w:rFonts w:asciiTheme="majorBidi" w:hAnsiTheme="majorBidi" w:cstheme="majorBidi"/>
          <w:sz w:val="28"/>
          <w:szCs w:val="28"/>
          <w:rtl/>
        </w:rPr>
        <w:instrText>&gt;&lt;</w:instrText>
      </w:r>
      <w:r w:rsidRPr="00611E7E">
        <w:rPr>
          <w:rFonts w:asciiTheme="majorBidi" w:hAnsiTheme="majorBidi" w:cstheme="majorBidi"/>
          <w:sz w:val="28"/>
          <w:szCs w:val="28"/>
        </w:rPr>
        <w:instrText>publisher&gt;Boulder, CO: Westview Press&lt;/publisher&gt;&lt;urls&gt;&lt;/urls&gt;&lt;/record&gt;&lt;/Cite&gt;&lt;/EndNote</w:instrText>
      </w:r>
      <w:r w:rsidRPr="00611E7E">
        <w:rPr>
          <w:rFonts w:asciiTheme="majorBidi" w:hAnsiTheme="majorBidi" w:cstheme="majorBidi"/>
          <w:sz w:val="28"/>
          <w:szCs w:val="28"/>
          <w:rtl/>
        </w:rPr>
        <w:instrText>&gt;</w:instrText>
      </w:r>
      <w:r w:rsidRPr="00611E7E">
        <w:rPr>
          <w:rFonts w:asciiTheme="majorBidi" w:hAnsiTheme="majorBidi" w:cstheme="majorBidi"/>
          <w:sz w:val="28"/>
          <w:szCs w:val="28"/>
          <w:rtl/>
        </w:rPr>
        <w:fldChar w:fldCharType="separate"/>
      </w:r>
      <w:r w:rsidRPr="00611E7E">
        <w:rPr>
          <w:rFonts w:asciiTheme="majorBidi" w:hAnsiTheme="majorBidi" w:cstheme="majorBidi"/>
          <w:noProof/>
          <w:sz w:val="28"/>
          <w:szCs w:val="28"/>
          <w:rtl/>
        </w:rPr>
        <w:t>(</w:t>
      </w:r>
      <w:r w:rsidRPr="00611E7E">
        <w:rPr>
          <w:rFonts w:asciiTheme="majorBidi" w:hAnsiTheme="majorBidi" w:cstheme="majorBidi"/>
          <w:noProof/>
          <w:sz w:val="28"/>
          <w:szCs w:val="28"/>
        </w:rPr>
        <w:t>Amabile Teresa, 1996</w:t>
      </w:r>
      <w:r w:rsidRPr="00611E7E">
        <w:rPr>
          <w:rFonts w:asciiTheme="majorBidi" w:hAnsiTheme="majorBidi" w:cstheme="majorBidi"/>
          <w:noProof/>
          <w:sz w:val="28"/>
          <w:szCs w:val="28"/>
          <w:rtl/>
        </w:rPr>
        <w:t>)</w:t>
      </w:r>
      <w:r w:rsidRPr="00611E7E">
        <w:rPr>
          <w:rFonts w:asciiTheme="majorBidi" w:hAnsiTheme="majorBidi" w:cstheme="majorBidi"/>
          <w:sz w:val="28"/>
          <w:szCs w:val="28"/>
          <w:rtl/>
        </w:rPr>
        <w:fldChar w:fldCharType="end"/>
      </w:r>
      <w:r w:rsidRPr="00611E7E">
        <w:rPr>
          <w:rFonts w:asciiTheme="majorBidi" w:hAnsiTheme="majorBidi" w:cstheme="majorBidi"/>
          <w:sz w:val="28"/>
          <w:szCs w:val="28"/>
          <w:rtl/>
        </w:rPr>
        <w:t xml:space="preserve">. </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 xml:space="preserve">كما </w:t>
      </w:r>
      <w:r w:rsidRPr="00611E7E">
        <w:rPr>
          <w:rFonts w:asciiTheme="majorBidi" w:hAnsiTheme="majorBidi" w:cstheme="majorBidi"/>
          <w:sz w:val="28"/>
          <w:szCs w:val="28"/>
          <w:rtl/>
        </w:rPr>
        <w:lastRenderedPageBreak/>
        <w:t>أن الموظفين المبدعين غالبًا ما يُظهرون سلوكيات استباقية، ويتميزون بالفضول المعرفي والانفتاح على التجربة والمخاطرة المحسوبة</w:t>
      </w:r>
      <w:r w:rsidRPr="00611E7E">
        <w:rPr>
          <w:rFonts w:asciiTheme="majorBidi" w:hAnsiTheme="majorBidi" w:cstheme="majorBidi"/>
          <w:sz w:val="28"/>
          <w:szCs w:val="28"/>
        </w:rPr>
        <w:t>.</w:t>
      </w:r>
    </w:p>
    <w:p w14:paraId="1E758035" w14:textId="0F451C27" w:rsidR="0054713F" w:rsidRPr="00611E7E" w:rsidRDefault="0054713F" w:rsidP="00A0551C">
      <w:pPr>
        <w:bidi/>
        <w:jc w:val="both"/>
        <w:rPr>
          <w:rFonts w:asciiTheme="majorBidi" w:hAnsiTheme="majorBidi" w:cstheme="majorBidi"/>
          <w:sz w:val="28"/>
          <w:szCs w:val="28"/>
        </w:rPr>
      </w:pPr>
      <w:r w:rsidRPr="00611E7E">
        <w:rPr>
          <w:rFonts w:asciiTheme="majorBidi" w:hAnsiTheme="majorBidi" w:cstheme="majorBidi"/>
          <w:sz w:val="28"/>
          <w:szCs w:val="28"/>
          <w:rtl/>
        </w:rPr>
        <w:t xml:space="preserve">أما الإبداع التنظيمي، فيُقصد به قدرة المؤسسة ككل – من خلال نظمها وسياساتها وثقافتها الداخلية – على إنتاج وتطبيق أفكار جديدة تؤدي إلى تحسينات في المنتجات، أو الخدمات، أو الإجراءات، أو النماذج التشغيلية </w:t>
      </w:r>
      <w:r w:rsidRPr="00611E7E">
        <w:rPr>
          <w:rFonts w:asciiTheme="majorBidi" w:hAnsiTheme="majorBidi" w:cstheme="majorBidi"/>
          <w:sz w:val="28"/>
          <w:szCs w:val="28"/>
          <w:rtl/>
        </w:rPr>
        <w:fldChar w:fldCharType="begin"/>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ADDIN EN.CITE &lt;EndNote&gt;&lt;Cite&gt;&lt;Author&gt;Anderson&lt;/Author&gt;&lt;Year&gt;2014&lt;/Year&gt;&lt;RecNum&gt;2318&lt;/RecNum&gt;&lt;DisplayText&gt;(Anderson et al., 2014)&lt;/DisplayText&gt;&lt;record&gt;&lt;rec-number&gt;2318&lt;/rec-number&gt;&lt;foreign-keys&gt;&lt;key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Neil&lt;/author&gt;&lt;author&gt;Potočnik,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EndNote</w:instrText>
      </w:r>
      <w:r w:rsidRPr="00611E7E">
        <w:rPr>
          <w:rFonts w:asciiTheme="majorBidi" w:hAnsiTheme="majorBidi" w:cstheme="majorBidi"/>
          <w:sz w:val="28"/>
          <w:szCs w:val="28"/>
          <w:rtl/>
        </w:rPr>
        <w:instrText>&gt;</w:instrText>
      </w:r>
      <w:r w:rsidRPr="00611E7E">
        <w:rPr>
          <w:rFonts w:asciiTheme="majorBidi" w:hAnsiTheme="majorBidi" w:cstheme="majorBidi"/>
          <w:sz w:val="28"/>
          <w:szCs w:val="28"/>
          <w:rtl/>
        </w:rPr>
        <w:fldChar w:fldCharType="separate"/>
      </w:r>
      <w:r w:rsidRPr="00611E7E">
        <w:rPr>
          <w:rFonts w:asciiTheme="majorBidi" w:hAnsiTheme="majorBidi" w:cstheme="majorBidi"/>
          <w:noProof/>
          <w:sz w:val="28"/>
          <w:szCs w:val="28"/>
          <w:rtl/>
        </w:rPr>
        <w:t>(</w:t>
      </w:r>
      <w:r w:rsidRPr="00611E7E">
        <w:rPr>
          <w:rFonts w:asciiTheme="majorBidi" w:hAnsiTheme="majorBidi" w:cstheme="majorBidi"/>
          <w:noProof/>
          <w:sz w:val="28"/>
          <w:szCs w:val="28"/>
        </w:rPr>
        <w:t>Anderson et al., 2014</w:t>
      </w:r>
      <w:r w:rsidRPr="00611E7E">
        <w:rPr>
          <w:rFonts w:asciiTheme="majorBidi" w:hAnsiTheme="majorBidi" w:cstheme="majorBidi"/>
          <w:noProof/>
          <w:sz w:val="28"/>
          <w:szCs w:val="28"/>
          <w:rtl/>
        </w:rPr>
        <w:t>)</w:t>
      </w:r>
      <w:r w:rsidRPr="00611E7E">
        <w:rPr>
          <w:rFonts w:asciiTheme="majorBidi" w:hAnsiTheme="majorBidi" w:cstheme="majorBidi"/>
          <w:sz w:val="28"/>
          <w:szCs w:val="28"/>
          <w:rtl/>
        </w:rPr>
        <w:fldChar w:fldCharType="end"/>
      </w:r>
      <w:r w:rsidRPr="00611E7E">
        <w:rPr>
          <w:rFonts w:asciiTheme="majorBidi" w:hAnsiTheme="majorBidi" w:cstheme="majorBidi"/>
          <w:sz w:val="28"/>
          <w:szCs w:val="28"/>
          <w:rtl/>
        </w:rPr>
        <w:t xml:space="preserve">. </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ويتجاوز هذا النوع من الإبداع مجرد توافر أفراد مبدعين، بل يعتمد على وجود بيئة تنظيمية داعمة للإبداع، ونظم عمل مرنة، وثقافة تشجع على التعلّم والتجريب والمشاركة الجماعية</w:t>
      </w:r>
      <w:r w:rsidRPr="00611E7E">
        <w:rPr>
          <w:rFonts w:asciiTheme="majorBidi" w:hAnsiTheme="majorBidi" w:cstheme="majorBidi"/>
          <w:sz w:val="28"/>
          <w:szCs w:val="28"/>
        </w:rPr>
        <w:t>.</w:t>
      </w:r>
    </w:p>
    <w:p w14:paraId="407397C5" w14:textId="16F63EFD" w:rsidR="0054713F" w:rsidRPr="00611E7E" w:rsidRDefault="0054713F" w:rsidP="00A0551C">
      <w:pPr>
        <w:bidi/>
        <w:jc w:val="both"/>
        <w:rPr>
          <w:rFonts w:asciiTheme="majorBidi" w:hAnsiTheme="majorBidi" w:cstheme="majorBidi"/>
          <w:sz w:val="28"/>
          <w:szCs w:val="28"/>
          <w:rtl/>
        </w:rPr>
      </w:pPr>
      <w:r w:rsidRPr="00611E7E">
        <w:rPr>
          <w:rFonts w:asciiTheme="majorBidi" w:hAnsiTheme="majorBidi" w:cstheme="majorBidi"/>
          <w:sz w:val="28"/>
          <w:szCs w:val="28"/>
          <w:rtl/>
        </w:rPr>
        <w:t xml:space="preserve">وعلى الرغم من أن الإبداع التنظيمي ينبثق من تفاعل الأفراد داخل المؤسسة، إلا أنه لا يتحقق تلقائيًا من خلال تجميع الجهود الفردية فحسب، بل يتطلب هيكلًا تنظيميًا داعمًا، وقيادة ملهمة، وتنسيقًا فعالًا بين مختلف الوحدات </w:t>
      </w:r>
      <w:r w:rsidRPr="00611E7E">
        <w:rPr>
          <w:rFonts w:asciiTheme="majorBidi" w:hAnsiTheme="majorBidi" w:cstheme="majorBidi"/>
          <w:sz w:val="28"/>
          <w:szCs w:val="28"/>
          <w:rtl/>
        </w:rPr>
        <w:fldChar w:fldCharType="begin"/>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611E7E">
        <w:rPr>
          <w:rFonts w:asciiTheme="majorBidi" w:hAnsiTheme="majorBidi" w:cstheme="majorBidi"/>
          <w:sz w:val="28"/>
          <w:szCs w:val="28"/>
          <w:rtl/>
        </w:rPr>
        <w:instrText>&gt;</w:instrText>
      </w:r>
      <w:r w:rsidRPr="00611E7E">
        <w:rPr>
          <w:rFonts w:asciiTheme="majorBidi" w:hAnsiTheme="majorBidi" w:cstheme="majorBidi"/>
          <w:sz w:val="28"/>
          <w:szCs w:val="28"/>
          <w:rtl/>
        </w:rPr>
        <w:fldChar w:fldCharType="separate"/>
      </w:r>
      <w:r w:rsidRPr="00611E7E">
        <w:rPr>
          <w:rFonts w:asciiTheme="majorBidi" w:hAnsiTheme="majorBidi" w:cstheme="majorBidi"/>
          <w:noProof/>
          <w:sz w:val="28"/>
          <w:szCs w:val="28"/>
          <w:rtl/>
        </w:rPr>
        <w:t>(</w:t>
      </w:r>
      <w:r w:rsidRPr="00611E7E">
        <w:rPr>
          <w:rFonts w:asciiTheme="majorBidi" w:hAnsiTheme="majorBidi" w:cstheme="majorBidi"/>
          <w:noProof/>
          <w:sz w:val="28"/>
          <w:szCs w:val="28"/>
        </w:rPr>
        <w:t>Shalley et al., 2004</w:t>
      </w:r>
      <w:r w:rsidRPr="00611E7E">
        <w:rPr>
          <w:rFonts w:asciiTheme="majorBidi" w:hAnsiTheme="majorBidi" w:cstheme="majorBidi"/>
          <w:noProof/>
          <w:sz w:val="28"/>
          <w:szCs w:val="28"/>
          <w:rtl/>
        </w:rPr>
        <w:t>)</w:t>
      </w:r>
      <w:r w:rsidRPr="00611E7E">
        <w:rPr>
          <w:rFonts w:asciiTheme="majorBidi" w:hAnsiTheme="majorBidi" w:cstheme="majorBidi"/>
          <w:sz w:val="28"/>
          <w:szCs w:val="28"/>
          <w:rtl/>
        </w:rPr>
        <w:fldChar w:fldCharType="end"/>
      </w:r>
      <w:r w:rsidRPr="00611E7E">
        <w:rPr>
          <w:rFonts w:asciiTheme="majorBidi" w:hAnsiTheme="majorBidi" w:cstheme="majorBidi"/>
          <w:sz w:val="28"/>
          <w:szCs w:val="28"/>
          <w:rtl/>
        </w:rPr>
        <w:t xml:space="preserve">. </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لذلك، فإن المؤسسات الناجحة في تبني الإبداع تكون قادرة على تحويل الأفكار الفردية إلى تطبيقات مؤسسية ذات أثر مستدام</w:t>
      </w:r>
      <w:r w:rsidRPr="00611E7E">
        <w:rPr>
          <w:rFonts w:asciiTheme="majorBidi" w:hAnsiTheme="majorBidi" w:cstheme="majorBidi"/>
          <w:sz w:val="28"/>
          <w:szCs w:val="28"/>
        </w:rPr>
        <w:t>.</w:t>
      </w:r>
    </w:p>
    <w:p w14:paraId="68B48F9C" w14:textId="77777777" w:rsidR="006652C1" w:rsidRPr="007575D7" w:rsidRDefault="006652C1" w:rsidP="006652C1">
      <w:pPr>
        <w:bidi/>
        <w:jc w:val="both"/>
        <w:rPr>
          <w:rFonts w:asciiTheme="majorBidi" w:hAnsiTheme="majorBidi" w:cstheme="majorBidi"/>
          <w:sz w:val="28"/>
          <w:szCs w:val="28"/>
        </w:rPr>
      </w:pPr>
    </w:p>
    <w:p w14:paraId="1DCFE4E6" w14:textId="450F9767" w:rsidR="007575D7" w:rsidRPr="007575D7" w:rsidRDefault="003E3FCF" w:rsidP="007575D7">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2.2.2.2. </w:t>
      </w:r>
      <w:r w:rsidR="007575D7" w:rsidRPr="007575D7">
        <w:rPr>
          <w:rFonts w:asciiTheme="majorBidi" w:hAnsiTheme="majorBidi" w:cstheme="majorBidi"/>
          <w:b/>
          <w:bCs/>
          <w:sz w:val="28"/>
          <w:szCs w:val="28"/>
          <w:rtl/>
        </w:rPr>
        <w:t xml:space="preserve">التعريفات </w:t>
      </w:r>
    </w:p>
    <w:p w14:paraId="4B8D0805" w14:textId="6C40DDC0" w:rsidR="007575D7" w:rsidRPr="007575D7" w:rsidRDefault="007575D7" w:rsidP="007575D7">
      <w:pPr>
        <w:numPr>
          <w:ilvl w:val="0"/>
          <w:numId w:val="4"/>
        </w:numPr>
        <w:bidi/>
        <w:rPr>
          <w:rFonts w:asciiTheme="majorBidi" w:hAnsiTheme="majorBidi" w:cstheme="majorBidi"/>
          <w:sz w:val="28"/>
          <w:szCs w:val="28"/>
        </w:rPr>
      </w:pPr>
      <w:r w:rsidRPr="007575D7">
        <w:rPr>
          <w:rFonts w:asciiTheme="majorBidi" w:hAnsiTheme="majorBidi" w:cstheme="majorBidi"/>
          <w:b/>
          <w:bCs/>
          <w:sz w:val="28"/>
          <w:szCs w:val="28"/>
        </w:rPr>
        <w:t>Anderson et al. (2014)</w:t>
      </w:r>
      <w:r w:rsidR="003E3FCF" w:rsidRPr="00DC3DDE">
        <w:rPr>
          <w:rFonts w:asciiTheme="majorBidi" w:hAnsiTheme="majorBidi" w:cstheme="majorBidi"/>
          <w:sz w:val="28"/>
          <w:szCs w:val="28"/>
          <w:rtl/>
        </w:rPr>
        <w:t>:</w:t>
      </w:r>
      <w:r w:rsidRPr="007575D7">
        <w:rPr>
          <w:rFonts w:asciiTheme="majorBidi" w:hAnsiTheme="majorBidi" w:cstheme="majorBidi"/>
          <w:sz w:val="28"/>
          <w:szCs w:val="28"/>
        </w:rPr>
        <w:t xml:space="preserve"> </w:t>
      </w:r>
      <w:r w:rsidRPr="007575D7">
        <w:rPr>
          <w:rFonts w:asciiTheme="majorBidi" w:hAnsiTheme="majorBidi" w:cstheme="majorBidi"/>
          <w:sz w:val="28"/>
          <w:szCs w:val="28"/>
          <w:rtl/>
        </w:rPr>
        <w:t>قدرة الفرد على إنتاج أفكار أو حلول جديدة وملائمة لمشكلات أو فرص ضمن سياق العمل</w:t>
      </w:r>
      <w:r w:rsidRPr="007575D7">
        <w:rPr>
          <w:rFonts w:asciiTheme="majorBidi" w:hAnsiTheme="majorBidi" w:cstheme="majorBidi"/>
          <w:sz w:val="28"/>
          <w:szCs w:val="28"/>
        </w:rPr>
        <w:t>.</w:t>
      </w:r>
    </w:p>
    <w:p w14:paraId="7C79980E" w14:textId="6FAA2FDE" w:rsidR="007575D7" w:rsidRPr="007575D7" w:rsidRDefault="007575D7" w:rsidP="007575D7">
      <w:pPr>
        <w:numPr>
          <w:ilvl w:val="0"/>
          <w:numId w:val="4"/>
        </w:numPr>
        <w:bidi/>
        <w:rPr>
          <w:rFonts w:asciiTheme="majorBidi" w:hAnsiTheme="majorBidi" w:cstheme="majorBidi"/>
          <w:sz w:val="28"/>
          <w:szCs w:val="28"/>
        </w:rPr>
      </w:pPr>
      <w:r w:rsidRPr="007575D7">
        <w:rPr>
          <w:rFonts w:asciiTheme="majorBidi" w:hAnsiTheme="majorBidi" w:cstheme="majorBidi"/>
          <w:b/>
          <w:bCs/>
          <w:sz w:val="28"/>
          <w:szCs w:val="28"/>
        </w:rPr>
        <w:t>Shalley et al. (2004)</w:t>
      </w:r>
      <w:r w:rsidR="003E3FCF" w:rsidRPr="00DC3DDE">
        <w:rPr>
          <w:rFonts w:asciiTheme="majorBidi" w:hAnsiTheme="majorBidi" w:cstheme="majorBidi"/>
          <w:sz w:val="28"/>
          <w:szCs w:val="28"/>
          <w:rtl/>
        </w:rPr>
        <w:t>:</w:t>
      </w:r>
      <w:r w:rsidRPr="007575D7">
        <w:rPr>
          <w:rFonts w:asciiTheme="majorBidi" w:hAnsiTheme="majorBidi" w:cstheme="majorBidi"/>
          <w:sz w:val="28"/>
          <w:szCs w:val="28"/>
        </w:rPr>
        <w:t xml:space="preserve"> </w:t>
      </w:r>
      <w:r w:rsidRPr="007575D7">
        <w:rPr>
          <w:rFonts w:asciiTheme="majorBidi" w:hAnsiTheme="majorBidi" w:cstheme="majorBidi"/>
          <w:sz w:val="28"/>
          <w:szCs w:val="28"/>
          <w:rtl/>
        </w:rPr>
        <w:t>عملية توليد أفكار جديدة ومفيدة تتعلق بالمنتجات أو الخدمات أو العمليات التي تؤديها المنظمة</w:t>
      </w:r>
      <w:r w:rsidRPr="007575D7">
        <w:rPr>
          <w:rFonts w:asciiTheme="majorBidi" w:hAnsiTheme="majorBidi" w:cstheme="majorBidi"/>
          <w:sz w:val="28"/>
          <w:szCs w:val="28"/>
        </w:rPr>
        <w:t>.</w:t>
      </w:r>
    </w:p>
    <w:p w14:paraId="5FCB5508" w14:textId="3A384599" w:rsidR="007575D7" w:rsidRPr="007575D7" w:rsidRDefault="007575D7" w:rsidP="007575D7">
      <w:pPr>
        <w:numPr>
          <w:ilvl w:val="0"/>
          <w:numId w:val="4"/>
        </w:numPr>
        <w:bidi/>
        <w:rPr>
          <w:rFonts w:asciiTheme="majorBidi" w:hAnsiTheme="majorBidi" w:cstheme="majorBidi"/>
          <w:sz w:val="28"/>
          <w:szCs w:val="28"/>
        </w:rPr>
      </w:pPr>
      <w:r w:rsidRPr="007575D7">
        <w:rPr>
          <w:rFonts w:asciiTheme="majorBidi" w:hAnsiTheme="majorBidi" w:cstheme="majorBidi"/>
          <w:b/>
          <w:bCs/>
          <w:sz w:val="28"/>
          <w:szCs w:val="28"/>
        </w:rPr>
        <w:t>Amabile (1988)</w:t>
      </w:r>
      <w:r w:rsidR="003E3FCF" w:rsidRPr="00DC3DDE">
        <w:rPr>
          <w:rFonts w:asciiTheme="majorBidi" w:hAnsiTheme="majorBidi" w:cstheme="majorBidi"/>
          <w:sz w:val="28"/>
          <w:szCs w:val="28"/>
          <w:rtl/>
        </w:rPr>
        <w:t>:</w:t>
      </w:r>
      <w:r w:rsidRPr="007575D7">
        <w:rPr>
          <w:rFonts w:asciiTheme="majorBidi" w:hAnsiTheme="majorBidi" w:cstheme="majorBidi"/>
          <w:sz w:val="28"/>
          <w:szCs w:val="28"/>
        </w:rPr>
        <w:t xml:space="preserve"> </w:t>
      </w:r>
      <w:r w:rsidRPr="007575D7">
        <w:rPr>
          <w:rFonts w:asciiTheme="majorBidi" w:hAnsiTheme="majorBidi" w:cstheme="majorBidi"/>
          <w:sz w:val="28"/>
          <w:szCs w:val="28"/>
          <w:rtl/>
        </w:rPr>
        <w:t>التفاعل بين القدرات المعرفية، والمهارات الإبداعية، والدافعية الداخلية لإنتاج عمل أصيل وذو قيمة</w:t>
      </w:r>
      <w:r w:rsidRPr="007575D7">
        <w:rPr>
          <w:rFonts w:asciiTheme="majorBidi" w:hAnsiTheme="majorBidi" w:cstheme="majorBidi"/>
          <w:sz w:val="28"/>
          <w:szCs w:val="28"/>
        </w:rPr>
        <w:t>.</w:t>
      </w:r>
    </w:p>
    <w:p w14:paraId="10D4775F" w14:textId="1B283170" w:rsidR="006652C1" w:rsidRPr="004675F9" w:rsidRDefault="007575D7" w:rsidP="004675F9">
      <w:pPr>
        <w:numPr>
          <w:ilvl w:val="0"/>
          <w:numId w:val="4"/>
        </w:numPr>
        <w:bidi/>
        <w:rPr>
          <w:rFonts w:asciiTheme="majorBidi" w:hAnsiTheme="majorBidi" w:cstheme="majorBidi"/>
          <w:sz w:val="28"/>
          <w:szCs w:val="28"/>
        </w:rPr>
      </w:pPr>
      <w:r w:rsidRPr="007575D7">
        <w:rPr>
          <w:rFonts w:asciiTheme="majorBidi" w:hAnsiTheme="majorBidi" w:cstheme="majorBidi"/>
          <w:b/>
          <w:bCs/>
          <w:sz w:val="28"/>
          <w:szCs w:val="28"/>
        </w:rPr>
        <w:t>Guilford (1967)</w:t>
      </w:r>
      <w:r w:rsidR="003E3FCF" w:rsidRPr="00DC3DDE">
        <w:rPr>
          <w:rFonts w:asciiTheme="majorBidi" w:hAnsiTheme="majorBidi" w:cstheme="majorBidi"/>
          <w:sz w:val="28"/>
          <w:szCs w:val="28"/>
          <w:rtl/>
        </w:rPr>
        <w:t>:</w:t>
      </w:r>
      <w:r w:rsidRPr="007575D7">
        <w:rPr>
          <w:rFonts w:asciiTheme="majorBidi" w:hAnsiTheme="majorBidi" w:cstheme="majorBidi"/>
          <w:sz w:val="28"/>
          <w:szCs w:val="28"/>
        </w:rPr>
        <w:t xml:space="preserve"> </w:t>
      </w:r>
      <w:r w:rsidRPr="007575D7">
        <w:rPr>
          <w:rFonts w:asciiTheme="majorBidi" w:hAnsiTheme="majorBidi" w:cstheme="majorBidi"/>
          <w:sz w:val="28"/>
          <w:szCs w:val="28"/>
          <w:rtl/>
        </w:rPr>
        <w:t>قدرة عقلية تتمثل في التفكير المتشعب، وتوليد أكبر عدد ممكن من الأفكار المتنوعة والملائمة لحل مشكلة ما</w:t>
      </w:r>
      <w:r w:rsidRPr="007575D7">
        <w:rPr>
          <w:rFonts w:asciiTheme="majorBidi" w:hAnsiTheme="majorBidi" w:cstheme="majorBidi"/>
          <w:sz w:val="28"/>
          <w:szCs w:val="28"/>
        </w:rPr>
        <w:t>.</w:t>
      </w:r>
    </w:p>
    <w:p w14:paraId="17D3B614" w14:textId="5209F1AA" w:rsidR="007575D7" w:rsidRPr="007575D7" w:rsidRDefault="003E3FCF" w:rsidP="007575D7">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2.2.2.3. </w:t>
      </w:r>
      <w:r w:rsidR="007575D7" w:rsidRPr="007575D7">
        <w:rPr>
          <w:rFonts w:asciiTheme="majorBidi" w:hAnsiTheme="majorBidi" w:cstheme="majorBidi"/>
          <w:b/>
          <w:bCs/>
          <w:sz w:val="28"/>
          <w:szCs w:val="28"/>
          <w:rtl/>
        </w:rPr>
        <w:t>تعريف ا</w:t>
      </w:r>
      <w:r w:rsidR="00E068F4">
        <w:rPr>
          <w:rFonts w:asciiTheme="majorBidi" w:hAnsiTheme="majorBidi" w:cstheme="majorBidi" w:hint="cs"/>
          <w:b/>
          <w:bCs/>
          <w:sz w:val="28"/>
          <w:szCs w:val="28"/>
          <w:rtl/>
        </w:rPr>
        <w:t>لباحث</w:t>
      </w:r>
    </w:p>
    <w:p w14:paraId="4F7279F6" w14:textId="4BF24529" w:rsidR="006652C1" w:rsidRPr="007575D7" w:rsidRDefault="00E068F4" w:rsidP="006652C1">
      <w:pPr>
        <w:bidi/>
        <w:jc w:val="both"/>
        <w:rPr>
          <w:rFonts w:asciiTheme="majorBidi" w:hAnsiTheme="majorBidi" w:cstheme="majorBidi"/>
          <w:sz w:val="28"/>
          <w:szCs w:val="28"/>
        </w:rPr>
      </w:pPr>
      <w:proofErr w:type="spellStart"/>
      <w:r w:rsidRPr="00E068F4">
        <w:rPr>
          <w:rFonts w:asciiTheme="majorBidi" w:hAnsiTheme="majorBidi" w:cstheme="majorBidi"/>
          <w:sz w:val="28"/>
          <w:szCs w:val="28"/>
          <w:rtl/>
        </w:rPr>
        <w:t>ﻣﻤﺎ</w:t>
      </w:r>
      <w:proofErr w:type="spellEnd"/>
      <w:r w:rsidRPr="00E068F4">
        <w:rPr>
          <w:rFonts w:asciiTheme="majorBidi" w:hAnsiTheme="majorBidi" w:cstheme="majorBidi"/>
          <w:sz w:val="28"/>
          <w:szCs w:val="28"/>
          <w:rtl/>
        </w:rPr>
        <w:t xml:space="preserve"> </w:t>
      </w:r>
      <w:proofErr w:type="spellStart"/>
      <w:r w:rsidRPr="00E068F4">
        <w:rPr>
          <w:rFonts w:asciiTheme="majorBidi" w:hAnsiTheme="majorBidi" w:cstheme="majorBidi"/>
          <w:sz w:val="28"/>
          <w:szCs w:val="28"/>
          <w:rtl/>
        </w:rPr>
        <w:t>ﺳﺒﻖ</w:t>
      </w:r>
      <w:proofErr w:type="spellEnd"/>
      <w:r w:rsidRPr="00E068F4">
        <w:rPr>
          <w:rFonts w:asciiTheme="majorBidi" w:hAnsiTheme="majorBidi" w:cstheme="majorBidi"/>
          <w:sz w:val="28"/>
          <w:szCs w:val="28"/>
          <w:rtl/>
        </w:rPr>
        <w:t xml:space="preserve"> </w:t>
      </w:r>
      <w:r w:rsidR="00611E7E">
        <w:rPr>
          <w:rFonts w:asciiTheme="majorBidi" w:hAnsiTheme="majorBidi" w:cstheme="majorBidi" w:hint="cs"/>
          <w:sz w:val="28"/>
          <w:szCs w:val="28"/>
          <w:rtl/>
        </w:rPr>
        <w:t xml:space="preserve">يعرف </w:t>
      </w:r>
      <w:proofErr w:type="gramStart"/>
      <w:r w:rsidR="00611E7E">
        <w:rPr>
          <w:rFonts w:asciiTheme="majorBidi" w:hAnsiTheme="majorBidi" w:cstheme="majorBidi" w:hint="cs"/>
          <w:sz w:val="28"/>
          <w:szCs w:val="28"/>
          <w:rtl/>
        </w:rPr>
        <w:t>الباحث</w:t>
      </w:r>
      <w:r w:rsidRPr="00E068F4">
        <w:rPr>
          <w:rFonts w:asciiTheme="majorBidi" w:hAnsiTheme="majorBidi" w:cstheme="majorBidi"/>
          <w:sz w:val="28"/>
          <w:szCs w:val="28"/>
          <w:rtl/>
        </w:rPr>
        <w:t xml:space="preserve"> </w:t>
      </w:r>
      <w:r w:rsidR="00611E7E">
        <w:rPr>
          <w:rFonts w:asciiTheme="majorBidi" w:hAnsiTheme="majorBidi" w:cstheme="majorBidi" w:hint="cs"/>
          <w:sz w:val="28"/>
          <w:szCs w:val="28"/>
          <w:rtl/>
        </w:rPr>
        <w:t>:</w:t>
      </w:r>
      <w:proofErr w:type="gramEnd"/>
      <w:r w:rsidR="007575D7" w:rsidRPr="007575D7">
        <w:rPr>
          <w:rFonts w:asciiTheme="majorBidi" w:hAnsiTheme="majorBidi" w:cstheme="majorBidi"/>
          <w:sz w:val="28"/>
          <w:szCs w:val="28"/>
          <w:rtl/>
        </w:rPr>
        <w:t xml:space="preserve"> ب</w:t>
      </w:r>
      <w:r w:rsidR="00611E7E">
        <w:rPr>
          <w:rFonts w:asciiTheme="majorBidi" w:hAnsiTheme="majorBidi" w:cstheme="majorBidi" w:hint="cs"/>
          <w:sz w:val="28"/>
          <w:szCs w:val="28"/>
          <w:rtl/>
        </w:rPr>
        <w:t>ان</w:t>
      </w:r>
      <w:r w:rsidR="007575D7" w:rsidRPr="007575D7">
        <w:rPr>
          <w:rFonts w:asciiTheme="majorBidi" w:hAnsiTheme="majorBidi" w:cstheme="majorBidi"/>
          <w:sz w:val="28"/>
          <w:szCs w:val="28"/>
          <w:rtl/>
        </w:rPr>
        <w:t xml:space="preserve"> </w:t>
      </w:r>
      <w:r w:rsidR="007575D7" w:rsidRPr="007575D7">
        <w:rPr>
          <w:rFonts w:asciiTheme="majorBidi" w:hAnsiTheme="majorBidi" w:cstheme="majorBidi"/>
          <w:b/>
          <w:bCs/>
          <w:sz w:val="28"/>
          <w:szCs w:val="28"/>
          <w:rtl/>
        </w:rPr>
        <w:t>الإبداع الوظيفي</w:t>
      </w:r>
      <w:r w:rsidR="003E3FCF" w:rsidRPr="00DC3DDE">
        <w:rPr>
          <w:rFonts w:asciiTheme="majorBidi" w:hAnsiTheme="majorBidi" w:cstheme="majorBidi"/>
          <w:sz w:val="28"/>
          <w:szCs w:val="28"/>
          <w:rtl/>
        </w:rPr>
        <w:t>:</w:t>
      </w:r>
      <w:r w:rsidR="007575D7" w:rsidRPr="007575D7">
        <w:rPr>
          <w:rFonts w:asciiTheme="majorBidi" w:hAnsiTheme="majorBidi" w:cstheme="majorBidi"/>
          <w:sz w:val="28"/>
          <w:szCs w:val="28"/>
        </w:rPr>
        <w:t xml:space="preserve"> </w:t>
      </w:r>
      <w:r w:rsidR="007575D7" w:rsidRPr="007575D7">
        <w:rPr>
          <w:rFonts w:asciiTheme="majorBidi" w:hAnsiTheme="majorBidi" w:cstheme="majorBidi"/>
          <w:i/>
          <w:iCs/>
          <w:sz w:val="28"/>
          <w:szCs w:val="28"/>
          <w:rtl/>
        </w:rPr>
        <w:t>مدى قدرة العاملين في مؤسسات الضيافة بمدينة الرياض على ابتكار أفكار وأساليب عمل جديدة وملائمة، تسهم في تحسين الخدمات ورفع جودة الأداء، ويتم ذلك في إطار بيئة تنظيمية داعمة ومحفزة</w:t>
      </w:r>
      <w:r w:rsidR="007575D7" w:rsidRPr="007575D7">
        <w:rPr>
          <w:rFonts w:asciiTheme="majorBidi" w:hAnsiTheme="majorBidi" w:cstheme="majorBidi"/>
          <w:sz w:val="28"/>
          <w:szCs w:val="28"/>
        </w:rPr>
        <w:t>.</w:t>
      </w:r>
    </w:p>
    <w:p w14:paraId="3E9FE31A" w14:textId="3BD1D54E" w:rsidR="007575D7" w:rsidRPr="007575D7" w:rsidRDefault="003E3FCF" w:rsidP="007575D7">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2.2.2.4. </w:t>
      </w:r>
      <w:r w:rsidR="007575D7" w:rsidRPr="007575D7">
        <w:rPr>
          <w:rFonts w:asciiTheme="majorBidi" w:hAnsiTheme="majorBidi" w:cstheme="majorBidi"/>
          <w:b/>
          <w:bCs/>
          <w:sz w:val="28"/>
          <w:szCs w:val="28"/>
          <w:rtl/>
        </w:rPr>
        <w:t>الأبعاد</w:t>
      </w:r>
    </w:p>
    <w:p w14:paraId="16D834CA" w14:textId="77777777" w:rsidR="007575D7" w:rsidRPr="007575D7" w:rsidRDefault="007575D7" w:rsidP="007575D7">
      <w:pPr>
        <w:bidi/>
        <w:rPr>
          <w:rFonts w:asciiTheme="majorBidi" w:hAnsiTheme="majorBidi" w:cstheme="majorBidi"/>
          <w:sz w:val="28"/>
          <w:szCs w:val="28"/>
        </w:rPr>
      </w:pPr>
      <w:r w:rsidRPr="007575D7">
        <w:rPr>
          <w:rFonts w:asciiTheme="majorBidi" w:hAnsiTheme="majorBidi" w:cstheme="majorBidi"/>
          <w:sz w:val="28"/>
          <w:szCs w:val="28"/>
          <w:rtl/>
        </w:rPr>
        <w:t>يمكن تقسيم الإبداع الوظيفي إلى مجموعة أبعاد أساسية</w:t>
      </w:r>
      <w:r w:rsidRPr="007575D7">
        <w:rPr>
          <w:rFonts w:asciiTheme="majorBidi" w:hAnsiTheme="majorBidi" w:cstheme="majorBidi"/>
          <w:sz w:val="28"/>
          <w:szCs w:val="28"/>
        </w:rPr>
        <w:t>:</w:t>
      </w:r>
    </w:p>
    <w:p w14:paraId="7F6DE2C6" w14:textId="6D42205E" w:rsidR="007575D7" w:rsidRPr="007575D7" w:rsidRDefault="007575D7" w:rsidP="007575D7">
      <w:pPr>
        <w:numPr>
          <w:ilvl w:val="0"/>
          <w:numId w:val="5"/>
        </w:numPr>
        <w:bidi/>
        <w:rPr>
          <w:rFonts w:asciiTheme="majorBidi" w:hAnsiTheme="majorBidi" w:cstheme="majorBidi"/>
          <w:sz w:val="28"/>
          <w:szCs w:val="28"/>
        </w:rPr>
      </w:pPr>
      <w:r w:rsidRPr="007575D7">
        <w:rPr>
          <w:rFonts w:asciiTheme="majorBidi" w:hAnsiTheme="majorBidi" w:cstheme="majorBidi"/>
          <w:b/>
          <w:bCs/>
          <w:sz w:val="28"/>
          <w:szCs w:val="28"/>
          <w:rtl/>
        </w:rPr>
        <w:t>توليد الأفكار</w:t>
      </w:r>
      <w:r w:rsidR="003E3FCF" w:rsidRPr="00DC3DDE">
        <w:rPr>
          <w:rFonts w:asciiTheme="majorBidi" w:hAnsiTheme="majorBidi" w:cstheme="majorBidi"/>
          <w:b/>
          <w:bCs/>
          <w:sz w:val="28"/>
          <w:szCs w:val="28"/>
          <w:rtl/>
        </w:rPr>
        <w:t xml:space="preserve"> </w:t>
      </w:r>
      <w:r w:rsidRPr="007575D7">
        <w:rPr>
          <w:rFonts w:asciiTheme="majorBidi" w:hAnsiTheme="majorBidi" w:cstheme="majorBidi"/>
          <w:b/>
          <w:bCs/>
          <w:sz w:val="28"/>
          <w:szCs w:val="28"/>
        </w:rPr>
        <w:t>(Idea Generation)</w:t>
      </w:r>
    </w:p>
    <w:p w14:paraId="481387C9" w14:textId="7ED602A6" w:rsidR="00BD395F" w:rsidRPr="00DC3DDE" w:rsidRDefault="007575D7" w:rsidP="007575D7">
      <w:pPr>
        <w:numPr>
          <w:ilvl w:val="1"/>
          <w:numId w:val="5"/>
        </w:numPr>
        <w:bidi/>
        <w:rPr>
          <w:rFonts w:asciiTheme="majorBidi" w:hAnsiTheme="majorBidi" w:cstheme="majorBidi"/>
          <w:sz w:val="28"/>
          <w:szCs w:val="28"/>
        </w:rPr>
      </w:pPr>
      <w:r w:rsidRPr="007575D7">
        <w:rPr>
          <w:rFonts w:asciiTheme="majorBidi" w:hAnsiTheme="majorBidi" w:cstheme="majorBidi"/>
          <w:sz w:val="28"/>
          <w:szCs w:val="28"/>
          <w:rtl/>
        </w:rPr>
        <w:lastRenderedPageBreak/>
        <w:t>إنتاج أكبر عدد ممكن من الأفكار الجديدة والمفيدة</w:t>
      </w:r>
      <w:r w:rsidR="00BD395F" w:rsidRPr="00DC3DDE">
        <w:rPr>
          <w:rFonts w:asciiTheme="majorBidi" w:hAnsiTheme="majorBidi" w:cstheme="majorBidi"/>
          <w:sz w:val="28"/>
          <w:szCs w:val="28"/>
          <w:rtl/>
        </w:rPr>
        <w:t xml:space="preserve"> </w:t>
      </w:r>
      <w:r w:rsidR="00A86179" w:rsidRPr="00DC3DDE">
        <w:rPr>
          <w:rFonts w:asciiTheme="majorBidi" w:hAnsiTheme="majorBidi" w:cstheme="majorBidi"/>
          <w:sz w:val="28"/>
          <w:szCs w:val="28"/>
          <w:rtl/>
        </w:rPr>
        <w:fldChar w:fldCharType="begin">
          <w:fldData xml:space="preserve">PEVuZE5vdGU+PENpdGU+PEF1dGhvcj5HdWlsZm9yZDwvQXV0aG9yPjxZZWFyPjE5NTA8L1llYXI+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</w:fldData>
        </w:fldChar>
      </w:r>
      <w:r w:rsidR="00A86179" w:rsidRPr="00DC3DDE">
        <w:rPr>
          <w:rFonts w:asciiTheme="majorBidi" w:hAnsiTheme="majorBidi" w:cstheme="majorBidi"/>
          <w:sz w:val="28"/>
          <w:szCs w:val="28"/>
          <w:rtl/>
        </w:rPr>
        <w:instrText xml:space="preserve"> </w:instrText>
      </w:r>
      <w:r w:rsidR="00A86179" w:rsidRPr="00DC3DDE">
        <w:rPr>
          <w:rFonts w:asciiTheme="majorBidi" w:hAnsiTheme="majorBidi" w:cstheme="majorBidi"/>
          <w:sz w:val="28"/>
          <w:szCs w:val="28"/>
        </w:rPr>
        <w:instrText>ADDIN EN.CITE</w:instrText>
      </w:r>
      <w:r w:rsidR="00A86179" w:rsidRPr="00DC3DDE">
        <w:rPr>
          <w:rFonts w:asciiTheme="majorBidi" w:hAnsiTheme="majorBidi" w:cstheme="majorBidi"/>
          <w:sz w:val="28"/>
          <w:szCs w:val="28"/>
          <w:rtl/>
        </w:rPr>
        <w:instrText xml:space="preserve"> </w:instrText>
      </w:r>
      <w:r w:rsidR="00A86179" w:rsidRPr="00DC3DDE">
        <w:rPr>
          <w:rFonts w:asciiTheme="majorBidi" w:hAnsiTheme="majorBidi" w:cstheme="majorBidi"/>
          <w:sz w:val="28"/>
          <w:szCs w:val="28"/>
          <w:rtl/>
        </w:rPr>
        <w:fldChar w:fldCharType="begin">
          <w:fldData xml:space="preserve">PEVuZE5vdGU+PENpdGU+PEF1dGhvcj5HdWlsZm9yZDwvQXV0aG9yPjxZZWFyPjE5NTA8L1llYXI+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</w:fldData>
        </w:fldChar>
      </w:r>
      <w:r w:rsidR="00A86179" w:rsidRPr="00DC3DDE">
        <w:rPr>
          <w:rFonts w:asciiTheme="majorBidi" w:hAnsiTheme="majorBidi" w:cstheme="majorBidi"/>
          <w:sz w:val="28"/>
          <w:szCs w:val="28"/>
          <w:rtl/>
        </w:rPr>
        <w:instrText xml:space="preserve"> </w:instrText>
      </w:r>
      <w:r w:rsidR="00A86179" w:rsidRPr="00DC3DDE">
        <w:rPr>
          <w:rFonts w:asciiTheme="majorBidi" w:hAnsiTheme="majorBidi" w:cstheme="majorBidi"/>
          <w:sz w:val="28"/>
          <w:szCs w:val="28"/>
        </w:rPr>
        <w:instrText>ADDIN EN.CITE.DATA</w:instrText>
      </w:r>
      <w:r w:rsidR="00A86179" w:rsidRPr="00DC3DDE">
        <w:rPr>
          <w:rFonts w:asciiTheme="majorBidi" w:hAnsiTheme="majorBidi" w:cstheme="majorBidi"/>
          <w:sz w:val="28"/>
          <w:szCs w:val="28"/>
          <w:rtl/>
        </w:rPr>
        <w:instrText xml:space="preserve"> </w:instrText>
      </w:r>
      <w:r w:rsidR="00A86179" w:rsidRPr="00DC3DDE">
        <w:rPr>
          <w:rFonts w:asciiTheme="majorBidi" w:hAnsiTheme="majorBidi" w:cstheme="majorBidi"/>
          <w:sz w:val="28"/>
          <w:szCs w:val="28"/>
          <w:rtl/>
        </w:rPr>
      </w:r>
      <w:r w:rsidR="00A86179" w:rsidRPr="00DC3DDE">
        <w:rPr>
          <w:rFonts w:asciiTheme="majorBidi" w:hAnsiTheme="majorBidi" w:cstheme="majorBidi"/>
          <w:sz w:val="28"/>
          <w:szCs w:val="28"/>
          <w:rtl/>
        </w:rPr>
        <w:fldChar w:fldCharType="end"/>
      </w:r>
      <w:r w:rsidR="00A86179" w:rsidRPr="00DC3DDE">
        <w:rPr>
          <w:rFonts w:asciiTheme="majorBidi" w:hAnsiTheme="majorBidi" w:cstheme="majorBidi"/>
          <w:sz w:val="28"/>
          <w:szCs w:val="28"/>
          <w:rtl/>
        </w:rPr>
      </w:r>
      <w:r w:rsidR="00A86179" w:rsidRPr="00DC3DDE">
        <w:rPr>
          <w:rFonts w:asciiTheme="majorBidi" w:hAnsiTheme="majorBidi" w:cstheme="majorBidi"/>
          <w:sz w:val="28"/>
          <w:szCs w:val="28"/>
          <w:rtl/>
        </w:rPr>
        <w:fldChar w:fldCharType="separate"/>
      </w:r>
      <w:r w:rsidR="00A86179" w:rsidRPr="00DC3DDE">
        <w:rPr>
          <w:rFonts w:asciiTheme="majorBidi" w:hAnsiTheme="majorBidi" w:cstheme="majorBidi"/>
          <w:noProof/>
          <w:sz w:val="28"/>
          <w:szCs w:val="28"/>
          <w:rtl/>
        </w:rPr>
        <w:t>(</w:t>
      </w:r>
      <w:r w:rsidR="00A86179" w:rsidRPr="00DC3DDE">
        <w:rPr>
          <w:rFonts w:asciiTheme="majorBidi" w:hAnsiTheme="majorBidi" w:cstheme="majorBidi"/>
          <w:noProof/>
          <w:sz w:val="28"/>
          <w:szCs w:val="28"/>
        </w:rPr>
        <w:t>Guilford, 1950, Shalley and Gilson, 2004, Shalley et al., 2004</w:t>
      </w:r>
      <w:r w:rsidR="00A86179" w:rsidRPr="00DC3DDE">
        <w:rPr>
          <w:rFonts w:asciiTheme="majorBidi" w:hAnsiTheme="majorBidi" w:cstheme="majorBidi"/>
          <w:noProof/>
          <w:sz w:val="28"/>
          <w:szCs w:val="28"/>
          <w:rtl/>
        </w:rPr>
        <w:t>)</w:t>
      </w:r>
      <w:r w:rsidR="00A86179" w:rsidRPr="00DC3DDE">
        <w:rPr>
          <w:rFonts w:asciiTheme="majorBidi" w:hAnsiTheme="majorBidi" w:cstheme="majorBidi"/>
          <w:sz w:val="28"/>
          <w:szCs w:val="28"/>
          <w:rtl/>
        </w:rPr>
        <w:fldChar w:fldCharType="end"/>
      </w:r>
      <w:r w:rsidR="00A86179" w:rsidRPr="00DC3DDE">
        <w:rPr>
          <w:rFonts w:asciiTheme="majorBidi" w:hAnsiTheme="majorBidi" w:cstheme="majorBidi"/>
          <w:sz w:val="28"/>
          <w:szCs w:val="28"/>
          <w:rtl/>
        </w:rPr>
        <w:t>.</w:t>
      </w:r>
    </w:p>
    <w:p w14:paraId="1B040F0C" w14:textId="703F94CA" w:rsidR="007575D7" w:rsidRPr="007575D7" w:rsidRDefault="007575D7" w:rsidP="007575D7">
      <w:pPr>
        <w:numPr>
          <w:ilvl w:val="0"/>
          <w:numId w:val="5"/>
        </w:numPr>
        <w:bidi/>
        <w:rPr>
          <w:rFonts w:asciiTheme="majorBidi" w:hAnsiTheme="majorBidi" w:cstheme="majorBidi"/>
          <w:sz w:val="28"/>
          <w:szCs w:val="28"/>
        </w:rPr>
      </w:pPr>
      <w:r w:rsidRPr="007575D7">
        <w:rPr>
          <w:rFonts w:asciiTheme="majorBidi" w:hAnsiTheme="majorBidi" w:cstheme="majorBidi"/>
          <w:b/>
          <w:bCs/>
          <w:sz w:val="28"/>
          <w:szCs w:val="28"/>
          <w:rtl/>
        </w:rPr>
        <w:t>تطوير الأفكار</w:t>
      </w:r>
      <w:r w:rsidR="003E3FCF" w:rsidRPr="00DC3DDE">
        <w:rPr>
          <w:rFonts w:asciiTheme="majorBidi" w:hAnsiTheme="majorBidi" w:cstheme="majorBidi"/>
          <w:b/>
          <w:bCs/>
          <w:sz w:val="28"/>
          <w:szCs w:val="28"/>
          <w:rtl/>
        </w:rPr>
        <w:t xml:space="preserve"> </w:t>
      </w:r>
      <w:r w:rsidRPr="007575D7">
        <w:rPr>
          <w:rFonts w:asciiTheme="majorBidi" w:hAnsiTheme="majorBidi" w:cstheme="majorBidi"/>
          <w:b/>
          <w:bCs/>
          <w:sz w:val="28"/>
          <w:szCs w:val="28"/>
        </w:rPr>
        <w:t>(Idea Development)</w:t>
      </w:r>
    </w:p>
    <w:p w14:paraId="05C20BCA" w14:textId="7A013397" w:rsidR="007575D7" w:rsidRPr="007575D7" w:rsidRDefault="007575D7" w:rsidP="007575D7">
      <w:pPr>
        <w:numPr>
          <w:ilvl w:val="1"/>
          <w:numId w:val="5"/>
        </w:numPr>
        <w:bidi/>
        <w:rPr>
          <w:rFonts w:asciiTheme="majorBidi" w:hAnsiTheme="majorBidi" w:cstheme="majorBidi"/>
          <w:sz w:val="28"/>
          <w:szCs w:val="28"/>
        </w:rPr>
      </w:pPr>
      <w:r w:rsidRPr="007575D7">
        <w:rPr>
          <w:rFonts w:asciiTheme="majorBidi" w:hAnsiTheme="majorBidi" w:cstheme="majorBidi"/>
          <w:sz w:val="28"/>
          <w:szCs w:val="28"/>
          <w:rtl/>
        </w:rPr>
        <w:t>تحسين وصقل الأفكار الأولية لتصبح قابلة للتطبيق</w:t>
      </w:r>
      <w:r w:rsidRPr="007575D7">
        <w:rPr>
          <w:rFonts w:asciiTheme="majorBidi" w:hAnsiTheme="majorBidi" w:cstheme="majorBidi"/>
          <w:sz w:val="28"/>
          <w:szCs w:val="28"/>
        </w:rPr>
        <w:t xml:space="preserve"> </w:t>
      </w:r>
      <w:r w:rsidR="00A86179" w:rsidRPr="00DC3DDE">
        <w:rPr>
          <w:rFonts w:asciiTheme="majorBidi" w:hAnsiTheme="majorBidi" w:cstheme="majorBidi"/>
          <w:sz w:val="28"/>
          <w:szCs w:val="28"/>
          <w:rtl/>
        </w:rPr>
        <w:t xml:space="preserve"> </w:t>
      </w:r>
      <w:r w:rsidR="00A86179" w:rsidRPr="00DC3DDE">
        <w:rPr>
          <w:rFonts w:asciiTheme="majorBidi" w:hAnsiTheme="majorBidi" w:cstheme="majorBidi"/>
          <w:sz w:val="28"/>
          <w:szCs w:val="28"/>
          <w:rtl/>
        </w:rPr>
        <w:fldChar w:fldCharType="begin"/>
      </w:r>
      <w:r w:rsidR="00A86179" w:rsidRPr="00DC3DDE">
        <w:rPr>
          <w:rFonts w:asciiTheme="majorBidi" w:hAnsiTheme="majorBidi" w:cstheme="majorBidi"/>
          <w:sz w:val="28"/>
          <w:szCs w:val="28"/>
          <w:rtl/>
        </w:rPr>
        <w:instrText xml:space="preserve"> </w:instrText>
      </w:r>
      <w:r w:rsidR="00A86179" w:rsidRPr="00DC3DDE">
        <w:rPr>
          <w:rFonts w:asciiTheme="majorBidi" w:hAnsiTheme="majorBidi" w:cstheme="majorBidi"/>
          <w:sz w:val="28"/>
          <w:szCs w:val="28"/>
        </w:rPr>
        <w:instrText>ADDIN EN.CITE &lt;EndNote&gt;&lt;Cite&gt;&lt;Author&gt;Amabile&lt;/Author&gt;&lt;Year&gt;1988&lt;/Year&gt;&lt;RecNum&gt;2758&lt;/RecNum&gt;&lt;DisplayText&gt;(Amabile, 1988)&lt;/DisplayText&gt;&lt;record&gt;&lt;rec-number&gt;2758&lt;/rec-number&gt;&lt;foreign-keys&gt;&lt;key app="EN" db-id="t5vttv59or5xwbe2zdm5ewrxd905arrpawff" timestamp</w:instrText>
      </w:r>
      <w:r w:rsidR="00A86179" w:rsidRPr="00DC3DDE">
        <w:rPr>
          <w:rFonts w:asciiTheme="majorBidi" w:hAnsiTheme="majorBidi" w:cstheme="majorBidi"/>
          <w:sz w:val="28"/>
          <w:szCs w:val="28"/>
          <w:rtl/>
        </w:rPr>
        <w:instrText>="1748370214"&gt;2758&lt;/</w:instrText>
      </w:r>
      <w:r w:rsidR="00A86179" w:rsidRPr="00DC3DDE">
        <w:rPr>
          <w:rFonts w:asciiTheme="majorBidi" w:hAnsiTheme="majorBidi" w:cstheme="majorBidi"/>
          <w:sz w:val="28"/>
          <w:szCs w:val="28"/>
        </w:rPr>
        <w:instrText>key&gt;&lt;/foreign-keys&gt;&lt;ref-type name="Journal Article"&gt;17&lt;/ref-type&gt;&lt;contributors&gt;&lt;authors&gt;&lt;author&gt;Amabile, Teresa M&lt;/author&gt;&lt;/authors&gt;&lt;/contributors&gt;&lt;titles&gt;&lt;title&gt;A model of creativity and innovation in organizations&lt;/title&gt;&lt;secondary-title&gt;Research in organizational behavior&lt;/secondary-title&gt;&lt;/titles&gt;&lt;periodical&gt;&lt;full-title&gt;Research in organizational behavior&lt;/full-title&gt;&lt;/periodical&gt;&lt;pages&gt;123-167&lt;/pages&gt;&lt;volume&gt;10&lt;/volume&gt;&lt;number&gt;1&lt;/number&gt;&lt;dates&gt;&lt;year&gt;1988&lt;/year&gt;&lt;/dates&gt;&lt;urls&gt;&lt;/urls</w:instrText>
      </w:r>
      <w:r w:rsidR="00A86179" w:rsidRPr="00DC3DDE">
        <w:rPr>
          <w:rFonts w:asciiTheme="majorBidi" w:hAnsiTheme="majorBidi" w:cstheme="majorBidi"/>
          <w:sz w:val="28"/>
          <w:szCs w:val="28"/>
          <w:rtl/>
        </w:rPr>
        <w:instrText>&gt;&lt;/</w:instrText>
      </w:r>
      <w:r w:rsidR="00A86179" w:rsidRPr="00DC3DDE">
        <w:rPr>
          <w:rFonts w:asciiTheme="majorBidi" w:hAnsiTheme="majorBidi" w:cstheme="majorBidi"/>
          <w:sz w:val="28"/>
          <w:szCs w:val="28"/>
        </w:rPr>
        <w:instrText>record&gt;&lt;/Cite&gt;&lt;/EndNote</w:instrText>
      </w:r>
      <w:r w:rsidR="00A86179" w:rsidRPr="00DC3DDE">
        <w:rPr>
          <w:rFonts w:asciiTheme="majorBidi" w:hAnsiTheme="majorBidi" w:cstheme="majorBidi"/>
          <w:sz w:val="28"/>
          <w:szCs w:val="28"/>
          <w:rtl/>
        </w:rPr>
        <w:instrText>&gt;</w:instrText>
      </w:r>
      <w:r w:rsidR="00A86179" w:rsidRPr="00DC3DDE">
        <w:rPr>
          <w:rFonts w:asciiTheme="majorBidi" w:hAnsiTheme="majorBidi" w:cstheme="majorBidi"/>
          <w:sz w:val="28"/>
          <w:szCs w:val="28"/>
          <w:rtl/>
        </w:rPr>
        <w:fldChar w:fldCharType="separate"/>
      </w:r>
      <w:r w:rsidR="00A86179" w:rsidRPr="00DC3DDE">
        <w:rPr>
          <w:rFonts w:asciiTheme="majorBidi" w:hAnsiTheme="majorBidi" w:cstheme="majorBidi"/>
          <w:noProof/>
          <w:sz w:val="28"/>
          <w:szCs w:val="28"/>
          <w:rtl/>
        </w:rPr>
        <w:t>(</w:t>
      </w:r>
      <w:r w:rsidR="00A86179" w:rsidRPr="00DC3DDE">
        <w:rPr>
          <w:rFonts w:asciiTheme="majorBidi" w:hAnsiTheme="majorBidi" w:cstheme="majorBidi"/>
          <w:noProof/>
          <w:sz w:val="28"/>
          <w:szCs w:val="28"/>
        </w:rPr>
        <w:t>Amabile, 1988</w:t>
      </w:r>
      <w:r w:rsidR="00A86179" w:rsidRPr="00DC3DDE">
        <w:rPr>
          <w:rFonts w:asciiTheme="majorBidi" w:hAnsiTheme="majorBidi" w:cstheme="majorBidi"/>
          <w:noProof/>
          <w:sz w:val="28"/>
          <w:szCs w:val="28"/>
          <w:rtl/>
        </w:rPr>
        <w:t>)</w:t>
      </w:r>
      <w:r w:rsidR="00A86179" w:rsidRPr="00DC3DDE">
        <w:rPr>
          <w:rFonts w:asciiTheme="majorBidi" w:hAnsiTheme="majorBidi" w:cstheme="majorBidi"/>
          <w:sz w:val="28"/>
          <w:szCs w:val="28"/>
          <w:rtl/>
        </w:rPr>
        <w:fldChar w:fldCharType="end"/>
      </w:r>
      <w:r w:rsidR="00A86179" w:rsidRPr="00DC3DDE">
        <w:rPr>
          <w:rFonts w:asciiTheme="majorBidi" w:hAnsiTheme="majorBidi" w:cstheme="majorBidi"/>
          <w:sz w:val="28"/>
          <w:szCs w:val="28"/>
          <w:rtl/>
        </w:rPr>
        <w:t>.</w:t>
      </w:r>
    </w:p>
    <w:p w14:paraId="004B025A" w14:textId="6279C622" w:rsidR="007575D7" w:rsidRPr="007575D7" w:rsidRDefault="007575D7" w:rsidP="007575D7">
      <w:pPr>
        <w:numPr>
          <w:ilvl w:val="0"/>
          <w:numId w:val="5"/>
        </w:numPr>
        <w:bidi/>
        <w:rPr>
          <w:rFonts w:asciiTheme="majorBidi" w:hAnsiTheme="majorBidi" w:cstheme="majorBidi"/>
          <w:sz w:val="28"/>
          <w:szCs w:val="28"/>
        </w:rPr>
      </w:pPr>
      <w:r w:rsidRPr="007575D7">
        <w:rPr>
          <w:rFonts w:asciiTheme="majorBidi" w:hAnsiTheme="majorBidi" w:cstheme="majorBidi"/>
          <w:b/>
          <w:bCs/>
          <w:sz w:val="28"/>
          <w:szCs w:val="28"/>
          <w:rtl/>
        </w:rPr>
        <w:t>تنفيذ الأفكار</w:t>
      </w:r>
      <w:r w:rsidR="003E3FCF" w:rsidRPr="00DC3DDE">
        <w:rPr>
          <w:rFonts w:asciiTheme="majorBidi" w:hAnsiTheme="majorBidi" w:cstheme="majorBidi"/>
          <w:b/>
          <w:bCs/>
          <w:sz w:val="28"/>
          <w:szCs w:val="28"/>
          <w:rtl/>
        </w:rPr>
        <w:t xml:space="preserve"> </w:t>
      </w:r>
      <w:r w:rsidRPr="007575D7">
        <w:rPr>
          <w:rFonts w:asciiTheme="majorBidi" w:hAnsiTheme="majorBidi" w:cstheme="majorBidi"/>
          <w:b/>
          <w:bCs/>
          <w:sz w:val="28"/>
          <w:szCs w:val="28"/>
        </w:rPr>
        <w:t>(Idea Implementation)</w:t>
      </w:r>
    </w:p>
    <w:p w14:paraId="58A5F27D" w14:textId="420D403E" w:rsidR="007575D7" w:rsidRPr="007575D7" w:rsidRDefault="007575D7" w:rsidP="007575D7">
      <w:pPr>
        <w:numPr>
          <w:ilvl w:val="1"/>
          <w:numId w:val="5"/>
        </w:numPr>
        <w:bidi/>
        <w:rPr>
          <w:rFonts w:asciiTheme="majorBidi" w:hAnsiTheme="majorBidi" w:cstheme="majorBidi"/>
          <w:sz w:val="28"/>
          <w:szCs w:val="28"/>
        </w:rPr>
      </w:pPr>
      <w:r w:rsidRPr="007575D7">
        <w:rPr>
          <w:rFonts w:asciiTheme="majorBidi" w:hAnsiTheme="majorBidi" w:cstheme="majorBidi"/>
          <w:sz w:val="28"/>
          <w:szCs w:val="28"/>
          <w:rtl/>
        </w:rPr>
        <w:t>تحويل الأفكار المبدعة إلى ممارسات أو منتجات أو خدمات فعلية</w:t>
      </w:r>
      <w:r w:rsidR="00A86179" w:rsidRPr="00DC3DDE">
        <w:rPr>
          <w:rFonts w:asciiTheme="majorBidi" w:hAnsiTheme="majorBidi" w:cstheme="majorBidi"/>
          <w:sz w:val="28"/>
          <w:szCs w:val="28"/>
          <w:rtl/>
        </w:rPr>
        <w:t xml:space="preserve"> </w:t>
      </w:r>
      <w:r w:rsidR="00A86179" w:rsidRPr="00DC3DDE">
        <w:rPr>
          <w:rFonts w:asciiTheme="majorBidi" w:hAnsiTheme="majorBidi" w:cstheme="majorBidi"/>
          <w:sz w:val="28"/>
          <w:szCs w:val="28"/>
          <w:rtl/>
        </w:rPr>
        <w:fldChar w:fldCharType="begin"/>
      </w:r>
      <w:r w:rsidR="00A86179" w:rsidRPr="00DC3DDE">
        <w:rPr>
          <w:rFonts w:asciiTheme="majorBidi" w:hAnsiTheme="majorBidi" w:cstheme="majorBidi"/>
          <w:sz w:val="28"/>
          <w:szCs w:val="28"/>
          <w:rtl/>
        </w:rPr>
        <w:instrText xml:space="preserve"> </w:instrText>
      </w:r>
      <w:r w:rsidR="00A86179" w:rsidRPr="00DC3DDE">
        <w:rPr>
          <w:rFonts w:asciiTheme="majorBidi" w:hAnsiTheme="majorBidi" w:cstheme="majorBidi"/>
          <w:sz w:val="28"/>
          <w:szCs w:val="28"/>
        </w:rPr>
        <w:instrText>ADDIN EN.CITE &lt;EndNote&gt;&lt;Cite&gt;&lt;Author&gt;Anderson&lt;/Author&gt;&lt;Year&gt;2014&lt;/Year&gt;&lt;RecNum&gt;2318&lt;/RecNum&gt;&lt;DisplayText&gt;(Anderson et al., 2014)&lt;/DisplayText&gt;&lt;record&gt;&lt;rec-number&gt;2318&lt;/rec-number&gt;&lt;foreign-keys&gt;&lt;key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Neil&lt;/author&gt;&lt;author&gt;Potočnik,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EndNote</w:instrText>
      </w:r>
      <w:r w:rsidR="00A86179" w:rsidRPr="00DC3DDE">
        <w:rPr>
          <w:rFonts w:asciiTheme="majorBidi" w:hAnsiTheme="majorBidi" w:cstheme="majorBidi"/>
          <w:sz w:val="28"/>
          <w:szCs w:val="28"/>
          <w:rtl/>
        </w:rPr>
        <w:instrText>&gt;</w:instrText>
      </w:r>
      <w:r w:rsidR="00A86179" w:rsidRPr="00DC3DDE">
        <w:rPr>
          <w:rFonts w:asciiTheme="majorBidi" w:hAnsiTheme="majorBidi" w:cstheme="majorBidi"/>
          <w:sz w:val="28"/>
          <w:szCs w:val="28"/>
          <w:rtl/>
        </w:rPr>
        <w:fldChar w:fldCharType="separate"/>
      </w:r>
      <w:r w:rsidR="00A86179" w:rsidRPr="00DC3DDE">
        <w:rPr>
          <w:rFonts w:asciiTheme="majorBidi" w:hAnsiTheme="majorBidi" w:cstheme="majorBidi"/>
          <w:noProof/>
          <w:sz w:val="28"/>
          <w:szCs w:val="28"/>
          <w:rtl/>
        </w:rPr>
        <w:t>(</w:t>
      </w:r>
      <w:r w:rsidR="00A86179" w:rsidRPr="00DC3DDE">
        <w:rPr>
          <w:rFonts w:asciiTheme="majorBidi" w:hAnsiTheme="majorBidi" w:cstheme="majorBidi"/>
          <w:noProof/>
          <w:sz w:val="28"/>
          <w:szCs w:val="28"/>
        </w:rPr>
        <w:t>Anderson et al., 2014</w:t>
      </w:r>
      <w:r w:rsidR="00A86179" w:rsidRPr="00DC3DDE">
        <w:rPr>
          <w:rFonts w:asciiTheme="majorBidi" w:hAnsiTheme="majorBidi" w:cstheme="majorBidi"/>
          <w:noProof/>
          <w:sz w:val="28"/>
          <w:szCs w:val="28"/>
          <w:rtl/>
        </w:rPr>
        <w:t>)</w:t>
      </w:r>
      <w:r w:rsidR="00A86179" w:rsidRPr="00DC3DDE">
        <w:rPr>
          <w:rFonts w:asciiTheme="majorBidi" w:hAnsiTheme="majorBidi" w:cstheme="majorBidi"/>
          <w:sz w:val="28"/>
          <w:szCs w:val="28"/>
          <w:rtl/>
        </w:rPr>
        <w:fldChar w:fldCharType="end"/>
      </w:r>
      <w:r w:rsidR="00A86179" w:rsidRPr="00DC3DDE">
        <w:rPr>
          <w:rFonts w:asciiTheme="majorBidi" w:hAnsiTheme="majorBidi" w:cstheme="majorBidi"/>
          <w:sz w:val="28"/>
          <w:szCs w:val="28"/>
          <w:rtl/>
        </w:rPr>
        <w:t>.</w:t>
      </w:r>
    </w:p>
    <w:p w14:paraId="71547D4D" w14:textId="1106FEAB" w:rsidR="007575D7" w:rsidRPr="007575D7" w:rsidRDefault="007575D7" w:rsidP="007575D7">
      <w:pPr>
        <w:numPr>
          <w:ilvl w:val="0"/>
          <w:numId w:val="5"/>
        </w:numPr>
        <w:bidi/>
        <w:rPr>
          <w:rFonts w:asciiTheme="majorBidi" w:hAnsiTheme="majorBidi" w:cstheme="majorBidi"/>
          <w:sz w:val="28"/>
          <w:szCs w:val="28"/>
        </w:rPr>
      </w:pPr>
      <w:r w:rsidRPr="007575D7">
        <w:rPr>
          <w:rFonts w:asciiTheme="majorBidi" w:hAnsiTheme="majorBidi" w:cstheme="majorBidi"/>
          <w:b/>
          <w:bCs/>
          <w:sz w:val="28"/>
          <w:szCs w:val="28"/>
          <w:rtl/>
        </w:rPr>
        <w:t>حل المشكلات الإبداعي</w:t>
      </w:r>
      <w:r w:rsidR="003E3FCF" w:rsidRPr="00DC3DDE">
        <w:rPr>
          <w:rFonts w:asciiTheme="majorBidi" w:hAnsiTheme="majorBidi" w:cstheme="majorBidi"/>
          <w:b/>
          <w:bCs/>
          <w:sz w:val="28"/>
          <w:szCs w:val="28"/>
          <w:rtl/>
        </w:rPr>
        <w:t xml:space="preserve"> </w:t>
      </w:r>
      <w:r w:rsidRPr="007575D7">
        <w:rPr>
          <w:rFonts w:asciiTheme="majorBidi" w:hAnsiTheme="majorBidi" w:cstheme="majorBidi"/>
          <w:b/>
          <w:bCs/>
          <w:sz w:val="28"/>
          <w:szCs w:val="28"/>
        </w:rPr>
        <w:t>(Creative Problem Solving)</w:t>
      </w:r>
    </w:p>
    <w:p w14:paraId="32DFDC23" w14:textId="478EA6E4" w:rsidR="007575D7" w:rsidRPr="007575D7" w:rsidRDefault="007575D7" w:rsidP="003E3FCF">
      <w:pPr>
        <w:numPr>
          <w:ilvl w:val="1"/>
          <w:numId w:val="5"/>
        </w:numPr>
        <w:bidi/>
        <w:rPr>
          <w:rFonts w:asciiTheme="majorBidi" w:hAnsiTheme="majorBidi" w:cstheme="majorBidi"/>
          <w:sz w:val="28"/>
          <w:szCs w:val="28"/>
        </w:rPr>
      </w:pPr>
      <w:r w:rsidRPr="007575D7">
        <w:rPr>
          <w:rFonts w:asciiTheme="majorBidi" w:hAnsiTheme="majorBidi" w:cstheme="majorBidi"/>
          <w:sz w:val="28"/>
          <w:szCs w:val="28"/>
          <w:rtl/>
        </w:rPr>
        <w:t>إيجاد حلول مبتكرة للمشكلات المعقدة، بما يتجاوز الأساليب التقليدية</w:t>
      </w:r>
      <w:r w:rsidR="00A86179" w:rsidRPr="00DC3DDE">
        <w:rPr>
          <w:rFonts w:asciiTheme="majorBidi" w:hAnsiTheme="majorBidi" w:cstheme="majorBidi"/>
          <w:sz w:val="28"/>
          <w:szCs w:val="28"/>
          <w:rtl/>
        </w:rPr>
        <w:t xml:space="preserve"> </w:t>
      </w:r>
      <w:r w:rsidR="00A86179" w:rsidRPr="00DC3DDE">
        <w:rPr>
          <w:rFonts w:asciiTheme="majorBidi" w:hAnsiTheme="majorBidi" w:cstheme="majorBidi"/>
          <w:sz w:val="28"/>
          <w:szCs w:val="28"/>
          <w:rtl/>
        </w:rPr>
        <w:fldChar w:fldCharType="begin"/>
      </w:r>
      <w:r w:rsidR="00A86179" w:rsidRPr="00DC3DDE">
        <w:rPr>
          <w:rFonts w:asciiTheme="majorBidi" w:hAnsiTheme="majorBidi" w:cstheme="majorBidi"/>
          <w:sz w:val="28"/>
          <w:szCs w:val="28"/>
          <w:rtl/>
        </w:rPr>
        <w:instrText xml:space="preserve"> </w:instrText>
      </w:r>
      <w:r w:rsidR="00A86179" w:rsidRPr="00DC3DDE">
        <w:rPr>
          <w:rFonts w:asciiTheme="majorBidi" w:hAnsiTheme="majorBidi" w:cstheme="majorBidi"/>
          <w:sz w:val="28"/>
          <w:szCs w:val="28"/>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00A86179" w:rsidRPr="00DC3DDE">
        <w:rPr>
          <w:rFonts w:asciiTheme="majorBidi" w:hAnsiTheme="majorBidi" w:cstheme="majorBidi"/>
          <w:sz w:val="28"/>
          <w:szCs w:val="28"/>
          <w:rtl/>
        </w:rPr>
        <w:instrText>&gt;</w:instrText>
      </w:r>
      <w:r w:rsidR="00A86179" w:rsidRPr="00DC3DDE">
        <w:rPr>
          <w:rFonts w:asciiTheme="majorBidi" w:hAnsiTheme="majorBidi" w:cstheme="majorBidi"/>
          <w:sz w:val="28"/>
          <w:szCs w:val="28"/>
          <w:rtl/>
        </w:rPr>
        <w:fldChar w:fldCharType="separate"/>
      </w:r>
      <w:r w:rsidR="00A86179" w:rsidRPr="00DC3DDE">
        <w:rPr>
          <w:rFonts w:asciiTheme="majorBidi" w:hAnsiTheme="majorBidi" w:cstheme="majorBidi"/>
          <w:noProof/>
          <w:sz w:val="28"/>
          <w:szCs w:val="28"/>
          <w:rtl/>
        </w:rPr>
        <w:t>(</w:t>
      </w:r>
      <w:r w:rsidR="00A86179" w:rsidRPr="00DC3DDE">
        <w:rPr>
          <w:rFonts w:asciiTheme="majorBidi" w:hAnsiTheme="majorBidi" w:cstheme="majorBidi"/>
          <w:noProof/>
          <w:sz w:val="28"/>
          <w:szCs w:val="28"/>
        </w:rPr>
        <w:t>Shalley et al., 2004</w:t>
      </w:r>
      <w:r w:rsidR="00A86179" w:rsidRPr="00DC3DDE">
        <w:rPr>
          <w:rFonts w:asciiTheme="majorBidi" w:hAnsiTheme="majorBidi" w:cstheme="majorBidi"/>
          <w:noProof/>
          <w:sz w:val="28"/>
          <w:szCs w:val="28"/>
          <w:rtl/>
        </w:rPr>
        <w:t>)</w:t>
      </w:r>
      <w:r w:rsidR="00A86179" w:rsidRPr="00DC3DDE">
        <w:rPr>
          <w:rFonts w:asciiTheme="majorBidi" w:hAnsiTheme="majorBidi" w:cstheme="majorBidi"/>
          <w:sz w:val="28"/>
          <w:szCs w:val="28"/>
          <w:rtl/>
        </w:rPr>
        <w:fldChar w:fldCharType="end"/>
      </w:r>
      <w:r w:rsidR="00A86179" w:rsidRPr="00DC3DDE">
        <w:rPr>
          <w:rFonts w:asciiTheme="majorBidi" w:hAnsiTheme="majorBidi" w:cstheme="majorBidi"/>
          <w:sz w:val="28"/>
          <w:szCs w:val="28"/>
          <w:rtl/>
        </w:rPr>
        <w:t>.</w:t>
      </w:r>
    </w:p>
    <w:p w14:paraId="510CFD96" w14:textId="229E9E12" w:rsidR="007575D7" w:rsidRPr="007575D7" w:rsidRDefault="007575D7" w:rsidP="007575D7">
      <w:pPr>
        <w:bidi/>
        <w:rPr>
          <w:rFonts w:asciiTheme="majorBidi" w:hAnsiTheme="majorBidi" w:cstheme="majorBidi"/>
          <w:sz w:val="28"/>
          <w:szCs w:val="28"/>
        </w:rPr>
      </w:pPr>
      <w:r w:rsidRPr="007575D7">
        <w:rPr>
          <w:rFonts w:asciiTheme="majorBidi" w:hAnsiTheme="majorBidi" w:cstheme="majorBidi"/>
          <w:b/>
          <w:bCs/>
          <w:sz w:val="28"/>
          <w:szCs w:val="28"/>
          <w:rtl/>
        </w:rPr>
        <w:t>جدول</w:t>
      </w:r>
      <w:r w:rsidRPr="007575D7">
        <w:rPr>
          <w:rFonts w:asciiTheme="majorBidi" w:hAnsiTheme="majorBidi" w:cstheme="majorBidi"/>
          <w:b/>
          <w:bCs/>
          <w:sz w:val="28"/>
          <w:szCs w:val="28"/>
        </w:rPr>
        <w:t xml:space="preserve"> (</w:t>
      </w:r>
      <w:r w:rsidR="00A91B25" w:rsidRPr="00DC3DDE">
        <w:rPr>
          <w:rFonts w:asciiTheme="majorBidi" w:hAnsiTheme="majorBidi" w:cstheme="majorBidi"/>
          <w:b/>
          <w:bCs/>
          <w:sz w:val="28"/>
          <w:szCs w:val="28"/>
        </w:rPr>
        <w:t>2.2</w:t>
      </w:r>
      <w:r w:rsidRPr="007575D7">
        <w:rPr>
          <w:rFonts w:asciiTheme="majorBidi" w:hAnsiTheme="majorBidi" w:cstheme="majorBidi"/>
          <w:b/>
          <w:bCs/>
          <w:sz w:val="28"/>
          <w:szCs w:val="28"/>
        </w:rPr>
        <w:t xml:space="preserve">): </w:t>
      </w:r>
      <w:r w:rsidRPr="007575D7">
        <w:rPr>
          <w:rFonts w:asciiTheme="majorBidi" w:hAnsiTheme="majorBidi" w:cstheme="majorBidi"/>
          <w:b/>
          <w:bCs/>
          <w:sz w:val="28"/>
          <w:szCs w:val="28"/>
          <w:rtl/>
        </w:rPr>
        <w:t>أبعاد الإبداع الوظيفي وتعريفاتها</w:t>
      </w:r>
    </w:p>
    <w:tbl>
      <w:tblPr>
        <w:bidiVisual/>
        <w:tblW w:w="9900" w:type="dxa"/>
        <w:tblLook w:val="04A0" w:firstRow="1" w:lastRow="0" w:firstColumn="1" w:lastColumn="0" w:noHBand="0" w:noVBand="1"/>
      </w:tblPr>
      <w:tblGrid>
        <w:gridCol w:w="3220"/>
        <w:gridCol w:w="3880"/>
        <w:gridCol w:w="2800"/>
      </w:tblGrid>
      <w:tr w:rsidR="00A86179" w:rsidRPr="00A86179" w14:paraId="59D7F4BC" w14:textId="77777777" w:rsidTr="00A86179">
        <w:trPr>
          <w:trHeight w:val="324"/>
        </w:trPr>
        <w:tc>
          <w:tcPr>
            <w:tcW w:w="3220" w:type="dxa"/>
            <w:tcBorders>
              <w:top w:val="single" w:sz="8" w:space="0" w:color="auto"/>
              <w:left w:val="single" w:sz="8" w:space="0" w:color="auto"/>
              <w:bottom w:val="single" w:sz="8" w:space="0" w:color="auto"/>
              <w:right w:val="single" w:sz="8" w:space="0" w:color="auto"/>
            </w:tcBorders>
            <w:vAlign w:val="center"/>
            <w:hideMark/>
          </w:tcPr>
          <w:p w14:paraId="7EEFD576" w14:textId="77777777" w:rsidR="00A86179" w:rsidRPr="00A86179" w:rsidRDefault="00A86179" w:rsidP="00A86179">
            <w:pPr>
              <w:bidi/>
              <w:spacing w:after="0" w:line="240" w:lineRule="auto"/>
              <w:rPr>
                <w:rFonts w:asciiTheme="majorBidi" w:eastAsia="Times New Roman" w:hAnsiTheme="majorBidi" w:cstheme="majorBidi"/>
                <w:b/>
                <w:bCs/>
                <w:color w:val="000000"/>
                <w:kern w:val="0"/>
                <w:sz w:val="28"/>
                <w:szCs w:val="28"/>
                <w14:ligatures w14:val="none"/>
              </w:rPr>
            </w:pPr>
            <w:r w:rsidRPr="00A86179">
              <w:rPr>
                <w:rFonts w:asciiTheme="majorBidi" w:eastAsia="Times New Roman" w:hAnsiTheme="majorBidi" w:cstheme="majorBidi"/>
                <w:b/>
                <w:bCs/>
                <w:color w:val="000000"/>
                <w:kern w:val="0"/>
                <w:sz w:val="28"/>
                <w:szCs w:val="28"/>
                <w:rtl/>
                <w14:ligatures w14:val="none"/>
              </w:rPr>
              <w:t>البُعد</w:t>
            </w:r>
          </w:p>
        </w:tc>
        <w:tc>
          <w:tcPr>
            <w:tcW w:w="3880" w:type="dxa"/>
            <w:tcBorders>
              <w:top w:val="single" w:sz="8" w:space="0" w:color="auto"/>
              <w:left w:val="single" w:sz="8" w:space="0" w:color="auto"/>
              <w:bottom w:val="single" w:sz="8" w:space="0" w:color="auto"/>
              <w:right w:val="single" w:sz="8" w:space="0" w:color="auto"/>
            </w:tcBorders>
            <w:vAlign w:val="center"/>
            <w:hideMark/>
          </w:tcPr>
          <w:p w14:paraId="51DD1431" w14:textId="77777777" w:rsidR="00A86179" w:rsidRPr="00A86179" w:rsidRDefault="00A86179" w:rsidP="00A86179">
            <w:pPr>
              <w:bidi/>
              <w:spacing w:after="0" w:line="240" w:lineRule="auto"/>
              <w:rPr>
                <w:rFonts w:asciiTheme="majorBidi" w:eastAsia="Times New Roman" w:hAnsiTheme="majorBidi" w:cstheme="majorBidi"/>
                <w:b/>
                <w:bCs/>
                <w:color w:val="000000"/>
                <w:kern w:val="0"/>
                <w:sz w:val="28"/>
                <w:szCs w:val="28"/>
                <w:rtl/>
                <w14:ligatures w14:val="none"/>
              </w:rPr>
            </w:pPr>
            <w:r w:rsidRPr="00A86179">
              <w:rPr>
                <w:rFonts w:asciiTheme="majorBidi" w:eastAsia="Times New Roman" w:hAnsiTheme="majorBidi" w:cstheme="majorBidi"/>
                <w:b/>
                <w:bCs/>
                <w:color w:val="000000"/>
                <w:kern w:val="0"/>
                <w:sz w:val="28"/>
                <w:szCs w:val="28"/>
                <w:rtl/>
                <w14:ligatures w14:val="none"/>
              </w:rPr>
              <w:t>التعريف</w:t>
            </w:r>
          </w:p>
        </w:tc>
        <w:tc>
          <w:tcPr>
            <w:tcW w:w="2800" w:type="dxa"/>
            <w:tcBorders>
              <w:top w:val="single" w:sz="8" w:space="0" w:color="auto"/>
              <w:left w:val="single" w:sz="8" w:space="0" w:color="auto"/>
              <w:bottom w:val="single" w:sz="8" w:space="0" w:color="auto"/>
              <w:right w:val="single" w:sz="8" w:space="0" w:color="auto"/>
            </w:tcBorders>
            <w:vAlign w:val="center"/>
            <w:hideMark/>
          </w:tcPr>
          <w:p w14:paraId="295C6D40" w14:textId="77777777" w:rsidR="00A86179" w:rsidRPr="00A86179" w:rsidRDefault="00A86179" w:rsidP="00A86179">
            <w:pPr>
              <w:bidi/>
              <w:spacing w:after="0" w:line="240" w:lineRule="auto"/>
              <w:rPr>
                <w:rFonts w:asciiTheme="majorBidi" w:eastAsia="Times New Roman" w:hAnsiTheme="majorBidi" w:cstheme="majorBidi"/>
                <w:b/>
                <w:bCs/>
                <w:color w:val="000000"/>
                <w:kern w:val="0"/>
                <w:sz w:val="28"/>
                <w:szCs w:val="28"/>
                <w:rtl/>
                <w14:ligatures w14:val="none"/>
              </w:rPr>
            </w:pPr>
            <w:r w:rsidRPr="00A86179">
              <w:rPr>
                <w:rFonts w:asciiTheme="majorBidi" w:eastAsia="Times New Roman" w:hAnsiTheme="majorBidi" w:cstheme="majorBidi"/>
                <w:b/>
                <w:bCs/>
                <w:color w:val="000000"/>
                <w:kern w:val="0"/>
                <w:sz w:val="28"/>
                <w:szCs w:val="28"/>
                <w:rtl/>
                <w14:ligatures w14:val="none"/>
              </w:rPr>
              <w:t>المرجع</w:t>
            </w:r>
          </w:p>
        </w:tc>
      </w:tr>
      <w:tr w:rsidR="00A86179" w:rsidRPr="00A86179" w14:paraId="7B14084F"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4CD4AAE2" w14:textId="77777777" w:rsidR="00A86179" w:rsidRPr="00A86179" w:rsidRDefault="00A86179" w:rsidP="00A86179">
            <w:pPr>
              <w:bidi/>
              <w:spacing w:after="0" w:line="240" w:lineRule="auto"/>
              <w:rPr>
                <w:rFonts w:asciiTheme="majorBidi" w:eastAsia="Times New Roman" w:hAnsiTheme="majorBidi" w:cstheme="majorBidi"/>
                <w:color w:val="000000"/>
                <w:kern w:val="0"/>
                <w:sz w:val="28"/>
                <w:szCs w:val="28"/>
                <w:rtl/>
                <w14:ligatures w14:val="none"/>
              </w:rPr>
            </w:pPr>
            <w:r w:rsidRPr="00A86179">
              <w:rPr>
                <w:rFonts w:asciiTheme="majorBidi" w:eastAsia="Times New Roman" w:hAnsiTheme="majorBidi" w:cstheme="majorBidi"/>
                <w:color w:val="000000"/>
                <w:kern w:val="0"/>
                <w:sz w:val="28"/>
                <w:szCs w:val="28"/>
                <w:rtl/>
                <w14:ligatures w14:val="none"/>
              </w:rPr>
              <w:t>توليد الأفكار</w:t>
            </w:r>
          </w:p>
        </w:tc>
        <w:tc>
          <w:tcPr>
            <w:tcW w:w="3880" w:type="dxa"/>
            <w:tcBorders>
              <w:top w:val="nil"/>
              <w:left w:val="single" w:sz="8" w:space="0" w:color="auto"/>
              <w:bottom w:val="single" w:sz="8" w:space="0" w:color="auto"/>
              <w:right w:val="single" w:sz="8" w:space="0" w:color="auto"/>
            </w:tcBorders>
            <w:vAlign w:val="center"/>
            <w:hideMark/>
          </w:tcPr>
          <w:p w14:paraId="15AC9119" w14:textId="77777777" w:rsidR="00A86179" w:rsidRPr="00A86179" w:rsidRDefault="00A86179" w:rsidP="00A86179">
            <w:pPr>
              <w:bidi/>
              <w:spacing w:after="0" w:line="240" w:lineRule="auto"/>
              <w:rPr>
                <w:rFonts w:asciiTheme="majorBidi" w:eastAsia="Times New Roman" w:hAnsiTheme="majorBidi" w:cstheme="majorBidi"/>
                <w:color w:val="000000"/>
                <w:kern w:val="0"/>
                <w:sz w:val="28"/>
                <w:szCs w:val="28"/>
                <w:rtl/>
                <w14:ligatures w14:val="none"/>
              </w:rPr>
            </w:pPr>
            <w:r w:rsidRPr="00A86179">
              <w:rPr>
                <w:rFonts w:asciiTheme="majorBidi" w:eastAsia="Times New Roman" w:hAnsiTheme="majorBidi" w:cstheme="majorBidi"/>
                <w:color w:val="000000"/>
                <w:kern w:val="0"/>
                <w:sz w:val="28"/>
                <w:szCs w:val="28"/>
                <w:rtl/>
                <w14:ligatures w14:val="none"/>
              </w:rPr>
              <w:t>إنتاج أفكار جديدة وملائمة</w:t>
            </w:r>
          </w:p>
        </w:tc>
        <w:tc>
          <w:tcPr>
            <w:tcW w:w="2800" w:type="dxa"/>
            <w:tcBorders>
              <w:top w:val="nil"/>
              <w:left w:val="single" w:sz="8" w:space="0" w:color="auto"/>
              <w:bottom w:val="single" w:sz="8" w:space="0" w:color="auto"/>
              <w:right w:val="single" w:sz="8" w:space="0" w:color="auto"/>
            </w:tcBorders>
            <w:vAlign w:val="center"/>
            <w:hideMark/>
          </w:tcPr>
          <w:p w14:paraId="18471C44" w14:textId="77777777" w:rsidR="00A86179" w:rsidRPr="00A86179" w:rsidRDefault="00A86179" w:rsidP="00A86179">
            <w:pPr>
              <w:bidi/>
              <w:spacing w:after="0" w:line="240" w:lineRule="auto"/>
              <w:rPr>
                <w:rFonts w:asciiTheme="majorBidi" w:eastAsia="Times New Roman" w:hAnsiTheme="majorBidi" w:cstheme="majorBidi"/>
                <w:color w:val="000000"/>
                <w:kern w:val="0"/>
                <w:sz w:val="28"/>
                <w:szCs w:val="28"/>
                <w:rtl/>
                <w14:ligatures w14:val="none"/>
              </w:rPr>
            </w:pPr>
            <w:r w:rsidRPr="00A86179">
              <w:rPr>
                <w:rFonts w:asciiTheme="majorBidi" w:eastAsia="Times New Roman" w:hAnsiTheme="majorBidi" w:cstheme="majorBidi"/>
                <w:color w:val="000000"/>
                <w:kern w:val="0"/>
                <w:sz w:val="28"/>
                <w:szCs w:val="28"/>
                <w14:ligatures w14:val="none"/>
              </w:rPr>
              <w:t>Shalley et al. (2004)</w:t>
            </w:r>
          </w:p>
        </w:tc>
      </w:tr>
      <w:tr w:rsidR="00A86179" w:rsidRPr="00A86179" w14:paraId="51461A66"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4A8FB3F6" w14:textId="77777777" w:rsidR="00A86179" w:rsidRPr="00A86179" w:rsidRDefault="00A86179" w:rsidP="00A86179">
            <w:pPr>
              <w:bidi/>
              <w:spacing w:after="0" w:line="240" w:lineRule="auto"/>
              <w:rPr>
                <w:rFonts w:asciiTheme="majorBidi" w:eastAsia="Times New Roman" w:hAnsiTheme="majorBidi" w:cstheme="majorBidi"/>
                <w:color w:val="000000"/>
                <w:kern w:val="0"/>
                <w:sz w:val="28"/>
                <w:szCs w:val="28"/>
                <w:rtl/>
                <w14:ligatures w14:val="none"/>
              </w:rPr>
            </w:pPr>
            <w:r w:rsidRPr="00A86179">
              <w:rPr>
                <w:rFonts w:asciiTheme="majorBidi" w:eastAsia="Times New Roman" w:hAnsiTheme="majorBidi" w:cstheme="majorBidi"/>
                <w:color w:val="000000"/>
                <w:kern w:val="0"/>
                <w:sz w:val="28"/>
                <w:szCs w:val="28"/>
                <w:rtl/>
                <w14:ligatures w14:val="none"/>
              </w:rPr>
              <w:t>تطوير الأفكار</w:t>
            </w:r>
          </w:p>
        </w:tc>
        <w:tc>
          <w:tcPr>
            <w:tcW w:w="3880" w:type="dxa"/>
            <w:tcBorders>
              <w:top w:val="nil"/>
              <w:left w:val="single" w:sz="8" w:space="0" w:color="auto"/>
              <w:bottom w:val="single" w:sz="8" w:space="0" w:color="auto"/>
              <w:right w:val="single" w:sz="8" w:space="0" w:color="auto"/>
            </w:tcBorders>
            <w:vAlign w:val="center"/>
            <w:hideMark/>
          </w:tcPr>
          <w:p w14:paraId="05F7C88D" w14:textId="77777777" w:rsidR="00A86179" w:rsidRPr="00A86179" w:rsidRDefault="00A86179" w:rsidP="00A86179">
            <w:pPr>
              <w:bidi/>
              <w:spacing w:after="0" w:line="240" w:lineRule="auto"/>
              <w:rPr>
                <w:rFonts w:asciiTheme="majorBidi" w:eastAsia="Times New Roman" w:hAnsiTheme="majorBidi" w:cstheme="majorBidi"/>
                <w:color w:val="000000"/>
                <w:kern w:val="0"/>
                <w:sz w:val="28"/>
                <w:szCs w:val="28"/>
                <w:rtl/>
                <w14:ligatures w14:val="none"/>
              </w:rPr>
            </w:pPr>
            <w:r w:rsidRPr="00A86179">
              <w:rPr>
                <w:rFonts w:asciiTheme="majorBidi" w:eastAsia="Times New Roman" w:hAnsiTheme="majorBidi" w:cstheme="majorBidi"/>
                <w:color w:val="000000"/>
                <w:kern w:val="0"/>
                <w:sz w:val="28"/>
                <w:szCs w:val="28"/>
                <w:rtl/>
                <w14:ligatures w14:val="none"/>
              </w:rPr>
              <w:t>تحسين الأفكار وجعلها قابلة للتطبيق</w:t>
            </w:r>
          </w:p>
        </w:tc>
        <w:tc>
          <w:tcPr>
            <w:tcW w:w="2800" w:type="dxa"/>
            <w:tcBorders>
              <w:top w:val="nil"/>
              <w:left w:val="single" w:sz="8" w:space="0" w:color="auto"/>
              <w:bottom w:val="single" w:sz="8" w:space="0" w:color="auto"/>
              <w:right w:val="single" w:sz="8" w:space="0" w:color="auto"/>
            </w:tcBorders>
            <w:vAlign w:val="center"/>
            <w:hideMark/>
          </w:tcPr>
          <w:p w14:paraId="0DD57715" w14:textId="77777777" w:rsidR="00A86179" w:rsidRPr="00A86179" w:rsidRDefault="00A86179" w:rsidP="00A86179">
            <w:pPr>
              <w:bidi/>
              <w:spacing w:after="0" w:line="240" w:lineRule="auto"/>
              <w:rPr>
                <w:rFonts w:asciiTheme="majorBidi" w:eastAsia="Times New Roman" w:hAnsiTheme="majorBidi" w:cstheme="majorBidi"/>
                <w:color w:val="000000"/>
                <w:kern w:val="0"/>
                <w:sz w:val="28"/>
                <w:szCs w:val="28"/>
                <w:rtl/>
                <w14:ligatures w14:val="none"/>
              </w:rPr>
            </w:pPr>
            <w:r w:rsidRPr="00A86179">
              <w:rPr>
                <w:rFonts w:asciiTheme="majorBidi" w:eastAsia="Times New Roman" w:hAnsiTheme="majorBidi" w:cstheme="majorBidi"/>
                <w:color w:val="000000"/>
                <w:kern w:val="0"/>
                <w:sz w:val="28"/>
                <w:szCs w:val="28"/>
                <w14:ligatures w14:val="none"/>
              </w:rPr>
              <w:t>Amabile (1988)</w:t>
            </w:r>
          </w:p>
        </w:tc>
      </w:tr>
      <w:tr w:rsidR="00A86179" w:rsidRPr="00A86179" w14:paraId="724840BC"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096F969F" w14:textId="77777777" w:rsidR="00A86179" w:rsidRPr="00A86179" w:rsidRDefault="00A86179" w:rsidP="00A86179">
            <w:pPr>
              <w:bidi/>
              <w:spacing w:after="0" w:line="240" w:lineRule="auto"/>
              <w:rPr>
                <w:rFonts w:asciiTheme="majorBidi" w:eastAsia="Times New Roman" w:hAnsiTheme="majorBidi" w:cstheme="majorBidi"/>
                <w:color w:val="000000"/>
                <w:kern w:val="0"/>
                <w:sz w:val="28"/>
                <w:szCs w:val="28"/>
                <w:rtl/>
                <w14:ligatures w14:val="none"/>
              </w:rPr>
            </w:pPr>
            <w:r w:rsidRPr="00A86179">
              <w:rPr>
                <w:rFonts w:asciiTheme="majorBidi" w:eastAsia="Times New Roman" w:hAnsiTheme="majorBidi" w:cstheme="majorBidi"/>
                <w:color w:val="000000"/>
                <w:kern w:val="0"/>
                <w:sz w:val="28"/>
                <w:szCs w:val="28"/>
                <w:rtl/>
                <w14:ligatures w14:val="none"/>
              </w:rPr>
              <w:t>تنفيذ الأفكار</w:t>
            </w:r>
          </w:p>
        </w:tc>
        <w:tc>
          <w:tcPr>
            <w:tcW w:w="3880" w:type="dxa"/>
            <w:tcBorders>
              <w:top w:val="nil"/>
              <w:left w:val="single" w:sz="8" w:space="0" w:color="auto"/>
              <w:bottom w:val="single" w:sz="8" w:space="0" w:color="auto"/>
              <w:right w:val="single" w:sz="8" w:space="0" w:color="auto"/>
            </w:tcBorders>
            <w:vAlign w:val="center"/>
            <w:hideMark/>
          </w:tcPr>
          <w:p w14:paraId="18F203E4" w14:textId="77777777" w:rsidR="00A86179" w:rsidRPr="00A86179" w:rsidRDefault="00A86179" w:rsidP="00A86179">
            <w:pPr>
              <w:bidi/>
              <w:spacing w:after="0" w:line="240" w:lineRule="auto"/>
              <w:rPr>
                <w:rFonts w:asciiTheme="majorBidi" w:eastAsia="Times New Roman" w:hAnsiTheme="majorBidi" w:cstheme="majorBidi"/>
                <w:color w:val="000000"/>
                <w:kern w:val="0"/>
                <w:sz w:val="28"/>
                <w:szCs w:val="28"/>
                <w:rtl/>
                <w14:ligatures w14:val="none"/>
              </w:rPr>
            </w:pPr>
            <w:r w:rsidRPr="00A86179">
              <w:rPr>
                <w:rFonts w:asciiTheme="majorBidi" w:eastAsia="Times New Roman" w:hAnsiTheme="majorBidi" w:cstheme="majorBidi"/>
                <w:color w:val="000000"/>
                <w:kern w:val="0"/>
                <w:sz w:val="28"/>
                <w:szCs w:val="28"/>
                <w:rtl/>
                <w14:ligatures w14:val="none"/>
              </w:rPr>
              <w:t>تطبيق الأفكار وتحويلها إلى واقع عملي</w:t>
            </w:r>
          </w:p>
        </w:tc>
        <w:tc>
          <w:tcPr>
            <w:tcW w:w="2800" w:type="dxa"/>
            <w:tcBorders>
              <w:top w:val="nil"/>
              <w:left w:val="single" w:sz="8" w:space="0" w:color="auto"/>
              <w:bottom w:val="single" w:sz="8" w:space="0" w:color="auto"/>
              <w:right w:val="single" w:sz="8" w:space="0" w:color="auto"/>
            </w:tcBorders>
            <w:vAlign w:val="center"/>
            <w:hideMark/>
          </w:tcPr>
          <w:p w14:paraId="178C092A" w14:textId="77777777" w:rsidR="00A86179" w:rsidRPr="00A86179" w:rsidRDefault="00A86179" w:rsidP="00A86179">
            <w:pPr>
              <w:bidi/>
              <w:spacing w:after="0" w:line="240" w:lineRule="auto"/>
              <w:rPr>
                <w:rFonts w:asciiTheme="majorBidi" w:eastAsia="Times New Roman" w:hAnsiTheme="majorBidi" w:cstheme="majorBidi"/>
                <w:color w:val="000000"/>
                <w:kern w:val="0"/>
                <w:sz w:val="28"/>
                <w:szCs w:val="28"/>
                <w:rtl/>
                <w14:ligatures w14:val="none"/>
              </w:rPr>
            </w:pPr>
            <w:r w:rsidRPr="00A86179">
              <w:rPr>
                <w:rFonts w:asciiTheme="majorBidi" w:eastAsia="Times New Roman" w:hAnsiTheme="majorBidi" w:cstheme="majorBidi"/>
                <w:color w:val="000000"/>
                <w:kern w:val="0"/>
                <w:sz w:val="28"/>
                <w:szCs w:val="28"/>
                <w14:ligatures w14:val="none"/>
              </w:rPr>
              <w:t>Anderson et al. (2014)</w:t>
            </w:r>
          </w:p>
        </w:tc>
      </w:tr>
      <w:tr w:rsidR="00A86179" w:rsidRPr="00A86179" w14:paraId="497F6C34"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58E85A24" w14:textId="77777777" w:rsidR="00A86179" w:rsidRPr="00A86179" w:rsidRDefault="00A86179" w:rsidP="00A86179">
            <w:pPr>
              <w:bidi/>
              <w:spacing w:after="0" w:line="240" w:lineRule="auto"/>
              <w:rPr>
                <w:rFonts w:asciiTheme="majorBidi" w:eastAsia="Times New Roman" w:hAnsiTheme="majorBidi" w:cstheme="majorBidi"/>
                <w:color w:val="000000"/>
                <w:kern w:val="0"/>
                <w:sz w:val="28"/>
                <w:szCs w:val="28"/>
                <w:rtl/>
                <w14:ligatures w14:val="none"/>
              </w:rPr>
            </w:pPr>
            <w:r w:rsidRPr="00A86179">
              <w:rPr>
                <w:rFonts w:asciiTheme="majorBidi" w:eastAsia="Times New Roman" w:hAnsiTheme="majorBidi" w:cstheme="majorBidi"/>
                <w:color w:val="000000"/>
                <w:kern w:val="0"/>
                <w:sz w:val="28"/>
                <w:szCs w:val="28"/>
                <w:rtl/>
                <w14:ligatures w14:val="none"/>
              </w:rPr>
              <w:t>حل المشكلات الإبداعي</w:t>
            </w:r>
          </w:p>
        </w:tc>
        <w:tc>
          <w:tcPr>
            <w:tcW w:w="3880" w:type="dxa"/>
            <w:tcBorders>
              <w:top w:val="nil"/>
              <w:left w:val="single" w:sz="8" w:space="0" w:color="auto"/>
              <w:bottom w:val="single" w:sz="8" w:space="0" w:color="auto"/>
              <w:right w:val="single" w:sz="8" w:space="0" w:color="auto"/>
            </w:tcBorders>
            <w:vAlign w:val="center"/>
            <w:hideMark/>
          </w:tcPr>
          <w:p w14:paraId="64D6FC01" w14:textId="77777777" w:rsidR="00A86179" w:rsidRPr="00A86179" w:rsidRDefault="00A86179" w:rsidP="00A86179">
            <w:pPr>
              <w:bidi/>
              <w:spacing w:after="0" w:line="240" w:lineRule="auto"/>
              <w:rPr>
                <w:rFonts w:asciiTheme="majorBidi" w:eastAsia="Times New Roman" w:hAnsiTheme="majorBidi" w:cstheme="majorBidi"/>
                <w:color w:val="000000"/>
                <w:kern w:val="0"/>
                <w:sz w:val="28"/>
                <w:szCs w:val="28"/>
                <w:rtl/>
                <w14:ligatures w14:val="none"/>
              </w:rPr>
            </w:pPr>
            <w:r w:rsidRPr="00A86179">
              <w:rPr>
                <w:rFonts w:asciiTheme="majorBidi" w:eastAsia="Times New Roman" w:hAnsiTheme="majorBidi" w:cstheme="majorBidi"/>
                <w:color w:val="000000"/>
                <w:kern w:val="0"/>
                <w:sz w:val="28"/>
                <w:szCs w:val="28"/>
                <w:rtl/>
                <w14:ligatures w14:val="none"/>
              </w:rPr>
              <w:t>إيجاد حلول مبتكرة تتجاوز الطرق التقليدية</w:t>
            </w:r>
          </w:p>
        </w:tc>
        <w:tc>
          <w:tcPr>
            <w:tcW w:w="2800" w:type="dxa"/>
            <w:tcBorders>
              <w:top w:val="nil"/>
              <w:left w:val="single" w:sz="8" w:space="0" w:color="auto"/>
              <w:bottom w:val="single" w:sz="8" w:space="0" w:color="auto"/>
              <w:right w:val="single" w:sz="8" w:space="0" w:color="auto"/>
            </w:tcBorders>
            <w:vAlign w:val="center"/>
            <w:hideMark/>
          </w:tcPr>
          <w:p w14:paraId="268EA5E8" w14:textId="77777777" w:rsidR="00A86179" w:rsidRPr="00A86179" w:rsidRDefault="00A86179" w:rsidP="00A86179">
            <w:pPr>
              <w:bidi/>
              <w:spacing w:after="0" w:line="240" w:lineRule="auto"/>
              <w:rPr>
                <w:rFonts w:asciiTheme="majorBidi" w:eastAsia="Times New Roman" w:hAnsiTheme="majorBidi" w:cstheme="majorBidi"/>
                <w:color w:val="000000"/>
                <w:kern w:val="0"/>
                <w:sz w:val="28"/>
                <w:szCs w:val="28"/>
                <w:rtl/>
                <w14:ligatures w14:val="none"/>
              </w:rPr>
            </w:pPr>
            <w:r w:rsidRPr="00A86179">
              <w:rPr>
                <w:rFonts w:asciiTheme="majorBidi" w:eastAsia="Times New Roman" w:hAnsiTheme="majorBidi" w:cstheme="majorBidi"/>
                <w:color w:val="000000"/>
                <w:kern w:val="0"/>
                <w:sz w:val="28"/>
                <w:szCs w:val="28"/>
                <w14:ligatures w14:val="none"/>
              </w:rPr>
              <w:t>Shalley &amp; Zhou (2008)</w:t>
            </w:r>
          </w:p>
        </w:tc>
      </w:tr>
    </w:tbl>
    <w:p w14:paraId="67CF4C93" w14:textId="755A8E7C" w:rsidR="007575D7" w:rsidRPr="00DC3DDE" w:rsidRDefault="007575D7" w:rsidP="007575D7">
      <w:pPr>
        <w:bidi/>
        <w:rPr>
          <w:rFonts w:asciiTheme="majorBidi" w:hAnsiTheme="majorBidi" w:cstheme="majorBidi"/>
          <w:sz w:val="28"/>
          <w:szCs w:val="28"/>
          <w:rtl/>
        </w:rPr>
      </w:pPr>
    </w:p>
    <w:p w14:paraId="48DF8F94" w14:textId="77777777" w:rsidR="00A91B25" w:rsidRPr="00DC3DDE" w:rsidRDefault="00A91B25" w:rsidP="00A91B25">
      <w:pPr>
        <w:bidi/>
        <w:rPr>
          <w:rFonts w:asciiTheme="majorBidi" w:hAnsiTheme="majorBidi" w:cstheme="majorBidi"/>
          <w:b/>
          <w:bCs/>
          <w:sz w:val="28"/>
          <w:szCs w:val="28"/>
        </w:rPr>
      </w:pPr>
      <w:r w:rsidRPr="00DC3DDE">
        <w:rPr>
          <w:rFonts w:asciiTheme="majorBidi" w:hAnsiTheme="majorBidi" w:cstheme="majorBidi"/>
          <w:b/>
          <w:bCs/>
          <w:sz w:val="28"/>
          <w:szCs w:val="28"/>
          <w:rtl/>
        </w:rPr>
        <w:t>أهمية الأداء الإبداعي في بيئة العمل الحديثة</w:t>
      </w:r>
    </w:p>
    <w:p w14:paraId="1EE51F47" w14:textId="04972388" w:rsidR="00A91B25" w:rsidRPr="00611E7E" w:rsidRDefault="00A91B25" w:rsidP="00A0551C">
      <w:pPr>
        <w:bidi/>
        <w:jc w:val="both"/>
        <w:rPr>
          <w:rFonts w:asciiTheme="majorBidi" w:hAnsiTheme="majorBidi" w:cstheme="majorBidi"/>
          <w:sz w:val="28"/>
          <w:szCs w:val="28"/>
        </w:rPr>
      </w:pPr>
      <w:r w:rsidRPr="00611E7E">
        <w:rPr>
          <w:rFonts w:asciiTheme="majorBidi" w:hAnsiTheme="majorBidi" w:cstheme="majorBidi"/>
          <w:sz w:val="28"/>
          <w:szCs w:val="28"/>
          <w:rtl/>
        </w:rPr>
        <w:t xml:space="preserve">تشير الأدبيات الحديثة إلى أن الأداء الإبداعي يساهم في تحسين جودة القرارات، وزيادة فاعلية العمليات الداخلية، وتمكين الموظفين من التعامل مع المشكلات المعقدة بطرق غير تقليدية </w:t>
      </w:r>
      <w:r w:rsidRPr="00611E7E">
        <w:rPr>
          <w:rFonts w:asciiTheme="majorBidi" w:hAnsiTheme="majorBidi" w:cstheme="majorBidi"/>
          <w:sz w:val="28"/>
          <w:szCs w:val="28"/>
          <w:rtl/>
        </w:rPr>
        <w:fldChar w:fldCharType="begin"/>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ADDIN EN.CITE &lt;EndNote&gt;&lt;Cite&gt;&lt;Author&gt;George&lt;/Author&gt;&lt;Year&gt;2007&lt;/Year&gt;&lt;RecNum&gt;2319&lt;/RecNum&gt;&lt;DisplayText&gt;(George, 2007)&lt;/DisplayText&gt;&lt;record&gt;&lt;rec-number&gt;2319&lt;/rec-number&gt;&lt;foreign-keys&gt;&lt;key app="EN" db-id="t5vttv59or5xwbe2zdm5ewrxd905arrpawff" timestamp="17</w:instrText>
      </w:r>
      <w:r w:rsidRPr="00611E7E">
        <w:rPr>
          <w:rFonts w:asciiTheme="majorBidi" w:hAnsiTheme="majorBidi" w:cstheme="majorBidi"/>
          <w:sz w:val="28"/>
          <w:szCs w:val="28"/>
          <w:rtl/>
        </w:rPr>
        <w:instrText>44393925"&gt;2319&lt;/</w:instrText>
      </w:r>
      <w:r w:rsidRPr="00611E7E">
        <w:rPr>
          <w:rFonts w:asciiTheme="majorBidi" w:hAnsiTheme="majorBidi" w:cstheme="majorBidi"/>
          <w:sz w:val="28"/>
          <w:szCs w:val="28"/>
        </w:rPr>
        <w:instrText>key&gt;&lt;/foreign-keys&gt;&lt;ref-type name="Journal Article"&gt;17&lt;/ref-type&gt;&lt;contributors&gt;&lt;authors&gt;&lt;author&gt;George, Jennifer M&lt;/author&gt;&lt;/authors&gt;&lt;/contributors&gt;&lt;titles&gt;&lt;title&gt;9 Creativity in organizations&lt;/title&gt;&lt;secondary-title&gt;The academy of management annals&lt;/secondary-title&gt;&lt;/titles&gt;&lt;periodical&gt;&lt;full-title&gt;The academy of management annals&lt;/full-title&gt;&lt;/periodical&gt;&lt;pages&gt;439-477&lt;/pages&gt;&lt;volume&gt;1&lt;/volume&gt;&lt;number&gt;1&lt;/number&gt;&lt;dates&gt;&lt;year&gt;2007&lt;/year&gt;&lt;/dates&gt;&lt;isbn&gt;1941-6520&lt;/isbn&gt;&lt;urls&gt;&lt;/urls&gt;&lt;/record</w:instrText>
      </w:r>
      <w:r w:rsidRPr="00611E7E">
        <w:rPr>
          <w:rFonts w:asciiTheme="majorBidi" w:hAnsiTheme="majorBidi" w:cstheme="majorBidi"/>
          <w:sz w:val="28"/>
          <w:szCs w:val="28"/>
          <w:rtl/>
        </w:rPr>
        <w:instrText>&gt;&lt;/</w:instrText>
      </w:r>
      <w:r w:rsidRPr="00611E7E">
        <w:rPr>
          <w:rFonts w:asciiTheme="majorBidi" w:hAnsiTheme="majorBidi" w:cstheme="majorBidi"/>
          <w:sz w:val="28"/>
          <w:szCs w:val="28"/>
        </w:rPr>
        <w:instrText>Cite&gt;&lt;/EndNote</w:instrText>
      </w:r>
      <w:r w:rsidRPr="00611E7E">
        <w:rPr>
          <w:rFonts w:asciiTheme="majorBidi" w:hAnsiTheme="majorBidi" w:cstheme="majorBidi"/>
          <w:sz w:val="28"/>
          <w:szCs w:val="28"/>
          <w:rtl/>
        </w:rPr>
        <w:instrText>&gt;</w:instrText>
      </w:r>
      <w:r w:rsidRPr="00611E7E">
        <w:rPr>
          <w:rFonts w:asciiTheme="majorBidi" w:hAnsiTheme="majorBidi" w:cstheme="majorBidi"/>
          <w:sz w:val="28"/>
          <w:szCs w:val="28"/>
          <w:rtl/>
        </w:rPr>
        <w:fldChar w:fldCharType="separate"/>
      </w:r>
      <w:r w:rsidRPr="00611E7E">
        <w:rPr>
          <w:rFonts w:asciiTheme="majorBidi" w:hAnsiTheme="majorBidi" w:cstheme="majorBidi"/>
          <w:noProof/>
          <w:sz w:val="28"/>
          <w:szCs w:val="28"/>
          <w:rtl/>
        </w:rPr>
        <w:t>(</w:t>
      </w:r>
      <w:r w:rsidRPr="00611E7E">
        <w:rPr>
          <w:rFonts w:asciiTheme="majorBidi" w:hAnsiTheme="majorBidi" w:cstheme="majorBidi"/>
          <w:noProof/>
          <w:sz w:val="28"/>
          <w:szCs w:val="28"/>
        </w:rPr>
        <w:t>George, 2007</w:t>
      </w:r>
      <w:r w:rsidRPr="00611E7E">
        <w:rPr>
          <w:rFonts w:asciiTheme="majorBidi" w:hAnsiTheme="majorBidi" w:cstheme="majorBidi"/>
          <w:noProof/>
          <w:sz w:val="28"/>
          <w:szCs w:val="28"/>
          <w:rtl/>
        </w:rPr>
        <w:t>)</w:t>
      </w:r>
      <w:r w:rsidRPr="00611E7E">
        <w:rPr>
          <w:rFonts w:asciiTheme="majorBidi" w:hAnsiTheme="majorBidi" w:cstheme="majorBidi"/>
          <w:sz w:val="28"/>
          <w:szCs w:val="28"/>
          <w:rtl/>
        </w:rPr>
        <w:fldChar w:fldCharType="end"/>
      </w:r>
      <w:r w:rsidRPr="00611E7E">
        <w:rPr>
          <w:rFonts w:asciiTheme="majorBidi" w:hAnsiTheme="majorBidi" w:cstheme="majorBidi"/>
          <w:sz w:val="28"/>
          <w:szCs w:val="28"/>
          <w:rtl/>
        </w:rPr>
        <w:t xml:space="preserve">. </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 xml:space="preserve">كما يرتبط الإبداع بزيادة الرضا الوظيفي والارتباط العاطفي بالمؤسسة، نظرًا لأن الموظفين الذين يشعرون أن لديهم حرية التعبير عن أفكارهم يتمتعون بإحساس أعلى بالتمكين والإنجاز </w:t>
      </w:r>
      <w:r w:rsidRPr="00611E7E">
        <w:rPr>
          <w:rFonts w:asciiTheme="majorBidi" w:hAnsiTheme="majorBidi" w:cstheme="majorBidi"/>
          <w:sz w:val="28"/>
          <w:szCs w:val="28"/>
          <w:rtl/>
        </w:rPr>
        <w:fldChar w:fldCharType="begin"/>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ADDIN EN.CITE &lt;EndNote&gt;&lt;Cite&gt;&lt;Author&gt;George&lt;/Author&gt;&lt;Year&gt;2007&lt;/Year&gt;&lt;RecNum&gt;2319&lt;/RecNum&gt;&lt;DisplayText&gt;(George, 2007)&lt;/DisplayText&gt;&lt;record&gt;&lt;rec-number&gt;2319&lt;/rec-number&gt;&lt;foreign-keys&gt;&lt;key app="EN" db-id="t5vttv59or5xwbe2zdm5ewrxd905arrpawff" timestamp="17</w:instrText>
      </w:r>
      <w:r w:rsidRPr="00611E7E">
        <w:rPr>
          <w:rFonts w:asciiTheme="majorBidi" w:hAnsiTheme="majorBidi" w:cstheme="majorBidi"/>
          <w:sz w:val="28"/>
          <w:szCs w:val="28"/>
          <w:rtl/>
        </w:rPr>
        <w:instrText>44393925"&gt;2319&lt;/</w:instrText>
      </w:r>
      <w:r w:rsidRPr="00611E7E">
        <w:rPr>
          <w:rFonts w:asciiTheme="majorBidi" w:hAnsiTheme="majorBidi" w:cstheme="majorBidi"/>
          <w:sz w:val="28"/>
          <w:szCs w:val="28"/>
        </w:rPr>
        <w:instrText>key&gt;&lt;/foreign-keys&gt;&lt;ref-type name="Journal Article"&gt;17&lt;/ref-type&gt;&lt;contributors&gt;&lt;authors&gt;&lt;author&gt;George, Jennifer M&lt;/author&gt;&lt;/authors&gt;&lt;/contributors&gt;&lt;titles&gt;&lt;title&gt;9 Creativity in organizations&lt;/title&gt;&lt;secondary-title&gt;The academy of management annals&lt;/secondary-title&gt;&lt;/titles&gt;&lt;periodical&gt;&lt;full-title&gt;The academy of management annals&lt;/full-title&gt;&lt;/periodical&gt;&lt;pages&gt;439-477&lt;/pages&gt;&lt;volume&gt;1&lt;/volume&gt;&lt;number&gt;1&lt;/number&gt;&lt;dates&gt;&lt;year&gt;2007&lt;/year&gt;&lt;/dates&gt;&lt;isbn&gt;1941-6520&lt;/isbn&gt;&lt;urls&gt;&lt;/urls&gt;&lt;/record</w:instrText>
      </w:r>
      <w:r w:rsidRPr="00611E7E">
        <w:rPr>
          <w:rFonts w:asciiTheme="majorBidi" w:hAnsiTheme="majorBidi" w:cstheme="majorBidi"/>
          <w:sz w:val="28"/>
          <w:szCs w:val="28"/>
          <w:rtl/>
        </w:rPr>
        <w:instrText>&gt;&lt;/</w:instrText>
      </w:r>
      <w:r w:rsidRPr="00611E7E">
        <w:rPr>
          <w:rFonts w:asciiTheme="majorBidi" w:hAnsiTheme="majorBidi" w:cstheme="majorBidi"/>
          <w:sz w:val="28"/>
          <w:szCs w:val="28"/>
        </w:rPr>
        <w:instrText>Cite&gt;&lt;/EndNote</w:instrText>
      </w:r>
      <w:r w:rsidRPr="00611E7E">
        <w:rPr>
          <w:rFonts w:asciiTheme="majorBidi" w:hAnsiTheme="majorBidi" w:cstheme="majorBidi"/>
          <w:sz w:val="28"/>
          <w:szCs w:val="28"/>
          <w:rtl/>
        </w:rPr>
        <w:instrText>&gt;</w:instrText>
      </w:r>
      <w:r w:rsidRPr="00611E7E">
        <w:rPr>
          <w:rFonts w:asciiTheme="majorBidi" w:hAnsiTheme="majorBidi" w:cstheme="majorBidi"/>
          <w:sz w:val="28"/>
          <w:szCs w:val="28"/>
          <w:rtl/>
        </w:rPr>
        <w:fldChar w:fldCharType="separate"/>
      </w:r>
      <w:r w:rsidRPr="00611E7E">
        <w:rPr>
          <w:rFonts w:asciiTheme="majorBidi" w:hAnsiTheme="majorBidi" w:cstheme="majorBidi"/>
          <w:noProof/>
          <w:sz w:val="28"/>
          <w:szCs w:val="28"/>
          <w:rtl/>
        </w:rPr>
        <w:t>(</w:t>
      </w:r>
      <w:r w:rsidRPr="00611E7E">
        <w:rPr>
          <w:rFonts w:asciiTheme="majorBidi" w:hAnsiTheme="majorBidi" w:cstheme="majorBidi"/>
          <w:noProof/>
          <w:sz w:val="28"/>
          <w:szCs w:val="28"/>
        </w:rPr>
        <w:t>George, 2007</w:t>
      </w:r>
      <w:r w:rsidRPr="00611E7E">
        <w:rPr>
          <w:rFonts w:asciiTheme="majorBidi" w:hAnsiTheme="majorBidi" w:cstheme="majorBidi"/>
          <w:noProof/>
          <w:sz w:val="28"/>
          <w:szCs w:val="28"/>
          <w:rtl/>
        </w:rPr>
        <w:t>)</w:t>
      </w:r>
      <w:r w:rsidRPr="00611E7E">
        <w:rPr>
          <w:rFonts w:asciiTheme="majorBidi" w:hAnsiTheme="majorBidi" w:cstheme="majorBidi"/>
          <w:sz w:val="28"/>
          <w:szCs w:val="28"/>
          <w:rtl/>
        </w:rPr>
        <w:fldChar w:fldCharType="end"/>
      </w:r>
      <w:r w:rsidRPr="00611E7E">
        <w:rPr>
          <w:rFonts w:asciiTheme="majorBidi" w:hAnsiTheme="majorBidi" w:cstheme="majorBidi"/>
          <w:sz w:val="28"/>
          <w:szCs w:val="28"/>
          <w:rtl/>
        </w:rPr>
        <w:t>.</w:t>
      </w:r>
    </w:p>
    <w:p w14:paraId="56ED9CAA" w14:textId="176EBEDE" w:rsidR="00A91B25" w:rsidRPr="00611E7E" w:rsidRDefault="00A91B25" w:rsidP="00A0551C">
      <w:pPr>
        <w:bidi/>
        <w:jc w:val="both"/>
        <w:rPr>
          <w:rFonts w:asciiTheme="majorBidi" w:hAnsiTheme="majorBidi" w:cstheme="majorBidi"/>
          <w:sz w:val="28"/>
          <w:szCs w:val="28"/>
          <w:rtl/>
        </w:rPr>
      </w:pPr>
      <w:r w:rsidRPr="00611E7E">
        <w:rPr>
          <w:rFonts w:asciiTheme="majorBidi" w:hAnsiTheme="majorBidi" w:cstheme="majorBidi"/>
          <w:sz w:val="28"/>
          <w:szCs w:val="28"/>
          <w:rtl/>
        </w:rPr>
        <w:t>وتزداد أهمية الأداء الإبداعي في القطاعات الخدمية – مثل قطاع الضيافة – التي تتطلب تفاعلًا مستمرًا مع العملاء، وتكيّفًا لحظيًا مع متطلباتهم، وتقديم خدمات ذات طابع شخصي وابتكاري</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 xml:space="preserve">وقد أظهرت الدراسات أن المؤسسات التي تحتضن الإبداع تتمتع بقدرة أعلى على تحقيق رضا العملاء، والاحتفاظ بالموظفين المتميزين، وتحقيق نمو طويل الأمد </w:t>
      </w:r>
      <w:r w:rsidRPr="00611E7E">
        <w:rPr>
          <w:rFonts w:asciiTheme="majorBidi" w:hAnsiTheme="majorBidi" w:cstheme="majorBidi"/>
          <w:sz w:val="28"/>
          <w:szCs w:val="28"/>
          <w:rtl/>
        </w:rPr>
        <w:fldChar w:fldCharType="begin"/>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ADDIN EN.CITE &lt;EndNote&gt;&lt;Cite&gt;&lt;Author&gt;Anderson&lt;/Author&gt;&lt;Year&gt;2014&lt;/Year&gt;&lt;RecNum&gt;2318&lt;/RecNum&gt;&lt;DisplayText&gt;(Anderson et al., 2014, Kloutsiniotis and Mihail, 2020)&lt;/DisplayText&gt;&lt;record&gt;&lt;rec-number&gt;2318&lt;/rec-number&gt;&lt;foreign-keys&gt;&lt;key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Neil&lt;/author&gt;&lt;author&gt;Potočnik,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Cite&gt;&lt;Author&gt;Kloutsiniotis&lt;/Author&gt;&lt;Year&gt;2020&lt;/Year&gt;&lt;RecNum&gt;1371&lt;/RecNum&gt;&lt;record&gt;&lt;rec-number&gt;1371&lt;/rec-number&gt;&lt;foreign-keys&gt;&lt;key app="EN" db-id="t5vttv59or5xwbe2zdm5ewrxd905arrpawff"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Management&lt;/full-title&gt;&lt;/periodical&gt;&lt;pages&gt;102610&lt;/pages&gt;&lt;volume&gt;90&lt;/volume&gt;&lt;dates&gt;&lt;year&gt;2020&lt;/year&gt;&lt;/dates&gt;&lt;isbn&gt;0278-4319&lt;/isbn&gt;&lt;urls&gt;&lt;/urls&gt;&lt;/record&gt;&lt;/Cite&gt;&lt;/EndNote</w:instrText>
      </w:r>
      <w:r w:rsidRPr="00611E7E">
        <w:rPr>
          <w:rFonts w:asciiTheme="majorBidi" w:hAnsiTheme="majorBidi" w:cstheme="majorBidi"/>
          <w:sz w:val="28"/>
          <w:szCs w:val="28"/>
          <w:rtl/>
        </w:rPr>
        <w:instrText>&gt;</w:instrText>
      </w:r>
      <w:r w:rsidRPr="00611E7E">
        <w:rPr>
          <w:rFonts w:asciiTheme="majorBidi" w:hAnsiTheme="majorBidi" w:cstheme="majorBidi"/>
          <w:sz w:val="28"/>
          <w:szCs w:val="28"/>
          <w:rtl/>
        </w:rPr>
        <w:fldChar w:fldCharType="separate"/>
      </w:r>
      <w:r w:rsidRPr="00611E7E">
        <w:rPr>
          <w:rFonts w:asciiTheme="majorBidi" w:hAnsiTheme="majorBidi" w:cstheme="majorBidi"/>
          <w:noProof/>
          <w:sz w:val="28"/>
          <w:szCs w:val="28"/>
          <w:rtl/>
        </w:rPr>
        <w:t>(</w:t>
      </w:r>
      <w:r w:rsidRPr="00611E7E">
        <w:rPr>
          <w:rFonts w:asciiTheme="majorBidi" w:hAnsiTheme="majorBidi" w:cstheme="majorBidi"/>
          <w:noProof/>
          <w:sz w:val="28"/>
          <w:szCs w:val="28"/>
        </w:rPr>
        <w:t>Anderson et al., 2014, Kloutsiniotis and Mihail, 2020</w:t>
      </w:r>
      <w:r w:rsidRPr="00611E7E">
        <w:rPr>
          <w:rFonts w:asciiTheme="majorBidi" w:hAnsiTheme="majorBidi" w:cstheme="majorBidi"/>
          <w:noProof/>
          <w:sz w:val="28"/>
          <w:szCs w:val="28"/>
          <w:rtl/>
        </w:rPr>
        <w:t>)</w:t>
      </w:r>
      <w:r w:rsidRPr="00611E7E">
        <w:rPr>
          <w:rFonts w:asciiTheme="majorBidi" w:hAnsiTheme="majorBidi" w:cstheme="majorBidi"/>
          <w:sz w:val="28"/>
          <w:szCs w:val="28"/>
          <w:rtl/>
        </w:rPr>
        <w:fldChar w:fldCharType="end"/>
      </w:r>
      <w:r w:rsidRPr="00611E7E">
        <w:rPr>
          <w:rFonts w:asciiTheme="majorBidi" w:hAnsiTheme="majorBidi" w:cstheme="majorBidi"/>
          <w:sz w:val="28"/>
          <w:szCs w:val="28"/>
          <w:rtl/>
        </w:rPr>
        <w:t>.</w:t>
      </w:r>
    </w:p>
    <w:p w14:paraId="5CE1434C" w14:textId="01FC4D24" w:rsidR="00A91B25" w:rsidRDefault="00A91B25" w:rsidP="00A0551C">
      <w:pPr>
        <w:bidi/>
        <w:jc w:val="both"/>
        <w:rPr>
          <w:rFonts w:asciiTheme="majorBidi" w:hAnsiTheme="majorBidi" w:cstheme="majorBidi"/>
          <w:sz w:val="28"/>
          <w:szCs w:val="28"/>
          <w:rtl/>
        </w:rPr>
      </w:pPr>
      <w:r w:rsidRPr="00611E7E">
        <w:rPr>
          <w:rFonts w:asciiTheme="majorBidi" w:hAnsiTheme="majorBidi" w:cstheme="majorBidi"/>
          <w:sz w:val="28"/>
          <w:szCs w:val="28"/>
          <w:rtl/>
        </w:rPr>
        <w:t>لذا، فإن دعم الأداء الإبداعي في بيئة العمل لم يعد ترفًا تنظيميًا، بل أصبح شرطًا أساسيًا لاستمرارية وازدهار المؤسسات في</w:t>
      </w:r>
      <w:r w:rsidRPr="00DC3DDE">
        <w:rPr>
          <w:rFonts w:asciiTheme="majorBidi" w:hAnsiTheme="majorBidi" w:cstheme="majorBidi"/>
          <w:sz w:val="28"/>
          <w:szCs w:val="28"/>
          <w:rtl/>
        </w:rPr>
        <w:t xml:space="preserve"> بيئات تتسم بالمنافسة والاضطراب والتغيير المستمر</w:t>
      </w:r>
      <w:r w:rsidRPr="00DC3DDE">
        <w:rPr>
          <w:rFonts w:asciiTheme="majorBidi" w:hAnsiTheme="majorBidi" w:cstheme="majorBidi"/>
          <w:sz w:val="28"/>
          <w:szCs w:val="28"/>
        </w:rPr>
        <w:t>.</w:t>
      </w:r>
    </w:p>
    <w:p w14:paraId="5572B101" w14:textId="77777777" w:rsidR="006652C1" w:rsidRDefault="006652C1" w:rsidP="006652C1">
      <w:pPr>
        <w:bidi/>
        <w:jc w:val="both"/>
        <w:rPr>
          <w:rFonts w:asciiTheme="majorBidi" w:hAnsiTheme="majorBidi" w:cstheme="majorBidi"/>
          <w:sz w:val="28"/>
          <w:szCs w:val="28"/>
          <w:rtl/>
        </w:rPr>
      </w:pPr>
    </w:p>
    <w:p w14:paraId="63E3D6CE" w14:textId="77777777" w:rsidR="004675F9" w:rsidRPr="007575D7" w:rsidRDefault="004675F9" w:rsidP="004675F9">
      <w:pPr>
        <w:bidi/>
        <w:jc w:val="both"/>
        <w:rPr>
          <w:rFonts w:asciiTheme="majorBidi" w:hAnsiTheme="majorBidi" w:cstheme="majorBidi"/>
          <w:sz w:val="28"/>
          <w:szCs w:val="28"/>
        </w:rPr>
      </w:pPr>
    </w:p>
    <w:p w14:paraId="16B983EA" w14:textId="47D4A297" w:rsidR="007575D7" w:rsidRPr="007575D7" w:rsidRDefault="00A86179" w:rsidP="007575D7">
      <w:pPr>
        <w:bidi/>
        <w:rPr>
          <w:rFonts w:asciiTheme="majorBidi" w:hAnsiTheme="majorBidi" w:cstheme="majorBidi"/>
          <w:b/>
          <w:bCs/>
          <w:sz w:val="28"/>
          <w:szCs w:val="28"/>
        </w:rPr>
      </w:pPr>
      <w:r w:rsidRPr="00DC3DDE">
        <w:rPr>
          <w:rFonts w:asciiTheme="majorBidi" w:hAnsiTheme="majorBidi" w:cstheme="majorBidi"/>
          <w:b/>
          <w:bCs/>
          <w:sz w:val="28"/>
          <w:szCs w:val="28"/>
          <w:rtl/>
        </w:rPr>
        <w:lastRenderedPageBreak/>
        <w:t xml:space="preserve">2.2.2.5. </w:t>
      </w:r>
      <w:r w:rsidR="007575D7" w:rsidRPr="007575D7">
        <w:rPr>
          <w:rFonts w:asciiTheme="majorBidi" w:hAnsiTheme="majorBidi" w:cstheme="majorBidi"/>
          <w:b/>
          <w:bCs/>
          <w:sz w:val="28"/>
          <w:szCs w:val="28"/>
          <w:rtl/>
        </w:rPr>
        <w:t>الربط بنموذج الدراسة</w:t>
      </w:r>
    </w:p>
    <w:p w14:paraId="05AEC096" w14:textId="1C1EDE9C" w:rsidR="006652C1" w:rsidRPr="00DC3DDE" w:rsidRDefault="007575D7" w:rsidP="006652C1">
      <w:pPr>
        <w:bidi/>
        <w:jc w:val="both"/>
        <w:rPr>
          <w:rFonts w:asciiTheme="majorBidi" w:hAnsiTheme="majorBidi" w:cstheme="majorBidi"/>
          <w:sz w:val="28"/>
          <w:szCs w:val="28"/>
          <w:rtl/>
        </w:rPr>
      </w:pPr>
      <w:r w:rsidRPr="007575D7">
        <w:rPr>
          <w:rFonts w:asciiTheme="majorBidi" w:hAnsiTheme="majorBidi" w:cstheme="majorBidi"/>
          <w:sz w:val="28"/>
          <w:szCs w:val="28"/>
          <w:rtl/>
        </w:rPr>
        <w:t>يمثل الإبداع الوظيفي المتغير التابع في نموذج هذه الدراسة، وهو النتيجة المستهدفة من خلال تبني أنظمة العمل عالية الأداء وتعزيز الثقافة التنظيمية. فعندما تتيح المؤسسة للعاملين فرص التعلم، وتدعم التمكين، وتكافئ المبادرات الجديدة، فإنها ترفع من احتمالية توليد وتنفيذ أفكار مبتكرة، الأمر الذي يعزز جودة الخدمات المقدمة في قطاع الضيافة</w:t>
      </w:r>
      <w:r w:rsidR="00A86179" w:rsidRPr="00DC3DDE">
        <w:rPr>
          <w:rFonts w:asciiTheme="majorBidi" w:hAnsiTheme="majorBidi" w:cstheme="majorBidi"/>
          <w:sz w:val="28"/>
          <w:szCs w:val="28"/>
          <w:rtl/>
        </w:rPr>
        <w:t xml:space="preserve"> </w:t>
      </w:r>
      <w:r w:rsidR="00A86179" w:rsidRPr="00DC3DDE">
        <w:rPr>
          <w:rFonts w:asciiTheme="majorBidi" w:hAnsiTheme="majorBidi" w:cstheme="majorBidi"/>
          <w:sz w:val="28"/>
          <w:szCs w:val="28"/>
          <w:rtl/>
        </w:rPr>
        <w:fldChar w:fldCharType="begin"/>
      </w:r>
      <w:r w:rsidR="00A86179" w:rsidRPr="00DC3DDE">
        <w:rPr>
          <w:rFonts w:asciiTheme="majorBidi" w:hAnsiTheme="majorBidi" w:cstheme="majorBidi"/>
          <w:sz w:val="28"/>
          <w:szCs w:val="28"/>
          <w:rtl/>
        </w:rPr>
        <w:instrText xml:space="preserve"> </w:instrText>
      </w:r>
      <w:r w:rsidR="00A86179" w:rsidRPr="00DC3DDE">
        <w:rPr>
          <w:rFonts w:asciiTheme="majorBidi" w:hAnsiTheme="majorBidi" w:cstheme="majorBidi"/>
          <w:sz w:val="28"/>
          <w:szCs w:val="28"/>
        </w:rPr>
        <w:instrText>ADDIN EN.CITE &lt;EndNote&gt;&lt;Cite&gt;&lt;Author&gt;Amabile Teresa&lt;/Author&gt;&lt;Year&gt;1996&lt;/Year&gt;&lt;RecNum&gt;1239&lt;/RecNum&gt;&lt;DisplayText&gt;(Amabile Teresa, 1996, Shalley and Gilson, 2004)&lt;/DisplayText&gt;&lt;record&gt;&lt;rec-number&gt;1239&lt;/rec-number&gt;&lt;foreign-keys&gt;&lt;key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context&lt;/title&gt;&lt;/titles&gt;&lt;dates&gt;&lt;year&gt;1996&lt;/year&gt;&lt;/dates&gt;&lt;publisher&gt;Boulder, CO: Westview Press&lt;/publisher&gt;&lt;urls&gt;&lt;/urls&gt;&lt;/record&gt;&lt;/Cite&gt;&lt;Cite&gt;&lt;Author&gt;Shalley&lt;/Author&gt;&lt;Year&gt;2004&lt;/Year&gt;&lt;RecNum&gt;2760&lt;/RecNum&gt;&lt;record&gt;&lt;rec-number&gt;2760&lt;/rec-number&gt;&lt;foreign-keys&gt;&lt;key app="EN" db-id="t5vttv59or5xwbe2zdm5ewrxd905arrpawff" timestamp="1748371049"&gt;2760&lt;/key&gt;&lt;/foreign-keys&gt;&lt;ref-type name="Journal Article"&gt;17&lt;/ref-type&gt;&lt;contributors&gt;&lt;authors&gt;&lt;author&gt;Shalley, Christina E&lt;/author&gt;&lt;author&gt;Gilson, Lucy L&lt;/author&gt;&lt;/authors&gt;&lt;/contributors&gt;&lt;titles&gt;&lt;title&gt;What leaders need to know: A review of social and contextual factors that can foster or hinder creativity&lt;/title&gt;&lt;secondary-title&gt;The leadership quarterly&lt;/secondary-title&gt;&lt;/titles&gt;&lt;periodical&gt;&lt;full-title&gt;The Leadership Quarterly&lt;/full-title&gt;&lt;/periodical</w:instrText>
      </w:r>
      <w:r w:rsidR="00A86179" w:rsidRPr="00DC3DDE">
        <w:rPr>
          <w:rFonts w:asciiTheme="majorBidi" w:hAnsiTheme="majorBidi" w:cstheme="majorBidi"/>
          <w:sz w:val="28"/>
          <w:szCs w:val="28"/>
          <w:rtl/>
        </w:rPr>
        <w:instrText>&gt;&lt;</w:instrText>
      </w:r>
      <w:r w:rsidR="00A86179" w:rsidRPr="00DC3DDE">
        <w:rPr>
          <w:rFonts w:asciiTheme="majorBidi" w:hAnsiTheme="majorBidi" w:cstheme="majorBidi"/>
          <w:sz w:val="28"/>
          <w:szCs w:val="28"/>
        </w:rPr>
        <w:instrText>pages&gt;33-53&lt;/pages&gt;&lt;volume&gt;15&lt;/volume&gt;&lt;number&gt;1&lt;/number&gt;&lt;dates&gt;&lt;year&gt;2004&lt;/year&gt;&lt;/dates&gt;&lt;isbn&gt;1048-9843&lt;/isbn&gt;&lt;urls&gt;&lt;/urls&gt;&lt;/record&gt;&lt;/Cite&gt;&lt;/EndNote</w:instrText>
      </w:r>
      <w:r w:rsidR="00A86179" w:rsidRPr="00DC3DDE">
        <w:rPr>
          <w:rFonts w:asciiTheme="majorBidi" w:hAnsiTheme="majorBidi" w:cstheme="majorBidi"/>
          <w:sz w:val="28"/>
          <w:szCs w:val="28"/>
          <w:rtl/>
        </w:rPr>
        <w:instrText>&gt;</w:instrText>
      </w:r>
      <w:r w:rsidR="00A86179" w:rsidRPr="00DC3DDE">
        <w:rPr>
          <w:rFonts w:asciiTheme="majorBidi" w:hAnsiTheme="majorBidi" w:cstheme="majorBidi"/>
          <w:sz w:val="28"/>
          <w:szCs w:val="28"/>
          <w:rtl/>
        </w:rPr>
        <w:fldChar w:fldCharType="separate"/>
      </w:r>
      <w:r w:rsidR="00A86179" w:rsidRPr="00DC3DDE">
        <w:rPr>
          <w:rFonts w:asciiTheme="majorBidi" w:hAnsiTheme="majorBidi" w:cstheme="majorBidi"/>
          <w:noProof/>
          <w:sz w:val="28"/>
          <w:szCs w:val="28"/>
          <w:rtl/>
        </w:rPr>
        <w:t>(</w:t>
      </w:r>
      <w:r w:rsidR="00A86179" w:rsidRPr="00DC3DDE">
        <w:rPr>
          <w:rFonts w:asciiTheme="majorBidi" w:hAnsiTheme="majorBidi" w:cstheme="majorBidi"/>
          <w:noProof/>
          <w:sz w:val="28"/>
          <w:szCs w:val="28"/>
        </w:rPr>
        <w:t>Amabile Teresa, 1996, Shalley and Gilson, 2004</w:t>
      </w:r>
      <w:r w:rsidR="00A86179" w:rsidRPr="00DC3DDE">
        <w:rPr>
          <w:rFonts w:asciiTheme="majorBidi" w:hAnsiTheme="majorBidi" w:cstheme="majorBidi"/>
          <w:noProof/>
          <w:sz w:val="28"/>
          <w:szCs w:val="28"/>
          <w:rtl/>
        </w:rPr>
        <w:t>)</w:t>
      </w:r>
      <w:r w:rsidR="00A86179" w:rsidRPr="00DC3DDE">
        <w:rPr>
          <w:rFonts w:asciiTheme="majorBidi" w:hAnsiTheme="majorBidi" w:cstheme="majorBidi"/>
          <w:sz w:val="28"/>
          <w:szCs w:val="28"/>
          <w:rtl/>
        </w:rPr>
        <w:fldChar w:fldCharType="end"/>
      </w:r>
      <w:r w:rsidR="00A86179" w:rsidRPr="00DC3DDE">
        <w:rPr>
          <w:rFonts w:asciiTheme="majorBidi" w:hAnsiTheme="majorBidi" w:cstheme="majorBidi"/>
          <w:sz w:val="28"/>
          <w:szCs w:val="28"/>
          <w:rtl/>
        </w:rPr>
        <w:t>.</w:t>
      </w:r>
    </w:p>
    <w:p w14:paraId="358A175F" w14:textId="21F4CB60" w:rsidR="007575D7" w:rsidRPr="007575D7" w:rsidRDefault="00A86179" w:rsidP="007575D7">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2.2.3. </w:t>
      </w:r>
      <w:r w:rsidR="007575D7" w:rsidRPr="007575D7">
        <w:rPr>
          <w:rFonts w:asciiTheme="majorBidi" w:hAnsiTheme="majorBidi" w:cstheme="majorBidi"/>
          <w:b/>
          <w:bCs/>
          <w:sz w:val="28"/>
          <w:szCs w:val="28"/>
          <w:rtl/>
        </w:rPr>
        <w:t>الثقافة التنظيمية</w:t>
      </w:r>
      <w:r w:rsidR="00A91B25" w:rsidRPr="00DC3DDE">
        <w:rPr>
          <w:rFonts w:asciiTheme="majorBidi" w:hAnsiTheme="majorBidi" w:cstheme="majorBidi"/>
          <w:b/>
          <w:bCs/>
          <w:sz w:val="28"/>
          <w:szCs w:val="28"/>
          <w:rtl/>
          <w:lang w:bidi="ar-EG"/>
        </w:rPr>
        <w:t xml:space="preserve"> </w:t>
      </w:r>
      <w:r w:rsidR="007575D7" w:rsidRPr="007575D7">
        <w:rPr>
          <w:rFonts w:asciiTheme="majorBidi" w:hAnsiTheme="majorBidi" w:cstheme="majorBidi"/>
          <w:b/>
          <w:bCs/>
          <w:sz w:val="28"/>
          <w:szCs w:val="28"/>
        </w:rPr>
        <w:t>(Organizational Culture)</w:t>
      </w:r>
    </w:p>
    <w:p w14:paraId="0DAF6F55" w14:textId="44B927C5" w:rsidR="007575D7" w:rsidRPr="007575D7" w:rsidRDefault="00A86179" w:rsidP="007575D7">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2.2.3.1. </w:t>
      </w:r>
      <w:r w:rsidR="007575D7" w:rsidRPr="007575D7">
        <w:rPr>
          <w:rFonts w:asciiTheme="majorBidi" w:hAnsiTheme="majorBidi" w:cstheme="majorBidi"/>
          <w:b/>
          <w:bCs/>
          <w:sz w:val="28"/>
          <w:szCs w:val="28"/>
          <w:rtl/>
        </w:rPr>
        <w:t>النشأة والتطور</w:t>
      </w:r>
    </w:p>
    <w:p w14:paraId="740397F4" w14:textId="77777777" w:rsidR="005B4587" w:rsidRPr="00DC3DDE" w:rsidRDefault="007575D7" w:rsidP="00A0551C">
      <w:pPr>
        <w:bidi/>
        <w:jc w:val="both"/>
        <w:rPr>
          <w:rFonts w:asciiTheme="majorBidi" w:hAnsiTheme="majorBidi" w:cstheme="majorBidi"/>
          <w:sz w:val="28"/>
          <w:szCs w:val="28"/>
        </w:rPr>
      </w:pPr>
      <w:r w:rsidRPr="007575D7">
        <w:rPr>
          <w:rFonts w:asciiTheme="majorBidi" w:hAnsiTheme="majorBidi" w:cstheme="majorBidi"/>
          <w:sz w:val="28"/>
          <w:szCs w:val="28"/>
          <w:rtl/>
        </w:rPr>
        <w:t xml:space="preserve">برز مفهوم الثقافة التنظيمية في ثمانينيات القرن الماضي مع أعمال </w:t>
      </w:r>
      <w:r w:rsidRPr="007575D7">
        <w:rPr>
          <w:rFonts w:asciiTheme="majorBidi" w:hAnsiTheme="majorBidi" w:cstheme="majorBidi"/>
          <w:i/>
          <w:iCs/>
          <w:sz w:val="28"/>
          <w:szCs w:val="28"/>
        </w:rPr>
        <w:t>Deal and Kennedy (1983)</w:t>
      </w:r>
      <w:r w:rsidR="00A86179" w:rsidRPr="00DC3DDE">
        <w:rPr>
          <w:rFonts w:asciiTheme="majorBidi" w:hAnsiTheme="majorBidi" w:cstheme="majorBidi"/>
          <w:sz w:val="28"/>
          <w:szCs w:val="28"/>
          <w:rtl/>
        </w:rPr>
        <w:t xml:space="preserve"> </w:t>
      </w:r>
      <w:r w:rsidRPr="007575D7">
        <w:rPr>
          <w:rFonts w:asciiTheme="majorBidi" w:hAnsiTheme="majorBidi" w:cstheme="majorBidi"/>
          <w:sz w:val="28"/>
          <w:szCs w:val="28"/>
          <w:rtl/>
        </w:rPr>
        <w:t>التي تناولت الطقوس والرموز والممارسات بوصفها ملامح مميِّزة لهوية المؤسسات</w:t>
      </w:r>
      <w:r w:rsidR="00FE456E" w:rsidRPr="00DC3DDE">
        <w:rPr>
          <w:rFonts w:asciiTheme="majorBidi" w:hAnsiTheme="majorBidi" w:cstheme="majorBidi"/>
          <w:sz w:val="28"/>
          <w:szCs w:val="28"/>
          <w:rtl/>
        </w:rPr>
        <w:t xml:space="preserve"> </w:t>
      </w:r>
      <w:r w:rsidR="00FE456E" w:rsidRPr="00DC3DDE">
        <w:rPr>
          <w:rFonts w:asciiTheme="majorBidi" w:hAnsiTheme="majorBidi" w:cstheme="majorBidi"/>
          <w:sz w:val="28"/>
          <w:szCs w:val="28"/>
          <w:rtl/>
        </w:rPr>
        <w:fldChar w:fldCharType="begin"/>
      </w:r>
      <w:r w:rsidR="00FE456E" w:rsidRPr="00DC3DDE">
        <w:rPr>
          <w:rFonts w:asciiTheme="majorBidi" w:hAnsiTheme="majorBidi" w:cstheme="majorBidi"/>
          <w:sz w:val="28"/>
          <w:szCs w:val="28"/>
          <w:rtl/>
        </w:rPr>
        <w:instrText xml:space="preserve"> </w:instrText>
      </w:r>
      <w:r w:rsidR="00FE456E" w:rsidRPr="00DC3DDE">
        <w:rPr>
          <w:rFonts w:asciiTheme="majorBidi" w:hAnsiTheme="majorBidi" w:cstheme="majorBidi"/>
          <w:sz w:val="28"/>
          <w:szCs w:val="28"/>
        </w:rPr>
        <w:instrText>ADDIN EN.CITE &lt;EndNote&gt;&lt;Cite&gt;&lt;Author&gt;Deal&lt;/Author&gt;&lt;Year&gt;1983&lt;/Year&gt;&lt;RecNum&gt;2772&lt;/RecNum&gt;&lt;DisplayText&gt;(Deal and Kennedy, 1983)&lt;/DisplayText&gt;&lt;record&gt;&lt;rec-number&gt;2772&lt;/rec-number&gt;&lt;foreign-keys&gt;&lt;key app="EN" db-id="t5vttv59or5xwbe2zdm5ewrxd905arrpawff" timestamp="1748380430"&gt;2772&lt;/key&gt;&lt;/foreign-keys&gt;&lt;ref-type name="Journal Article"&gt;17&lt;/ref-type&gt;&lt;contributors&gt;&lt;authors&gt;&lt;author&gt;Deal, Terrence E&lt;/author&gt;&lt;author&gt;Kennedy, Allan A&lt;/author&gt;&lt;/authors&gt;&lt;/contributors&gt;&lt;titles&gt;&lt;title&gt;Corporate cultures: The rites and rituals of corporate life: Addison-Wesley, 1982. ISBN: 0-201-10277-3. $14.95&lt;/title&gt;&lt;secondary-title&gt;Business Horizons&lt;/secondary-title&gt;&lt;/titles&gt;&lt;periodical&gt;&lt;full-title&gt;Business horizons&lt;/full-title&gt;&lt;/periodical&gt;&lt;pages&gt;82-85&lt;/pages&gt;&lt;volume&gt;26&lt;/volume&gt;&lt;number</w:instrText>
      </w:r>
      <w:r w:rsidR="00FE456E" w:rsidRPr="00DC3DDE">
        <w:rPr>
          <w:rFonts w:asciiTheme="majorBidi" w:hAnsiTheme="majorBidi" w:cstheme="majorBidi"/>
          <w:sz w:val="28"/>
          <w:szCs w:val="28"/>
          <w:rtl/>
        </w:rPr>
        <w:instrText>&gt;2&lt;/</w:instrText>
      </w:r>
      <w:r w:rsidR="00FE456E" w:rsidRPr="00DC3DDE">
        <w:rPr>
          <w:rFonts w:asciiTheme="majorBidi" w:hAnsiTheme="majorBidi" w:cstheme="majorBidi"/>
          <w:sz w:val="28"/>
          <w:szCs w:val="28"/>
        </w:rPr>
        <w:instrText>number&gt;&lt;dates&gt;&lt;year&gt;1983&lt;/year&gt;&lt;/dates&gt;&lt;isbn&gt;0007-6813&lt;/isbn&gt;&lt;urls&gt;&lt;/urls&gt;&lt;/record&gt;&lt;/Cite&gt;&lt;/EndNote</w:instrText>
      </w:r>
      <w:r w:rsidR="00FE456E" w:rsidRPr="00DC3DDE">
        <w:rPr>
          <w:rFonts w:asciiTheme="majorBidi" w:hAnsiTheme="majorBidi" w:cstheme="majorBidi"/>
          <w:sz w:val="28"/>
          <w:szCs w:val="28"/>
          <w:rtl/>
        </w:rPr>
        <w:instrText>&gt;</w:instrText>
      </w:r>
      <w:r w:rsidR="00FE456E" w:rsidRPr="00DC3DDE">
        <w:rPr>
          <w:rFonts w:asciiTheme="majorBidi" w:hAnsiTheme="majorBidi" w:cstheme="majorBidi"/>
          <w:sz w:val="28"/>
          <w:szCs w:val="28"/>
          <w:rtl/>
        </w:rPr>
        <w:fldChar w:fldCharType="separate"/>
      </w:r>
      <w:r w:rsidR="00FE456E" w:rsidRPr="00DC3DDE">
        <w:rPr>
          <w:rFonts w:asciiTheme="majorBidi" w:hAnsiTheme="majorBidi" w:cstheme="majorBidi"/>
          <w:noProof/>
          <w:sz w:val="28"/>
          <w:szCs w:val="28"/>
          <w:rtl/>
        </w:rPr>
        <w:t>(</w:t>
      </w:r>
      <w:r w:rsidR="00FE456E" w:rsidRPr="00DC3DDE">
        <w:rPr>
          <w:rFonts w:asciiTheme="majorBidi" w:hAnsiTheme="majorBidi" w:cstheme="majorBidi"/>
          <w:noProof/>
          <w:sz w:val="28"/>
          <w:szCs w:val="28"/>
        </w:rPr>
        <w:t>Deal and Kennedy, 1983</w:t>
      </w:r>
      <w:r w:rsidR="00FE456E" w:rsidRPr="00DC3DDE">
        <w:rPr>
          <w:rFonts w:asciiTheme="majorBidi" w:hAnsiTheme="majorBidi" w:cstheme="majorBidi"/>
          <w:noProof/>
          <w:sz w:val="28"/>
          <w:szCs w:val="28"/>
          <w:rtl/>
        </w:rPr>
        <w:t>)</w:t>
      </w:r>
      <w:r w:rsidR="00FE456E" w:rsidRPr="00DC3DDE">
        <w:rPr>
          <w:rFonts w:asciiTheme="majorBidi" w:hAnsiTheme="majorBidi" w:cstheme="majorBidi"/>
          <w:sz w:val="28"/>
          <w:szCs w:val="28"/>
          <w:rtl/>
        </w:rPr>
        <w:fldChar w:fldCharType="end"/>
      </w:r>
      <w:r w:rsidRPr="007575D7">
        <w:rPr>
          <w:rFonts w:asciiTheme="majorBidi" w:hAnsiTheme="majorBidi" w:cstheme="majorBidi"/>
          <w:sz w:val="28"/>
          <w:szCs w:val="28"/>
          <w:rtl/>
        </w:rPr>
        <w:t xml:space="preserve">. ومع مرور الوقت، تعمّق الاهتمام الأكاديمي بهذا المفهوم، خاصة مع طرح </w:t>
      </w:r>
      <w:r w:rsidRPr="007575D7">
        <w:rPr>
          <w:rFonts w:asciiTheme="majorBidi" w:hAnsiTheme="majorBidi" w:cstheme="majorBidi"/>
          <w:i/>
          <w:iCs/>
          <w:sz w:val="28"/>
          <w:szCs w:val="28"/>
        </w:rPr>
        <w:t>Schein (2010)</w:t>
      </w:r>
      <w:r w:rsidR="00FE456E" w:rsidRPr="00DC3DDE">
        <w:rPr>
          <w:rFonts w:asciiTheme="majorBidi" w:hAnsiTheme="majorBidi" w:cstheme="majorBidi"/>
          <w:sz w:val="28"/>
          <w:szCs w:val="28"/>
          <w:rtl/>
        </w:rPr>
        <w:t xml:space="preserve"> </w:t>
      </w:r>
      <w:r w:rsidRPr="007575D7">
        <w:rPr>
          <w:rFonts w:asciiTheme="majorBidi" w:hAnsiTheme="majorBidi" w:cstheme="majorBidi"/>
          <w:sz w:val="28"/>
          <w:szCs w:val="28"/>
          <w:rtl/>
        </w:rPr>
        <w:t>لنموذجه الشهير الذي صنّف الثقافة إلى ثلاثة مستويات متداخلة: المظاهر الملموسة، القيم المعلنة، والافتراضات الأساسية غير المرئية</w:t>
      </w:r>
      <w:r w:rsidR="00FE456E" w:rsidRPr="00DC3DDE">
        <w:rPr>
          <w:rFonts w:asciiTheme="majorBidi" w:hAnsiTheme="majorBidi" w:cstheme="majorBidi"/>
          <w:sz w:val="28"/>
          <w:szCs w:val="28"/>
          <w:rtl/>
        </w:rPr>
        <w:t xml:space="preserve"> </w:t>
      </w:r>
      <w:r w:rsidR="00FE456E" w:rsidRPr="00DC3DDE">
        <w:rPr>
          <w:rFonts w:asciiTheme="majorBidi" w:hAnsiTheme="majorBidi" w:cstheme="majorBidi"/>
          <w:sz w:val="28"/>
          <w:szCs w:val="28"/>
          <w:rtl/>
        </w:rPr>
        <w:fldChar w:fldCharType="begin"/>
      </w:r>
      <w:r w:rsidR="00FE456E" w:rsidRPr="00DC3DDE">
        <w:rPr>
          <w:rFonts w:asciiTheme="majorBidi" w:hAnsiTheme="majorBidi" w:cstheme="majorBidi"/>
          <w:sz w:val="28"/>
          <w:szCs w:val="28"/>
          <w:rtl/>
        </w:rPr>
        <w:instrText xml:space="preserve"> </w:instrText>
      </w:r>
      <w:r w:rsidR="00FE456E" w:rsidRPr="00DC3DDE">
        <w:rPr>
          <w:rFonts w:asciiTheme="majorBidi" w:hAnsiTheme="majorBidi" w:cstheme="majorBidi"/>
          <w:sz w:val="28"/>
          <w:szCs w:val="28"/>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FE456E" w:rsidRPr="00DC3DDE">
        <w:rPr>
          <w:rFonts w:asciiTheme="majorBidi" w:hAnsiTheme="majorBidi" w:cstheme="majorBidi"/>
          <w:sz w:val="28"/>
          <w:szCs w:val="28"/>
          <w:rtl/>
        </w:rPr>
        <w:instrText>31695466"&gt;1524&lt;/</w:instrText>
      </w:r>
      <w:r w:rsidR="00FE456E" w:rsidRPr="00DC3DDE">
        <w:rPr>
          <w:rFonts w:asciiTheme="majorBidi" w:hAnsiTheme="majorBidi" w:cstheme="majorBidi"/>
          <w:sz w:val="28"/>
          <w:szCs w:val="28"/>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FE456E" w:rsidRPr="00DC3DDE">
        <w:rPr>
          <w:rFonts w:asciiTheme="majorBidi" w:hAnsiTheme="majorBidi" w:cstheme="majorBidi"/>
          <w:sz w:val="28"/>
          <w:szCs w:val="28"/>
          <w:rtl/>
        </w:rPr>
        <w:instrText>&lt;/</w:instrText>
      </w:r>
      <w:r w:rsidR="00FE456E" w:rsidRPr="00DC3DDE">
        <w:rPr>
          <w:rFonts w:asciiTheme="majorBidi" w:hAnsiTheme="majorBidi" w:cstheme="majorBidi"/>
          <w:sz w:val="28"/>
          <w:szCs w:val="28"/>
        </w:rPr>
        <w:instrText>year&gt;&lt;/dates&gt;&lt;publisher&gt;John Wiley &amp;amp; Sons&lt;/publisher&gt;&lt;isbn&gt;047064057X&lt;/isbn&gt;&lt;urls&gt;&lt;/urls&gt;&lt;/record&gt;&lt;/Cite&gt;&lt;/EndNote</w:instrText>
      </w:r>
      <w:r w:rsidR="00FE456E" w:rsidRPr="00DC3DDE">
        <w:rPr>
          <w:rFonts w:asciiTheme="majorBidi" w:hAnsiTheme="majorBidi" w:cstheme="majorBidi"/>
          <w:sz w:val="28"/>
          <w:szCs w:val="28"/>
          <w:rtl/>
        </w:rPr>
        <w:instrText>&gt;</w:instrText>
      </w:r>
      <w:r w:rsidR="00FE456E" w:rsidRPr="00DC3DDE">
        <w:rPr>
          <w:rFonts w:asciiTheme="majorBidi" w:hAnsiTheme="majorBidi" w:cstheme="majorBidi"/>
          <w:sz w:val="28"/>
          <w:szCs w:val="28"/>
          <w:rtl/>
        </w:rPr>
        <w:fldChar w:fldCharType="separate"/>
      </w:r>
      <w:r w:rsidR="00FE456E" w:rsidRPr="00DC3DDE">
        <w:rPr>
          <w:rFonts w:asciiTheme="majorBidi" w:hAnsiTheme="majorBidi" w:cstheme="majorBidi"/>
          <w:noProof/>
          <w:sz w:val="28"/>
          <w:szCs w:val="28"/>
          <w:rtl/>
        </w:rPr>
        <w:t>(</w:t>
      </w:r>
      <w:r w:rsidR="00FE456E" w:rsidRPr="00DC3DDE">
        <w:rPr>
          <w:rFonts w:asciiTheme="majorBidi" w:hAnsiTheme="majorBidi" w:cstheme="majorBidi"/>
          <w:noProof/>
          <w:sz w:val="28"/>
          <w:szCs w:val="28"/>
        </w:rPr>
        <w:t>Schein, 2010</w:t>
      </w:r>
      <w:r w:rsidR="00FE456E" w:rsidRPr="00DC3DDE">
        <w:rPr>
          <w:rFonts w:asciiTheme="majorBidi" w:hAnsiTheme="majorBidi" w:cstheme="majorBidi"/>
          <w:noProof/>
          <w:sz w:val="28"/>
          <w:szCs w:val="28"/>
          <w:rtl/>
        </w:rPr>
        <w:t>)</w:t>
      </w:r>
      <w:r w:rsidR="00FE456E" w:rsidRPr="00DC3DDE">
        <w:rPr>
          <w:rFonts w:asciiTheme="majorBidi" w:hAnsiTheme="majorBidi" w:cstheme="majorBidi"/>
          <w:sz w:val="28"/>
          <w:szCs w:val="28"/>
          <w:rtl/>
        </w:rPr>
        <w:fldChar w:fldCharType="end"/>
      </w:r>
      <w:r w:rsidR="00FE456E" w:rsidRPr="00DC3DDE">
        <w:rPr>
          <w:rFonts w:asciiTheme="majorBidi" w:hAnsiTheme="majorBidi" w:cstheme="majorBidi"/>
          <w:sz w:val="28"/>
          <w:szCs w:val="28"/>
          <w:rtl/>
        </w:rPr>
        <w:t>.</w:t>
      </w:r>
      <w:r w:rsidRPr="007575D7">
        <w:rPr>
          <w:rFonts w:asciiTheme="majorBidi" w:hAnsiTheme="majorBidi" w:cstheme="majorBidi"/>
          <w:sz w:val="28"/>
          <w:szCs w:val="28"/>
        </w:rPr>
        <w:br/>
      </w:r>
      <w:r w:rsidRPr="007575D7">
        <w:rPr>
          <w:rFonts w:asciiTheme="majorBidi" w:hAnsiTheme="majorBidi" w:cstheme="majorBidi"/>
          <w:sz w:val="28"/>
          <w:szCs w:val="28"/>
          <w:rtl/>
        </w:rPr>
        <w:t xml:space="preserve">وخلال التسعينيات، قدّم </w:t>
      </w:r>
      <w:r w:rsidRPr="007575D7">
        <w:rPr>
          <w:rFonts w:asciiTheme="majorBidi" w:hAnsiTheme="majorBidi" w:cstheme="majorBidi"/>
          <w:i/>
          <w:iCs/>
          <w:sz w:val="28"/>
          <w:szCs w:val="28"/>
        </w:rPr>
        <w:t>Denison and Mishra (1995)</w:t>
      </w:r>
      <w:r w:rsidRPr="007575D7">
        <w:rPr>
          <w:rFonts w:asciiTheme="majorBidi" w:hAnsiTheme="majorBidi" w:cstheme="majorBidi"/>
          <w:sz w:val="28"/>
          <w:szCs w:val="28"/>
        </w:rPr>
        <w:t xml:space="preserve"> </w:t>
      </w:r>
      <w:r w:rsidR="00DC32FB" w:rsidRPr="00DC3DDE">
        <w:rPr>
          <w:rFonts w:asciiTheme="majorBidi" w:hAnsiTheme="majorBidi" w:cstheme="majorBidi"/>
          <w:sz w:val="28"/>
          <w:szCs w:val="28"/>
          <w:rtl/>
        </w:rPr>
        <w:t xml:space="preserve"> </w:t>
      </w:r>
      <w:r w:rsidRPr="007575D7">
        <w:rPr>
          <w:rFonts w:asciiTheme="majorBidi" w:hAnsiTheme="majorBidi" w:cstheme="majorBidi"/>
          <w:sz w:val="28"/>
          <w:szCs w:val="28"/>
          <w:rtl/>
        </w:rPr>
        <w:t>إطارًا يربط بين الثقافة التنظيمية والفعالية المؤسسية من خلال أبعاد الالتزام، والتناسق، والمرونة، ووضوح الرسالة</w:t>
      </w:r>
      <w:r w:rsidR="00DC32FB" w:rsidRPr="00DC3DDE">
        <w:rPr>
          <w:rFonts w:asciiTheme="majorBidi" w:hAnsiTheme="majorBidi" w:cstheme="majorBidi"/>
          <w:sz w:val="28"/>
          <w:szCs w:val="28"/>
          <w:rtl/>
        </w:rPr>
        <w:t xml:space="preserve"> </w:t>
      </w:r>
      <w:r w:rsidR="00DC32FB" w:rsidRPr="00DC3DDE">
        <w:rPr>
          <w:rFonts w:asciiTheme="majorBidi" w:hAnsiTheme="majorBidi" w:cstheme="majorBidi"/>
          <w:sz w:val="28"/>
          <w:szCs w:val="28"/>
          <w:rtl/>
        </w:rPr>
        <w:fldChar w:fldCharType="begin"/>
      </w:r>
      <w:r w:rsidR="00DC32FB" w:rsidRPr="00DC3DDE">
        <w:rPr>
          <w:rFonts w:asciiTheme="majorBidi" w:hAnsiTheme="majorBidi" w:cstheme="majorBidi"/>
          <w:sz w:val="28"/>
          <w:szCs w:val="28"/>
          <w:rtl/>
        </w:rPr>
        <w:instrText xml:space="preserve"> </w:instrText>
      </w:r>
      <w:r w:rsidR="00DC32FB" w:rsidRPr="00DC3DDE">
        <w:rPr>
          <w:rFonts w:asciiTheme="majorBidi" w:hAnsiTheme="majorBidi" w:cstheme="majorBidi"/>
          <w:sz w:val="28"/>
          <w:szCs w:val="28"/>
        </w:rPr>
        <w:instrText>ADDIN EN.CITE &lt;EndNote&gt;&lt;Cite&gt;&lt;Author&gt;Denison&lt;/Author&gt;&lt;Year&gt;1995&lt;/Year&gt;&lt;RecNum&gt;2767&lt;/RecNum&gt;&lt;DisplayText&gt;(Denison and Mishra, 1995)&lt;/DisplayText&gt;&lt;record&gt;&lt;rec-number&gt;2767&lt;/rec-number&gt;&lt;foreign-keys&gt;&lt;key app="EN" db-id="t5vttv59or5xwbe2zdm5ewrxd905arrpawff</w:instrText>
      </w:r>
      <w:r w:rsidR="00DC32FB" w:rsidRPr="00DC3DDE">
        <w:rPr>
          <w:rFonts w:asciiTheme="majorBidi" w:hAnsiTheme="majorBidi" w:cstheme="majorBidi"/>
          <w:sz w:val="28"/>
          <w:szCs w:val="28"/>
          <w:rtl/>
        </w:rPr>
        <w:instrText xml:space="preserve">" </w:instrText>
      </w:r>
      <w:r w:rsidR="00DC32FB" w:rsidRPr="00DC3DDE">
        <w:rPr>
          <w:rFonts w:asciiTheme="majorBidi" w:hAnsiTheme="majorBidi" w:cstheme="majorBidi"/>
          <w:sz w:val="28"/>
          <w:szCs w:val="28"/>
        </w:rPr>
        <w:instrText>timestamp="1748379825"&gt;2767&lt;/key&gt;&lt;/foreign-keys&gt;&lt;ref-type name="Journal Article"&gt;17&lt;/ref-type&gt;&lt;contributors&gt;&lt;authors&gt;&lt;author&gt;Denison, Daniel R&lt;/author&gt;&lt;author&gt;Mishra, Aneil K&lt;/author&gt;&lt;/authors&gt;&lt;/contributors&gt;&lt;titles&gt;&lt;title&gt;Toward a theory of organizational culture and effectiveness&lt;/title&gt;&lt;secondary-title&gt;Organization science&lt;/secondary-title&gt;&lt;/titles&gt;&lt;periodical&gt;&lt;full-title&gt;Organization science&lt;/full-title&gt;&lt;/periodical&gt;&lt;pages&gt;204-223&lt;/pages&gt;&lt;volume&gt;6&lt;/volume&gt;&lt;number&gt;2&lt;/number&gt;&lt;dates&gt;&lt;year&gt;1995&lt;/year&gt;&lt;/dates&gt;&lt;isbn&gt;1047-7039&lt;/isbn&gt;&lt;urls&gt;&lt;/urls&gt;&lt;/record&gt;&lt;/Cite&gt;&lt;/EndNote</w:instrText>
      </w:r>
      <w:r w:rsidR="00DC32FB" w:rsidRPr="00DC3DDE">
        <w:rPr>
          <w:rFonts w:asciiTheme="majorBidi" w:hAnsiTheme="majorBidi" w:cstheme="majorBidi"/>
          <w:sz w:val="28"/>
          <w:szCs w:val="28"/>
          <w:rtl/>
        </w:rPr>
        <w:instrText>&gt;</w:instrText>
      </w:r>
      <w:r w:rsidR="00DC32FB" w:rsidRPr="00DC3DDE">
        <w:rPr>
          <w:rFonts w:asciiTheme="majorBidi" w:hAnsiTheme="majorBidi" w:cstheme="majorBidi"/>
          <w:sz w:val="28"/>
          <w:szCs w:val="28"/>
          <w:rtl/>
        </w:rPr>
        <w:fldChar w:fldCharType="separate"/>
      </w:r>
      <w:r w:rsidR="00DC32FB" w:rsidRPr="00DC3DDE">
        <w:rPr>
          <w:rFonts w:asciiTheme="majorBidi" w:hAnsiTheme="majorBidi" w:cstheme="majorBidi"/>
          <w:noProof/>
          <w:sz w:val="28"/>
          <w:szCs w:val="28"/>
          <w:rtl/>
        </w:rPr>
        <w:t>(</w:t>
      </w:r>
      <w:r w:rsidR="00DC32FB" w:rsidRPr="00DC3DDE">
        <w:rPr>
          <w:rFonts w:asciiTheme="majorBidi" w:hAnsiTheme="majorBidi" w:cstheme="majorBidi"/>
          <w:noProof/>
          <w:sz w:val="28"/>
          <w:szCs w:val="28"/>
        </w:rPr>
        <w:t>Denison and Mishra, 1995</w:t>
      </w:r>
      <w:r w:rsidR="00DC32FB" w:rsidRPr="00DC3DDE">
        <w:rPr>
          <w:rFonts w:asciiTheme="majorBidi" w:hAnsiTheme="majorBidi" w:cstheme="majorBidi"/>
          <w:noProof/>
          <w:sz w:val="28"/>
          <w:szCs w:val="28"/>
          <w:rtl/>
        </w:rPr>
        <w:t>)</w:t>
      </w:r>
      <w:r w:rsidR="00DC32FB" w:rsidRPr="00DC3DDE">
        <w:rPr>
          <w:rFonts w:asciiTheme="majorBidi" w:hAnsiTheme="majorBidi" w:cstheme="majorBidi"/>
          <w:sz w:val="28"/>
          <w:szCs w:val="28"/>
          <w:rtl/>
        </w:rPr>
        <w:fldChar w:fldCharType="end"/>
      </w:r>
      <w:r w:rsidRPr="007575D7">
        <w:rPr>
          <w:rFonts w:asciiTheme="majorBidi" w:hAnsiTheme="majorBidi" w:cstheme="majorBidi"/>
          <w:sz w:val="28"/>
          <w:szCs w:val="28"/>
          <w:rtl/>
        </w:rPr>
        <w:t xml:space="preserve">. لاحقًا، أسهم </w:t>
      </w:r>
      <w:r w:rsidRPr="007575D7">
        <w:rPr>
          <w:rFonts w:asciiTheme="majorBidi" w:hAnsiTheme="majorBidi" w:cstheme="majorBidi"/>
          <w:i/>
          <w:iCs/>
          <w:sz w:val="28"/>
          <w:szCs w:val="28"/>
        </w:rPr>
        <w:t>Cameron and Quinn (2011)</w:t>
      </w:r>
      <w:r w:rsidR="00DC32FB" w:rsidRPr="00DC3DDE">
        <w:rPr>
          <w:rFonts w:asciiTheme="majorBidi" w:hAnsiTheme="majorBidi" w:cstheme="majorBidi"/>
          <w:sz w:val="28"/>
          <w:szCs w:val="28"/>
          <w:rtl/>
        </w:rPr>
        <w:t xml:space="preserve"> </w:t>
      </w:r>
      <w:r w:rsidRPr="007575D7">
        <w:rPr>
          <w:rFonts w:asciiTheme="majorBidi" w:hAnsiTheme="majorBidi" w:cstheme="majorBidi"/>
          <w:sz w:val="28"/>
          <w:szCs w:val="28"/>
          <w:rtl/>
        </w:rPr>
        <w:t>في تطوير إطار القيم المتنافسة الذي قسّم الثقافات التنظيمية إلى أربعة أنماط رئيسية</w:t>
      </w:r>
    </w:p>
    <w:p w14:paraId="4DFCD37D" w14:textId="0C6C300C" w:rsidR="007575D7" w:rsidRPr="00611E7E" w:rsidRDefault="007575D7" w:rsidP="00A0551C">
      <w:pPr>
        <w:bidi/>
        <w:jc w:val="both"/>
        <w:rPr>
          <w:rFonts w:asciiTheme="majorBidi" w:hAnsiTheme="majorBidi" w:cstheme="majorBidi"/>
          <w:sz w:val="28"/>
          <w:szCs w:val="28"/>
          <w:lang w:bidi="ar-EG"/>
        </w:rPr>
      </w:pPr>
      <w:r w:rsidRPr="007575D7">
        <w:rPr>
          <w:rFonts w:asciiTheme="majorBidi" w:hAnsiTheme="majorBidi" w:cstheme="majorBidi"/>
          <w:sz w:val="28"/>
          <w:szCs w:val="28"/>
        </w:rPr>
        <w:t xml:space="preserve"> Clan</w:t>
      </w:r>
      <w:r w:rsidRPr="007575D7">
        <w:rPr>
          <w:rFonts w:asciiTheme="majorBidi" w:hAnsiTheme="majorBidi" w:cstheme="majorBidi"/>
          <w:sz w:val="28"/>
          <w:szCs w:val="28"/>
          <w:rtl/>
        </w:rPr>
        <w:t xml:space="preserve">، </w:t>
      </w:r>
      <w:r w:rsidRPr="007575D7">
        <w:rPr>
          <w:rFonts w:asciiTheme="majorBidi" w:hAnsiTheme="majorBidi" w:cstheme="majorBidi"/>
          <w:sz w:val="28"/>
          <w:szCs w:val="28"/>
        </w:rPr>
        <w:t>Adhocracy</w:t>
      </w:r>
      <w:r w:rsidRPr="007575D7">
        <w:rPr>
          <w:rFonts w:asciiTheme="majorBidi" w:hAnsiTheme="majorBidi" w:cstheme="majorBidi"/>
          <w:sz w:val="28"/>
          <w:szCs w:val="28"/>
          <w:rtl/>
        </w:rPr>
        <w:t xml:space="preserve">، </w:t>
      </w:r>
      <w:r w:rsidRPr="007575D7">
        <w:rPr>
          <w:rFonts w:asciiTheme="majorBidi" w:hAnsiTheme="majorBidi" w:cstheme="majorBidi"/>
          <w:sz w:val="28"/>
          <w:szCs w:val="28"/>
        </w:rPr>
        <w:t>Market</w:t>
      </w:r>
      <w:r w:rsidRPr="007575D7">
        <w:rPr>
          <w:rFonts w:asciiTheme="majorBidi" w:hAnsiTheme="majorBidi" w:cstheme="majorBidi"/>
          <w:sz w:val="28"/>
          <w:szCs w:val="28"/>
          <w:rtl/>
        </w:rPr>
        <w:t xml:space="preserve">، </w:t>
      </w:r>
      <w:r w:rsidRPr="007575D7">
        <w:rPr>
          <w:rFonts w:asciiTheme="majorBidi" w:hAnsiTheme="majorBidi" w:cstheme="majorBidi"/>
          <w:sz w:val="28"/>
          <w:szCs w:val="28"/>
        </w:rPr>
        <w:t>Hierarchy</w:t>
      </w:r>
      <w:r w:rsidRPr="007575D7">
        <w:rPr>
          <w:rFonts w:asciiTheme="majorBidi" w:hAnsiTheme="majorBidi" w:cstheme="majorBidi"/>
          <w:sz w:val="28"/>
          <w:szCs w:val="28"/>
          <w:rtl/>
        </w:rPr>
        <w:t>، وهو تقسيم أصبح أداة واسعة الاستخدام في دراسة العلاقة بين الثقافة والأداء والابتكار</w:t>
      </w:r>
      <w:r w:rsidR="005B4587" w:rsidRPr="00DC3DDE">
        <w:rPr>
          <w:rFonts w:asciiTheme="majorBidi" w:hAnsiTheme="majorBidi" w:cstheme="majorBidi"/>
          <w:sz w:val="28"/>
          <w:szCs w:val="28"/>
          <w:rtl/>
        </w:rPr>
        <w:t xml:space="preserve"> </w:t>
      </w:r>
      <w:r w:rsidR="005B4587" w:rsidRPr="00DC3DDE">
        <w:rPr>
          <w:rFonts w:asciiTheme="majorBidi" w:hAnsiTheme="majorBidi" w:cstheme="majorBidi"/>
          <w:sz w:val="28"/>
          <w:szCs w:val="28"/>
        </w:rPr>
        <w:fldChar w:fldCharType="begin"/>
      </w:r>
      <w:r w:rsidR="005B4587" w:rsidRPr="00DC3DDE">
        <w:rPr>
          <w:rFonts w:asciiTheme="majorBidi" w:hAnsiTheme="majorBidi" w:cstheme="majorBidi"/>
          <w:sz w:val="28"/>
          <w:szCs w:val="28"/>
        </w:rPr>
        <w:instrText xml:space="preserve"> ADDIN EN.CITE &lt;EndNote&gt;&lt;Cite&gt;&lt;Author&gt;Cameron&lt;/Author&gt;&lt;Year&gt;1983&lt;/Year&gt;&lt;RecNum&gt;2912&lt;/RecNum&gt;&lt;DisplayText&gt;(Cameron and Whetten, 1983)&lt;/DisplayText&gt;&lt;record&gt;&lt;rec-number&gt;2912&lt;/rec-number&gt;&lt;foreign-keys&gt;&lt;key app="EN" db-id="t5vttv59or5xwbe2zdm5ewrxd905arrpawff" timestamp="1752329148"&gt;2912&lt;/key&gt;&lt;/foreign-keys&gt;&lt;ref-type name="Book Section"&gt;5&lt;/ref-type&gt;&lt;contributors&gt;&lt;authors&gt;&lt;author&gt;Cameron, Kim S&lt;/author&gt;&lt;author&gt;Whetten, David A&lt;/author&gt;&lt;/authors&gt;&lt;/contributors&gt;&lt;titles&gt;&lt;title&gt;Organizational effectiveness: one model or several?&lt;/title&gt;&lt;secondary-title&gt;Organizational effectiveness&lt;/secondary-title&gt;&lt;/titles&gt;&lt;pages&gt;1-24&lt;/pages&gt;&lt;dates&gt;&lt;year&gt;1983&lt;/year&gt;&lt;/dates&gt;&lt;publisher&gt;Elsevier&lt;/publisher&gt;&lt;urls&gt;&lt;/urls&gt;&lt;/record&gt;&lt;/Cite&gt;&lt;/EndNote&gt;</w:instrText>
      </w:r>
      <w:r w:rsidR="005B4587" w:rsidRPr="00DC3DDE">
        <w:rPr>
          <w:rFonts w:asciiTheme="majorBidi" w:hAnsiTheme="majorBidi" w:cstheme="majorBidi"/>
          <w:sz w:val="28"/>
          <w:szCs w:val="28"/>
        </w:rPr>
        <w:fldChar w:fldCharType="separate"/>
      </w:r>
      <w:r w:rsidR="005B4587" w:rsidRPr="00DC3DDE">
        <w:rPr>
          <w:rFonts w:asciiTheme="majorBidi" w:hAnsiTheme="majorBidi" w:cstheme="majorBidi"/>
          <w:noProof/>
          <w:sz w:val="28"/>
          <w:szCs w:val="28"/>
        </w:rPr>
        <w:t>(Cameron and Whetten, 1983)</w:t>
      </w:r>
      <w:r w:rsidR="005B4587" w:rsidRPr="00DC3DDE">
        <w:rPr>
          <w:rFonts w:asciiTheme="majorBidi" w:hAnsiTheme="majorBidi" w:cstheme="majorBidi"/>
          <w:sz w:val="28"/>
          <w:szCs w:val="28"/>
        </w:rPr>
        <w:fldChar w:fldCharType="end"/>
      </w:r>
      <w:r w:rsidR="005B4587" w:rsidRPr="00DC3DDE">
        <w:rPr>
          <w:rFonts w:asciiTheme="majorBidi" w:hAnsiTheme="majorBidi" w:cstheme="majorBidi"/>
          <w:sz w:val="28"/>
          <w:szCs w:val="28"/>
          <w:rtl/>
        </w:rPr>
        <w:t>.</w:t>
      </w:r>
      <w:r w:rsidRPr="007575D7">
        <w:rPr>
          <w:rFonts w:asciiTheme="majorBidi" w:hAnsiTheme="majorBidi" w:cstheme="majorBidi"/>
          <w:sz w:val="28"/>
          <w:szCs w:val="28"/>
        </w:rPr>
        <w:br/>
      </w:r>
      <w:r w:rsidRPr="007575D7">
        <w:rPr>
          <w:rFonts w:asciiTheme="majorBidi" w:hAnsiTheme="majorBidi" w:cstheme="majorBidi"/>
          <w:sz w:val="28"/>
          <w:szCs w:val="28"/>
          <w:rtl/>
        </w:rPr>
        <w:t xml:space="preserve">وفي العقد الأخير، انتقل التركيز من النظر إلى الثقافة كعنصر ثابت إلى التعامل معها كمتغير ديناميكي يمكن </w:t>
      </w:r>
      <w:r w:rsidRPr="00611E7E">
        <w:rPr>
          <w:rFonts w:asciiTheme="majorBidi" w:hAnsiTheme="majorBidi" w:cstheme="majorBidi"/>
          <w:sz w:val="28"/>
          <w:szCs w:val="28"/>
          <w:rtl/>
        </w:rPr>
        <w:t>توجيهه وتعزيزه عبر ممارسات الموارد البشرية، ولا سيما أنظمة العمل عالية الأداء، لما لها من أثر مباشر وغير مباشر على السلوك الإبداعي للموظفين</w:t>
      </w:r>
      <w:r w:rsidR="00F079AD" w:rsidRPr="00611E7E">
        <w:rPr>
          <w:rFonts w:asciiTheme="majorBidi" w:hAnsiTheme="majorBidi" w:cstheme="majorBidi"/>
          <w:sz w:val="28"/>
          <w:szCs w:val="28"/>
          <w:rtl/>
          <w:lang w:bidi="ar-EG"/>
        </w:rPr>
        <w:t xml:space="preserve"> </w:t>
      </w:r>
      <w:r w:rsidR="00F079AD" w:rsidRPr="00611E7E">
        <w:rPr>
          <w:rFonts w:asciiTheme="majorBidi" w:hAnsiTheme="majorBidi" w:cstheme="majorBidi"/>
          <w:sz w:val="28"/>
          <w:szCs w:val="28"/>
          <w:rtl/>
          <w:lang w:bidi="ar-EG"/>
        </w:rPr>
        <w:fldChar w:fldCharType="begin"/>
      </w:r>
      <w:r w:rsidR="00F079AD" w:rsidRPr="00611E7E">
        <w:rPr>
          <w:rFonts w:asciiTheme="majorBidi" w:hAnsiTheme="majorBidi" w:cstheme="majorBidi"/>
          <w:sz w:val="28"/>
          <w:szCs w:val="28"/>
          <w:rtl/>
          <w:lang w:bidi="ar-EG"/>
        </w:rPr>
        <w:instrText xml:space="preserve"> </w:instrText>
      </w:r>
      <w:r w:rsidR="00F079AD" w:rsidRPr="00611E7E">
        <w:rPr>
          <w:rFonts w:asciiTheme="majorBidi" w:hAnsiTheme="majorBidi" w:cstheme="majorBidi"/>
          <w:sz w:val="28"/>
          <w:szCs w:val="28"/>
          <w:lang w:bidi="ar-EG"/>
        </w:rPr>
        <w:instrText>ADDIN EN.CITE &lt;EndNote&gt;&lt;Cite&gt;&lt;Author&gt;Jaskyte&lt;/Author&gt;&lt;Year&gt;2005&lt;/Year&gt;&lt;RecNum&gt;2321&lt;/RecNum&gt;&lt;DisplayText&gt;(Jaskyte and Dressler, 2005, Martins and Terblanche, 2003)&lt;/DisplayText&gt;&lt;record&gt;&lt;rec-number&gt;2321&lt;/rec-number&gt;&lt;foreign-keys&gt;&lt;key app="EN" db-id="t5vttv</w:instrText>
      </w:r>
      <w:r w:rsidR="00F079AD" w:rsidRPr="00611E7E">
        <w:rPr>
          <w:rFonts w:asciiTheme="majorBidi" w:hAnsiTheme="majorBidi" w:cstheme="majorBidi"/>
          <w:sz w:val="28"/>
          <w:szCs w:val="28"/>
          <w:rtl/>
          <w:lang w:bidi="ar-EG"/>
        </w:rPr>
        <w:instrText>59</w:instrText>
      </w:r>
      <w:r w:rsidR="00F079AD" w:rsidRPr="00611E7E">
        <w:rPr>
          <w:rFonts w:asciiTheme="majorBidi" w:hAnsiTheme="majorBidi" w:cstheme="majorBidi"/>
          <w:sz w:val="28"/>
          <w:szCs w:val="28"/>
          <w:lang w:bidi="ar-EG"/>
        </w:rPr>
        <w:instrText>or5xwbe2zdm5ewrxd905arrpawff" timestamp="1744394502"&gt;2321&lt;/key&gt;&lt;/foreign-keys&gt;&lt;ref-type name="Journal Article"&gt;17&lt;/ref-type&gt;&lt;contributors&gt;&lt;authors&gt;&lt;author&gt;Jaskyte, Kristina&lt;/author&gt;&lt;author&gt;Dressler, William W&lt;/author&gt;&lt;/authors&gt;&lt;/contributors&gt;&lt;titles&gt;&lt;title&gt;Organizational culture and innovation in nonprofit human service organizations&lt;/title&gt;&lt;secondary-title&gt;Administration in social work&lt;/secondary-title&gt;&lt;/titles&gt;&lt;periodical&gt;&lt;full-title&gt;Administration in social work&lt;/full-title&gt;&lt;/periodical&gt;&lt;pages&gt;23-41</w:instrText>
      </w:r>
      <w:r w:rsidR="00F079AD" w:rsidRPr="00611E7E">
        <w:rPr>
          <w:rFonts w:asciiTheme="majorBidi" w:hAnsiTheme="majorBidi" w:cstheme="majorBidi"/>
          <w:sz w:val="28"/>
          <w:szCs w:val="28"/>
          <w:rtl/>
          <w:lang w:bidi="ar-EG"/>
        </w:rPr>
        <w:instrText>&lt;/</w:instrText>
      </w:r>
      <w:r w:rsidR="00F079AD" w:rsidRPr="00611E7E">
        <w:rPr>
          <w:rFonts w:asciiTheme="majorBidi" w:hAnsiTheme="majorBidi" w:cstheme="majorBidi"/>
          <w:sz w:val="28"/>
          <w:szCs w:val="28"/>
          <w:lang w:bidi="ar-EG"/>
        </w:rPr>
        <w:instrText>pages&gt;&lt;volume&gt;29&lt;/volume&gt;&lt;number&gt;2&lt;/number&gt;&lt;dates&gt;&lt;year&gt;2005&lt;/year&gt;&lt;/dates&gt;&lt;isbn&gt;0364-3107&lt;/isbn&gt;&lt;urls&gt;&lt;/urls&gt;&lt;/record&gt;&lt;/Cite&gt;&lt;Cite&gt;&lt;Author&gt;Martins&lt;/Author&gt;&lt;Year&gt;2003&lt;/Year&gt;&lt;RecNum&gt;2320&lt;/RecNum&gt;&lt;record&gt;&lt;rec-number&gt;2320&lt;/rec-number&gt;&lt;foreign-keys&gt;&lt;key app</w:instrText>
      </w:r>
      <w:r w:rsidR="00F079AD" w:rsidRPr="00611E7E">
        <w:rPr>
          <w:rFonts w:asciiTheme="majorBidi" w:hAnsiTheme="majorBidi" w:cstheme="majorBidi"/>
          <w:sz w:val="28"/>
          <w:szCs w:val="28"/>
          <w:rtl/>
          <w:lang w:bidi="ar-EG"/>
        </w:rPr>
        <w:instrText>="</w:instrText>
      </w:r>
      <w:r w:rsidR="00F079AD" w:rsidRPr="00611E7E">
        <w:rPr>
          <w:rFonts w:asciiTheme="majorBidi" w:hAnsiTheme="majorBidi" w:cstheme="majorBidi"/>
          <w:sz w:val="28"/>
          <w:szCs w:val="28"/>
          <w:lang w:bidi="ar-EG"/>
        </w:rPr>
        <w:instrText>EN" db-id="t5vttv59or5xwbe2zdm5ewrxd905arrpawff" timestamp="1744394437"&gt;2320&lt;/key&gt;&lt;/foreign-keys&gt;&lt;ref-type name="Journal Article"&gt;17&lt;/ref-type&gt;&lt;contributors&gt;&lt;authors&gt;&lt;author&gt;Martins, Ellen-Caroline&lt;/author&gt;&lt;author&gt;Terblanche, Fransie&lt;/author&gt;&lt;/authors</w:instrText>
      </w:r>
      <w:r w:rsidR="00F079AD" w:rsidRPr="00611E7E">
        <w:rPr>
          <w:rFonts w:asciiTheme="majorBidi" w:hAnsiTheme="majorBidi" w:cstheme="majorBidi"/>
          <w:sz w:val="28"/>
          <w:szCs w:val="28"/>
          <w:rtl/>
          <w:lang w:bidi="ar-EG"/>
        </w:rPr>
        <w:instrText>&gt;&lt;/</w:instrText>
      </w:r>
      <w:r w:rsidR="00F079AD" w:rsidRPr="00611E7E">
        <w:rPr>
          <w:rFonts w:asciiTheme="majorBidi" w:hAnsiTheme="majorBidi" w:cstheme="majorBidi"/>
          <w:sz w:val="28"/>
          <w:szCs w:val="28"/>
          <w:lang w:bidi="ar-EG"/>
        </w:rPr>
        <w:instrTex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00F079AD" w:rsidRPr="00611E7E">
        <w:rPr>
          <w:rFonts w:asciiTheme="majorBidi" w:hAnsiTheme="majorBidi" w:cstheme="majorBidi"/>
          <w:sz w:val="28"/>
          <w:szCs w:val="28"/>
          <w:rtl/>
          <w:lang w:bidi="ar-EG"/>
        </w:rPr>
        <w:instrText>&gt;</w:instrText>
      </w:r>
      <w:r w:rsidR="00F079AD" w:rsidRPr="00611E7E">
        <w:rPr>
          <w:rFonts w:asciiTheme="majorBidi" w:hAnsiTheme="majorBidi" w:cstheme="majorBidi"/>
          <w:sz w:val="28"/>
          <w:szCs w:val="28"/>
          <w:rtl/>
          <w:lang w:bidi="ar-EG"/>
        </w:rPr>
        <w:fldChar w:fldCharType="separate"/>
      </w:r>
      <w:r w:rsidR="00F079AD" w:rsidRPr="00611E7E">
        <w:rPr>
          <w:rFonts w:asciiTheme="majorBidi" w:hAnsiTheme="majorBidi" w:cstheme="majorBidi"/>
          <w:noProof/>
          <w:sz w:val="28"/>
          <w:szCs w:val="28"/>
          <w:rtl/>
          <w:lang w:bidi="ar-EG"/>
        </w:rPr>
        <w:t>(</w:t>
      </w:r>
      <w:r w:rsidR="00F079AD" w:rsidRPr="00611E7E">
        <w:rPr>
          <w:rFonts w:asciiTheme="majorBidi" w:hAnsiTheme="majorBidi" w:cstheme="majorBidi"/>
          <w:noProof/>
          <w:sz w:val="28"/>
          <w:szCs w:val="28"/>
          <w:lang w:bidi="ar-EG"/>
        </w:rPr>
        <w:t>Jaskyte and Dressler, 2005, Martins and Terblanche, 2003</w:t>
      </w:r>
      <w:r w:rsidR="00F079AD" w:rsidRPr="00611E7E">
        <w:rPr>
          <w:rFonts w:asciiTheme="majorBidi" w:hAnsiTheme="majorBidi" w:cstheme="majorBidi"/>
          <w:noProof/>
          <w:sz w:val="28"/>
          <w:szCs w:val="28"/>
          <w:rtl/>
          <w:lang w:bidi="ar-EG"/>
        </w:rPr>
        <w:t>)</w:t>
      </w:r>
      <w:r w:rsidR="00F079AD" w:rsidRPr="00611E7E">
        <w:rPr>
          <w:rFonts w:asciiTheme="majorBidi" w:hAnsiTheme="majorBidi" w:cstheme="majorBidi"/>
          <w:sz w:val="28"/>
          <w:szCs w:val="28"/>
          <w:rtl/>
          <w:lang w:bidi="ar-EG"/>
        </w:rPr>
        <w:fldChar w:fldCharType="end"/>
      </w:r>
      <w:r w:rsidR="00F079AD" w:rsidRPr="00611E7E">
        <w:rPr>
          <w:rFonts w:asciiTheme="majorBidi" w:hAnsiTheme="majorBidi" w:cstheme="majorBidi"/>
          <w:sz w:val="28"/>
          <w:szCs w:val="28"/>
          <w:rtl/>
          <w:lang w:bidi="ar-EG"/>
        </w:rPr>
        <w:t>.</w:t>
      </w:r>
    </w:p>
    <w:p w14:paraId="381528D9" w14:textId="1A195C14" w:rsidR="00A91B25" w:rsidRPr="00611E7E" w:rsidRDefault="00A91B25" w:rsidP="00A0551C">
      <w:pPr>
        <w:bidi/>
        <w:jc w:val="both"/>
        <w:rPr>
          <w:rFonts w:asciiTheme="majorBidi" w:hAnsiTheme="majorBidi" w:cstheme="majorBidi"/>
          <w:sz w:val="28"/>
          <w:szCs w:val="28"/>
        </w:rPr>
      </w:pPr>
      <w:r w:rsidRPr="00611E7E">
        <w:rPr>
          <w:rFonts w:asciiTheme="majorBidi" w:hAnsiTheme="majorBidi" w:cstheme="majorBidi"/>
          <w:sz w:val="28"/>
          <w:szCs w:val="28"/>
          <w:rtl/>
        </w:rPr>
        <w:t>تلعب الثقافة التنظيمية دورًا حاسمًا في خلق بيئة مشجعة على الإبداع، خصوصًا عندما تُعزز عناصر مثل المرونة، والانفتاح على التغيير، وتقبّل الفشل كجزء من عملية التعلّم، والدعم المتبادل بين الزملاء</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 xml:space="preserve">فالمؤسسات التي تشجع على تبادل الأفكار، وتدعم التعلّم التنظيمي، وتكافئ المبادرات الفردية، تكون أكثر قدرة على تحقيق أداء إبداعي مرتفع </w:t>
      </w:r>
      <w:r w:rsidRPr="00611E7E">
        <w:rPr>
          <w:rFonts w:asciiTheme="majorBidi" w:hAnsiTheme="majorBidi" w:cstheme="majorBidi"/>
          <w:sz w:val="28"/>
          <w:szCs w:val="28"/>
          <w:rtl/>
        </w:rPr>
        <w:fldChar w:fldCharType="begin"/>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Pr="00611E7E">
        <w:rPr>
          <w:rFonts w:asciiTheme="majorBidi" w:hAnsiTheme="majorBidi" w:cstheme="majorBidi"/>
          <w:sz w:val="28"/>
          <w:szCs w:val="28"/>
          <w:rtl/>
        </w:rPr>
        <w:instrText>&gt;</w:instrText>
      </w:r>
      <w:r w:rsidRPr="00611E7E">
        <w:rPr>
          <w:rFonts w:asciiTheme="majorBidi" w:hAnsiTheme="majorBidi" w:cstheme="majorBidi"/>
          <w:sz w:val="28"/>
          <w:szCs w:val="28"/>
          <w:rtl/>
        </w:rPr>
        <w:fldChar w:fldCharType="separate"/>
      </w:r>
      <w:r w:rsidRPr="00611E7E">
        <w:rPr>
          <w:rFonts w:asciiTheme="majorBidi" w:hAnsiTheme="majorBidi" w:cstheme="majorBidi"/>
          <w:noProof/>
          <w:sz w:val="28"/>
          <w:szCs w:val="28"/>
          <w:rtl/>
        </w:rPr>
        <w:t>(</w:t>
      </w:r>
      <w:r w:rsidRPr="00611E7E">
        <w:rPr>
          <w:rFonts w:asciiTheme="majorBidi" w:hAnsiTheme="majorBidi" w:cstheme="majorBidi"/>
          <w:noProof/>
          <w:sz w:val="28"/>
          <w:szCs w:val="28"/>
        </w:rPr>
        <w:t>Martins and Terblanche, 2003</w:t>
      </w:r>
      <w:r w:rsidRPr="00611E7E">
        <w:rPr>
          <w:rFonts w:asciiTheme="majorBidi" w:hAnsiTheme="majorBidi" w:cstheme="majorBidi"/>
          <w:noProof/>
          <w:sz w:val="28"/>
          <w:szCs w:val="28"/>
          <w:rtl/>
        </w:rPr>
        <w:t>)</w:t>
      </w:r>
      <w:r w:rsidRPr="00611E7E">
        <w:rPr>
          <w:rFonts w:asciiTheme="majorBidi" w:hAnsiTheme="majorBidi" w:cstheme="majorBidi"/>
          <w:sz w:val="28"/>
          <w:szCs w:val="28"/>
          <w:rtl/>
        </w:rPr>
        <w:fldChar w:fldCharType="end"/>
      </w:r>
      <w:r w:rsidRPr="00611E7E">
        <w:rPr>
          <w:rFonts w:asciiTheme="majorBidi" w:hAnsiTheme="majorBidi" w:cstheme="majorBidi"/>
          <w:sz w:val="28"/>
          <w:szCs w:val="28"/>
          <w:rtl/>
        </w:rPr>
        <w:t>.</w:t>
      </w:r>
    </w:p>
    <w:p w14:paraId="7610A242" w14:textId="6D0076A3" w:rsidR="00A91B25" w:rsidRPr="00611E7E" w:rsidRDefault="00A91B25" w:rsidP="009D7615">
      <w:pPr>
        <w:bidi/>
        <w:jc w:val="both"/>
        <w:rPr>
          <w:rFonts w:asciiTheme="majorBidi" w:hAnsiTheme="majorBidi" w:cstheme="majorBidi"/>
          <w:sz w:val="28"/>
          <w:szCs w:val="28"/>
        </w:rPr>
      </w:pPr>
      <w:r w:rsidRPr="00611E7E">
        <w:rPr>
          <w:rFonts w:asciiTheme="majorBidi" w:hAnsiTheme="majorBidi" w:cstheme="majorBidi"/>
          <w:sz w:val="28"/>
          <w:szCs w:val="28"/>
          <w:rtl/>
        </w:rPr>
        <w:t>وتشير الأدبيات إلى أن بعض أنواع الثقافات التنظيمية أكثر دعمًا للإبداع من غيرها، مثل</w:t>
      </w:r>
      <w:r w:rsidRPr="00611E7E">
        <w:rPr>
          <w:rFonts w:asciiTheme="majorBidi" w:hAnsiTheme="majorBidi" w:cstheme="majorBidi"/>
          <w:sz w:val="28"/>
          <w:szCs w:val="28"/>
        </w:rPr>
        <w:t>:</w:t>
      </w:r>
      <w:r w:rsidR="009D7615" w:rsidRPr="00611E7E">
        <w:rPr>
          <w:rFonts w:asciiTheme="majorBidi" w:hAnsiTheme="majorBidi" w:cstheme="majorBidi" w:hint="cs"/>
          <w:sz w:val="28"/>
          <w:szCs w:val="28"/>
          <w:rtl/>
        </w:rPr>
        <w:t xml:space="preserve"> </w:t>
      </w:r>
      <w:r w:rsidRPr="00611E7E">
        <w:rPr>
          <w:rFonts w:asciiTheme="majorBidi" w:hAnsiTheme="majorBidi" w:cstheme="majorBidi"/>
          <w:sz w:val="28"/>
          <w:szCs w:val="28"/>
          <w:rtl/>
        </w:rPr>
        <w:t>الثقافة التشاركية</w:t>
      </w:r>
      <w:r w:rsidR="009D7615" w:rsidRPr="00611E7E">
        <w:rPr>
          <w:rFonts w:asciiTheme="majorBidi" w:hAnsiTheme="majorBidi" w:cstheme="majorBidi" w:hint="cs"/>
          <w:sz w:val="28"/>
          <w:szCs w:val="28"/>
          <w:rtl/>
        </w:rPr>
        <w:t xml:space="preserve">، </w:t>
      </w:r>
      <w:r w:rsidRPr="00611E7E">
        <w:rPr>
          <w:rFonts w:asciiTheme="majorBidi" w:hAnsiTheme="majorBidi" w:cstheme="majorBidi"/>
          <w:sz w:val="28"/>
          <w:szCs w:val="28"/>
          <w:rtl/>
        </w:rPr>
        <w:t>الثقافة الموجهة نحو الابتكار</w:t>
      </w:r>
      <w:r w:rsidR="009D7615" w:rsidRPr="00611E7E">
        <w:rPr>
          <w:rFonts w:asciiTheme="majorBidi" w:hAnsiTheme="majorBidi" w:cstheme="majorBidi" w:hint="cs"/>
          <w:sz w:val="28"/>
          <w:szCs w:val="28"/>
          <w:rtl/>
        </w:rPr>
        <w:t xml:space="preserve">، </w:t>
      </w:r>
      <w:r w:rsidRPr="00611E7E">
        <w:rPr>
          <w:rFonts w:asciiTheme="majorBidi" w:hAnsiTheme="majorBidi" w:cstheme="majorBidi"/>
          <w:sz w:val="28"/>
          <w:szCs w:val="28"/>
          <w:rtl/>
        </w:rPr>
        <w:t xml:space="preserve">الثقافة الموجهة نحو التعلم  </w:t>
      </w:r>
      <w:r w:rsidRPr="00611E7E">
        <w:rPr>
          <w:rFonts w:asciiTheme="majorBidi" w:hAnsiTheme="majorBidi" w:cstheme="majorBidi"/>
          <w:sz w:val="28"/>
          <w:szCs w:val="28"/>
        </w:rPr>
        <w:t xml:space="preserve"> </w:t>
      </w:r>
      <w:r w:rsidRPr="00611E7E">
        <w:rPr>
          <w:rFonts w:asciiTheme="majorBidi" w:hAnsiTheme="majorBidi" w:cstheme="majorBidi"/>
          <w:sz w:val="28"/>
          <w:szCs w:val="28"/>
        </w:rPr>
        <w:fldChar w:fldCharType="begin"/>
      </w:r>
      <w:r w:rsidRPr="00611E7E">
        <w:rPr>
          <w:rFonts w:asciiTheme="majorBidi" w:hAnsiTheme="majorBidi" w:cstheme="majorBidi"/>
          <w:sz w:val="28"/>
          <w:szCs w:val="28"/>
        </w:rPr>
        <w:instrText xml:space="preserve"> ADDIN EN.CITE &lt;EndNote&gt;&lt;Cite&gt;&lt;Author&gt;Jaskyte&lt;/Author&gt;&lt;Year&gt;2005&lt;/Year&gt;&lt;RecNum&gt;2321&lt;/RecNum&gt;&lt;DisplayText&gt;(Jaskyte and Dressler, 2005)&lt;/DisplayText&gt;&lt;record&gt;&lt;rec-number&gt;2321&lt;/rec-number&gt;&lt;foreign-keys&gt;&lt;key app="EN" db-id="t5vttv59or5xwbe2zdm5ewrxd905arrpawff" timestamp="1744394502"&gt;2321&lt;/key&gt;&lt;/foreign-keys&gt;&lt;ref-type name="Journal Article"&gt;17&lt;/ref-type&gt;&lt;contributors&gt;&lt;authors&gt;&lt;author&gt;Jaskyte, Kristina&lt;/author&gt;&lt;author&gt;Dressler, William W&lt;/author&gt;&lt;/authors&gt;&lt;/contributors&gt;&lt;titles&gt;&lt;title&gt;Organizational culture and innovation in nonprofit human service organizations&lt;/title&gt;&lt;secondary-title&gt;Administration in social work&lt;/secondary-title&gt;&lt;/titles&gt;&lt;periodical&gt;&lt;full-title&gt;Administration in social work&lt;/full-title&gt;&lt;/periodical&gt;&lt;pages&gt;23-41&lt;/pages&gt;&lt;volume&gt;29&lt;/volume&gt;&lt;number&gt;2&lt;/number&gt;&lt;dates&gt;&lt;year&gt;2005&lt;/year&gt;&lt;/dates&gt;&lt;isbn&gt;0364-3107&lt;/isbn&gt;&lt;urls&gt;&lt;/urls&gt;&lt;/record&gt;&lt;/Cite&gt;&lt;/EndNote&gt;</w:instrText>
      </w:r>
      <w:r w:rsidRPr="00611E7E">
        <w:rPr>
          <w:rFonts w:asciiTheme="majorBidi" w:hAnsiTheme="majorBidi" w:cstheme="majorBidi"/>
          <w:sz w:val="28"/>
          <w:szCs w:val="28"/>
        </w:rPr>
        <w:fldChar w:fldCharType="separate"/>
      </w:r>
      <w:r w:rsidRPr="00611E7E">
        <w:rPr>
          <w:rFonts w:asciiTheme="majorBidi" w:hAnsiTheme="majorBidi" w:cstheme="majorBidi"/>
          <w:noProof/>
          <w:sz w:val="28"/>
          <w:szCs w:val="28"/>
        </w:rPr>
        <w:t>(Jaskyte and Dressler, 2005)</w:t>
      </w:r>
      <w:r w:rsidRPr="00611E7E">
        <w:rPr>
          <w:rFonts w:asciiTheme="majorBidi" w:hAnsiTheme="majorBidi" w:cstheme="majorBidi"/>
          <w:sz w:val="28"/>
          <w:szCs w:val="28"/>
        </w:rPr>
        <w:fldChar w:fldCharType="end"/>
      </w:r>
      <w:r w:rsidRPr="00611E7E">
        <w:rPr>
          <w:rFonts w:asciiTheme="majorBidi" w:hAnsiTheme="majorBidi" w:cstheme="majorBidi"/>
          <w:sz w:val="28"/>
          <w:szCs w:val="28"/>
          <w:rtl/>
        </w:rPr>
        <w:t>.</w:t>
      </w:r>
    </w:p>
    <w:p w14:paraId="772DA526" w14:textId="77777777" w:rsidR="00A91B25" w:rsidRPr="00611E7E" w:rsidRDefault="00A91B25" w:rsidP="00A0551C">
      <w:pPr>
        <w:bidi/>
        <w:jc w:val="both"/>
        <w:rPr>
          <w:rFonts w:asciiTheme="majorBidi" w:hAnsiTheme="majorBidi" w:cstheme="majorBidi"/>
          <w:sz w:val="28"/>
          <w:szCs w:val="28"/>
        </w:rPr>
      </w:pPr>
      <w:r w:rsidRPr="00611E7E">
        <w:rPr>
          <w:rFonts w:asciiTheme="majorBidi" w:hAnsiTheme="majorBidi" w:cstheme="majorBidi"/>
          <w:sz w:val="28"/>
          <w:szCs w:val="28"/>
          <w:rtl/>
        </w:rPr>
        <w:t>وفي المقابل، فإن الثقافة التي تتسم بالبيروقراطية، والمركزية الشديدة، والخوف من المحاسبة أو العقاب على الفشل تُعد معوقة للإبداع، لأنها تحد من حرية التعبير وتقتل المبادرة، وتجعل الموظفين أكثر ميلًا للتقليدية والتزام الروتين</w:t>
      </w:r>
      <w:r w:rsidRPr="00611E7E">
        <w:rPr>
          <w:rFonts w:asciiTheme="majorBidi" w:hAnsiTheme="majorBidi" w:cstheme="majorBidi"/>
          <w:sz w:val="28"/>
          <w:szCs w:val="28"/>
        </w:rPr>
        <w:t>.</w:t>
      </w:r>
    </w:p>
    <w:p w14:paraId="2D25A7A7" w14:textId="1690FF48" w:rsidR="00A91B25" w:rsidRPr="00DC3DDE" w:rsidRDefault="00A91B25" w:rsidP="00A0551C">
      <w:pPr>
        <w:bidi/>
        <w:jc w:val="both"/>
        <w:rPr>
          <w:rFonts w:asciiTheme="majorBidi" w:hAnsiTheme="majorBidi" w:cstheme="majorBidi"/>
          <w:sz w:val="28"/>
          <w:szCs w:val="28"/>
        </w:rPr>
      </w:pPr>
      <w:r w:rsidRPr="00611E7E">
        <w:rPr>
          <w:rFonts w:asciiTheme="majorBidi" w:hAnsiTheme="majorBidi" w:cstheme="majorBidi"/>
          <w:sz w:val="28"/>
          <w:szCs w:val="28"/>
          <w:rtl/>
        </w:rPr>
        <w:lastRenderedPageBreak/>
        <w:t>في قطاع الضيافة على وجه التحديد، تلعب الثقافة التنظيمية دورًا بارزًا في تمكين الموظفين من التفاعل الإبداعي مع العملاء، واقتراح تحسينات في جودة الخدمة، وتقديم حلول فورية للمشكلات اليومية</w:t>
      </w:r>
      <w:r w:rsidRPr="00611E7E">
        <w:rPr>
          <w:rFonts w:asciiTheme="majorBidi" w:hAnsiTheme="majorBidi" w:cstheme="majorBidi"/>
          <w:sz w:val="28"/>
          <w:szCs w:val="28"/>
        </w:rPr>
        <w:t xml:space="preserve">. </w:t>
      </w:r>
      <w:r w:rsidRPr="00611E7E">
        <w:rPr>
          <w:rFonts w:asciiTheme="majorBidi" w:hAnsiTheme="majorBidi" w:cstheme="majorBidi"/>
          <w:sz w:val="28"/>
          <w:szCs w:val="28"/>
          <w:rtl/>
        </w:rPr>
        <w:t>كما أن ثقافة الدعم</w:t>
      </w:r>
      <w:r w:rsidRPr="00DC3DDE">
        <w:rPr>
          <w:rFonts w:asciiTheme="majorBidi" w:hAnsiTheme="majorBidi" w:cstheme="majorBidi"/>
          <w:sz w:val="28"/>
          <w:szCs w:val="28"/>
          <w:rtl/>
        </w:rPr>
        <w:t xml:space="preserve"> والاعتراف بجهود الموظفين تُسهم في رفع مستوى الرضا الوظيفي والانتماء، مما ينعكس إيجابًا على أدائهم الإبداعي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DC3DDE">
        <w:rPr>
          <w:rFonts w:asciiTheme="majorBidi" w:hAnsiTheme="majorBidi" w:cstheme="majorBidi"/>
          <w:sz w:val="28"/>
          <w:szCs w:val="28"/>
          <w:rtl/>
        </w:rPr>
        <w:instrText>05</w:instrText>
      </w:r>
      <w:r w:rsidRPr="00DC3DDE">
        <w:rPr>
          <w:rFonts w:asciiTheme="majorBidi" w:hAnsiTheme="majorBidi" w:cstheme="majorBidi"/>
          <w:sz w:val="28"/>
          <w:szCs w:val="28"/>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periodical&gt;&lt;pages&gt;102610&lt;/pages&gt;&lt;volume&gt;90&lt;/volume&gt;&lt;dates&gt;&lt;year&gt;2020&lt;/year&gt;&lt;/dates&gt;&lt;isbn&gt;0278-4319&lt;/isbn&gt;&lt;urls&gt;&lt;/urls&gt;&lt;/record&gt;&lt;/Cite&gt;&lt;/EndNote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Kloutsiniotis and Mihail, 2020</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4CAAD11A" w14:textId="1ED7E864" w:rsidR="00A91B25" w:rsidRPr="00611E7E" w:rsidRDefault="00A91B25" w:rsidP="00A0551C">
      <w:pPr>
        <w:bidi/>
        <w:jc w:val="both"/>
        <w:rPr>
          <w:rFonts w:asciiTheme="majorBidi" w:hAnsiTheme="majorBidi" w:cstheme="majorBidi"/>
          <w:sz w:val="28"/>
          <w:szCs w:val="28"/>
        </w:rPr>
      </w:pPr>
      <w:r w:rsidRPr="00611E7E">
        <w:rPr>
          <w:rFonts w:asciiTheme="majorBidi" w:hAnsiTheme="majorBidi" w:cstheme="majorBidi"/>
          <w:sz w:val="28"/>
          <w:szCs w:val="28"/>
          <w:rtl/>
        </w:rPr>
        <w:t xml:space="preserve">تُعد بيئة العمل من العوامل الأساسية التي تؤثر بشكل مباشر على مستوى الأداء الإبداعي للموظفين، حيث توفر السياق المادي والنفسي والاجتماعي الذي يُمارس فيه العمل، والذي إما أن يُحفّز أو يُقيّد سلوكيات الابتكار والإبداع. ويتفق الباحثون على أن بيئة العمل الداعمة تُعد بمثابة منصة انطلاق للأفكار الجديدة، والتفكير غير التقليدي، والتجريب المنهجي </w:t>
      </w:r>
      <w:r w:rsidRPr="00611E7E">
        <w:rPr>
          <w:rFonts w:asciiTheme="majorBidi" w:hAnsiTheme="majorBidi" w:cstheme="majorBidi"/>
          <w:sz w:val="28"/>
          <w:szCs w:val="28"/>
          <w:rtl/>
        </w:rPr>
        <w:fldChar w:fldCharType="begin"/>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611E7E">
        <w:rPr>
          <w:rFonts w:asciiTheme="majorBidi" w:hAnsiTheme="majorBidi" w:cstheme="majorBidi"/>
          <w:sz w:val="28"/>
          <w:szCs w:val="28"/>
          <w:rtl/>
        </w:rPr>
        <w:instrText>&gt;&lt;</w:instrText>
      </w:r>
      <w:r w:rsidRPr="00611E7E">
        <w:rPr>
          <w:rFonts w:asciiTheme="majorBidi" w:hAnsiTheme="majorBidi" w:cstheme="majorBidi"/>
          <w:sz w:val="28"/>
          <w:szCs w:val="28"/>
        </w:rPr>
        <w:instrText>publisher&gt;Boulder, CO: Westview Press&lt;/publisher&gt;&lt;urls&gt;&lt;/urls&gt;&lt;/record&gt;&lt;/Cite&gt;&lt;/EndNote</w:instrText>
      </w:r>
      <w:r w:rsidRPr="00611E7E">
        <w:rPr>
          <w:rFonts w:asciiTheme="majorBidi" w:hAnsiTheme="majorBidi" w:cstheme="majorBidi"/>
          <w:sz w:val="28"/>
          <w:szCs w:val="28"/>
          <w:rtl/>
        </w:rPr>
        <w:instrText>&gt;</w:instrText>
      </w:r>
      <w:r w:rsidRPr="00611E7E">
        <w:rPr>
          <w:rFonts w:asciiTheme="majorBidi" w:hAnsiTheme="majorBidi" w:cstheme="majorBidi"/>
          <w:sz w:val="28"/>
          <w:szCs w:val="28"/>
          <w:rtl/>
        </w:rPr>
        <w:fldChar w:fldCharType="separate"/>
      </w:r>
      <w:r w:rsidRPr="00611E7E">
        <w:rPr>
          <w:rFonts w:asciiTheme="majorBidi" w:hAnsiTheme="majorBidi" w:cstheme="majorBidi"/>
          <w:noProof/>
          <w:sz w:val="28"/>
          <w:szCs w:val="28"/>
          <w:rtl/>
        </w:rPr>
        <w:t>(</w:t>
      </w:r>
      <w:r w:rsidRPr="00611E7E">
        <w:rPr>
          <w:rFonts w:asciiTheme="majorBidi" w:hAnsiTheme="majorBidi" w:cstheme="majorBidi"/>
          <w:noProof/>
          <w:sz w:val="28"/>
          <w:szCs w:val="28"/>
        </w:rPr>
        <w:t>Amabile Teresa, 1996</w:t>
      </w:r>
      <w:r w:rsidRPr="00611E7E">
        <w:rPr>
          <w:rFonts w:asciiTheme="majorBidi" w:hAnsiTheme="majorBidi" w:cstheme="majorBidi"/>
          <w:noProof/>
          <w:sz w:val="28"/>
          <w:szCs w:val="28"/>
          <w:rtl/>
        </w:rPr>
        <w:t>)</w:t>
      </w:r>
      <w:r w:rsidRPr="00611E7E">
        <w:rPr>
          <w:rFonts w:asciiTheme="majorBidi" w:hAnsiTheme="majorBidi" w:cstheme="majorBidi"/>
          <w:sz w:val="28"/>
          <w:szCs w:val="28"/>
          <w:rtl/>
        </w:rPr>
        <w:fldChar w:fldCharType="end"/>
      </w:r>
      <w:r w:rsidRPr="00611E7E">
        <w:rPr>
          <w:rFonts w:asciiTheme="majorBidi" w:hAnsiTheme="majorBidi" w:cstheme="majorBidi"/>
          <w:sz w:val="28"/>
          <w:szCs w:val="28"/>
          <w:rtl/>
        </w:rPr>
        <w:t>.</w:t>
      </w:r>
    </w:p>
    <w:p w14:paraId="53724981" w14:textId="1BDC0912" w:rsidR="005B5993" w:rsidRPr="00611E7E" w:rsidRDefault="00A91B25" w:rsidP="005B5993">
      <w:pPr>
        <w:bidi/>
        <w:jc w:val="both"/>
        <w:rPr>
          <w:rFonts w:asciiTheme="majorBidi" w:hAnsiTheme="majorBidi" w:cstheme="majorBidi"/>
          <w:sz w:val="28"/>
          <w:szCs w:val="28"/>
          <w:rtl/>
        </w:rPr>
      </w:pPr>
      <w:r w:rsidRPr="00611E7E">
        <w:rPr>
          <w:rFonts w:asciiTheme="majorBidi" w:hAnsiTheme="majorBidi" w:cstheme="majorBidi"/>
          <w:sz w:val="28"/>
          <w:szCs w:val="28"/>
          <w:rtl/>
        </w:rPr>
        <w:t>تشمل بيئة العمل المؤثرة في الإبداع عدة أبعاد، من أبرزها</w:t>
      </w:r>
      <w:r w:rsidRPr="00611E7E">
        <w:rPr>
          <w:rFonts w:asciiTheme="majorBidi" w:hAnsiTheme="majorBidi" w:cstheme="majorBidi"/>
          <w:sz w:val="28"/>
          <w:szCs w:val="28"/>
        </w:rPr>
        <w:t>:</w:t>
      </w:r>
      <w:r w:rsidR="00C57562" w:rsidRPr="00611E7E">
        <w:rPr>
          <w:rFonts w:asciiTheme="majorBidi" w:hAnsiTheme="majorBidi" w:cstheme="majorBidi" w:hint="cs"/>
          <w:sz w:val="28"/>
          <w:szCs w:val="28"/>
          <w:rtl/>
        </w:rPr>
        <w:t xml:space="preserve"> </w:t>
      </w:r>
      <w:r w:rsidRPr="00611E7E">
        <w:rPr>
          <w:rFonts w:asciiTheme="majorBidi" w:hAnsiTheme="majorBidi" w:cstheme="majorBidi"/>
          <w:sz w:val="28"/>
          <w:szCs w:val="28"/>
          <w:rtl/>
        </w:rPr>
        <w:t>الاستقلالية في أداء المهام</w:t>
      </w:r>
      <w:r w:rsidR="005B5993" w:rsidRPr="00611E7E">
        <w:rPr>
          <w:rFonts w:asciiTheme="majorBidi" w:hAnsiTheme="majorBidi" w:cstheme="majorBidi" w:hint="cs"/>
          <w:sz w:val="28"/>
          <w:szCs w:val="28"/>
          <w:rtl/>
        </w:rPr>
        <w:t xml:space="preserve">، </w:t>
      </w:r>
      <w:r w:rsidRPr="00611E7E">
        <w:rPr>
          <w:rFonts w:asciiTheme="majorBidi" w:hAnsiTheme="majorBidi" w:cstheme="majorBidi"/>
          <w:sz w:val="28"/>
          <w:szCs w:val="28"/>
          <w:rtl/>
        </w:rPr>
        <w:t xml:space="preserve">توفر الموارد </w:t>
      </w:r>
      <w:r w:rsidRPr="00611E7E">
        <w:rPr>
          <w:rFonts w:asciiTheme="majorBidi" w:hAnsiTheme="majorBidi" w:cstheme="majorBidi"/>
          <w:sz w:val="28"/>
          <w:szCs w:val="28"/>
        </w:rPr>
        <w:fldChar w:fldCharType="begin"/>
      </w:r>
      <w:r w:rsidRPr="00611E7E">
        <w:rPr>
          <w:rFonts w:asciiTheme="majorBidi" w:hAnsiTheme="majorBidi" w:cstheme="majorBidi"/>
          <w:sz w:val="28"/>
          <w:szCs w:val="28"/>
        </w:rPr>
        <w:instrText xml:space="preserve"> 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gt;</w:instrText>
      </w:r>
      <w:r w:rsidRPr="00611E7E">
        <w:rPr>
          <w:rFonts w:asciiTheme="majorBidi" w:hAnsiTheme="majorBidi" w:cstheme="majorBidi"/>
          <w:sz w:val="28"/>
          <w:szCs w:val="28"/>
        </w:rPr>
        <w:fldChar w:fldCharType="separate"/>
      </w:r>
      <w:r w:rsidRPr="00611E7E">
        <w:rPr>
          <w:rFonts w:asciiTheme="majorBidi" w:hAnsiTheme="majorBidi" w:cstheme="majorBidi"/>
          <w:noProof/>
          <w:sz w:val="28"/>
          <w:szCs w:val="28"/>
        </w:rPr>
        <w:t>(Shalley et al., 2004)</w:t>
      </w:r>
      <w:r w:rsidRPr="00611E7E">
        <w:rPr>
          <w:rFonts w:asciiTheme="majorBidi" w:hAnsiTheme="majorBidi" w:cstheme="majorBidi"/>
          <w:sz w:val="28"/>
          <w:szCs w:val="28"/>
        </w:rPr>
        <w:fldChar w:fldCharType="end"/>
      </w:r>
      <w:r w:rsidR="005B5993" w:rsidRPr="00611E7E">
        <w:rPr>
          <w:rFonts w:asciiTheme="majorBidi" w:hAnsiTheme="majorBidi" w:cstheme="majorBidi" w:hint="cs"/>
          <w:sz w:val="28"/>
          <w:szCs w:val="28"/>
          <w:rtl/>
        </w:rPr>
        <w:t xml:space="preserve">، </w:t>
      </w:r>
      <w:r w:rsidRPr="00611E7E">
        <w:rPr>
          <w:rFonts w:asciiTheme="majorBidi" w:hAnsiTheme="majorBidi" w:cstheme="majorBidi"/>
          <w:sz w:val="28"/>
          <w:szCs w:val="28"/>
          <w:rtl/>
        </w:rPr>
        <w:t>الدعم الاجتماعي</w:t>
      </w:r>
      <w:r w:rsidR="005B5993" w:rsidRPr="00611E7E">
        <w:rPr>
          <w:rFonts w:asciiTheme="majorBidi" w:hAnsiTheme="majorBidi" w:cstheme="majorBidi" w:hint="cs"/>
          <w:sz w:val="28"/>
          <w:szCs w:val="28"/>
          <w:rtl/>
        </w:rPr>
        <w:t xml:space="preserve">، و </w:t>
      </w:r>
      <w:r w:rsidRPr="00611E7E">
        <w:rPr>
          <w:rFonts w:asciiTheme="majorBidi" w:hAnsiTheme="majorBidi" w:cstheme="majorBidi"/>
          <w:sz w:val="28"/>
          <w:szCs w:val="28"/>
          <w:rtl/>
        </w:rPr>
        <w:t>الحد من البيروقراطية والقيود التنظيمية</w:t>
      </w:r>
      <w:r w:rsidR="005B5993" w:rsidRPr="00611E7E">
        <w:rPr>
          <w:rFonts w:asciiTheme="majorBidi" w:hAnsiTheme="majorBidi" w:cstheme="majorBidi" w:hint="cs"/>
          <w:sz w:val="28"/>
          <w:szCs w:val="28"/>
          <w:rtl/>
        </w:rPr>
        <w:t>.</w:t>
      </w:r>
    </w:p>
    <w:p w14:paraId="56DCCAD5" w14:textId="50AE8D5F" w:rsidR="00A91B25" w:rsidRPr="00611E7E" w:rsidRDefault="00A91B25" w:rsidP="005B5993">
      <w:pPr>
        <w:bidi/>
        <w:jc w:val="both"/>
        <w:rPr>
          <w:rFonts w:asciiTheme="majorBidi" w:hAnsiTheme="majorBidi" w:cstheme="majorBidi"/>
          <w:sz w:val="28"/>
          <w:szCs w:val="28"/>
        </w:rPr>
      </w:pPr>
      <w:r w:rsidRPr="00611E7E">
        <w:rPr>
          <w:rFonts w:asciiTheme="majorBidi" w:hAnsiTheme="majorBidi" w:cstheme="majorBidi"/>
          <w:sz w:val="28"/>
          <w:szCs w:val="28"/>
          <w:rtl/>
        </w:rPr>
        <w:t xml:space="preserve">وتُظهر نتائج الدراسات التجريبية أن بيئة العمل التي تتسم بـالمرونة، والانفتاح على الأفكار، والثقة المتبادلة بين الإدارة والموظفين تُساهم بشكل كبير في زيادة فرص ظهور الأفكار الجديدة وتحويلها إلى تطبيقات عملية داخل المؤسسة </w:t>
      </w:r>
      <w:r w:rsidRPr="00611E7E">
        <w:rPr>
          <w:rFonts w:asciiTheme="majorBidi" w:hAnsiTheme="majorBidi" w:cstheme="majorBidi"/>
          <w:sz w:val="28"/>
          <w:szCs w:val="28"/>
          <w:rtl/>
        </w:rPr>
        <w:fldChar w:fldCharType="begin"/>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ADDIN EN.CITE &lt;EndNote&gt;&lt;Cite&gt;&lt;Author&gt;Oldham&lt;/Author&gt;&lt;Year&gt;1996&lt;/Year&gt;&lt;RecNum&gt;1295&lt;/RecNum&gt;&lt;DisplayText&gt;(Oldham and Cummings, 1996)&lt;/DisplayText&gt;&lt;record&gt;&lt;rec-number&gt;1295&lt;/rec-number&gt;&lt;foreign-keys&gt;&lt;key app="EN" db-id="t5vttv59or5xwbe2zdm5ewrxd905arrpawff</w:instrText>
      </w:r>
      <w:r w:rsidRPr="00611E7E">
        <w:rPr>
          <w:rFonts w:asciiTheme="majorBidi" w:hAnsiTheme="majorBidi" w:cstheme="majorBidi"/>
          <w:sz w:val="28"/>
          <w:szCs w:val="28"/>
          <w:rtl/>
        </w:rPr>
        <w:instrText xml:space="preserve">" </w:instrText>
      </w:r>
      <w:r w:rsidRPr="00611E7E">
        <w:rPr>
          <w:rFonts w:asciiTheme="majorBidi" w:hAnsiTheme="majorBidi" w:cstheme="majorBidi"/>
          <w:sz w:val="28"/>
          <w:szCs w:val="28"/>
        </w:rPr>
        <w:instrText>timestamp="1730309673"&gt;1295&lt;/key&gt;&lt;/foreign-keys&gt;&lt;ref-type name="Journal Article"&gt;17&lt;/ref-type&gt;&lt;contributors&gt;&lt;authors&gt;&lt;author&gt;Oldham, Greg R&lt;/author&gt;&lt;author&gt;Cummings, Anne&lt;/author&gt;&lt;/authors&gt;&lt;/contributors&gt;&lt;titles&gt;&lt;title&gt;Employee creativity: Personal and contextual factors at work&lt;/title&gt;&lt;secondary-title&gt;Academy of management journal&lt;/secondary-title&gt;&lt;/titles&gt;&lt;periodical&gt;&lt;full-title&gt;Academy of management journal&lt;/full-title&gt;&lt;/periodical&gt;&lt;pages&gt;607-634&lt;/pages&gt;&lt;volume&gt;39&lt;/volume&gt;&lt;number&gt;3&lt;/number&gt;&lt;dates&gt;&lt;year</w:instrText>
      </w:r>
      <w:r w:rsidRPr="00611E7E">
        <w:rPr>
          <w:rFonts w:asciiTheme="majorBidi" w:hAnsiTheme="majorBidi" w:cstheme="majorBidi"/>
          <w:sz w:val="28"/>
          <w:szCs w:val="28"/>
          <w:rtl/>
        </w:rPr>
        <w:instrText>&gt;1996&lt;/</w:instrText>
      </w:r>
      <w:r w:rsidRPr="00611E7E">
        <w:rPr>
          <w:rFonts w:asciiTheme="majorBidi" w:hAnsiTheme="majorBidi" w:cstheme="majorBidi"/>
          <w:sz w:val="28"/>
          <w:szCs w:val="28"/>
        </w:rPr>
        <w:instrText>year&gt;&lt;/dates&gt;&lt;isbn&gt;0001-4273&lt;/isbn&gt;&lt;urls&gt;&lt;/urls&gt;&lt;/record&gt;&lt;/Cite&gt;&lt;/EndNote</w:instrText>
      </w:r>
      <w:r w:rsidRPr="00611E7E">
        <w:rPr>
          <w:rFonts w:asciiTheme="majorBidi" w:hAnsiTheme="majorBidi" w:cstheme="majorBidi"/>
          <w:sz w:val="28"/>
          <w:szCs w:val="28"/>
          <w:rtl/>
        </w:rPr>
        <w:instrText>&gt;</w:instrText>
      </w:r>
      <w:r w:rsidRPr="00611E7E">
        <w:rPr>
          <w:rFonts w:asciiTheme="majorBidi" w:hAnsiTheme="majorBidi" w:cstheme="majorBidi"/>
          <w:sz w:val="28"/>
          <w:szCs w:val="28"/>
          <w:rtl/>
        </w:rPr>
        <w:fldChar w:fldCharType="separate"/>
      </w:r>
      <w:r w:rsidRPr="00611E7E">
        <w:rPr>
          <w:rFonts w:asciiTheme="majorBidi" w:hAnsiTheme="majorBidi" w:cstheme="majorBidi"/>
          <w:noProof/>
          <w:sz w:val="28"/>
          <w:szCs w:val="28"/>
          <w:rtl/>
        </w:rPr>
        <w:t>(</w:t>
      </w:r>
      <w:r w:rsidRPr="00611E7E">
        <w:rPr>
          <w:rFonts w:asciiTheme="majorBidi" w:hAnsiTheme="majorBidi" w:cstheme="majorBidi"/>
          <w:noProof/>
          <w:sz w:val="28"/>
          <w:szCs w:val="28"/>
        </w:rPr>
        <w:t>Oldham and Cummings, 1996</w:t>
      </w:r>
      <w:r w:rsidRPr="00611E7E">
        <w:rPr>
          <w:rFonts w:asciiTheme="majorBidi" w:hAnsiTheme="majorBidi" w:cstheme="majorBidi"/>
          <w:noProof/>
          <w:sz w:val="28"/>
          <w:szCs w:val="28"/>
          <w:rtl/>
        </w:rPr>
        <w:t>)</w:t>
      </w:r>
      <w:r w:rsidRPr="00611E7E">
        <w:rPr>
          <w:rFonts w:asciiTheme="majorBidi" w:hAnsiTheme="majorBidi" w:cstheme="majorBidi"/>
          <w:sz w:val="28"/>
          <w:szCs w:val="28"/>
          <w:rtl/>
        </w:rPr>
        <w:fldChar w:fldCharType="end"/>
      </w:r>
      <w:r w:rsidRPr="00611E7E">
        <w:rPr>
          <w:rFonts w:asciiTheme="majorBidi" w:hAnsiTheme="majorBidi" w:cstheme="majorBidi"/>
          <w:sz w:val="28"/>
          <w:szCs w:val="28"/>
          <w:rtl/>
        </w:rPr>
        <w:t>.</w:t>
      </w:r>
    </w:p>
    <w:p w14:paraId="6F5E27AA" w14:textId="77777777" w:rsidR="00A91B25" w:rsidRPr="00611E7E" w:rsidRDefault="00A91B25" w:rsidP="00A0551C">
      <w:pPr>
        <w:bidi/>
        <w:jc w:val="both"/>
        <w:rPr>
          <w:rFonts w:asciiTheme="majorBidi" w:hAnsiTheme="majorBidi" w:cstheme="majorBidi"/>
          <w:sz w:val="28"/>
          <w:szCs w:val="28"/>
        </w:rPr>
      </w:pPr>
      <w:r w:rsidRPr="00611E7E">
        <w:rPr>
          <w:rFonts w:asciiTheme="majorBidi" w:hAnsiTheme="majorBidi" w:cstheme="majorBidi"/>
          <w:sz w:val="28"/>
          <w:szCs w:val="28"/>
          <w:rtl/>
        </w:rPr>
        <w:t>في السياق التطبيقي، يُعتبر تصميم بيئة عمل محفزة على الإبداع أمرًا بالغ الأهمية في القطاعات الخدمية، مثل الفنادق والمطاعم، حيث تتطلب طبيعة العمل فيها تفاعلًا مباشرًا ومستمرًا مع العملاء، وقدرة على التكيّف مع متطلباتهم المتغيرة. فالموظف الذي يعمل في بيئة تُشجّعه على الابتكار، وتُقدّر مساهماته، سيكون أكثر استعدادًا لتقديم حلول مبتكرة لتحسين تجربة العملاء</w:t>
      </w:r>
      <w:r w:rsidRPr="00611E7E">
        <w:rPr>
          <w:rFonts w:asciiTheme="majorBidi" w:hAnsiTheme="majorBidi" w:cstheme="majorBidi"/>
          <w:sz w:val="28"/>
          <w:szCs w:val="28"/>
        </w:rPr>
        <w:t>.</w:t>
      </w:r>
    </w:p>
    <w:p w14:paraId="02274881" w14:textId="77777777" w:rsidR="00A91B25" w:rsidRPr="00611E7E" w:rsidRDefault="00A91B25" w:rsidP="00A91B25">
      <w:pPr>
        <w:bidi/>
        <w:rPr>
          <w:rFonts w:asciiTheme="majorBidi" w:hAnsiTheme="majorBidi" w:cstheme="majorBidi"/>
          <w:sz w:val="28"/>
          <w:szCs w:val="28"/>
          <w:lang w:bidi="ar-EG"/>
        </w:rPr>
      </w:pPr>
    </w:p>
    <w:p w14:paraId="774A4CE1" w14:textId="34D132E6" w:rsidR="007575D7" w:rsidRPr="007575D7" w:rsidRDefault="00F079AD" w:rsidP="007575D7">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2.2.3.2. </w:t>
      </w:r>
      <w:r w:rsidR="007575D7" w:rsidRPr="007575D7">
        <w:rPr>
          <w:rFonts w:asciiTheme="majorBidi" w:hAnsiTheme="majorBidi" w:cstheme="majorBidi"/>
          <w:b/>
          <w:bCs/>
          <w:sz w:val="28"/>
          <w:szCs w:val="28"/>
          <w:rtl/>
        </w:rPr>
        <w:t>التعريفات</w:t>
      </w:r>
    </w:p>
    <w:p w14:paraId="00871E1C" w14:textId="77777777"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وقد تطورت دراسة الثقافة التنظيمية نظريًا منذ السبعينيات، مع إدراك متزايد بأن أداء المنظمات لا يتحدد فقط بالهياكل والموارد، بل يتأثر عميقًا بـ "الهوية الثقافية" للمؤسسة. وتتنوع النماذج النظرية التي سعت لتفسير هذا المفهوم، من بينها: نظرية</w:t>
      </w:r>
      <w:r w:rsidRPr="00DC3DDE">
        <w:rPr>
          <w:rFonts w:asciiTheme="majorBidi" w:hAnsiTheme="majorBidi" w:cstheme="majorBidi"/>
          <w:sz w:val="28"/>
          <w:szCs w:val="28"/>
        </w:rPr>
        <w:t xml:space="preserve"> Schein </w:t>
      </w:r>
      <w:r w:rsidRPr="00DC3DDE">
        <w:rPr>
          <w:rFonts w:asciiTheme="majorBidi" w:hAnsiTheme="majorBidi" w:cstheme="majorBidi"/>
          <w:sz w:val="28"/>
          <w:szCs w:val="28"/>
          <w:rtl/>
        </w:rPr>
        <w:t>الطبقية، نموذج</w:t>
      </w:r>
      <w:r w:rsidRPr="00DC3DDE">
        <w:rPr>
          <w:rFonts w:asciiTheme="majorBidi" w:hAnsiTheme="majorBidi" w:cstheme="majorBidi"/>
          <w:sz w:val="28"/>
          <w:szCs w:val="28"/>
        </w:rPr>
        <w:t xml:space="preserve"> Hofstede </w:t>
      </w:r>
      <w:r w:rsidRPr="00DC3DDE">
        <w:rPr>
          <w:rFonts w:asciiTheme="majorBidi" w:hAnsiTheme="majorBidi" w:cstheme="majorBidi"/>
          <w:sz w:val="28"/>
          <w:szCs w:val="28"/>
          <w:rtl/>
        </w:rPr>
        <w:t>الثقافي، ونموذج</w:t>
      </w:r>
      <w:r w:rsidRPr="00DC3DDE">
        <w:rPr>
          <w:rFonts w:asciiTheme="majorBidi" w:hAnsiTheme="majorBidi" w:cstheme="majorBidi"/>
          <w:sz w:val="28"/>
          <w:szCs w:val="28"/>
        </w:rPr>
        <w:t xml:space="preserve"> Denison </w:t>
      </w:r>
      <w:r w:rsidRPr="00DC3DDE">
        <w:rPr>
          <w:rFonts w:asciiTheme="majorBidi" w:hAnsiTheme="majorBidi" w:cstheme="majorBidi"/>
          <w:sz w:val="28"/>
          <w:szCs w:val="28"/>
          <w:rtl/>
        </w:rPr>
        <w:t>للثقافة</w:t>
      </w:r>
      <w:r w:rsidRPr="00DC3DDE">
        <w:rPr>
          <w:rFonts w:asciiTheme="majorBidi" w:hAnsiTheme="majorBidi" w:cstheme="majorBidi"/>
          <w:sz w:val="28"/>
          <w:szCs w:val="28"/>
        </w:rPr>
        <w:t>.</w:t>
      </w:r>
    </w:p>
    <w:p w14:paraId="5A9AB997" w14:textId="1ABA71A4" w:rsidR="00A91B25" w:rsidRPr="00DC3DDE" w:rsidRDefault="00A91B25" w:rsidP="00A0551C">
      <w:pPr>
        <w:bidi/>
        <w:jc w:val="both"/>
        <w:rPr>
          <w:rFonts w:asciiTheme="majorBidi" w:hAnsiTheme="majorBidi" w:cstheme="majorBidi"/>
          <w:b/>
          <w:bCs/>
          <w:sz w:val="28"/>
          <w:szCs w:val="28"/>
        </w:rPr>
      </w:pPr>
      <w:r w:rsidRPr="00DC3DDE">
        <w:rPr>
          <w:rFonts w:asciiTheme="majorBidi" w:hAnsiTheme="majorBidi" w:cstheme="majorBidi"/>
          <w:b/>
          <w:bCs/>
          <w:sz w:val="28"/>
          <w:szCs w:val="28"/>
          <w:rtl/>
        </w:rPr>
        <w:t>أولًا: نظرية شين الطبقية</w:t>
      </w:r>
      <w:r w:rsidR="00DC3DDE">
        <w:rPr>
          <w:rFonts w:asciiTheme="majorBidi" w:hAnsiTheme="majorBidi" w:cstheme="majorBidi" w:hint="cs"/>
          <w:b/>
          <w:bCs/>
          <w:sz w:val="28"/>
          <w:szCs w:val="28"/>
          <w:rtl/>
        </w:rPr>
        <w:t xml:space="preserve"> </w:t>
      </w:r>
      <w:r w:rsidRPr="00DC3DDE">
        <w:rPr>
          <w:rFonts w:asciiTheme="majorBidi" w:hAnsiTheme="majorBidi" w:cstheme="majorBidi"/>
          <w:b/>
          <w:bCs/>
          <w:sz w:val="28"/>
          <w:szCs w:val="28"/>
        </w:rPr>
        <w:t>(Schein’s Model of Organizational Culture)</w:t>
      </w:r>
    </w:p>
    <w:p w14:paraId="7CCEB024" w14:textId="77777777"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تُعد نظرية شين</w:t>
      </w:r>
      <w:r w:rsidRPr="00DC3DDE">
        <w:rPr>
          <w:rFonts w:asciiTheme="majorBidi" w:hAnsiTheme="majorBidi" w:cstheme="majorBidi"/>
          <w:sz w:val="28"/>
          <w:szCs w:val="28"/>
        </w:rPr>
        <w:t xml:space="preserve"> (Schein, </w:t>
      </w:r>
      <w:r w:rsidRPr="00611E7E">
        <w:rPr>
          <w:rFonts w:asciiTheme="majorBidi" w:hAnsiTheme="majorBidi" w:cstheme="majorBidi"/>
          <w:sz w:val="28"/>
          <w:szCs w:val="28"/>
        </w:rPr>
        <w:t xml:space="preserve">2010) </w:t>
      </w:r>
      <w:r w:rsidRPr="00611E7E">
        <w:rPr>
          <w:rFonts w:asciiTheme="majorBidi" w:hAnsiTheme="majorBidi" w:cstheme="majorBidi"/>
          <w:sz w:val="28"/>
          <w:szCs w:val="28"/>
          <w:rtl/>
        </w:rPr>
        <w:t>من أبرز النماذج التفسيرية التي قدّمت فهمًا عميقًا للبنية المعرفية والرمزية للثقافة التنظيمية، حيث تنظر إلى الثقافة بوصفها نظامًا متدرجًا من الافتراضات والقيم والمظاهر التي تتشكل وتترسخ في المنظمة عبر الزمن. وقد طوّر إدغار شين نموذجه من خلال دراسة التفاعل بين الثقافة التنظيمية والقيادة، حيث رأى أن</w:t>
      </w:r>
      <w:r w:rsidRPr="00DC3DDE">
        <w:rPr>
          <w:rFonts w:asciiTheme="majorBidi" w:hAnsiTheme="majorBidi" w:cstheme="majorBidi"/>
          <w:sz w:val="28"/>
          <w:szCs w:val="28"/>
          <w:rtl/>
        </w:rPr>
        <w:t xml:space="preserve"> القادة لا يُشكّلون الثقافة فحسب، بل يُعاد تشكيلهم بها</w:t>
      </w:r>
      <w:r w:rsidRPr="00DC3DDE">
        <w:rPr>
          <w:rFonts w:asciiTheme="majorBidi" w:hAnsiTheme="majorBidi" w:cstheme="majorBidi"/>
          <w:sz w:val="28"/>
          <w:szCs w:val="28"/>
        </w:rPr>
        <w:t>.</w:t>
      </w:r>
    </w:p>
    <w:p w14:paraId="20485C07" w14:textId="145C39BE"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 xml:space="preserve">يُقدّم شين نموذجًا ثلاثي المستويات للثقافة التنظيمية، يُبيّن من خلاله كيف تتجلى الثقافة وتؤثر على السلوك التنظيمي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Pr="00DC3DDE">
        <w:rPr>
          <w:rFonts w:asciiTheme="majorBidi" w:hAnsiTheme="majorBidi" w:cstheme="majorBidi"/>
          <w:sz w:val="28"/>
          <w:szCs w:val="28"/>
          <w:rtl/>
        </w:rPr>
        <w:instrText>31695466"&gt;1524&lt;/</w:instrText>
      </w:r>
      <w:r w:rsidRPr="00DC3DDE">
        <w:rPr>
          <w:rFonts w:asciiTheme="majorBidi" w:hAnsiTheme="majorBidi" w:cstheme="majorBidi"/>
          <w:sz w:val="28"/>
          <w:szCs w:val="28"/>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Pr="00DC3DDE">
        <w:rPr>
          <w:rFonts w:asciiTheme="majorBidi" w:hAnsiTheme="majorBidi" w:cstheme="majorBidi"/>
          <w:sz w:val="28"/>
          <w:szCs w:val="28"/>
          <w:rtl/>
        </w:rPr>
        <w:instrText>&lt;/</w:instrText>
      </w:r>
      <w:r w:rsidRPr="00DC3DDE">
        <w:rPr>
          <w:rFonts w:asciiTheme="majorBidi" w:hAnsiTheme="majorBidi" w:cstheme="majorBidi"/>
          <w:sz w:val="28"/>
          <w:szCs w:val="28"/>
        </w:rPr>
        <w:instrText>year&gt;&lt;/dates&gt;&lt;publisher&gt;John Wiley &amp;amp; Sons&lt;/publisher&gt;&lt;isbn&gt;047064057X&lt;/isbn&gt;&lt;urls&gt;&lt;/urls&gt;&lt;/record&gt;&lt;/Cite&gt;&lt;/EndNote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Schein, 2010</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12FF3144" w14:textId="192B7C4A" w:rsidR="00A91B25" w:rsidRPr="00DC3DDE" w:rsidRDefault="00A91B25" w:rsidP="00A0551C">
      <w:pPr>
        <w:pStyle w:val="ListParagraph"/>
        <w:numPr>
          <w:ilvl w:val="1"/>
          <w:numId w:val="16"/>
        </w:num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الافتراضات الأساسية </w:t>
      </w:r>
      <w:r w:rsidRPr="00DC3DDE">
        <w:rPr>
          <w:rFonts w:asciiTheme="majorBidi" w:hAnsiTheme="majorBidi" w:cstheme="majorBidi"/>
          <w:b/>
          <w:bCs/>
          <w:sz w:val="28"/>
          <w:szCs w:val="28"/>
        </w:rPr>
        <w:t>(Underlying Assumptions)</w:t>
      </w:r>
      <w:r w:rsidR="005B5993">
        <w:rPr>
          <w:rFonts w:asciiTheme="majorBidi" w:hAnsiTheme="majorBidi" w:cstheme="majorBidi" w:hint="cs"/>
          <w:b/>
          <w:bCs/>
          <w:sz w:val="28"/>
          <w:szCs w:val="28"/>
          <w:rtl/>
        </w:rPr>
        <w:t>.</w:t>
      </w:r>
    </w:p>
    <w:p w14:paraId="704416A5" w14:textId="07D3A446" w:rsidR="00DC3DDE" w:rsidRPr="005B5993" w:rsidRDefault="00A91B25" w:rsidP="005B5993">
      <w:pPr>
        <w:pStyle w:val="ListParagraph"/>
        <w:numPr>
          <w:ilvl w:val="1"/>
          <w:numId w:val="16"/>
        </w:numPr>
        <w:bidi/>
        <w:jc w:val="both"/>
        <w:rPr>
          <w:rFonts w:asciiTheme="majorBidi" w:hAnsiTheme="majorBidi" w:cstheme="majorBidi"/>
          <w:b/>
          <w:bCs/>
          <w:sz w:val="28"/>
          <w:szCs w:val="28"/>
        </w:rPr>
      </w:pPr>
      <w:r w:rsidRPr="00DC3DDE">
        <w:rPr>
          <w:rFonts w:asciiTheme="majorBidi" w:hAnsiTheme="majorBidi" w:cstheme="majorBidi"/>
          <w:b/>
          <w:bCs/>
          <w:sz w:val="28"/>
          <w:szCs w:val="28"/>
          <w:rtl/>
        </w:rPr>
        <w:lastRenderedPageBreak/>
        <w:t xml:space="preserve">القيم المعلنة </w:t>
      </w:r>
      <w:r w:rsidRPr="00DC3DDE">
        <w:rPr>
          <w:rFonts w:asciiTheme="majorBidi" w:hAnsiTheme="majorBidi" w:cstheme="majorBidi"/>
          <w:b/>
          <w:bCs/>
          <w:sz w:val="28"/>
          <w:szCs w:val="28"/>
        </w:rPr>
        <w:t>(Espoused Values)</w:t>
      </w:r>
      <w:r w:rsidR="005B5993">
        <w:rPr>
          <w:rFonts w:asciiTheme="majorBidi" w:hAnsiTheme="majorBidi" w:cstheme="majorBidi" w:hint="cs"/>
          <w:sz w:val="28"/>
          <w:szCs w:val="28"/>
          <w:rtl/>
        </w:rPr>
        <w:t>.</w:t>
      </w:r>
    </w:p>
    <w:p w14:paraId="5CCACF6A" w14:textId="5D51D769" w:rsidR="00A91B25" w:rsidRPr="00DC3DDE" w:rsidRDefault="00A91B25" w:rsidP="00A0551C">
      <w:pPr>
        <w:pStyle w:val="ListParagraph"/>
        <w:numPr>
          <w:ilvl w:val="1"/>
          <w:numId w:val="16"/>
        </w:num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المظاهر الخارجية أو الرموز </w:t>
      </w:r>
      <w:r w:rsidRPr="00DC3DDE">
        <w:rPr>
          <w:rFonts w:asciiTheme="majorBidi" w:hAnsiTheme="majorBidi" w:cstheme="majorBidi"/>
          <w:b/>
          <w:bCs/>
          <w:sz w:val="28"/>
          <w:szCs w:val="28"/>
        </w:rPr>
        <w:t>(Artifacts)</w:t>
      </w:r>
      <w:r w:rsidR="005B5993">
        <w:rPr>
          <w:rFonts w:asciiTheme="majorBidi" w:hAnsiTheme="majorBidi" w:cstheme="majorBidi" w:hint="cs"/>
          <w:b/>
          <w:bCs/>
          <w:sz w:val="28"/>
          <w:szCs w:val="28"/>
          <w:rtl/>
        </w:rPr>
        <w:t>.</w:t>
      </w:r>
    </w:p>
    <w:p w14:paraId="508B8BEA" w14:textId="77777777"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 xml:space="preserve">تكمن أهمية هذا النموذج في </w:t>
      </w:r>
      <w:r w:rsidRPr="00611E7E">
        <w:rPr>
          <w:rFonts w:asciiTheme="majorBidi" w:hAnsiTheme="majorBidi" w:cstheme="majorBidi"/>
          <w:sz w:val="28"/>
          <w:szCs w:val="28"/>
          <w:rtl/>
        </w:rPr>
        <w:t>كونه يُبرز الطبيعة المتعددة الطبقات للثقافة التنظيمية، ويوفّر إطارًا لفهم كيف تؤثر الثقافة في تفسير وتفعيل</w:t>
      </w:r>
      <w:r w:rsidRPr="00DC3DDE">
        <w:rPr>
          <w:rFonts w:asciiTheme="majorBidi" w:hAnsiTheme="majorBidi" w:cstheme="majorBidi"/>
          <w:sz w:val="28"/>
          <w:szCs w:val="28"/>
          <w:rtl/>
        </w:rPr>
        <w:t xml:space="preserve"> ممارسات الموارد البشرية – مثل أنظمة العمل عالية الأداء – داخل المؤسسة. وهذا ما يبرر تناوله في هذه الدراسة كمتغير وسيط، إذ يُتوقع أن يُعيد تشكيل أثر</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على الأداء الإبداعي من خلال إعادة تأويل هذه الممارسات داخل السياق الثقافي للمؤسسة</w:t>
      </w:r>
      <w:r w:rsidRPr="00DC3DDE">
        <w:rPr>
          <w:rFonts w:asciiTheme="majorBidi" w:hAnsiTheme="majorBidi" w:cstheme="majorBidi"/>
          <w:sz w:val="28"/>
          <w:szCs w:val="28"/>
        </w:rPr>
        <w:t>.</w:t>
      </w:r>
    </w:p>
    <w:p w14:paraId="148370F8" w14:textId="77777777" w:rsidR="00A91B25" w:rsidRPr="00DC3DDE" w:rsidRDefault="00A91B25" w:rsidP="00A0551C">
      <w:p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ثانيًا: نموذج </w:t>
      </w:r>
      <w:proofErr w:type="spellStart"/>
      <w:r w:rsidRPr="00DC3DDE">
        <w:rPr>
          <w:rFonts w:asciiTheme="majorBidi" w:hAnsiTheme="majorBidi" w:cstheme="majorBidi"/>
          <w:b/>
          <w:bCs/>
          <w:sz w:val="28"/>
          <w:szCs w:val="28"/>
          <w:rtl/>
        </w:rPr>
        <w:t>هوفستد</w:t>
      </w:r>
      <w:proofErr w:type="spellEnd"/>
      <w:r w:rsidRPr="00DC3DDE">
        <w:rPr>
          <w:rFonts w:asciiTheme="majorBidi" w:hAnsiTheme="majorBidi" w:cstheme="majorBidi"/>
          <w:b/>
          <w:bCs/>
          <w:sz w:val="28"/>
          <w:szCs w:val="28"/>
          <w:rtl/>
        </w:rPr>
        <w:t xml:space="preserve"> الثقافي </w:t>
      </w:r>
      <w:r w:rsidRPr="00DC3DDE">
        <w:rPr>
          <w:rFonts w:asciiTheme="majorBidi" w:hAnsiTheme="majorBidi" w:cstheme="majorBidi"/>
          <w:b/>
          <w:bCs/>
          <w:sz w:val="28"/>
          <w:szCs w:val="28"/>
        </w:rPr>
        <w:t>(Hofstede’s Cultural Dimensions Theory)</w:t>
      </w:r>
    </w:p>
    <w:p w14:paraId="11918F39" w14:textId="1F4C04F6"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 xml:space="preserve">يُعد نموذج </w:t>
      </w:r>
      <w:proofErr w:type="spellStart"/>
      <w:r w:rsidRPr="00DC3DDE">
        <w:rPr>
          <w:rFonts w:asciiTheme="majorBidi" w:hAnsiTheme="majorBidi" w:cstheme="majorBidi"/>
          <w:sz w:val="28"/>
          <w:szCs w:val="28"/>
          <w:rtl/>
        </w:rPr>
        <w:t>هوفستد</w:t>
      </w:r>
      <w:proofErr w:type="spellEnd"/>
      <w:r w:rsidRPr="00DC3DDE">
        <w:rPr>
          <w:rFonts w:asciiTheme="majorBidi" w:hAnsiTheme="majorBidi" w:cstheme="majorBidi"/>
          <w:sz w:val="28"/>
          <w:szCs w:val="28"/>
        </w:rPr>
        <w:t xml:space="preserve"> (Hofstede) </w:t>
      </w:r>
      <w:r w:rsidRPr="00DC3DDE">
        <w:rPr>
          <w:rFonts w:asciiTheme="majorBidi" w:hAnsiTheme="majorBidi" w:cstheme="majorBidi"/>
          <w:sz w:val="28"/>
          <w:szCs w:val="28"/>
          <w:rtl/>
        </w:rPr>
        <w:t>من أكثر النماذج شهرة في فهم وتحليل الفروقات الثقافية على المستويين الوطني والتنظيمي، وقد نشأ هذا النموذج في الأصل من دراسة كبرى أُجريت على موظفي شركة</w:t>
      </w:r>
      <w:r w:rsidRPr="00DC3DDE">
        <w:rPr>
          <w:rFonts w:asciiTheme="majorBidi" w:hAnsiTheme="majorBidi" w:cstheme="majorBidi"/>
          <w:sz w:val="28"/>
          <w:szCs w:val="28"/>
        </w:rPr>
        <w:t xml:space="preserve"> IBM </w:t>
      </w:r>
      <w:r w:rsidRPr="00DC3DDE">
        <w:rPr>
          <w:rFonts w:asciiTheme="majorBidi" w:hAnsiTheme="majorBidi" w:cstheme="majorBidi"/>
          <w:sz w:val="28"/>
          <w:szCs w:val="28"/>
          <w:rtl/>
        </w:rPr>
        <w:t xml:space="preserve">العالمية في أكثر من 70 دولة خلال فترة السبعينيات، ثم تطور لاحقًا ليُستخدم في تفسير أوجه التباين في الثقافة التنظيمية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&lt;EndNote&gt;&lt;Cite&gt;&lt;Author&gt;Hofstede&lt;/Author&gt;&lt;Year&gt;2010&lt;/Year&gt;&lt;RecNum&gt;2765&lt;/RecNum&gt;&lt;DisplayText&gt;(Hofstede et al., 2010)&lt;/DisplayText&gt;&lt;record&gt;&lt;rec-number&gt;2765&lt;/rec-number&gt;&lt;foreign-keys&gt;&lt;key app="EN" db-id="t5vttv59or5xwbe2zdm5ewrxd905arrpawff" timestamp="1748379659"&gt;2765&lt;/key&gt;&lt;/foreign-keys&gt;&lt;ref-type name="Journal Article"&gt;17&lt;/ref-type&gt;&lt;contributors&gt;&lt;authors&gt;&lt;author&gt;Hofstede, G&lt;/author&gt;&lt;author&gt;Hofstede, GJ&lt;/author&gt;&lt;author&gt;Minkov, M&lt;/author&gt;&lt;/authors&gt;&lt;/contributors&gt;&lt;titles&gt;&lt;title&gt;Cultures and organizations: Software of the mind, 3rd McGraw Hill&lt;/title&gt;&lt;secondary-title&gt;New York&lt;/secondary-title&gt;&lt;/titles&gt;&lt;periodical&gt;&lt;full-title&gt;New York&lt;/full-title&gt;&lt;/periodical&gt;&lt;dates&gt;&lt;year&gt;2010&lt;/year&gt;&lt;/dates&gt;&lt;urls&gt;&lt;/urls&gt;&lt;/record&gt;&lt;/Cite&gt;&lt;/EndNote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Hofstede et al., 2010</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183028DE" w14:textId="77777777"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ويفترض النموذج أن الثقافات، سواء كانت وطنية أو تنظيمية، تُبنى على أبعاد قيمية محددة تؤثر بشكل جوهري في كيفية فهم الأفراد للسلطة، والمخاطرة، والإنجاز، والعلاقات الإنسانية. ويمكن تلخيص الأبعاد الأساسية للنموذج كما يلي</w:t>
      </w:r>
      <w:r w:rsidRPr="00DC3DDE">
        <w:rPr>
          <w:rFonts w:asciiTheme="majorBidi" w:hAnsiTheme="majorBidi" w:cstheme="majorBidi"/>
          <w:sz w:val="28"/>
          <w:szCs w:val="28"/>
        </w:rPr>
        <w:t>:</w:t>
      </w:r>
    </w:p>
    <w:p w14:paraId="0A9C981B" w14:textId="77777777" w:rsidR="00A91B25" w:rsidRPr="00DC3DDE" w:rsidRDefault="00A91B25" w:rsidP="00A0551C">
      <w:pPr>
        <w:pStyle w:val="ListParagraph"/>
        <w:numPr>
          <w:ilvl w:val="0"/>
          <w:numId w:val="18"/>
        </w:num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مسافة السلطة </w:t>
      </w:r>
      <w:r w:rsidRPr="00DC3DDE">
        <w:rPr>
          <w:rFonts w:asciiTheme="majorBidi" w:hAnsiTheme="majorBidi" w:cstheme="majorBidi"/>
          <w:b/>
          <w:bCs/>
          <w:sz w:val="28"/>
          <w:szCs w:val="28"/>
        </w:rPr>
        <w:t>(Power Distance)</w:t>
      </w:r>
    </w:p>
    <w:p w14:paraId="1EB2FEE7" w14:textId="024C24D2" w:rsidR="00A91B25" w:rsidRPr="005B5993" w:rsidRDefault="00A91B25" w:rsidP="005B5993">
      <w:pPr>
        <w:pStyle w:val="ListParagraph"/>
        <w:numPr>
          <w:ilvl w:val="0"/>
          <w:numId w:val="18"/>
        </w:num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الفردية مقابل الجماعية </w:t>
      </w:r>
      <w:r w:rsidRPr="00DC3DDE">
        <w:rPr>
          <w:rFonts w:asciiTheme="majorBidi" w:hAnsiTheme="majorBidi" w:cstheme="majorBidi"/>
          <w:b/>
          <w:bCs/>
          <w:sz w:val="28"/>
          <w:szCs w:val="28"/>
        </w:rPr>
        <w:t>(Individualism vs. Collectivism)</w:t>
      </w:r>
    </w:p>
    <w:p w14:paraId="53E9B4B1" w14:textId="77777777" w:rsidR="00A91B25" w:rsidRPr="00DC3DDE" w:rsidRDefault="00A91B25" w:rsidP="00A0551C">
      <w:pPr>
        <w:pStyle w:val="ListParagraph"/>
        <w:numPr>
          <w:ilvl w:val="0"/>
          <w:numId w:val="18"/>
        </w:num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تجنب عدم اليقين </w:t>
      </w:r>
      <w:r w:rsidRPr="00DC3DDE">
        <w:rPr>
          <w:rFonts w:asciiTheme="majorBidi" w:hAnsiTheme="majorBidi" w:cstheme="majorBidi"/>
          <w:b/>
          <w:bCs/>
          <w:sz w:val="28"/>
          <w:szCs w:val="28"/>
        </w:rPr>
        <w:t>(Uncertainty Avoidance)</w:t>
      </w:r>
    </w:p>
    <w:p w14:paraId="07E8B76D" w14:textId="77777777" w:rsidR="00A91B25" w:rsidRPr="00DC3DDE" w:rsidRDefault="00A91B25" w:rsidP="00A0551C">
      <w:pPr>
        <w:pStyle w:val="ListParagraph"/>
        <w:numPr>
          <w:ilvl w:val="0"/>
          <w:numId w:val="18"/>
        </w:num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الذكورة مقابل الأنوثة </w:t>
      </w:r>
      <w:r w:rsidRPr="00DC3DDE">
        <w:rPr>
          <w:rFonts w:asciiTheme="majorBidi" w:hAnsiTheme="majorBidi" w:cstheme="majorBidi"/>
          <w:b/>
          <w:bCs/>
          <w:sz w:val="28"/>
          <w:szCs w:val="28"/>
        </w:rPr>
        <w:t>(Masculinity vs. Femininity)</w:t>
      </w:r>
    </w:p>
    <w:p w14:paraId="54BB7C6E" w14:textId="77777777" w:rsidR="00A91B25" w:rsidRPr="00DC3DDE" w:rsidRDefault="00A91B25" w:rsidP="00A0551C">
      <w:pPr>
        <w:pStyle w:val="ListParagraph"/>
        <w:numPr>
          <w:ilvl w:val="0"/>
          <w:numId w:val="18"/>
        </w:num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التوجه الزمني الطويل مقابل القصير </w:t>
      </w:r>
      <w:r w:rsidRPr="00DC3DDE">
        <w:rPr>
          <w:rFonts w:asciiTheme="majorBidi" w:hAnsiTheme="majorBidi" w:cstheme="majorBidi"/>
          <w:b/>
          <w:bCs/>
          <w:sz w:val="28"/>
          <w:szCs w:val="28"/>
        </w:rPr>
        <w:t>(Long-term vs. Short-term Orientation)</w:t>
      </w:r>
    </w:p>
    <w:p w14:paraId="48CF5D80" w14:textId="77777777" w:rsidR="00A91B25" w:rsidRPr="00DC3DDE" w:rsidRDefault="00A91B25" w:rsidP="00A0551C">
      <w:pPr>
        <w:pStyle w:val="ListParagraph"/>
        <w:numPr>
          <w:ilvl w:val="0"/>
          <w:numId w:val="18"/>
        </w:num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الانغماس مقابل ضبط النفس </w:t>
      </w:r>
      <w:r w:rsidRPr="00DC3DDE">
        <w:rPr>
          <w:rFonts w:asciiTheme="majorBidi" w:hAnsiTheme="majorBidi" w:cstheme="majorBidi"/>
          <w:b/>
          <w:bCs/>
          <w:sz w:val="28"/>
          <w:szCs w:val="28"/>
        </w:rPr>
        <w:t>(Indulgence vs. Restraint)</w:t>
      </w:r>
    </w:p>
    <w:p w14:paraId="5642E0A0" w14:textId="77777777"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يصف هذا البعد مدى سماح الثقافة للأفراد بالتعبير عن رغباتهم الطبيعية بحرية</w:t>
      </w:r>
      <w:r w:rsidRPr="00DC3DDE">
        <w:rPr>
          <w:rFonts w:asciiTheme="majorBidi" w:hAnsiTheme="majorBidi" w:cstheme="majorBidi"/>
          <w:sz w:val="28"/>
          <w:szCs w:val="28"/>
        </w:rPr>
        <w:t>.</w:t>
      </w:r>
      <w:r w:rsidRPr="00DC3DDE">
        <w:rPr>
          <w:rFonts w:asciiTheme="majorBidi" w:hAnsiTheme="majorBidi" w:cstheme="majorBidi"/>
          <w:sz w:val="28"/>
          <w:szCs w:val="28"/>
        </w:rPr>
        <w:br/>
        <w:t xml:space="preserve">▪ </w:t>
      </w:r>
      <w:r w:rsidRPr="00DC3DDE">
        <w:rPr>
          <w:rFonts w:asciiTheme="majorBidi" w:hAnsiTheme="majorBidi" w:cstheme="majorBidi"/>
          <w:sz w:val="28"/>
          <w:szCs w:val="28"/>
          <w:rtl/>
        </w:rPr>
        <w:t>الثقافات المنغمسة تميل إلى التفتح الاجتماعي والإيجابية، ما يخلق مناخًا أكثر تحفيزًا للإبداع</w:t>
      </w:r>
      <w:r w:rsidRPr="00DC3DDE">
        <w:rPr>
          <w:rFonts w:asciiTheme="majorBidi" w:hAnsiTheme="majorBidi" w:cstheme="majorBidi"/>
          <w:sz w:val="28"/>
          <w:szCs w:val="28"/>
        </w:rPr>
        <w:t>.</w:t>
      </w:r>
    </w:p>
    <w:p w14:paraId="78745835" w14:textId="666B3685" w:rsidR="007575D7" w:rsidRPr="007575D7" w:rsidRDefault="007575D7" w:rsidP="00A0551C">
      <w:pPr>
        <w:bidi/>
        <w:jc w:val="both"/>
        <w:rPr>
          <w:rFonts w:asciiTheme="majorBidi" w:hAnsiTheme="majorBidi" w:cstheme="majorBidi"/>
          <w:sz w:val="28"/>
          <w:szCs w:val="28"/>
        </w:rPr>
      </w:pPr>
      <w:r w:rsidRPr="007575D7">
        <w:rPr>
          <w:rFonts w:asciiTheme="majorBidi" w:hAnsiTheme="majorBidi" w:cstheme="majorBidi"/>
          <w:sz w:val="28"/>
          <w:szCs w:val="28"/>
          <w:rtl/>
        </w:rPr>
        <w:t>تعددت تعريفات الثقافة التنظيمية في الأدبيات الحديثة، وجاءت في معظمها متقاربة من حيث الجوهر وإن اختلفت في زاوية النظر</w:t>
      </w:r>
      <w:r w:rsidRPr="007575D7">
        <w:rPr>
          <w:rFonts w:asciiTheme="majorBidi" w:hAnsiTheme="majorBidi" w:cstheme="majorBidi"/>
          <w:sz w:val="28"/>
          <w:szCs w:val="28"/>
        </w:rPr>
        <w:t>:</w:t>
      </w:r>
    </w:p>
    <w:p w14:paraId="2268EEDA" w14:textId="012847DA" w:rsidR="007575D7" w:rsidRPr="007575D7" w:rsidRDefault="007575D7" w:rsidP="00A0551C">
      <w:pPr>
        <w:numPr>
          <w:ilvl w:val="0"/>
          <w:numId w:val="6"/>
        </w:numPr>
        <w:bidi/>
        <w:jc w:val="both"/>
        <w:rPr>
          <w:rFonts w:asciiTheme="majorBidi" w:hAnsiTheme="majorBidi" w:cstheme="majorBidi"/>
          <w:sz w:val="28"/>
          <w:szCs w:val="28"/>
        </w:rPr>
      </w:pPr>
      <w:r w:rsidRPr="007575D7">
        <w:rPr>
          <w:rFonts w:asciiTheme="majorBidi" w:hAnsiTheme="majorBidi" w:cstheme="majorBidi"/>
          <w:sz w:val="28"/>
          <w:szCs w:val="28"/>
          <w:rtl/>
        </w:rPr>
        <w:t xml:space="preserve">يرى </w:t>
      </w:r>
      <w:r w:rsidRPr="007575D7">
        <w:rPr>
          <w:rFonts w:asciiTheme="majorBidi" w:hAnsiTheme="majorBidi" w:cstheme="majorBidi"/>
          <w:i/>
          <w:iCs/>
          <w:sz w:val="28"/>
          <w:szCs w:val="28"/>
        </w:rPr>
        <w:t>Hartnell et al. (2016)</w:t>
      </w:r>
      <w:r w:rsidR="00F079AD" w:rsidRPr="00DC3DDE">
        <w:rPr>
          <w:rFonts w:asciiTheme="majorBidi" w:hAnsiTheme="majorBidi" w:cstheme="majorBidi"/>
          <w:sz w:val="28"/>
          <w:szCs w:val="28"/>
          <w:rtl/>
        </w:rPr>
        <w:t xml:space="preserve"> </w:t>
      </w:r>
      <w:r w:rsidRPr="007575D7">
        <w:rPr>
          <w:rFonts w:asciiTheme="majorBidi" w:hAnsiTheme="majorBidi" w:cstheme="majorBidi"/>
          <w:sz w:val="28"/>
          <w:szCs w:val="28"/>
          <w:rtl/>
        </w:rPr>
        <w:t>أن الثقافة التنظيمية هي مزيج من القيم والسلوكيات المشتركة التي تحدد الكيفية التي تُترجم بها القيادة والممارسات الإدارية إلى نتائج عملية</w:t>
      </w:r>
      <w:r w:rsidR="000A4733" w:rsidRPr="00DC3DDE">
        <w:rPr>
          <w:rFonts w:asciiTheme="majorBidi" w:hAnsiTheme="majorBidi" w:cstheme="majorBidi"/>
          <w:sz w:val="28"/>
          <w:szCs w:val="28"/>
          <w:rtl/>
        </w:rPr>
        <w:t xml:space="preserve"> </w:t>
      </w:r>
      <w:r w:rsidR="000A4733" w:rsidRPr="00DC3DDE">
        <w:rPr>
          <w:rFonts w:asciiTheme="majorBidi" w:hAnsiTheme="majorBidi" w:cstheme="majorBidi"/>
          <w:sz w:val="28"/>
          <w:szCs w:val="28"/>
          <w:rtl/>
        </w:rPr>
        <w:fldChar w:fldCharType="begin"/>
      </w:r>
      <w:r w:rsidR="000A4733" w:rsidRPr="00DC3DDE">
        <w:rPr>
          <w:rFonts w:asciiTheme="majorBidi" w:hAnsiTheme="majorBidi" w:cstheme="majorBidi"/>
          <w:sz w:val="28"/>
          <w:szCs w:val="28"/>
          <w:rtl/>
        </w:rPr>
        <w:instrText xml:space="preserve"> </w:instrText>
      </w:r>
      <w:r w:rsidR="000A4733" w:rsidRPr="00DC3DDE">
        <w:rPr>
          <w:rFonts w:asciiTheme="majorBidi" w:hAnsiTheme="majorBidi" w:cstheme="majorBidi"/>
          <w:sz w:val="28"/>
          <w:szCs w:val="28"/>
        </w:rPr>
        <w:instrText>ADDIN EN.CITE &lt;EndNote&gt;&lt;Cite&gt;&lt;Author&gt;Hartnell&lt;/Author&gt;&lt;Year&gt;2016&lt;/Year&gt;&lt;RecNum&gt;2773&lt;/RecNum&gt;&lt;DisplayText&gt;(Hartnell et al., 2016)&lt;/DisplayText&gt;&lt;record&gt;&lt;rec-number&gt;2773&lt;/rec-number&gt;&lt;foreign-keys&gt;&lt;key app="EN" db-id="t5vttv59or5xwbe2zdm5ewrxd905arrpawff" timestamp="1748383055"&gt;2773&lt;/key&gt;&lt;/foreign-keys&gt;&lt;ref-type name="Journal Article"&gt;17&lt;/ref-type&gt;&lt;contributors&gt;&lt;authors&gt;&lt;author&gt;Hartnell, Chad A&lt;/author&gt;&lt;author&gt;Kinicki, Angelo J&lt;/author&gt;&lt;author&gt;Lambert, Lisa Schurer&lt;/author&gt;&lt;author&gt;Fugate, Mel&lt;/author&gt;&lt;author</w:instrText>
      </w:r>
      <w:r w:rsidR="000A4733" w:rsidRPr="00DC3DDE">
        <w:rPr>
          <w:rFonts w:asciiTheme="majorBidi" w:hAnsiTheme="majorBidi" w:cstheme="majorBidi"/>
          <w:sz w:val="28"/>
          <w:szCs w:val="28"/>
          <w:rtl/>
        </w:rPr>
        <w:instrText>&gt;</w:instrText>
      </w:r>
      <w:r w:rsidR="000A4733" w:rsidRPr="00DC3DDE">
        <w:rPr>
          <w:rFonts w:asciiTheme="majorBidi" w:hAnsiTheme="majorBidi" w:cstheme="majorBidi"/>
          <w:sz w:val="28"/>
          <w:szCs w:val="28"/>
        </w:rPr>
        <w:instrText>Doyle Corner, Patricia&lt;/author&gt;&lt;/authors&gt;&lt;/contributors&gt;&lt;titles&gt;&lt;title&gt;Do similarities or differences between CEO leadership and organizational culture have a more positive effect on firm performance? A test of competing predictions&lt;/title&gt;&lt;secondary-title&gt;Journal of Applied Psychology&lt;/secondary-title&gt;&lt;/titles&gt;&lt;periodical&gt;&lt;full-title&gt;Journal of applied psychology&lt;/full-title&gt;&lt;/periodical&gt;&lt;pages&gt;846&lt;/pages&gt;&lt;volume&gt;101&lt;/volume&gt;&lt;number&gt;6&lt;/number&gt;&lt;dates&gt;&lt;year&gt;2016&lt;/year&gt;&lt;/dates&gt;&lt;isbn&gt;1939-1854&lt;/isbn&gt;&lt;urls</w:instrText>
      </w:r>
      <w:r w:rsidR="000A4733" w:rsidRPr="00DC3DDE">
        <w:rPr>
          <w:rFonts w:asciiTheme="majorBidi" w:hAnsiTheme="majorBidi" w:cstheme="majorBidi"/>
          <w:sz w:val="28"/>
          <w:szCs w:val="28"/>
          <w:rtl/>
        </w:rPr>
        <w:instrText>&gt;&lt;/</w:instrText>
      </w:r>
      <w:r w:rsidR="000A4733" w:rsidRPr="00DC3DDE">
        <w:rPr>
          <w:rFonts w:asciiTheme="majorBidi" w:hAnsiTheme="majorBidi" w:cstheme="majorBidi"/>
          <w:sz w:val="28"/>
          <w:szCs w:val="28"/>
        </w:rPr>
        <w:instrText>urls&gt;&lt;/record&gt;&lt;/Cite&gt;&lt;/EndNote</w:instrText>
      </w:r>
      <w:r w:rsidR="000A4733" w:rsidRPr="00DC3DDE">
        <w:rPr>
          <w:rFonts w:asciiTheme="majorBidi" w:hAnsiTheme="majorBidi" w:cstheme="majorBidi"/>
          <w:sz w:val="28"/>
          <w:szCs w:val="28"/>
          <w:rtl/>
        </w:rPr>
        <w:instrText>&gt;</w:instrText>
      </w:r>
      <w:r w:rsidR="000A4733" w:rsidRPr="00DC3DDE">
        <w:rPr>
          <w:rFonts w:asciiTheme="majorBidi" w:hAnsiTheme="majorBidi" w:cstheme="majorBidi"/>
          <w:sz w:val="28"/>
          <w:szCs w:val="28"/>
          <w:rtl/>
        </w:rPr>
        <w:fldChar w:fldCharType="separate"/>
      </w:r>
      <w:r w:rsidR="000A4733" w:rsidRPr="00DC3DDE">
        <w:rPr>
          <w:rFonts w:asciiTheme="majorBidi" w:hAnsiTheme="majorBidi" w:cstheme="majorBidi"/>
          <w:noProof/>
          <w:sz w:val="28"/>
          <w:szCs w:val="28"/>
          <w:rtl/>
        </w:rPr>
        <w:t>(</w:t>
      </w:r>
      <w:r w:rsidR="000A4733" w:rsidRPr="00DC3DDE">
        <w:rPr>
          <w:rFonts w:asciiTheme="majorBidi" w:hAnsiTheme="majorBidi" w:cstheme="majorBidi"/>
          <w:noProof/>
          <w:sz w:val="28"/>
          <w:szCs w:val="28"/>
        </w:rPr>
        <w:t>Hartnell et al., 2016</w:t>
      </w:r>
      <w:r w:rsidR="000A4733" w:rsidRPr="00DC3DDE">
        <w:rPr>
          <w:rFonts w:asciiTheme="majorBidi" w:hAnsiTheme="majorBidi" w:cstheme="majorBidi"/>
          <w:noProof/>
          <w:sz w:val="28"/>
          <w:szCs w:val="28"/>
          <w:rtl/>
        </w:rPr>
        <w:t>)</w:t>
      </w:r>
      <w:r w:rsidR="000A4733" w:rsidRPr="00DC3DDE">
        <w:rPr>
          <w:rFonts w:asciiTheme="majorBidi" w:hAnsiTheme="majorBidi" w:cstheme="majorBidi"/>
          <w:sz w:val="28"/>
          <w:szCs w:val="28"/>
          <w:rtl/>
        </w:rPr>
        <w:fldChar w:fldCharType="end"/>
      </w:r>
      <w:r w:rsidR="003907B9">
        <w:rPr>
          <w:rFonts w:asciiTheme="majorBidi" w:hAnsiTheme="majorBidi" w:cstheme="majorBidi" w:hint="cs"/>
          <w:sz w:val="28"/>
          <w:szCs w:val="28"/>
          <w:rtl/>
        </w:rPr>
        <w:t>.</w:t>
      </w:r>
    </w:p>
    <w:p w14:paraId="2E9FF5F1" w14:textId="6792A26D" w:rsidR="007575D7" w:rsidRPr="007575D7" w:rsidRDefault="007575D7" w:rsidP="00A0551C">
      <w:pPr>
        <w:numPr>
          <w:ilvl w:val="0"/>
          <w:numId w:val="6"/>
        </w:numPr>
        <w:bidi/>
        <w:jc w:val="both"/>
        <w:rPr>
          <w:rFonts w:asciiTheme="majorBidi" w:hAnsiTheme="majorBidi" w:cstheme="majorBidi"/>
          <w:sz w:val="28"/>
          <w:szCs w:val="28"/>
        </w:rPr>
      </w:pPr>
      <w:r w:rsidRPr="007575D7">
        <w:rPr>
          <w:rFonts w:asciiTheme="majorBidi" w:hAnsiTheme="majorBidi" w:cstheme="majorBidi"/>
          <w:sz w:val="28"/>
          <w:szCs w:val="28"/>
          <w:rtl/>
        </w:rPr>
        <w:t xml:space="preserve">أما </w:t>
      </w:r>
      <w:r w:rsidRPr="007575D7">
        <w:rPr>
          <w:rFonts w:asciiTheme="majorBidi" w:hAnsiTheme="majorBidi" w:cstheme="majorBidi"/>
          <w:i/>
          <w:iCs/>
          <w:sz w:val="28"/>
          <w:szCs w:val="28"/>
        </w:rPr>
        <w:t>Cameron and Quinn (2011)</w:t>
      </w:r>
      <w:r w:rsidR="000A4733" w:rsidRPr="00DC3DDE">
        <w:rPr>
          <w:rFonts w:asciiTheme="majorBidi" w:hAnsiTheme="majorBidi" w:cstheme="majorBidi"/>
          <w:sz w:val="28"/>
          <w:szCs w:val="28"/>
          <w:rtl/>
        </w:rPr>
        <w:t xml:space="preserve"> </w:t>
      </w:r>
      <w:r w:rsidRPr="007575D7">
        <w:rPr>
          <w:rFonts w:asciiTheme="majorBidi" w:hAnsiTheme="majorBidi" w:cstheme="majorBidi"/>
          <w:sz w:val="28"/>
          <w:szCs w:val="28"/>
          <w:rtl/>
        </w:rPr>
        <w:t>فيصفانها بأنها النمط المشترك من الفرضيات والمعتقدات والممارسات الذي يمنح المنظمة هويتها ويميز طريقة عملها وتفاعلها مع محيطها</w:t>
      </w:r>
      <w:r w:rsidR="000A4733" w:rsidRPr="00DC3DDE">
        <w:rPr>
          <w:rFonts w:asciiTheme="majorBidi" w:hAnsiTheme="majorBidi" w:cstheme="majorBidi"/>
          <w:sz w:val="28"/>
          <w:szCs w:val="28"/>
          <w:rtl/>
        </w:rPr>
        <w:t xml:space="preserve"> </w:t>
      </w:r>
      <w:r w:rsidR="000A4733" w:rsidRPr="00DC3DDE">
        <w:rPr>
          <w:rFonts w:asciiTheme="majorBidi" w:hAnsiTheme="majorBidi" w:cstheme="majorBidi"/>
          <w:sz w:val="28"/>
          <w:szCs w:val="28"/>
          <w:rtl/>
        </w:rPr>
        <w:fldChar w:fldCharType="begin"/>
      </w:r>
      <w:r w:rsidR="000A4733" w:rsidRPr="00DC3DDE">
        <w:rPr>
          <w:rFonts w:asciiTheme="majorBidi" w:hAnsiTheme="majorBidi" w:cstheme="majorBidi"/>
          <w:sz w:val="28"/>
          <w:szCs w:val="28"/>
          <w:rtl/>
        </w:rPr>
        <w:instrText xml:space="preserve"> </w:instrText>
      </w:r>
      <w:r w:rsidR="000A4733" w:rsidRPr="00DC3DDE">
        <w:rPr>
          <w:rFonts w:asciiTheme="majorBidi" w:hAnsiTheme="majorBidi" w:cstheme="majorBidi"/>
          <w:sz w:val="28"/>
          <w:szCs w:val="28"/>
        </w:rPr>
        <w:instrText>ADDIN EN.CITE &lt;EndNote&gt;&lt;Cite&gt;&lt;Author&gt;Cameron&lt;/Author&gt;&lt;Year&gt;2011&lt;/Year&gt;&lt;RecNum&gt;2781&lt;/RecNum&gt;&lt;DisplayText&gt;(Cameron and Quinn, 2011)&lt;/DisplayText&gt;&lt;record&gt;&lt;rec-number&gt;2781&lt;/rec-number&gt;&lt;foreign-keys&gt;&lt;key app="EN" db-id="t5vttv59or5xwbe2zdm5ewrxd905arrpawff" timestamp="1748386171"&gt;2781&lt;/key&gt;&lt;/foreign-keys&gt;&lt;ref-type name="Book"&gt;6&lt;/ref-type&gt;&lt;contributors&gt;&lt;authors&gt;&lt;author&gt;Cameron, K.S.&lt;/author&gt;&lt;author&gt;Quinn, R.E.&lt;/author&gt;&lt;/authors&gt;&lt;/contributors&gt;&lt;titles&gt;&lt;title&gt;Diagnosing and Changing Organizational Culture: Based</w:instrText>
      </w:r>
      <w:r w:rsidR="000A4733" w:rsidRPr="00DC3DDE">
        <w:rPr>
          <w:rFonts w:asciiTheme="majorBidi" w:hAnsiTheme="majorBidi" w:cstheme="majorBidi"/>
          <w:sz w:val="28"/>
          <w:szCs w:val="28"/>
          <w:rtl/>
        </w:rPr>
        <w:instrText xml:space="preserve"> </w:instrText>
      </w:r>
      <w:r w:rsidR="000A4733" w:rsidRPr="00DC3DDE">
        <w:rPr>
          <w:rFonts w:asciiTheme="majorBidi" w:hAnsiTheme="majorBidi" w:cstheme="majorBidi"/>
          <w:sz w:val="28"/>
          <w:szCs w:val="28"/>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000A4733" w:rsidRPr="00DC3DDE">
        <w:rPr>
          <w:rFonts w:asciiTheme="majorBidi" w:hAnsiTheme="majorBidi" w:cstheme="majorBidi"/>
          <w:sz w:val="28"/>
          <w:szCs w:val="28"/>
          <w:rtl/>
        </w:rPr>
        <w:instrText>&gt;&lt;/</w:instrText>
      </w:r>
      <w:r w:rsidR="000A4733" w:rsidRPr="00DC3DDE">
        <w:rPr>
          <w:rFonts w:asciiTheme="majorBidi" w:hAnsiTheme="majorBidi" w:cstheme="majorBidi"/>
          <w:sz w:val="28"/>
          <w:szCs w:val="28"/>
        </w:rPr>
        <w:instrText>EndNote</w:instrText>
      </w:r>
      <w:r w:rsidR="000A4733" w:rsidRPr="00DC3DDE">
        <w:rPr>
          <w:rFonts w:asciiTheme="majorBidi" w:hAnsiTheme="majorBidi" w:cstheme="majorBidi"/>
          <w:sz w:val="28"/>
          <w:szCs w:val="28"/>
          <w:rtl/>
        </w:rPr>
        <w:instrText>&gt;</w:instrText>
      </w:r>
      <w:r w:rsidR="000A4733" w:rsidRPr="00DC3DDE">
        <w:rPr>
          <w:rFonts w:asciiTheme="majorBidi" w:hAnsiTheme="majorBidi" w:cstheme="majorBidi"/>
          <w:sz w:val="28"/>
          <w:szCs w:val="28"/>
          <w:rtl/>
        </w:rPr>
        <w:fldChar w:fldCharType="separate"/>
      </w:r>
      <w:r w:rsidR="000A4733" w:rsidRPr="00DC3DDE">
        <w:rPr>
          <w:rFonts w:asciiTheme="majorBidi" w:hAnsiTheme="majorBidi" w:cstheme="majorBidi"/>
          <w:noProof/>
          <w:sz w:val="28"/>
          <w:szCs w:val="28"/>
          <w:rtl/>
        </w:rPr>
        <w:t>(</w:t>
      </w:r>
      <w:r w:rsidR="000A4733" w:rsidRPr="00DC3DDE">
        <w:rPr>
          <w:rFonts w:asciiTheme="majorBidi" w:hAnsiTheme="majorBidi" w:cstheme="majorBidi"/>
          <w:noProof/>
          <w:sz w:val="28"/>
          <w:szCs w:val="28"/>
        </w:rPr>
        <w:t>Cameron and Quinn, 2011</w:t>
      </w:r>
      <w:r w:rsidR="000A4733" w:rsidRPr="00DC3DDE">
        <w:rPr>
          <w:rFonts w:asciiTheme="majorBidi" w:hAnsiTheme="majorBidi" w:cstheme="majorBidi"/>
          <w:noProof/>
          <w:sz w:val="28"/>
          <w:szCs w:val="28"/>
          <w:rtl/>
        </w:rPr>
        <w:t>)</w:t>
      </w:r>
      <w:r w:rsidR="000A4733" w:rsidRPr="00DC3DDE">
        <w:rPr>
          <w:rFonts w:asciiTheme="majorBidi" w:hAnsiTheme="majorBidi" w:cstheme="majorBidi"/>
          <w:sz w:val="28"/>
          <w:szCs w:val="28"/>
          <w:rtl/>
        </w:rPr>
        <w:fldChar w:fldCharType="end"/>
      </w:r>
      <w:r w:rsidR="000A4733" w:rsidRPr="00DC3DDE">
        <w:rPr>
          <w:rFonts w:asciiTheme="majorBidi" w:hAnsiTheme="majorBidi" w:cstheme="majorBidi"/>
          <w:sz w:val="28"/>
          <w:szCs w:val="28"/>
          <w:rtl/>
        </w:rPr>
        <w:t>.</w:t>
      </w:r>
    </w:p>
    <w:p w14:paraId="49AAE2BC" w14:textId="4B869DB8" w:rsidR="007575D7" w:rsidRPr="007575D7" w:rsidRDefault="007575D7" w:rsidP="00A0551C">
      <w:pPr>
        <w:numPr>
          <w:ilvl w:val="0"/>
          <w:numId w:val="6"/>
        </w:numPr>
        <w:bidi/>
        <w:jc w:val="both"/>
        <w:rPr>
          <w:rFonts w:asciiTheme="majorBidi" w:hAnsiTheme="majorBidi" w:cstheme="majorBidi"/>
          <w:sz w:val="28"/>
          <w:szCs w:val="28"/>
        </w:rPr>
      </w:pPr>
      <w:r w:rsidRPr="007575D7">
        <w:rPr>
          <w:rFonts w:asciiTheme="majorBidi" w:hAnsiTheme="majorBidi" w:cstheme="majorBidi"/>
          <w:sz w:val="28"/>
          <w:szCs w:val="28"/>
          <w:rtl/>
        </w:rPr>
        <w:lastRenderedPageBreak/>
        <w:t xml:space="preserve">يقدّم </w:t>
      </w:r>
      <w:r w:rsidRPr="007575D7">
        <w:rPr>
          <w:rFonts w:asciiTheme="majorBidi" w:hAnsiTheme="majorBidi" w:cstheme="majorBidi"/>
          <w:i/>
          <w:iCs/>
          <w:sz w:val="28"/>
          <w:szCs w:val="28"/>
        </w:rPr>
        <w:t>Schein (2010)</w:t>
      </w:r>
      <w:r w:rsidR="000A4733" w:rsidRPr="00DC3DDE">
        <w:rPr>
          <w:rFonts w:asciiTheme="majorBidi" w:hAnsiTheme="majorBidi" w:cstheme="majorBidi"/>
          <w:sz w:val="28"/>
          <w:szCs w:val="28"/>
          <w:rtl/>
        </w:rPr>
        <w:t xml:space="preserve"> </w:t>
      </w:r>
      <w:r w:rsidRPr="007575D7">
        <w:rPr>
          <w:rFonts w:asciiTheme="majorBidi" w:hAnsiTheme="majorBidi" w:cstheme="majorBidi"/>
          <w:sz w:val="28"/>
          <w:szCs w:val="28"/>
          <w:rtl/>
        </w:rPr>
        <w:t>تعريفًا أكثر عمقًا، إذ يعتبر الثقافة منظومة من الافتراضات الأساسية التي يطوّرها الأعضاء بمرور الزمن لتوجيه سلوكهم وفهمهم للعالم من حولهم</w:t>
      </w:r>
      <w:r w:rsidR="000A4733" w:rsidRPr="00DC3DDE">
        <w:rPr>
          <w:rFonts w:asciiTheme="majorBidi" w:hAnsiTheme="majorBidi" w:cstheme="majorBidi"/>
          <w:sz w:val="28"/>
          <w:szCs w:val="28"/>
          <w:rtl/>
        </w:rPr>
        <w:t xml:space="preserve"> </w:t>
      </w:r>
      <w:r w:rsidR="000A4733" w:rsidRPr="00DC3DDE">
        <w:rPr>
          <w:rFonts w:asciiTheme="majorBidi" w:hAnsiTheme="majorBidi" w:cstheme="majorBidi"/>
          <w:sz w:val="28"/>
          <w:szCs w:val="28"/>
          <w:rtl/>
        </w:rPr>
        <w:fldChar w:fldCharType="begin"/>
      </w:r>
      <w:r w:rsidR="000A4733" w:rsidRPr="00DC3DDE">
        <w:rPr>
          <w:rFonts w:asciiTheme="majorBidi" w:hAnsiTheme="majorBidi" w:cstheme="majorBidi"/>
          <w:sz w:val="28"/>
          <w:szCs w:val="28"/>
          <w:rtl/>
        </w:rPr>
        <w:instrText xml:space="preserve"> </w:instrText>
      </w:r>
      <w:r w:rsidR="000A4733" w:rsidRPr="00DC3DDE">
        <w:rPr>
          <w:rFonts w:asciiTheme="majorBidi" w:hAnsiTheme="majorBidi" w:cstheme="majorBidi"/>
          <w:sz w:val="28"/>
          <w:szCs w:val="28"/>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0A4733" w:rsidRPr="00DC3DDE">
        <w:rPr>
          <w:rFonts w:asciiTheme="majorBidi" w:hAnsiTheme="majorBidi" w:cstheme="majorBidi"/>
          <w:sz w:val="28"/>
          <w:szCs w:val="28"/>
          <w:rtl/>
        </w:rPr>
        <w:instrText>31695466"&gt;1524&lt;/</w:instrText>
      </w:r>
      <w:r w:rsidR="000A4733" w:rsidRPr="00DC3DDE">
        <w:rPr>
          <w:rFonts w:asciiTheme="majorBidi" w:hAnsiTheme="majorBidi" w:cstheme="majorBidi"/>
          <w:sz w:val="28"/>
          <w:szCs w:val="28"/>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0A4733" w:rsidRPr="00DC3DDE">
        <w:rPr>
          <w:rFonts w:asciiTheme="majorBidi" w:hAnsiTheme="majorBidi" w:cstheme="majorBidi"/>
          <w:sz w:val="28"/>
          <w:szCs w:val="28"/>
          <w:rtl/>
        </w:rPr>
        <w:instrText>&lt;/</w:instrText>
      </w:r>
      <w:r w:rsidR="000A4733" w:rsidRPr="00DC3DDE">
        <w:rPr>
          <w:rFonts w:asciiTheme="majorBidi" w:hAnsiTheme="majorBidi" w:cstheme="majorBidi"/>
          <w:sz w:val="28"/>
          <w:szCs w:val="28"/>
        </w:rPr>
        <w:instrText>year&gt;&lt;/dates&gt;&lt;publisher&gt;John Wiley &amp;amp; Sons&lt;/publisher&gt;&lt;isbn&gt;047064057X&lt;/isbn&gt;&lt;urls&gt;&lt;/urls&gt;&lt;/record&gt;&lt;/Cite&gt;&lt;/EndNote</w:instrText>
      </w:r>
      <w:r w:rsidR="000A4733" w:rsidRPr="00DC3DDE">
        <w:rPr>
          <w:rFonts w:asciiTheme="majorBidi" w:hAnsiTheme="majorBidi" w:cstheme="majorBidi"/>
          <w:sz w:val="28"/>
          <w:szCs w:val="28"/>
          <w:rtl/>
        </w:rPr>
        <w:instrText>&gt;</w:instrText>
      </w:r>
      <w:r w:rsidR="000A4733" w:rsidRPr="00DC3DDE">
        <w:rPr>
          <w:rFonts w:asciiTheme="majorBidi" w:hAnsiTheme="majorBidi" w:cstheme="majorBidi"/>
          <w:sz w:val="28"/>
          <w:szCs w:val="28"/>
          <w:rtl/>
        </w:rPr>
        <w:fldChar w:fldCharType="separate"/>
      </w:r>
      <w:r w:rsidR="000A4733" w:rsidRPr="00DC3DDE">
        <w:rPr>
          <w:rFonts w:asciiTheme="majorBidi" w:hAnsiTheme="majorBidi" w:cstheme="majorBidi"/>
          <w:noProof/>
          <w:sz w:val="28"/>
          <w:szCs w:val="28"/>
          <w:rtl/>
        </w:rPr>
        <w:t>(</w:t>
      </w:r>
      <w:r w:rsidR="000A4733" w:rsidRPr="00DC3DDE">
        <w:rPr>
          <w:rFonts w:asciiTheme="majorBidi" w:hAnsiTheme="majorBidi" w:cstheme="majorBidi"/>
          <w:noProof/>
          <w:sz w:val="28"/>
          <w:szCs w:val="28"/>
        </w:rPr>
        <w:t>Schein, 2010</w:t>
      </w:r>
      <w:r w:rsidR="000A4733" w:rsidRPr="00DC3DDE">
        <w:rPr>
          <w:rFonts w:asciiTheme="majorBidi" w:hAnsiTheme="majorBidi" w:cstheme="majorBidi"/>
          <w:noProof/>
          <w:sz w:val="28"/>
          <w:szCs w:val="28"/>
          <w:rtl/>
        </w:rPr>
        <w:t>)</w:t>
      </w:r>
      <w:r w:rsidR="000A4733" w:rsidRPr="00DC3DDE">
        <w:rPr>
          <w:rFonts w:asciiTheme="majorBidi" w:hAnsiTheme="majorBidi" w:cstheme="majorBidi"/>
          <w:sz w:val="28"/>
          <w:szCs w:val="28"/>
          <w:rtl/>
        </w:rPr>
        <w:fldChar w:fldCharType="end"/>
      </w:r>
      <w:r w:rsidR="000A4733" w:rsidRPr="00DC3DDE">
        <w:rPr>
          <w:rFonts w:asciiTheme="majorBidi" w:hAnsiTheme="majorBidi" w:cstheme="majorBidi"/>
          <w:sz w:val="28"/>
          <w:szCs w:val="28"/>
          <w:rtl/>
        </w:rPr>
        <w:t>.</w:t>
      </w:r>
    </w:p>
    <w:p w14:paraId="3BC92B60" w14:textId="68CDBCEB" w:rsidR="007575D7" w:rsidRPr="007575D7" w:rsidRDefault="007575D7" w:rsidP="00A0551C">
      <w:pPr>
        <w:numPr>
          <w:ilvl w:val="0"/>
          <w:numId w:val="6"/>
        </w:numPr>
        <w:bidi/>
        <w:jc w:val="both"/>
        <w:rPr>
          <w:rFonts w:asciiTheme="majorBidi" w:hAnsiTheme="majorBidi" w:cstheme="majorBidi"/>
          <w:sz w:val="28"/>
          <w:szCs w:val="28"/>
        </w:rPr>
      </w:pPr>
      <w:r w:rsidRPr="007575D7">
        <w:rPr>
          <w:rFonts w:asciiTheme="majorBidi" w:hAnsiTheme="majorBidi" w:cstheme="majorBidi"/>
          <w:sz w:val="28"/>
          <w:szCs w:val="28"/>
          <w:rtl/>
        </w:rPr>
        <w:t xml:space="preserve">ووفقًا لـ </w:t>
      </w:r>
      <w:r w:rsidRPr="007575D7">
        <w:rPr>
          <w:rFonts w:asciiTheme="majorBidi" w:hAnsiTheme="majorBidi" w:cstheme="majorBidi"/>
          <w:i/>
          <w:iCs/>
          <w:sz w:val="28"/>
          <w:szCs w:val="28"/>
        </w:rPr>
        <w:t>Denison and Mishra (1995)</w:t>
      </w:r>
      <w:r w:rsidRPr="007575D7">
        <w:rPr>
          <w:rFonts w:asciiTheme="majorBidi" w:hAnsiTheme="majorBidi" w:cstheme="majorBidi"/>
          <w:sz w:val="28"/>
          <w:szCs w:val="28"/>
          <w:rtl/>
        </w:rPr>
        <w:t>، فإن الثقافة التنظيمية تمثل نظامًا متكاملًا من القيم والممارسات التي تؤثر على الأداء من خلال أبعاد الالتزام والانسجام والقدرة على التكيف ووضوح الرسالة</w:t>
      </w:r>
      <w:r w:rsidR="003907B9">
        <w:rPr>
          <w:rFonts w:asciiTheme="majorBidi" w:hAnsiTheme="majorBidi" w:cstheme="majorBidi" w:hint="cs"/>
          <w:sz w:val="28"/>
          <w:szCs w:val="28"/>
          <w:rtl/>
        </w:rPr>
        <w:t xml:space="preserve"> </w:t>
      </w:r>
      <w:r w:rsidR="003907B9">
        <w:rPr>
          <w:rFonts w:asciiTheme="majorBidi" w:hAnsiTheme="majorBidi" w:cstheme="majorBidi"/>
          <w:sz w:val="28"/>
          <w:szCs w:val="28"/>
          <w:rtl/>
        </w:rPr>
        <w:fldChar w:fldCharType="begin"/>
      </w:r>
      <w:r w:rsidR="003907B9">
        <w:rPr>
          <w:rFonts w:asciiTheme="majorBidi" w:hAnsiTheme="majorBidi" w:cstheme="majorBidi"/>
          <w:sz w:val="28"/>
          <w:szCs w:val="28"/>
          <w:rtl/>
        </w:rPr>
        <w:instrText xml:space="preserve"> </w:instrText>
      </w:r>
      <w:r w:rsidR="003907B9">
        <w:rPr>
          <w:rFonts w:asciiTheme="majorBidi" w:hAnsiTheme="majorBidi" w:cstheme="majorBidi"/>
          <w:sz w:val="28"/>
          <w:szCs w:val="28"/>
        </w:rPr>
        <w:instrText>ADDIN EN.CITE &lt;EndNote&gt;&lt;Cite&gt;&lt;Author&gt;Denison&lt;/Author&gt;&lt;Year&gt;1995&lt;/Year&gt;&lt;RecNum&gt;2767&lt;/RecNum&gt;&lt;DisplayText&gt;(Denison and Mishra, 1995)&lt;/DisplayText&gt;&lt;record&gt;&lt;rec-number&gt;2767&lt;/rec-number&gt;&lt;foreign-keys&gt;&lt;key app="EN" db-id="t5vttv59or5xwbe2zdm5ewrxd905arrpawff</w:instrText>
      </w:r>
      <w:r w:rsidR="003907B9">
        <w:rPr>
          <w:rFonts w:asciiTheme="majorBidi" w:hAnsiTheme="majorBidi" w:cstheme="majorBidi"/>
          <w:sz w:val="28"/>
          <w:szCs w:val="28"/>
          <w:rtl/>
        </w:rPr>
        <w:instrText xml:space="preserve">" </w:instrText>
      </w:r>
      <w:r w:rsidR="003907B9">
        <w:rPr>
          <w:rFonts w:asciiTheme="majorBidi" w:hAnsiTheme="majorBidi" w:cstheme="majorBidi"/>
          <w:sz w:val="28"/>
          <w:szCs w:val="28"/>
        </w:rPr>
        <w:instrText>timestamp="1748379825"&gt;2767&lt;/key&gt;&lt;/foreign-keys&gt;&lt;ref-type name="Journal Article"&gt;17&lt;/ref-type&gt;&lt;contributors&gt;&lt;authors&gt;&lt;author&gt;Denison, Daniel R&lt;/author&gt;&lt;author&gt;Mishra, Aneil K&lt;/author&gt;&lt;/authors&gt;&lt;/contributors&gt;&lt;titles&gt;&lt;title&gt;Toward a theory of organizational culture and effectiveness&lt;/title&gt;&lt;secondary-title&gt;Organization science&lt;/secondary-title&gt;&lt;/titles&gt;&lt;periodical&gt;&lt;full-title&gt;Organization science&lt;/full-title&gt;&lt;/periodical&gt;&lt;pages&gt;204-223&lt;/pages&gt;&lt;volume&gt;6&lt;/volume&gt;&lt;number&gt;2&lt;/number&gt;&lt;dates&gt;&lt;year&gt;1995&lt;/year&gt;&lt;/dates&gt;&lt;isbn&gt;1047-7039&lt;/isbn&gt;&lt;urls&gt;&lt;/urls&gt;&lt;/record&gt;&lt;/Cite&gt;&lt;/EndNote</w:instrText>
      </w:r>
      <w:r w:rsidR="003907B9">
        <w:rPr>
          <w:rFonts w:asciiTheme="majorBidi" w:hAnsiTheme="majorBidi" w:cstheme="majorBidi"/>
          <w:sz w:val="28"/>
          <w:szCs w:val="28"/>
          <w:rtl/>
        </w:rPr>
        <w:instrText>&gt;</w:instrText>
      </w:r>
      <w:r w:rsidR="003907B9">
        <w:rPr>
          <w:rFonts w:asciiTheme="majorBidi" w:hAnsiTheme="majorBidi" w:cstheme="majorBidi"/>
          <w:sz w:val="28"/>
          <w:szCs w:val="28"/>
          <w:rtl/>
        </w:rPr>
        <w:fldChar w:fldCharType="separate"/>
      </w:r>
      <w:r w:rsidR="003907B9">
        <w:rPr>
          <w:rFonts w:asciiTheme="majorBidi" w:hAnsiTheme="majorBidi" w:cstheme="majorBidi"/>
          <w:noProof/>
          <w:sz w:val="28"/>
          <w:szCs w:val="28"/>
          <w:rtl/>
        </w:rPr>
        <w:t>(</w:t>
      </w:r>
      <w:r w:rsidR="003907B9">
        <w:rPr>
          <w:rFonts w:asciiTheme="majorBidi" w:hAnsiTheme="majorBidi" w:cstheme="majorBidi"/>
          <w:noProof/>
          <w:sz w:val="28"/>
          <w:szCs w:val="28"/>
        </w:rPr>
        <w:t>Denison and Mishra, 1995</w:t>
      </w:r>
      <w:r w:rsidR="003907B9">
        <w:rPr>
          <w:rFonts w:asciiTheme="majorBidi" w:hAnsiTheme="majorBidi" w:cstheme="majorBidi"/>
          <w:noProof/>
          <w:sz w:val="28"/>
          <w:szCs w:val="28"/>
          <w:rtl/>
        </w:rPr>
        <w:t>)</w:t>
      </w:r>
      <w:r w:rsidR="003907B9">
        <w:rPr>
          <w:rFonts w:asciiTheme="majorBidi" w:hAnsiTheme="majorBidi" w:cstheme="majorBidi"/>
          <w:sz w:val="28"/>
          <w:szCs w:val="28"/>
          <w:rtl/>
        </w:rPr>
        <w:fldChar w:fldCharType="end"/>
      </w:r>
      <w:r w:rsidR="003907B9">
        <w:rPr>
          <w:rFonts w:asciiTheme="majorBidi" w:hAnsiTheme="majorBidi" w:cstheme="majorBidi" w:hint="cs"/>
          <w:sz w:val="28"/>
          <w:szCs w:val="28"/>
          <w:rtl/>
        </w:rPr>
        <w:t>.</w:t>
      </w:r>
    </w:p>
    <w:p w14:paraId="3386E786" w14:textId="55783E46" w:rsidR="006652C1" w:rsidRPr="006652C1" w:rsidRDefault="007575D7" w:rsidP="006652C1">
      <w:pPr>
        <w:numPr>
          <w:ilvl w:val="0"/>
          <w:numId w:val="6"/>
        </w:numPr>
        <w:bidi/>
        <w:jc w:val="both"/>
        <w:rPr>
          <w:rFonts w:asciiTheme="majorBidi" w:hAnsiTheme="majorBidi" w:cstheme="majorBidi"/>
          <w:sz w:val="28"/>
          <w:szCs w:val="28"/>
        </w:rPr>
      </w:pPr>
      <w:r w:rsidRPr="007575D7">
        <w:rPr>
          <w:rFonts w:asciiTheme="majorBidi" w:hAnsiTheme="majorBidi" w:cstheme="majorBidi"/>
          <w:sz w:val="28"/>
          <w:szCs w:val="28"/>
          <w:rtl/>
        </w:rPr>
        <w:t xml:space="preserve">بينما ركز </w:t>
      </w:r>
      <w:r w:rsidRPr="007575D7">
        <w:rPr>
          <w:rFonts w:asciiTheme="majorBidi" w:hAnsiTheme="majorBidi" w:cstheme="majorBidi"/>
          <w:i/>
          <w:iCs/>
          <w:sz w:val="28"/>
          <w:szCs w:val="28"/>
        </w:rPr>
        <w:t>Deal and Kennedy (1983)</w:t>
      </w:r>
      <w:r w:rsidR="000A4733" w:rsidRPr="00DC3DDE">
        <w:rPr>
          <w:rFonts w:asciiTheme="majorBidi" w:hAnsiTheme="majorBidi" w:cstheme="majorBidi"/>
          <w:sz w:val="28"/>
          <w:szCs w:val="28"/>
          <w:rtl/>
        </w:rPr>
        <w:t xml:space="preserve"> </w:t>
      </w:r>
      <w:r w:rsidRPr="007575D7">
        <w:rPr>
          <w:rFonts w:asciiTheme="majorBidi" w:hAnsiTheme="majorBidi" w:cstheme="majorBidi"/>
          <w:sz w:val="28"/>
          <w:szCs w:val="28"/>
          <w:rtl/>
        </w:rPr>
        <w:t>على البعد الرمزي، معرفين الثقافة بأنها الطقوس والقصص والشعائر التي تمنح المنظمة شخصيتها المميزة</w:t>
      </w:r>
      <w:r w:rsidR="000A4733" w:rsidRPr="00DC3DDE">
        <w:rPr>
          <w:rFonts w:asciiTheme="majorBidi" w:hAnsiTheme="majorBidi" w:cstheme="majorBidi"/>
          <w:sz w:val="28"/>
          <w:szCs w:val="28"/>
          <w:rtl/>
        </w:rPr>
        <w:t xml:space="preserve"> </w:t>
      </w:r>
      <w:r w:rsidR="000A4733" w:rsidRPr="00DC3DDE">
        <w:rPr>
          <w:rFonts w:asciiTheme="majorBidi" w:hAnsiTheme="majorBidi" w:cstheme="majorBidi"/>
          <w:sz w:val="28"/>
          <w:szCs w:val="28"/>
          <w:rtl/>
        </w:rPr>
        <w:fldChar w:fldCharType="begin"/>
      </w:r>
      <w:r w:rsidR="000A4733" w:rsidRPr="00DC3DDE">
        <w:rPr>
          <w:rFonts w:asciiTheme="majorBidi" w:hAnsiTheme="majorBidi" w:cstheme="majorBidi"/>
          <w:sz w:val="28"/>
          <w:szCs w:val="28"/>
          <w:rtl/>
        </w:rPr>
        <w:instrText xml:space="preserve"> </w:instrText>
      </w:r>
      <w:r w:rsidR="000A4733" w:rsidRPr="00DC3DDE">
        <w:rPr>
          <w:rFonts w:asciiTheme="majorBidi" w:hAnsiTheme="majorBidi" w:cstheme="majorBidi"/>
          <w:sz w:val="28"/>
          <w:szCs w:val="28"/>
        </w:rPr>
        <w:instrText>ADDIN EN.CITE &lt;EndNote&gt;&lt;Cite&gt;&lt;Author&gt;Deal&lt;/Author&gt;&lt;Year&gt;1983&lt;/Year&gt;&lt;RecNum&gt;2772&lt;/RecNum&gt;&lt;DisplayText&gt;(Deal and Kennedy, 1983)&lt;/DisplayText&gt;&lt;record&gt;&lt;rec-number&gt;2772&lt;/rec-number&gt;&lt;foreign-keys&gt;&lt;key app="EN" db-id="t5vttv59or5xwbe2zdm5ewrxd905arrpawff" timestamp="1748380430"&gt;2772&lt;/key&gt;&lt;/foreign-keys&gt;&lt;ref-type name="Journal Article"&gt;17&lt;/ref-type&gt;&lt;contributors&gt;&lt;authors&gt;&lt;author&gt;Deal, Terrence E&lt;/author&gt;&lt;author&gt;Kennedy, Allan A&lt;/author&gt;&lt;/authors&gt;&lt;/contributors&gt;&lt;titles&gt;&lt;title&gt;Corporate cultures: The rites and rituals of corporate life: Addison-Wesley, 1982. ISBN: 0-201-10277-3. $14.95&lt;/title&gt;&lt;secondary-title&gt;Business Horizons&lt;/secondary-title&gt;&lt;/titles&gt;&lt;periodical&gt;&lt;full-title&gt;Business horizons&lt;/full-title&gt;&lt;/periodical&gt;&lt;pages&gt;82-85&lt;/pages&gt;&lt;volume&gt;26&lt;/volume&gt;&lt;number</w:instrText>
      </w:r>
      <w:r w:rsidR="000A4733" w:rsidRPr="00DC3DDE">
        <w:rPr>
          <w:rFonts w:asciiTheme="majorBidi" w:hAnsiTheme="majorBidi" w:cstheme="majorBidi"/>
          <w:sz w:val="28"/>
          <w:szCs w:val="28"/>
          <w:rtl/>
        </w:rPr>
        <w:instrText>&gt;2&lt;/</w:instrText>
      </w:r>
      <w:r w:rsidR="000A4733" w:rsidRPr="00DC3DDE">
        <w:rPr>
          <w:rFonts w:asciiTheme="majorBidi" w:hAnsiTheme="majorBidi" w:cstheme="majorBidi"/>
          <w:sz w:val="28"/>
          <w:szCs w:val="28"/>
        </w:rPr>
        <w:instrText>number&gt;&lt;dates&gt;&lt;year&gt;1983&lt;/year&gt;&lt;/dates&gt;&lt;isbn&gt;0007-6813&lt;/isbn&gt;&lt;urls&gt;&lt;/urls&gt;&lt;/record&gt;&lt;/Cite&gt;&lt;/EndNote</w:instrText>
      </w:r>
      <w:r w:rsidR="000A4733" w:rsidRPr="00DC3DDE">
        <w:rPr>
          <w:rFonts w:asciiTheme="majorBidi" w:hAnsiTheme="majorBidi" w:cstheme="majorBidi"/>
          <w:sz w:val="28"/>
          <w:szCs w:val="28"/>
          <w:rtl/>
        </w:rPr>
        <w:instrText>&gt;</w:instrText>
      </w:r>
      <w:r w:rsidR="000A4733" w:rsidRPr="00DC3DDE">
        <w:rPr>
          <w:rFonts w:asciiTheme="majorBidi" w:hAnsiTheme="majorBidi" w:cstheme="majorBidi"/>
          <w:sz w:val="28"/>
          <w:szCs w:val="28"/>
          <w:rtl/>
        </w:rPr>
        <w:fldChar w:fldCharType="separate"/>
      </w:r>
      <w:r w:rsidR="000A4733" w:rsidRPr="00DC3DDE">
        <w:rPr>
          <w:rFonts w:asciiTheme="majorBidi" w:hAnsiTheme="majorBidi" w:cstheme="majorBidi"/>
          <w:noProof/>
          <w:sz w:val="28"/>
          <w:szCs w:val="28"/>
          <w:rtl/>
        </w:rPr>
        <w:t>(</w:t>
      </w:r>
      <w:r w:rsidR="000A4733" w:rsidRPr="00DC3DDE">
        <w:rPr>
          <w:rFonts w:asciiTheme="majorBidi" w:hAnsiTheme="majorBidi" w:cstheme="majorBidi"/>
          <w:noProof/>
          <w:sz w:val="28"/>
          <w:szCs w:val="28"/>
        </w:rPr>
        <w:t>Deal and Kennedy, 1983</w:t>
      </w:r>
      <w:r w:rsidR="000A4733" w:rsidRPr="00DC3DDE">
        <w:rPr>
          <w:rFonts w:asciiTheme="majorBidi" w:hAnsiTheme="majorBidi" w:cstheme="majorBidi"/>
          <w:noProof/>
          <w:sz w:val="28"/>
          <w:szCs w:val="28"/>
          <w:rtl/>
        </w:rPr>
        <w:t>)</w:t>
      </w:r>
      <w:r w:rsidR="000A4733" w:rsidRPr="00DC3DDE">
        <w:rPr>
          <w:rFonts w:asciiTheme="majorBidi" w:hAnsiTheme="majorBidi" w:cstheme="majorBidi"/>
          <w:sz w:val="28"/>
          <w:szCs w:val="28"/>
          <w:rtl/>
        </w:rPr>
        <w:fldChar w:fldCharType="end"/>
      </w:r>
      <w:r w:rsidR="000A4733" w:rsidRPr="00DC3DDE">
        <w:rPr>
          <w:rFonts w:asciiTheme="majorBidi" w:hAnsiTheme="majorBidi" w:cstheme="majorBidi"/>
          <w:sz w:val="28"/>
          <w:szCs w:val="28"/>
          <w:rtl/>
        </w:rPr>
        <w:t>.</w:t>
      </w:r>
    </w:p>
    <w:p w14:paraId="31C632B3" w14:textId="46D379B3" w:rsidR="007575D7" w:rsidRPr="007575D7" w:rsidRDefault="000A4733" w:rsidP="007575D7">
      <w:pPr>
        <w:bidi/>
        <w:rPr>
          <w:rFonts w:asciiTheme="majorBidi" w:hAnsiTheme="majorBidi" w:cstheme="majorBidi"/>
          <w:b/>
          <w:bCs/>
          <w:sz w:val="28"/>
          <w:szCs w:val="28"/>
        </w:rPr>
      </w:pPr>
      <w:r w:rsidRPr="00DC3DDE">
        <w:rPr>
          <w:rFonts w:asciiTheme="majorBidi" w:hAnsiTheme="majorBidi" w:cstheme="majorBidi"/>
          <w:b/>
          <w:bCs/>
          <w:sz w:val="28"/>
          <w:szCs w:val="28"/>
          <w:rtl/>
        </w:rPr>
        <w:t>2.2.3.3.</w:t>
      </w:r>
      <w:r w:rsidR="00677384">
        <w:rPr>
          <w:rFonts w:asciiTheme="majorBidi" w:hAnsiTheme="majorBidi" w:cstheme="majorBidi"/>
          <w:b/>
          <w:bCs/>
          <w:sz w:val="28"/>
          <w:szCs w:val="28"/>
        </w:rPr>
        <w:t xml:space="preserve"> </w:t>
      </w:r>
      <w:r w:rsidR="007575D7" w:rsidRPr="007575D7">
        <w:rPr>
          <w:rFonts w:asciiTheme="majorBidi" w:hAnsiTheme="majorBidi" w:cstheme="majorBidi"/>
          <w:b/>
          <w:bCs/>
          <w:sz w:val="28"/>
          <w:szCs w:val="28"/>
          <w:rtl/>
        </w:rPr>
        <w:t xml:space="preserve">تعريف </w:t>
      </w:r>
      <w:r w:rsidR="00677384">
        <w:rPr>
          <w:rFonts w:asciiTheme="majorBidi" w:hAnsiTheme="majorBidi" w:cstheme="majorBidi" w:hint="cs"/>
          <w:b/>
          <w:bCs/>
          <w:sz w:val="28"/>
          <w:szCs w:val="28"/>
          <w:rtl/>
        </w:rPr>
        <w:t>الباحث</w:t>
      </w:r>
    </w:p>
    <w:p w14:paraId="10DD9D60" w14:textId="61A67A7D" w:rsidR="007575D7" w:rsidRPr="007575D7" w:rsidRDefault="007575D7" w:rsidP="00A0551C">
      <w:pPr>
        <w:bidi/>
        <w:jc w:val="both"/>
        <w:rPr>
          <w:rFonts w:asciiTheme="majorBidi" w:hAnsiTheme="majorBidi" w:cstheme="majorBidi"/>
          <w:sz w:val="28"/>
          <w:szCs w:val="28"/>
        </w:rPr>
      </w:pPr>
      <w:r w:rsidRPr="007575D7">
        <w:rPr>
          <w:rFonts w:asciiTheme="majorBidi" w:hAnsiTheme="majorBidi" w:cstheme="majorBidi"/>
          <w:sz w:val="28"/>
          <w:szCs w:val="28"/>
          <w:rtl/>
        </w:rPr>
        <w:t>في إطار هذه الدراسة، تُعرَّف الثقافة التنظيمية بأنها</w:t>
      </w:r>
      <w:r w:rsidR="00677384">
        <w:rPr>
          <w:rFonts w:asciiTheme="majorBidi" w:hAnsiTheme="majorBidi" w:cstheme="majorBidi" w:hint="cs"/>
          <w:sz w:val="28"/>
          <w:szCs w:val="28"/>
          <w:rtl/>
        </w:rPr>
        <w:t>:</w:t>
      </w:r>
      <w:r w:rsidRPr="007575D7">
        <w:rPr>
          <w:rFonts w:asciiTheme="majorBidi" w:hAnsiTheme="majorBidi" w:cstheme="majorBidi"/>
          <w:sz w:val="28"/>
          <w:szCs w:val="28"/>
        </w:rPr>
        <w:t xml:space="preserve"> </w:t>
      </w:r>
      <w:r w:rsidRPr="007575D7">
        <w:rPr>
          <w:rFonts w:asciiTheme="majorBidi" w:hAnsiTheme="majorBidi" w:cstheme="majorBidi"/>
          <w:i/>
          <w:iCs/>
          <w:sz w:val="28"/>
          <w:szCs w:val="28"/>
          <w:rtl/>
        </w:rPr>
        <w:t>مجموعة القيم والمعتقدات والممارسات السائدة بين العاملين في مؤسسات الضيافة (الفنادق والمطاعم) بمدينة الرياض، والتي تُوجّه أسلوب التفكير والعمل، وتؤثر على تقبل المخاطرة، ومستوى التمكين، وانفتاح بيئة العمل على التعلم والمبادرة، بما ينعكس على السلوك الإبداعي للأفراد</w:t>
      </w:r>
      <w:r w:rsidRPr="007575D7">
        <w:rPr>
          <w:rFonts w:asciiTheme="majorBidi" w:hAnsiTheme="majorBidi" w:cstheme="majorBidi"/>
          <w:sz w:val="28"/>
          <w:szCs w:val="28"/>
        </w:rPr>
        <w:t xml:space="preserve">. </w:t>
      </w:r>
      <w:r w:rsidRPr="007575D7">
        <w:rPr>
          <w:rFonts w:asciiTheme="majorBidi" w:hAnsiTheme="majorBidi" w:cstheme="majorBidi"/>
          <w:sz w:val="28"/>
          <w:szCs w:val="28"/>
          <w:rtl/>
        </w:rPr>
        <w:t>ويأتي هذا التعريف منسجمًا مع كون الثقافة التنظيمية متغيرًا وسيطًا في نموذج الدراسة، يربط بين أنظمة العمل عالية الأداء والإبداع الوظيفي</w:t>
      </w:r>
      <w:r w:rsidRPr="007575D7">
        <w:rPr>
          <w:rFonts w:asciiTheme="majorBidi" w:hAnsiTheme="majorBidi" w:cstheme="majorBidi"/>
          <w:sz w:val="28"/>
          <w:szCs w:val="28"/>
        </w:rPr>
        <w:t>.</w:t>
      </w:r>
    </w:p>
    <w:p w14:paraId="20EB32D6" w14:textId="6F2409A6" w:rsidR="007575D7" w:rsidRPr="007575D7" w:rsidRDefault="000A4733" w:rsidP="007575D7">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2.2.3.4. </w:t>
      </w:r>
      <w:r w:rsidR="007575D7" w:rsidRPr="007575D7">
        <w:rPr>
          <w:rFonts w:asciiTheme="majorBidi" w:hAnsiTheme="majorBidi" w:cstheme="majorBidi"/>
          <w:b/>
          <w:bCs/>
          <w:sz w:val="28"/>
          <w:szCs w:val="28"/>
        </w:rPr>
        <w:t xml:space="preserve"> </w:t>
      </w:r>
      <w:r w:rsidR="007575D7" w:rsidRPr="007575D7">
        <w:rPr>
          <w:rFonts w:asciiTheme="majorBidi" w:hAnsiTheme="majorBidi" w:cstheme="majorBidi"/>
          <w:b/>
          <w:bCs/>
          <w:sz w:val="28"/>
          <w:szCs w:val="28"/>
          <w:rtl/>
        </w:rPr>
        <w:t>الأبعاد</w:t>
      </w:r>
    </w:p>
    <w:p w14:paraId="7A09EFBD" w14:textId="77777777" w:rsidR="007575D7" w:rsidRPr="007575D7" w:rsidRDefault="007575D7" w:rsidP="007575D7">
      <w:pPr>
        <w:bidi/>
        <w:rPr>
          <w:rFonts w:asciiTheme="majorBidi" w:hAnsiTheme="majorBidi" w:cstheme="majorBidi"/>
          <w:sz w:val="28"/>
          <w:szCs w:val="28"/>
        </w:rPr>
      </w:pPr>
      <w:r w:rsidRPr="007575D7">
        <w:rPr>
          <w:rFonts w:asciiTheme="majorBidi" w:hAnsiTheme="majorBidi" w:cstheme="majorBidi"/>
          <w:sz w:val="28"/>
          <w:szCs w:val="28"/>
          <w:rtl/>
        </w:rPr>
        <w:t>يمكن تحليل الثقافة التنظيمية إلى أبعاد رئيسية، لكل منها تأثيره الخاص في الإبداع الوظيفي</w:t>
      </w:r>
      <w:r w:rsidRPr="007575D7">
        <w:rPr>
          <w:rFonts w:asciiTheme="majorBidi" w:hAnsiTheme="majorBidi" w:cstheme="majorBidi"/>
          <w:sz w:val="28"/>
          <w:szCs w:val="28"/>
        </w:rPr>
        <w:t>:</w:t>
      </w:r>
    </w:p>
    <w:p w14:paraId="6A3F281C" w14:textId="6B76B25B" w:rsidR="007575D7" w:rsidRPr="007575D7" w:rsidRDefault="007575D7" w:rsidP="007575D7">
      <w:pPr>
        <w:numPr>
          <w:ilvl w:val="0"/>
          <w:numId w:val="7"/>
        </w:numPr>
        <w:bidi/>
        <w:rPr>
          <w:rFonts w:asciiTheme="majorBidi" w:hAnsiTheme="majorBidi" w:cstheme="majorBidi"/>
          <w:sz w:val="28"/>
          <w:szCs w:val="28"/>
        </w:rPr>
      </w:pPr>
      <w:r w:rsidRPr="007575D7">
        <w:rPr>
          <w:rFonts w:asciiTheme="majorBidi" w:hAnsiTheme="majorBidi" w:cstheme="majorBidi"/>
          <w:b/>
          <w:bCs/>
          <w:sz w:val="28"/>
          <w:szCs w:val="28"/>
          <w:rtl/>
        </w:rPr>
        <w:t>ثقافة الابتكار والمرونة</w:t>
      </w:r>
      <w:r w:rsidR="000A4733" w:rsidRPr="00DC3DDE">
        <w:rPr>
          <w:rFonts w:asciiTheme="majorBidi" w:hAnsiTheme="majorBidi" w:cstheme="majorBidi"/>
          <w:b/>
          <w:bCs/>
          <w:sz w:val="28"/>
          <w:szCs w:val="28"/>
          <w:rtl/>
        </w:rPr>
        <w:t xml:space="preserve"> </w:t>
      </w:r>
      <w:r w:rsidRPr="007575D7">
        <w:rPr>
          <w:rFonts w:asciiTheme="majorBidi" w:hAnsiTheme="majorBidi" w:cstheme="majorBidi"/>
          <w:b/>
          <w:bCs/>
          <w:sz w:val="28"/>
          <w:szCs w:val="28"/>
        </w:rPr>
        <w:t>(Adhocracy)</w:t>
      </w:r>
      <w:r w:rsidRPr="007575D7">
        <w:rPr>
          <w:rFonts w:asciiTheme="majorBidi" w:hAnsiTheme="majorBidi" w:cstheme="majorBidi"/>
          <w:sz w:val="28"/>
          <w:szCs w:val="28"/>
        </w:rPr>
        <w:br/>
      </w:r>
      <w:r w:rsidRPr="007575D7">
        <w:rPr>
          <w:rFonts w:asciiTheme="majorBidi" w:hAnsiTheme="majorBidi" w:cstheme="majorBidi"/>
          <w:sz w:val="28"/>
          <w:szCs w:val="28"/>
          <w:rtl/>
        </w:rPr>
        <w:t>تتسم بالانفتاح على التغيير وتشجيع التجربة والمبادرة، وقبول المخاطرة المحسوبة</w:t>
      </w:r>
      <w:r w:rsidR="000A4733" w:rsidRPr="00DC3DDE">
        <w:rPr>
          <w:rFonts w:asciiTheme="majorBidi" w:hAnsiTheme="majorBidi" w:cstheme="majorBidi"/>
          <w:sz w:val="28"/>
          <w:szCs w:val="28"/>
          <w:rtl/>
        </w:rPr>
        <w:t xml:space="preserve"> </w:t>
      </w:r>
      <w:r w:rsidR="000A4733" w:rsidRPr="00DC3DDE">
        <w:rPr>
          <w:rFonts w:asciiTheme="majorBidi" w:hAnsiTheme="majorBidi" w:cstheme="majorBidi"/>
          <w:sz w:val="28"/>
          <w:szCs w:val="28"/>
          <w:rtl/>
        </w:rPr>
        <w:fldChar w:fldCharType="begin"/>
      </w:r>
      <w:r w:rsidR="000A4733" w:rsidRPr="00DC3DDE">
        <w:rPr>
          <w:rFonts w:asciiTheme="majorBidi" w:hAnsiTheme="majorBidi" w:cstheme="majorBidi"/>
          <w:sz w:val="28"/>
          <w:szCs w:val="28"/>
          <w:rtl/>
        </w:rPr>
        <w:instrText xml:space="preserve"> </w:instrText>
      </w:r>
      <w:r w:rsidR="000A4733" w:rsidRPr="00DC3DDE">
        <w:rPr>
          <w:rFonts w:asciiTheme="majorBidi" w:hAnsiTheme="majorBidi" w:cstheme="majorBidi"/>
          <w:sz w:val="28"/>
          <w:szCs w:val="28"/>
        </w:rPr>
        <w:instrText>ADDIN EN.CITE &lt;EndNote&gt;&lt;Cite&gt;&lt;Author&gt;Cameron&lt;/Author&gt;&lt;Year&gt;2011&lt;/Year&gt;&lt;RecNum&gt;2972&lt;/RecNum&gt;&lt;DisplayText&gt;(Cameron and Quinn, 2011)&lt;/DisplayText&gt;&lt;record&gt;&lt;rec-number&gt;2972&lt;/rec-number&gt;&lt;foreign-keys&gt;&lt;key app="EN" db-id="t5vttv59or5xwbe2zdm5ewrxd905arrpawff" timestamp="1752881178"&gt;2972&lt;/key&gt;&lt;/foreign-keys&gt;&lt;ref-type name="Book"&gt;6&lt;/ref-type&gt;&lt;contributors&gt;&lt;authors&gt;&lt;author&gt;Cameron, K.S.&lt;/author&gt;&lt;author&gt;Quinn, R.E.&lt;/author&gt;&lt;/authors&gt;&lt;/contributors&gt;&lt;titles&gt;&lt;title&gt;Diagnosing and Changing Organizational Culture: Based</w:instrText>
      </w:r>
      <w:r w:rsidR="000A4733" w:rsidRPr="00DC3DDE">
        <w:rPr>
          <w:rFonts w:asciiTheme="majorBidi" w:hAnsiTheme="majorBidi" w:cstheme="majorBidi"/>
          <w:sz w:val="28"/>
          <w:szCs w:val="28"/>
          <w:rtl/>
        </w:rPr>
        <w:instrText xml:space="preserve"> </w:instrText>
      </w:r>
      <w:r w:rsidR="000A4733" w:rsidRPr="00DC3DDE">
        <w:rPr>
          <w:rFonts w:asciiTheme="majorBidi" w:hAnsiTheme="majorBidi" w:cstheme="majorBidi"/>
          <w:sz w:val="28"/>
          <w:szCs w:val="28"/>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000A4733" w:rsidRPr="00DC3DDE">
        <w:rPr>
          <w:rFonts w:asciiTheme="majorBidi" w:hAnsiTheme="majorBidi" w:cstheme="majorBidi"/>
          <w:sz w:val="28"/>
          <w:szCs w:val="28"/>
          <w:rtl/>
        </w:rPr>
        <w:instrText>&gt;&lt;/</w:instrText>
      </w:r>
      <w:r w:rsidR="000A4733" w:rsidRPr="00DC3DDE">
        <w:rPr>
          <w:rFonts w:asciiTheme="majorBidi" w:hAnsiTheme="majorBidi" w:cstheme="majorBidi"/>
          <w:sz w:val="28"/>
          <w:szCs w:val="28"/>
        </w:rPr>
        <w:instrText>EndNote</w:instrText>
      </w:r>
      <w:r w:rsidR="000A4733" w:rsidRPr="00DC3DDE">
        <w:rPr>
          <w:rFonts w:asciiTheme="majorBidi" w:hAnsiTheme="majorBidi" w:cstheme="majorBidi"/>
          <w:sz w:val="28"/>
          <w:szCs w:val="28"/>
          <w:rtl/>
        </w:rPr>
        <w:instrText>&gt;</w:instrText>
      </w:r>
      <w:r w:rsidR="000A4733" w:rsidRPr="00DC3DDE">
        <w:rPr>
          <w:rFonts w:asciiTheme="majorBidi" w:hAnsiTheme="majorBidi" w:cstheme="majorBidi"/>
          <w:sz w:val="28"/>
          <w:szCs w:val="28"/>
          <w:rtl/>
        </w:rPr>
        <w:fldChar w:fldCharType="separate"/>
      </w:r>
      <w:r w:rsidR="000A4733" w:rsidRPr="00DC3DDE">
        <w:rPr>
          <w:rFonts w:asciiTheme="majorBidi" w:hAnsiTheme="majorBidi" w:cstheme="majorBidi"/>
          <w:noProof/>
          <w:sz w:val="28"/>
          <w:szCs w:val="28"/>
          <w:rtl/>
        </w:rPr>
        <w:t>(</w:t>
      </w:r>
      <w:r w:rsidR="000A4733" w:rsidRPr="00DC3DDE">
        <w:rPr>
          <w:rFonts w:asciiTheme="majorBidi" w:hAnsiTheme="majorBidi" w:cstheme="majorBidi"/>
          <w:noProof/>
          <w:sz w:val="28"/>
          <w:szCs w:val="28"/>
        </w:rPr>
        <w:t>Cameron and Quinn, 2011</w:t>
      </w:r>
      <w:r w:rsidR="000A4733" w:rsidRPr="00DC3DDE">
        <w:rPr>
          <w:rFonts w:asciiTheme="majorBidi" w:hAnsiTheme="majorBidi" w:cstheme="majorBidi"/>
          <w:noProof/>
          <w:sz w:val="28"/>
          <w:szCs w:val="28"/>
          <w:rtl/>
        </w:rPr>
        <w:t>)</w:t>
      </w:r>
      <w:r w:rsidR="000A4733" w:rsidRPr="00DC3DDE">
        <w:rPr>
          <w:rFonts w:asciiTheme="majorBidi" w:hAnsiTheme="majorBidi" w:cstheme="majorBidi"/>
          <w:sz w:val="28"/>
          <w:szCs w:val="28"/>
          <w:rtl/>
        </w:rPr>
        <w:fldChar w:fldCharType="end"/>
      </w:r>
      <w:r w:rsidR="000A4733" w:rsidRPr="00DC3DDE">
        <w:rPr>
          <w:rFonts w:asciiTheme="majorBidi" w:hAnsiTheme="majorBidi" w:cstheme="majorBidi"/>
          <w:sz w:val="28"/>
          <w:szCs w:val="28"/>
          <w:rtl/>
        </w:rPr>
        <w:t>.</w:t>
      </w:r>
    </w:p>
    <w:p w14:paraId="13F29D28" w14:textId="0E8C6219" w:rsidR="007575D7" w:rsidRPr="007575D7" w:rsidRDefault="007575D7" w:rsidP="007575D7">
      <w:pPr>
        <w:numPr>
          <w:ilvl w:val="0"/>
          <w:numId w:val="7"/>
        </w:numPr>
        <w:bidi/>
        <w:rPr>
          <w:rFonts w:asciiTheme="majorBidi" w:hAnsiTheme="majorBidi" w:cstheme="majorBidi"/>
          <w:sz w:val="28"/>
          <w:szCs w:val="28"/>
        </w:rPr>
      </w:pPr>
      <w:r w:rsidRPr="007575D7">
        <w:rPr>
          <w:rFonts w:asciiTheme="majorBidi" w:hAnsiTheme="majorBidi" w:cstheme="majorBidi"/>
          <w:b/>
          <w:bCs/>
          <w:sz w:val="28"/>
          <w:szCs w:val="28"/>
          <w:rtl/>
        </w:rPr>
        <w:t>ثقافة التمكين والتشاركية</w:t>
      </w:r>
      <w:r w:rsidR="000A4733" w:rsidRPr="00DC3DDE">
        <w:rPr>
          <w:rFonts w:asciiTheme="majorBidi" w:hAnsiTheme="majorBidi" w:cstheme="majorBidi"/>
          <w:b/>
          <w:bCs/>
          <w:sz w:val="28"/>
          <w:szCs w:val="28"/>
          <w:rtl/>
        </w:rPr>
        <w:t xml:space="preserve"> </w:t>
      </w:r>
      <w:r w:rsidRPr="007575D7">
        <w:rPr>
          <w:rFonts w:asciiTheme="majorBidi" w:hAnsiTheme="majorBidi" w:cstheme="majorBidi"/>
          <w:b/>
          <w:bCs/>
          <w:sz w:val="28"/>
          <w:szCs w:val="28"/>
        </w:rPr>
        <w:t>(Clan)</w:t>
      </w:r>
      <w:r w:rsidRPr="007575D7">
        <w:rPr>
          <w:rFonts w:asciiTheme="majorBidi" w:hAnsiTheme="majorBidi" w:cstheme="majorBidi"/>
          <w:sz w:val="28"/>
          <w:szCs w:val="28"/>
        </w:rPr>
        <w:br/>
      </w:r>
      <w:r w:rsidRPr="007575D7">
        <w:rPr>
          <w:rFonts w:asciiTheme="majorBidi" w:hAnsiTheme="majorBidi" w:cstheme="majorBidi"/>
          <w:sz w:val="28"/>
          <w:szCs w:val="28"/>
          <w:rtl/>
        </w:rPr>
        <w:t>تقوم على بناء علاقات عمل قائمة على الثقة والتعاون، ومنح الموظفين مساحة للمشاركة في صنع القرا</w:t>
      </w:r>
      <w:r w:rsidR="000A4733" w:rsidRPr="00DC3DDE">
        <w:rPr>
          <w:rFonts w:asciiTheme="majorBidi" w:hAnsiTheme="majorBidi" w:cstheme="majorBidi"/>
          <w:sz w:val="28"/>
          <w:szCs w:val="28"/>
          <w:rtl/>
        </w:rPr>
        <w:t xml:space="preserve">ر </w:t>
      </w:r>
      <w:r w:rsidR="000A4733" w:rsidRPr="00DC3DDE">
        <w:rPr>
          <w:rFonts w:asciiTheme="majorBidi" w:hAnsiTheme="majorBidi" w:cstheme="majorBidi"/>
          <w:sz w:val="28"/>
          <w:szCs w:val="28"/>
          <w:rtl/>
        </w:rPr>
        <w:fldChar w:fldCharType="begin"/>
      </w:r>
      <w:r w:rsidR="000A4733" w:rsidRPr="00DC3DDE">
        <w:rPr>
          <w:rFonts w:asciiTheme="majorBidi" w:hAnsiTheme="majorBidi" w:cstheme="majorBidi"/>
          <w:sz w:val="28"/>
          <w:szCs w:val="28"/>
          <w:rtl/>
        </w:rPr>
        <w:instrText xml:space="preserve"> </w:instrText>
      </w:r>
      <w:r w:rsidR="000A4733" w:rsidRPr="00DC3DDE">
        <w:rPr>
          <w:rFonts w:asciiTheme="majorBidi" w:hAnsiTheme="majorBidi" w:cstheme="majorBidi"/>
          <w:sz w:val="28"/>
          <w:szCs w:val="28"/>
        </w:rPr>
        <w:instrText>ADDIN EN.CITE &lt;EndNote&gt;&lt;Cite&gt;&lt;Author&gt;Lawler III&lt;/Author&gt;&lt;Year&gt;1992&lt;/Year&gt;&lt;RecNum&gt;2753&lt;/RecNum&gt;&lt;DisplayText&gt;(Lawler III, 1992)&lt;/DisplayText&gt;&lt;record&gt;&lt;rec-number&gt;2753&lt;/rec-number&gt;&lt;foreign-keys&gt;&lt;key app="EN" db-id="t5vttv59or5xwbe2zdm5ewrxd905arrpawff" timestamp="1748344384"&gt;2753&lt;/key&gt;&lt;/foreign-keys&gt;&lt;ref-type name="Journal Article"&gt;17&lt;/ref-type&gt;&lt;contributors&gt;&lt;authors&gt;&lt;author&gt;Lawler III, Edward E&lt;/author&gt;&lt;/authors&gt;&lt;/contributors&gt;&lt;titles&gt;&lt;title&gt;The ultimate advantage: Creating the high-involvement organization</w:instrText>
      </w:r>
      <w:r w:rsidR="000A4733" w:rsidRPr="00DC3DDE">
        <w:rPr>
          <w:rFonts w:asciiTheme="majorBidi" w:hAnsiTheme="majorBidi" w:cstheme="majorBidi"/>
          <w:sz w:val="28"/>
          <w:szCs w:val="28"/>
          <w:rtl/>
        </w:rPr>
        <w:instrText>&lt;/</w:instrText>
      </w:r>
      <w:r w:rsidR="000A4733" w:rsidRPr="00DC3DDE">
        <w:rPr>
          <w:rFonts w:asciiTheme="majorBidi" w:hAnsiTheme="majorBidi" w:cstheme="majorBidi"/>
          <w:sz w:val="28"/>
          <w:szCs w:val="28"/>
        </w:rPr>
        <w:instrText>title&gt;&lt;/titles&gt;&lt;dates&gt;&lt;year&gt;1992&lt;/year&gt;&lt;/dates&gt;&lt;urls&gt;&lt;/urls&gt;&lt;/record&gt;&lt;/Cite&gt;&lt;/EndNote</w:instrText>
      </w:r>
      <w:r w:rsidR="000A4733" w:rsidRPr="00DC3DDE">
        <w:rPr>
          <w:rFonts w:asciiTheme="majorBidi" w:hAnsiTheme="majorBidi" w:cstheme="majorBidi"/>
          <w:sz w:val="28"/>
          <w:szCs w:val="28"/>
          <w:rtl/>
        </w:rPr>
        <w:instrText>&gt;</w:instrText>
      </w:r>
      <w:r w:rsidR="000A4733" w:rsidRPr="00DC3DDE">
        <w:rPr>
          <w:rFonts w:asciiTheme="majorBidi" w:hAnsiTheme="majorBidi" w:cstheme="majorBidi"/>
          <w:sz w:val="28"/>
          <w:szCs w:val="28"/>
          <w:rtl/>
        </w:rPr>
        <w:fldChar w:fldCharType="separate"/>
      </w:r>
      <w:r w:rsidR="000A4733" w:rsidRPr="00DC3DDE">
        <w:rPr>
          <w:rFonts w:asciiTheme="majorBidi" w:hAnsiTheme="majorBidi" w:cstheme="majorBidi"/>
          <w:noProof/>
          <w:sz w:val="28"/>
          <w:szCs w:val="28"/>
          <w:rtl/>
        </w:rPr>
        <w:t>(</w:t>
      </w:r>
      <w:r w:rsidR="000A4733" w:rsidRPr="00DC3DDE">
        <w:rPr>
          <w:rFonts w:asciiTheme="majorBidi" w:hAnsiTheme="majorBidi" w:cstheme="majorBidi"/>
          <w:noProof/>
          <w:sz w:val="28"/>
          <w:szCs w:val="28"/>
        </w:rPr>
        <w:t>Lawler III, 1992</w:t>
      </w:r>
      <w:r w:rsidR="000A4733" w:rsidRPr="00DC3DDE">
        <w:rPr>
          <w:rFonts w:asciiTheme="majorBidi" w:hAnsiTheme="majorBidi" w:cstheme="majorBidi"/>
          <w:noProof/>
          <w:sz w:val="28"/>
          <w:szCs w:val="28"/>
          <w:rtl/>
        </w:rPr>
        <w:t>)</w:t>
      </w:r>
      <w:r w:rsidR="000A4733" w:rsidRPr="00DC3DDE">
        <w:rPr>
          <w:rFonts w:asciiTheme="majorBidi" w:hAnsiTheme="majorBidi" w:cstheme="majorBidi"/>
          <w:sz w:val="28"/>
          <w:szCs w:val="28"/>
          <w:rtl/>
        </w:rPr>
        <w:fldChar w:fldCharType="end"/>
      </w:r>
      <w:r w:rsidR="000A4733" w:rsidRPr="00DC3DDE">
        <w:rPr>
          <w:rFonts w:asciiTheme="majorBidi" w:hAnsiTheme="majorBidi" w:cstheme="majorBidi"/>
          <w:sz w:val="28"/>
          <w:szCs w:val="28"/>
          <w:rtl/>
        </w:rPr>
        <w:t>.</w:t>
      </w:r>
    </w:p>
    <w:p w14:paraId="5D83B8FC" w14:textId="047B11F8" w:rsidR="007575D7" w:rsidRPr="007575D7" w:rsidRDefault="007575D7" w:rsidP="007575D7">
      <w:pPr>
        <w:numPr>
          <w:ilvl w:val="0"/>
          <w:numId w:val="7"/>
        </w:numPr>
        <w:bidi/>
        <w:rPr>
          <w:rFonts w:asciiTheme="majorBidi" w:hAnsiTheme="majorBidi" w:cstheme="majorBidi"/>
          <w:sz w:val="28"/>
          <w:szCs w:val="28"/>
        </w:rPr>
      </w:pPr>
      <w:r w:rsidRPr="007575D7">
        <w:rPr>
          <w:rFonts w:asciiTheme="majorBidi" w:hAnsiTheme="majorBidi" w:cstheme="majorBidi"/>
          <w:b/>
          <w:bCs/>
          <w:sz w:val="28"/>
          <w:szCs w:val="28"/>
          <w:rtl/>
        </w:rPr>
        <w:t>ثقافة التعلم والأمان النفسي</w:t>
      </w:r>
      <w:r w:rsidRPr="007575D7">
        <w:rPr>
          <w:rFonts w:asciiTheme="majorBidi" w:hAnsiTheme="majorBidi" w:cstheme="majorBidi"/>
          <w:sz w:val="28"/>
          <w:szCs w:val="28"/>
        </w:rPr>
        <w:br/>
      </w:r>
      <w:r w:rsidRPr="007575D7">
        <w:rPr>
          <w:rFonts w:asciiTheme="majorBidi" w:hAnsiTheme="majorBidi" w:cstheme="majorBidi"/>
          <w:sz w:val="28"/>
          <w:szCs w:val="28"/>
          <w:rtl/>
        </w:rPr>
        <w:t>تركز على تطوير القدرات، وتعتبر الفشل فرصة للتعلم وليس سببًا للعقاب</w:t>
      </w:r>
      <w:r w:rsidRPr="007575D7">
        <w:rPr>
          <w:rFonts w:asciiTheme="majorBidi" w:hAnsiTheme="majorBidi" w:cstheme="majorBidi"/>
          <w:sz w:val="28"/>
          <w:szCs w:val="28"/>
        </w:rPr>
        <w:t xml:space="preserve"> </w:t>
      </w:r>
      <w:r w:rsidR="000A4733" w:rsidRPr="00DC3DDE">
        <w:rPr>
          <w:rFonts w:asciiTheme="majorBidi" w:hAnsiTheme="majorBidi" w:cstheme="majorBidi"/>
          <w:sz w:val="28"/>
          <w:szCs w:val="28"/>
          <w:rtl/>
        </w:rPr>
        <w:t xml:space="preserve"> </w:t>
      </w:r>
      <w:r w:rsidR="000A4733" w:rsidRPr="00DC3DDE">
        <w:rPr>
          <w:rFonts w:asciiTheme="majorBidi" w:hAnsiTheme="majorBidi" w:cstheme="majorBidi"/>
          <w:sz w:val="28"/>
          <w:szCs w:val="28"/>
          <w:rtl/>
        </w:rPr>
        <w:fldChar w:fldCharType="begin"/>
      </w:r>
      <w:r w:rsidR="000A4733" w:rsidRPr="00DC3DDE">
        <w:rPr>
          <w:rFonts w:asciiTheme="majorBidi" w:hAnsiTheme="majorBidi" w:cstheme="majorBidi"/>
          <w:sz w:val="28"/>
          <w:szCs w:val="28"/>
          <w:rtl/>
        </w:rPr>
        <w:instrText xml:space="preserve"> </w:instrText>
      </w:r>
      <w:r w:rsidR="000A4733" w:rsidRPr="00DC3DDE">
        <w:rPr>
          <w:rFonts w:asciiTheme="majorBidi" w:hAnsiTheme="majorBidi" w:cstheme="majorBidi"/>
          <w:sz w:val="28"/>
          <w:szCs w:val="28"/>
        </w:rPr>
        <w:instrText>ADDIN EN.CITE &lt;EndNote&gt;&lt;Cite&gt;&lt;Author&gt;Edmondson&lt;/Author&gt;&lt;Year&gt;1999&lt;/Year&gt;&lt;RecNum&gt;1539&lt;/RecNum&gt;&lt;DisplayText&gt;(Edmondson, 1999)&lt;/DisplayText&gt;&lt;record&gt;&lt;rec-number&gt;1539&lt;/rec-number&gt;&lt;foreign-keys&gt;&lt;key app="EN" db-id="t5vttv59or5xwbe2zdm5ewrxd905arrpawff" timestamp="1731723017"&gt;1539&lt;/key&gt;&lt;/foreign-keys&gt;&lt;ref-type name="Journal Article"&gt;17&lt;/ref-type&gt;&lt;contributors&gt;&lt;authors&gt;&lt;author&gt;Edmondson, Amy&lt;/author&gt;&lt;/authors&gt;&lt;/contributors&gt;&lt;titles&gt;&lt;title&gt;Psychological safety and learning behavior in work teams&lt;/title&gt;&lt;secondary</w:instrText>
      </w:r>
      <w:r w:rsidR="000A4733" w:rsidRPr="00DC3DDE">
        <w:rPr>
          <w:rFonts w:asciiTheme="majorBidi" w:hAnsiTheme="majorBidi" w:cstheme="majorBidi"/>
          <w:sz w:val="28"/>
          <w:szCs w:val="28"/>
          <w:rtl/>
        </w:rPr>
        <w:instrText>-</w:instrText>
      </w:r>
      <w:r w:rsidR="000A4733" w:rsidRPr="00DC3DDE">
        <w:rPr>
          <w:rFonts w:asciiTheme="majorBidi" w:hAnsiTheme="majorBidi" w:cstheme="majorBidi"/>
          <w:sz w:val="28"/>
          <w:szCs w:val="28"/>
        </w:rPr>
        <w:instrText>title&gt;Administrative science quarterly&lt;/secondary-title&gt;&lt;/titles&gt;&lt;periodical&gt;&lt;full-title&gt;Administrative science quarterly&lt;/full-title&gt;&lt;/periodical&gt;&lt;pages&gt;350-383&lt;/pages&gt;&lt;volume&gt;44&lt;/volume&gt;&lt;number&gt;2&lt;/number&gt;&lt;dates&gt;&lt;year&gt;1999&lt;/year&gt;&lt;/dates&gt;&lt;isbn&gt;0001-8392</w:instrText>
      </w:r>
      <w:r w:rsidR="000A4733" w:rsidRPr="00DC3DDE">
        <w:rPr>
          <w:rFonts w:asciiTheme="majorBidi" w:hAnsiTheme="majorBidi" w:cstheme="majorBidi"/>
          <w:sz w:val="28"/>
          <w:szCs w:val="28"/>
          <w:rtl/>
        </w:rPr>
        <w:instrText>&lt;/</w:instrText>
      </w:r>
      <w:r w:rsidR="000A4733" w:rsidRPr="00DC3DDE">
        <w:rPr>
          <w:rFonts w:asciiTheme="majorBidi" w:hAnsiTheme="majorBidi" w:cstheme="majorBidi"/>
          <w:sz w:val="28"/>
          <w:szCs w:val="28"/>
        </w:rPr>
        <w:instrText>isbn&gt;&lt;urls&gt;&lt;/urls&gt;&lt;/record&gt;&lt;/Cite&gt;&lt;/EndNote</w:instrText>
      </w:r>
      <w:r w:rsidR="000A4733" w:rsidRPr="00DC3DDE">
        <w:rPr>
          <w:rFonts w:asciiTheme="majorBidi" w:hAnsiTheme="majorBidi" w:cstheme="majorBidi"/>
          <w:sz w:val="28"/>
          <w:szCs w:val="28"/>
          <w:rtl/>
        </w:rPr>
        <w:instrText>&gt;</w:instrText>
      </w:r>
      <w:r w:rsidR="000A4733" w:rsidRPr="00DC3DDE">
        <w:rPr>
          <w:rFonts w:asciiTheme="majorBidi" w:hAnsiTheme="majorBidi" w:cstheme="majorBidi"/>
          <w:sz w:val="28"/>
          <w:szCs w:val="28"/>
          <w:rtl/>
        </w:rPr>
        <w:fldChar w:fldCharType="separate"/>
      </w:r>
      <w:r w:rsidR="000A4733" w:rsidRPr="00DC3DDE">
        <w:rPr>
          <w:rFonts w:asciiTheme="majorBidi" w:hAnsiTheme="majorBidi" w:cstheme="majorBidi"/>
          <w:noProof/>
          <w:sz w:val="28"/>
          <w:szCs w:val="28"/>
          <w:rtl/>
        </w:rPr>
        <w:t>(</w:t>
      </w:r>
      <w:r w:rsidR="000A4733" w:rsidRPr="00DC3DDE">
        <w:rPr>
          <w:rFonts w:asciiTheme="majorBidi" w:hAnsiTheme="majorBidi" w:cstheme="majorBidi"/>
          <w:noProof/>
          <w:sz w:val="28"/>
          <w:szCs w:val="28"/>
        </w:rPr>
        <w:t>Edmondson, 1999</w:t>
      </w:r>
      <w:r w:rsidR="000A4733" w:rsidRPr="00DC3DDE">
        <w:rPr>
          <w:rFonts w:asciiTheme="majorBidi" w:hAnsiTheme="majorBidi" w:cstheme="majorBidi"/>
          <w:noProof/>
          <w:sz w:val="28"/>
          <w:szCs w:val="28"/>
          <w:rtl/>
        </w:rPr>
        <w:t>)</w:t>
      </w:r>
      <w:r w:rsidR="000A4733" w:rsidRPr="00DC3DDE">
        <w:rPr>
          <w:rFonts w:asciiTheme="majorBidi" w:hAnsiTheme="majorBidi" w:cstheme="majorBidi"/>
          <w:sz w:val="28"/>
          <w:szCs w:val="28"/>
          <w:rtl/>
        </w:rPr>
        <w:fldChar w:fldCharType="end"/>
      </w:r>
      <w:r w:rsidR="000A4733" w:rsidRPr="00DC3DDE">
        <w:rPr>
          <w:rFonts w:asciiTheme="majorBidi" w:hAnsiTheme="majorBidi" w:cstheme="majorBidi"/>
          <w:sz w:val="28"/>
          <w:szCs w:val="28"/>
          <w:rtl/>
        </w:rPr>
        <w:t>.</w:t>
      </w:r>
    </w:p>
    <w:p w14:paraId="215C70E4" w14:textId="37D56800" w:rsidR="007575D7" w:rsidRPr="007575D7" w:rsidRDefault="007575D7" w:rsidP="007575D7">
      <w:pPr>
        <w:numPr>
          <w:ilvl w:val="0"/>
          <w:numId w:val="7"/>
        </w:numPr>
        <w:bidi/>
        <w:rPr>
          <w:rFonts w:asciiTheme="majorBidi" w:hAnsiTheme="majorBidi" w:cstheme="majorBidi"/>
          <w:sz w:val="28"/>
          <w:szCs w:val="28"/>
        </w:rPr>
      </w:pPr>
      <w:r w:rsidRPr="007575D7">
        <w:rPr>
          <w:rFonts w:asciiTheme="majorBidi" w:hAnsiTheme="majorBidi" w:cstheme="majorBidi"/>
          <w:b/>
          <w:bCs/>
          <w:sz w:val="28"/>
          <w:szCs w:val="28"/>
          <w:rtl/>
        </w:rPr>
        <w:t>البنية البيروقراطية</w:t>
      </w:r>
      <w:r w:rsidR="000A4733" w:rsidRPr="00DC3DDE">
        <w:rPr>
          <w:rFonts w:asciiTheme="majorBidi" w:hAnsiTheme="majorBidi" w:cstheme="majorBidi"/>
          <w:b/>
          <w:bCs/>
          <w:sz w:val="28"/>
          <w:szCs w:val="28"/>
          <w:rtl/>
        </w:rPr>
        <w:t xml:space="preserve"> </w:t>
      </w:r>
      <w:r w:rsidRPr="007575D7">
        <w:rPr>
          <w:rFonts w:asciiTheme="majorBidi" w:hAnsiTheme="majorBidi" w:cstheme="majorBidi"/>
          <w:b/>
          <w:bCs/>
          <w:sz w:val="28"/>
          <w:szCs w:val="28"/>
        </w:rPr>
        <w:t>(Hierarchy)</w:t>
      </w:r>
      <w:r w:rsidRPr="007575D7">
        <w:rPr>
          <w:rFonts w:asciiTheme="majorBidi" w:hAnsiTheme="majorBidi" w:cstheme="majorBidi"/>
          <w:sz w:val="28"/>
          <w:szCs w:val="28"/>
        </w:rPr>
        <w:br/>
      </w:r>
      <w:r w:rsidRPr="007575D7">
        <w:rPr>
          <w:rFonts w:asciiTheme="majorBidi" w:hAnsiTheme="majorBidi" w:cstheme="majorBidi"/>
          <w:sz w:val="28"/>
          <w:szCs w:val="28"/>
          <w:rtl/>
        </w:rPr>
        <w:t>تعتمد على القواعد والإجراءات الصارمة والمركزية، وهي غالبًا ما تحدّ من حرية المبادرة والإبداع</w:t>
      </w:r>
      <w:r w:rsidR="000A4733" w:rsidRPr="00DC3DDE">
        <w:rPr>
          <w:rFonts w:asciiTheme="majorBidi" w:hAnsiTheme="majorBidi" w:cstheme="majorBidi"/>
          <w:sz w:val="28"/>
          <w:szCs w:val="28"/>
          <w:rtl/>
        </w:rPr>
        <w:t xml:space="preserve"> </w:t>
      </w:r>
      <w:r w:rsidR="000A4733" w:rsidRPr="00DC3DDE">
        <w:rPr>
          <w:rFonts w:asciiTheme="majorBidi" w:hAnsiTheme="majorBidi" w:cstheme="majorBidi"/>
          <w:sz w:val="28"/>
          <w:szCs w:val="28"/>
          <w:rtl/>
        </w:rPr>
        <w:fldChar w:fldCharType="begin"/>
      </w:r>
      <w:r w:rsidR="000A4733" w:rsidRPr="00DC3DDE">
        <w:rPr>
          <w:rFonts w:asciiTheme="majorBidi" w:hAnsiTheme="majorBidi" w:cstheme="majorBidi"/>
          <w:sz w:val="28"/>
          <w:szCs w:val="28"/>
          <w:rtl/>
        </w:rPr>
        <w:instrText xml:space="preserve"> </w:instrText>
      </w:r>
      <w:r w:rsidR="000A4733" w:rsidRPr="00DC3DDE">
        <w:rPr>
          <w:rFonts w:asciiTheme="majorBidi" w:hAnsiTheme="majorBidi" w:cstheme="majorBidi"/>
          <w:sz w:val="28"/>
          <w:szCs w:val="28"/>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0A4733" w:rsidRPr="00DC3DDE">
        <w:rPr>
          <w:rFonts w:asciiTheme="majorBidi" w:hAnsiTheme="majorBidi" w:cstheme="majorBidi"/>
          <w:sz w:val="28"/>
          <w:szCs w:val="28"/>
          <w:rtl/>
        </w:rPr>
        <w:instrText>31695466"&gt;1524&lt;/</w:instrText>
      </w:r>
      <w:r w:rsidR="000A4733" w:rsidRPr="00DC3DDE">
        <w:rPr>
          <w:rFonts w:asciiTheme="majorBidi" w:hAnsiTheme="majorBidi" w:cstheme="majorBidi"/>
          <w:sz w:val="28"/>
          <w:szCs w:val="28"/>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0A4733" w:rsidRPr="00DC3DDE">
        <w:rPr>
          <w:rFonts w:asciiTheme="majorBidi" w:hAnsiTheme="majorBidi" w:cstheme="majorBidi"/>
          <w:sz w:val="28"/>
          <w:szCs w:val="28"/>
          <w:rtl/>
        </w:rPr>
        <w:instrText>&lt;/</w:instrText>
      </w:r>
      <w:r w:rsidR="000A4733" w:rsidRPr="00DC3DDE">
        <w:rPr>
          <w:rFonts w:asciiTheme="majorBidi" w:hAnsiTheme="majorBidi" w:cstheme="majorBidi"/>
          <w:sz w:val="28"/>
          <w:szCs w:val="28"/>
        </w:rPr>
        <w:instrText>year&gt;&lt;/dates&gt;&lt;publisher&gt;John Wiley &amp;amp; Sons&lt;/publisher&gt;&lt;isbn&gt;047064057X&lt;/isbn&gt;&lt;urls&gt;&lt;/urls&gt;&lt;/record&gt;&lt;/Cite&gt;&lt;/EndNote</w:instrText>
      </w:r>
      <w:r w:rsidR="000A4733" w:rsidRPr="00DC3DDE">
        <w:rPr>
          <w:rFonts w:asciiTheme="majorBidi" w:hAnsiTheme="majorBidi" w:cstheme="majorBidi"/>
          <w:sz w:val="28"/>
          <w:szCs w:val="28"/>
          <w:rtl/>
        </w:rPr>
        <w:instrText>&gt;</w:instrText>
      </w:r>
      <w:r w:rsidR="000A4733" w:rsidRPr="00DC3DDE">
        <w:rPr>
          <w:rFonts w:asciiTheme="majorBidi" w:hAnsiTheme="majorBidi" w:cstheme="majorBidi"/>
          <w:sz w:val="28"/>
          <w:szCs w:val="28"/>
          <w:rtl/>
        </w:rPr>
        <w:fldChar w:fldCharType="separate"/>
      </w:r>
      <w:r w:rsidR="000A4733" w:rsidRPr="00DC3DDE">
        <w:rPr>
          <w:rFonts w:asciiTheme="majorBidi" w:hAnsiTheme="majorBidi" w:cstheme="majorBidi"/>
          <w:noProof/>
          <w:sz w:val="28"/>
          <w:szCs w:val="28"/>
          <w:rtl/>
        </w:rPr>
        <w:t>(</w:t>
      </w:r>
      <w:r w:rsidR="000A4733" w:rsidRPr="00DC3DDE">
        <w:rPr>
          <w:rFonts w:asciiTheme="majorBidi" w:hAnsiTheme="majorBidi" w:cstheme="majorBidi"/>
          <w:noProof/>
          <w:sz w:val="28"/>
          <w:szCs w:val="28"/>
        </w:rPr>
        <w:t>Schein, 2010</w:t>
      </w:r>
      <w:r w:rsidR="000A4733" w:rsidRPr="00DC3DDE">
        <w:rPr>
          <w:rFonts w:asciiTheme="majorBidi" w:hAnsiTheme="majorBidi" w:cstheme="majorBidi"/>
          <w:noProof/>
          <w:sz w:val="28"/>
          <w:szCs w:val="28"/>
          <w:rtl/>
        </w:rPr>
        <w:t>)</w:t>
      </w:r>
      <w:r w:rsidR="000A4733" w:rsidRPr="00DC3DDE">
        <w:rPr>
          <w:rFonts w:asciiTheme="majorBidi" w:hAnsiTheme="majorBidi" w:cstheme="majorBidi"/>
          <w:sz w:val="28"/>
          <w:szCs w:val="28"/>
          <w:rtl/>
        </w:rPr>
        <w:fldChar w:fldCharType="end"/>
      </w:r>
      <w:r w:rsidR="003907B9">
        <w:rPr>
          <w:rFonts w:asciiTheme="majorBidi" w:hAnsiTheme="majorBidi" w:cstheme="majorBidi" w:hint="cs"/>
          <w:sz w:val="28"/>
          <w:szCs w:val="28"/>
          <w:rtl/>
        </w:rPr>
        <w:t>.</w:t>
      </w:r>
    </w:p>
    <w:p w14:paraId="1A3F46EC" w14:textId="1308CD75" w:rsidR="003907B9" w:rsidRPr="007575D7" w:rsidRDefault="007575D7" w:rsidP="0088233E">
      <w:pPr>
        <w:numPr>
          <w:ilvl w:val="0"/>
          <w:numId w:val="7"/>
        </w:numPr>
        <w:bidi/>
        <w:rPr>
          <w:rFonts w:asciiTheme="majorBidi" w:hAnsiTheme="majorBidi" w:cstheme="majorBidi"/>
          <w:sz w:val="28"/>
          <w:szCs w:val="28"/>
        </w:rPr>
      </w:pPr>
      <w:r w:rsidRPr="007575D7">
        <w:rPr>
          <w:rFonts w:asciiTheme="majorBidi" w:hAnsiTheme="majorBidi" w:cstheme="majorBidi"/>
          <w:b/>
          <w:bCs/>
          <w:sz w:val="28"/>
          <w:szCs w:val="28"/>
          <w:rtl/>
        </w:rPr>
        <w:t>التركيز على النتائج والمهمة</w:t>
      </w:r>
      <w:r w:rsidR="000A4733" w:rsidRPr="00DC3DDE">
        <w:rPr>
          <w:rFonts w:asciiTheme="majorBidi" w:hAnsiTheme="majorBidi" w:cstheme="majorBidi"/>
          <w:b/>
          <w:bCs/>
          <w:sz w:val="28"/>
          <w:szCs w:val="28"/>
          <w:rtl/>
        </w:rPr>
        <w:t xml:space="preserve"> </w:t>
      </w:r>
      <w:r w:rsidRPr="007575D7">
        <w:rPr>
          <w:rFonts w:asciiTheme="majorBidi" w:hAnsiTheme="majorBidi" w:cstheme="majorBidi"/>
          <w:b/>
          <w:bCs/>
          <w:sz w:val="28"/>
          <w:szCs w:val="28"/>
        </w:rPr>
        <w:t>(Market)</w:t>
      </w:r>
      <w:r w:rsidRPr="007575D7">
        <w:rPr>
          <w:rFonts w:asciiTheme="majorBidi" w:hAnsiTheme="majorBidi" w:cstheme="majorBidi"/>
          <w:sz w:val="28"/>
          <w:szCs w:val="28"/>
        </w:rPr>
        <w:br/>
      </w:r>
      <w:r w:rsidRPr="007575D7">
        <w:rPr>
          <w:rFonts w:asciiTheme="majorBidi" w:hAnsiTheme="majorBidi" w:cstheme="majorBidi"/>
          <w:sz w:val="28"/>
          <w:szCs w:val="28"/>
          <w:rtl/>
        </w:rPr>
        <w:t>تعطي الأولوية للأداء والإنجاز، وقد تكون محفزة للإبداع إذا ارتبطت بمرونة تنظيمية</w:t>
      </w:r>
      <w:r w:rsidR="0054713F" w:rsidRPr="00DC3DDE">
        <w:rPr>
          <w:rFonts w:asciiTheme="majorBidi" w:hAnsiTheme="majorBidi" w:cstheme="majorBidi"/>
          <w:sz w:val="28"/>
          <w:szCs w:val="28"/>
          <w:rtl/>
        </w:rPr>
        <w:t xml:space="preserve"> </w:t>
      </w:r>
      <w:r w:rsidR="0054713F" w:rsidRPr="00DC3DDE">
        <w:rPr>
          <w:rFonts w:asciiTheme="majorBidi" w:hAnsiTheme="majorBidi" w:cstheme="majorBidi"/>
          <w:sz w:val="28"/>
          <w:szCs w:val="28"/>
          <w:rtl/>
        </w:rPr>
        <w:fldChar w:fldCharType="begin"/>
      </w:r>
      <w:r w:rsidR="0054713F" w:rsidRPr="00DC3DDE">
        <w:rPr>
          <w:rFonts w:asciiTheme="majorBidi" w:hAnsiTheme="majorBidi" w:cstheme="majorBidi"/>
          <w:sz w:val="28"/>
          <w:szCs w:val="28"/>
          <w:rtl/>
        </w:rPr>
        <w:instrText xml:space="preserve"> </w:instrText>
      </w:r>
      <w:r w:rsidR="0054713F" w:rsidRPr="00DC3DDE">
        <w:rPr>
          <w:rFonts w:asciiTheme="majorBidi" w:hAnsiTheme="majorBidi" w:cstheme="majorBidi"/>
          <w:sz w:val="28"/>
          <w:szCs w:val="28"/>
        </w:rPr>
        <w:instrText>ADDIN EN.CITE &lt;EndNote&gt;&lt;Cite&gt;&lt;Author&gt;Denison&lt;/Author&gt;&lt;Year&gt;1995&lt;/Year&gt;&lt;RecNum&gt;2767&lt;/RecNum&gt;&lt;DisplayText&gt;(Denison and Mishra, 1995)&lt;/DisplayText&gt;&lt;record&gt;&lt;rec-number&gt;2767&lt;/rec-number&gt;&lt;foreign-keys&gt;&lt;key app="EN" db-id="t5vttv59or5xwbe2zdm5ewrxd905arrpawff</w:instrText>
      </w:r>
      <w:r w:rsidR="0054713F" w:rsidRPr="00DC3DDE">
        <w:rPr>
          <w:rFonts w:asciiTheme="majorBidi" w:hAnsiTheme="majorBidi" w:cstheme="majorBidi"/>
          <w:sz w:val="28"/>
          <w:szCs w:val="28"/>
          <w:rtl/>
        </w:rPr>
        <w:instrText xml:space="preserve">" </w:instrText>
      </w:r>
      <w:r w:rsidR="0054713F" w:rsidRPr="00DC3DDE">
        <w:rPr>
          <w:rFonts w:asciiTheme="majorBidi" w:hAnsiTheme="majorBidi" w:cstheme="majorBidi"/>
          <w:sz w:val="28"/>
          <w:szCs w:val="28"/>
        </w:rPr>
        <w:instrText>timestamp="1748379825"&gt;2767&lt;/key&gt;&lt;/foreign-keys&gt;&lt;ref-type name="Journal Article"&gt;17&lt;/ref-type&gt;&lt;contributors&gt;&lt;authors&gt;&lt;author&gt;Denison, Daniel R&lt;/author&gt;&lt;author&gt;Mishra, Aneil K&lt;/author&gt;&lt;/authors&gt;&lt;/contributors&gt;&lt;titles&gt;&lt;title&gt;Toward a theory of organizational culture and effectiveness&lt;/title&gt;&lt;secondary-title&gt;Organization science&lt;/secondary-title&gt;&lt;/titles&gt;&lt;periodical&gt;&lt;full-title&gt;Organization science&lt;/full-title&gt;&lt;/periodical&gt;&lt;pages&gt;204-223&lt;/pages&gt;&lt;volume&gt;6&lt;/volume&gt;&lt;number&gt;2&lt;/number&gt;&lt;dates&gt;&lt;year&gt;1995&lt;/year&gt;&lt;/dates&gt;&lt;isbn&gt;1047-7039&lt;/isbn&gt;&lt;urls&gt;&lt;/urls&gt;&lt;/record&gt;&lt;/Cite&gt;&lt;/EndNote</w:instrText>
      </w:r>
      <w:r w:rsidR="0054713F" w:rsidRPr="00DC3DDE">
        <w:rPr>
          <w:rFonts w:asciiTheme="majorBidi" w:hAnsiTheme="majorBidi" w:cstheme="majorBidi"/>
          <w:sz w:val="28"/>
          <w:szCs w:val="28"/>
          <w:rtl/>
        </w:rPr>
        <w:instrText>&gt;</w:instrText>
      </w:r>
      <w:r w:rsidR="0054713F" w:rsidRPr="00DC3DDE">
        <w:rPr>
          <w:rFonts w:asciiTheme="majorBidi" w:hAnsiTheme="majorBidi" w:cstheme="majorBidi"/>
          <w:sz w:val="28"/>
          <w:szCs w:val="28"/>
          <w:rtl/>
        </w:rPr>
        <w:fldChar w:fldCharType="separate"/>
      </w:r>
      <w:r w:rsidR="0054713F" w:rsidRPr="00DC3DDE">
        <w:rPr>
          <w:rFonts w:asciiTheme="majorBidi" w:hAnsiTheme="majorBidi" w:cstheme="majorBidi"/>
          <w:noProof/>
          <w:sz w:val="28"/>
          <w:szCs w:val="28"/>
          <w:rtl/>
        </w:rPr>
        <w:t>(</w:t>
      </w:r>
      <w:r w:rsidR="0054713F" w:rsidRPr="00DC3DDE">
        <w:rPr>
          <w:rFonts w:asciiTheme="majorBidi" w:hAnsiTheme="majorBidi" w:cstheme="majorBidi"/>
          <w:noProof/>
          <w:sz w:val="28"/>
          <w:szCs w:val="28"/>
        </w:rPr>
        <w:t>Denison and Mishra, 1995</w:t>
      </w:r>
      <w:r w:rsidR="0054713F" w:rsidRPr="00DC3DDE">
        <w:rPr>
          <w:rFonts w:asciiTheme="majorBidi" w:hAnsiTheme="majorBidi" w:cstheme="majorBidi"/>
          <w:noProof/>
          <w:sz w:val="28"/>
          <w:szCs w:val="28"/>
          <w:rtl/>
        </w:rPr>
        <w:t>)</w:t>
      </w:r>
      <w:r w:rsidR="0054713F" w:rsidRPr="00DC3DDE">
        <w:rPr>
          <w:rFonts w:asciiTheme="majorBidi" w:hAnsiTheme="majorBidi" w:cstheme="majorBidi"/>
          <w:sz w:val="28"/>
          <w:szCs w:val="28"/>
          <w:rtl/>
        </w:rPr>
        <w:fldChar w:fldCharType="end"/>
      </w:r>
      <w:r w:rsidR="0054713F" w:rsidRPr="00DC3DDE">
        <w:rPr>
          <w:rFonts w:asciiTheme="majorBidi" w:hAnsiTheme="majorBidi" w:cstheme="majorBidi"/>
          <w:sz w:val="28"/>
          <w:szCs w:val="28"/>
          <w:rtl/>
        </w:rPr>
        <w:t>.</w:t>
      </w:r>
    </w:p>
    <w:p w14:paraId="57671271" w14:textId="25037E11" w:rsidR="007575D7" w:rsidRPr="007575D7" w:rsidRDefault="007575D7" w:rsidP="007575D7">
      <w:pPr>
        <w:bidi/>
        <w:rPr>
          <w:rFonts w:asciiTheme="majorBidi" w:hAnsiTheme="majorBidi" w:cstheme="majorBidi"/>
          <w:sz w:val="28"/>
          <w:szCs w:val="28"/>
        </w:rPr>
      </w:pPr>
      <w:r w:rsidRPr="007575D7">
        <w:rPr>
          <w:rFonts w:asciiTheme="majorBidi" w:hAnsiTheme="majorBidi" w:cstheme="majorBidi"/>
          <w:b/>
          <w:bCs/>
          <w:sz w:val="28"/>
          <w:szCs w:val="28"/>
          <w:rtl/>
        </w:rPr>
        <w:lastRenderedPageBreak/>
        <w:t>جدول</w:t>
      </w:r>
      <w:r w:rsidRPr="007575D7">
        <w:rPr>
          <w:rFonts w:asciiTheme="majorBidi" w:hAnsiTheme="majorBidi" w:cstheme="majorBidi"/>
          <w:b/>
          <w:bCs/>
          <w:sz w:val="28"/>
          <w:szCs w:val="28"/>
        </w:rPr>
        <w:t xml:space="preserve"> (</w:t>
      </w:r>
      <w:r w:rsidR="0088233E">
        <w:rPr>
          <w:rFonts w:asciiTheme="majorBidi" w:hAnsiTheme="majorBidi" w:cstheme="majorBidi"/>
          <w:b/>
          <w:bCs/>
          <w:sz w:val="28"/>
          <w:szCs w:val="28"/>
        </w:rPr>
        <w:t>2.3</w:t>
      </w:r>
      <w:r w:rsidRPr="007575D7">
        <w:rPr>
          <w:rFonts w:asciiTheme="majorBidi" w:hAnsiTheme="majorBidi" w:cstheme="majorBidi"/>
          <w:b/>
          <w:bCs/>
          <w:sz w:val="28"/>
          <w:szCs w:val="28"/>
        </w:rPr>
        <w:t>)</w:t>
      </w:r>
      <w:r w:rsidR="0088233E">
        <w:rPr>
          <w:rFonts w:asciiTheme="majorBidi" w:hAnsiTheme="majorBidi" w:cstheme="majorBidi"/>
          <w:b/>
          <w:bCs/>
          <w:sz w:val="28"/>
          <w:szCs w:val="28"/>
        </w:rPr>
        <w:t>:</w:t>
      </w:r>
      <w:r w:rsidRPr="007575D7">
        <w:rPr>
          <w:rFonts w:asciiTheme="majorBidi" w:hAnsiTheme="majorBidi" w:cstheme="majorBidi"/>
          <w:b/>
          <w:bCs/>
          <w:sz w:val="28"/>
          <w:szCs w:val="28"/>
        </w:rPr>
        <w:t xml:space="preserve"> </w:t>
      </w:r>
      <w:r w:rsidRPr="007575D7">
        <w:rPr>
          <w:rFonts w:asciiTheme="majorBidi" w:hAnsiTheme="majorBidi" w:cstheme="majorBidi"/>
          <w:b/>
          <w:bCs/>
          <w:sz w:val="28"/>
          <w:szCs w:val="28"/>
          <w:rtl/>
        </w:rPr>
        <w:t>أبعاد الثقافة التنظيمية وتعريفاتها</w:t>
      </w:r>
    </w:p>
    <w:tbl>
      <w:tblPr>
        <w:bidiVisual/>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0"/>
        <w:gridCol w:w="3880"/>
        <w:gridCol w:w="2800"/>
      </w:tblGrid>
      <w:tr w:rsidR="0054713F" w:rsidRPr="0054713F" w14:paraId="543253B9" w14:textId="77777777" w:rsidTr="0054713F">
        <w:trPr>
          <w:trHeight w:val="312"/>
        </w:trPr>
        <w:tc>
          <w:tcPr>
            <w:tcW w:w="3220" w:type="dxa"/>
            <w:vAlign w:val="center"/>
            <w:hideMark/>
          </w:tcPr>
          <w:p w14:paraId="17E6B8B8" w14:textId="77777777" w:rsidR="0054713F" w:rsidRPr="0054713F" w:rsidRDefault="0054713F" w:rsidP="0054713F">
            <w:pPr>
              <w:bidi/>
              <w:spacing w:after="0" w:line="240" w:lineRule="auto"/>
              <w:jc w:val="center"/>
              <w:rPr>
                <w:rFonts w:asciiTheme="majorBidi" w:eastAsia="Times New Roman" w:hAnsiTheme="majorBidi" w:cstheme="majorBidi"/>
                <w:b/>
                <w:bCs/>
                <w:color w:val="000000"/>
                <w:kern w:val="0"/>
                <w:sz w:val="28"/>
                <w:szCs w:val="28"/>
                <w14:ligatures w14:val="none"/>
              </w:rPr>
            </w:pPr>
            <w:r w:rsidRPr="0054713F">
              <w:rPr>
                <w:rFonts w:asciiTheme="majorBidi" w:eastAsia="Times New Roman" w:hAnsiTheme="majorBidi" w:cstheme="majorBidi"/>
                <w:b/>
                <w:bCs/>
                <w:color w:val="000000"/>
                <w:kern w:val="0"/>
                <w:sz w:val="28"/>
                <w:szCs w:val="28"/>
                <w:rtl/>
                <w14:ligatures w14:val="none"/>
              </w:rPr>
              <w:t>البُعد</w:t>
            </w:r>
          </w:p>
        </w:tc>
        <w:tc>
          <w:tcPr>
            <w:tcW w:w="3880" w:type="dxa"/>
            <w:vAlign w:val="center"/>
            <w:hideMark/>
          </w:tcPr>
          <w:p w14:paraId="094936AD" w14:textId="77777777" w:rsidR="0054713F" w:rsidRPr="0054713F" w:rsidRDefault="0054713F" w:rsidP="0054713F">
            <w:pPr>
              <w:bidi/>
              <w:spacing w:after="0" w:line="240" w:lineRule="auto"/>
              <w:jc w:val="center"/>
              <w:rPr>
                <w:rFonts w:asciiTheme="majorBidi" w:eastAsia="Times New Roman" w:hAnsiTheme="majorBidi" w:cstheme="majorBidi"/>
                <w:b/>
                <w:bCs/>
                <w:color w:val="000000"/>
                <w:kern w:val="0"/>
                <w:sz w:val="28"/>
                <w:szCs w:val="28"/>
                <w:rtl/>
                <w14:ligatures w14:val="none"/>
              </w:rPr>
            </w:pPr>
            <w:r w:rsidRPr="0054713F">
              <w:rPr>
                <w:rFonts w:asciiTheme="majorBidi" w:eastAsia="Times New Roman" w:hAnsiTheme="majorBidi" w:cstheme="majorBidi"/>
                <w:b/>
                <w:bCs/>
                <w:color w:val="000000"/>
                <w:kern w:val="0"/>
                <w:sz w:val="28"/>
                <w:szCs w:val="28"/>
                <w:rtl/>
                <w14:ligatures w14:val="none"/>
              </w:rPr>
              <w:t>التعريف</w:t>
            </w:r>
          </w:p>
        </w:tc>
        <w:tc>
          <w:tcPr>
            <w:tcW w:w="2800" w:type="dxa"/>
            <w:vAlign w:val="center"/>
            <w:hideMark/>
          </w:tcPr>
          <w:p w14:paraId="58C3376E" w14:textId="77777777" w:rsidR="0054713F" w:rsidRPr="0054713F" w:rsidRDefault="0054713F" w:rsidP="0054713F">
            <w:pPr>
              <w:bidi/>
              <w:spacing w:after="0" w:line="240" w:lineRule="auto"/>
              <w:jc w:val="center"/>
              <w:rPr>
                <w:rFonts w:asciiTheme="majorBidi" w:eastAsia="Times New Roman" w:hAnsiTheme="majorBidi" w:cstheme="majorBidi"/>
                <w:b/>
                <w:bCs/>
                <w:color w:val="000000"/>
                <w:kern w:val="0"/>
                <w:sz w:val="28"/>
                <w:szCs w:val="28"/>
                <w:rtl/>
                <w14:ligatures w14:val="none"/>
              </w:rPr>
            </w:pPr>
            <w:r w:rsidRPr="0054713F">
              <w:rPr>
                <w:rFonts w:asciiTheme="majorBidi" w:eastAsia="Times New Roman" w:hAnsiTheme="majorBidi" w:cstheme="majorBidi"/>
                <w:b/>
                <w:bCs/>
                <w:color w:val="000000"/>
                <w:kern w:val="0"/>
                <w:sz w:val="28"/>
                <w:szCs w:val="28"/>
                <w:rtl/>
                <w14:ligatures w14:val="none"/>
              </w:rPr>
              <w:t>المرجع</w:t>
            </w:r>
          </w:p>
        </w:tc>
      </w:tr>
      <w:tr w:rsidR="0054713F" w:rsidRPr="0054713F" w14:paraId="568B9073" w14:textId="77777777" w:rsidTr="0054713F">
        <w:trPr>
          <w:trHeight w:val="624"/>
        </w:trPr>
        <w:tc>
          <w:tcPr>
            <w:tcW w:w="3220" w:type="dxa"/>
            <w:vAlign w:val="center"/>
            <w:hideMark/>
          </w:tcPr>
          <w:p w14:paraId="29C2B51A" w14:textId="77777777" w:rsidR="0054713F" w:rsidRPr="0054713F" w:rsidRDefault="0054713F" w:rsidP="0054713F">
            <w:pPr>
              <w:bidi/>
              <w:spacing w:after="0" w:line="240" w:lineRule="auto"/>
              <w:jc w:val="center"/>
              <w:rPr>
                <w:rFonts w:asciiTheme="majorBidi" w:eastAsia="Times New Roman" w:hAnsiTheme="majorBidi" w:cstheme="majorBidi"/>
                <w:color w:val="000000"/>
                <w:kern w:val="0"/>
                <w:sz w:val="28"/>
                <w:szCs w:val="28"/>
                <w:rtl/>
                <w14:ligatures w14:val="none"/>
              </w:rPr>
            </w:pPr>
            <w:r w:rsidRPr="0054713F">
              <w:rPr>
                <w:rFonts w:asciiTheme="majorBidi" w:eastAsia="Times New Roman" w:hAnsiTheme="majorBidi" w:cstheme="majorBidi"/>
                <w:color w:val="000000"/>
                <w:kern w:val="0"/>
                <w:sz w:val="28"/>
                <w:szCs w:val="28"/>
                <w:rtl/>
                <w14:ligatures w14:val="none"/>
              </w:rPr>
              <w:t>ثقافة الابتكار والمرونة</w:t>
            </w:r>
          </w:p>
        </w:tc>
        <w:tc>
          <w:tcPr>
            <w:tcW w:w="3880" w:type="dxa"/>
            <w:vAlign w:val="center"/>
            <w:hideMark/>
          </w:tcPr>
          <w:p w14:paraId="2DAA7891" w14:textId="77777777" w:rsidR="0054713F" w:rsidRPr="0054713F" w:rsidRDefault="0054713F" w:rsidP="0054713F">
            <w:pPr>
              <w:bidi/>
              <w:spacing w:after="0" w:line="240" w:lineRule="auto"/>
              <w:jc w:val="center"/>
              <w:rPr>
                <w:rFonts w:asciiTheme="majorBidi" w:eastAsia="Times New Roman" w:hAnsiTheme="majorBidi" w:cstheme="majorBidi"/>
                <w:color w:val="000000"/>
                <w:kern w:val="0"/>
                <w:sz w:val="28"/>
                <w:szCs w:val="28"/>
                <w:rtl/>
                <w14:ligatures w14:val="none"/>
              </w:rPr>
            </w:pPr>
            <w:r w:rsidRPr="0054713F">
              <w:rPr>
                <w:rFonts w:asciiTheme="majorBidi" w:eastAsia="Times New Roman" w:hAnsiTheme="majorBidi" w:cstheme="majorBidi"/>
                <w:color w:val="000000"/>
                <w:kern w:val="0"/>
                <w:sz w:val="28"/>
                <w:szCs w:val="28"/>
                <w:rtl/>
                <w14:ligatures w14:val="none"/>
              </w:rPr>
              <w:t>الانفتاح على التغيير وتشجيع المبادرات والتجريب</w:t>
            </w:r>
          </w:p>
        </w:tc>
        <w:tc>
          <w:tcPr>
            <w:tcW w:w="2800" w:type="dxa"/>
            <w:vAlign w:val="center"/>
            <w:hideMark/>
          </w:tcPr>
          <w:p w14:paraId="7FE02F82" w14:textId="77777777" w:rsidR="0054713F" w:rsidRPr="0054713F" w:rsidRDefault="0054713F" w:rsidP="0054713F">
            <w:pPr>
              <w:bidi/>
              <w:spacing w:after="0" w:line="240" w:lineRule="auto"/>
              <w:jc w:val="center"/>
              <w:rPr>
                <w:rFonts w:asciiTheme="majorBidi" w:eastAsia="Times New Roman" w:hAnsiTheme="majorBidi" w:cstheme="majorBidi"/>
                <w:color w:val="000000"/>
                <w:kern w:val="0"/>
                <w:sz w:val="28"/>
                <w:szCs w:val="28"/>
                <w:rtl/>
                <w14:ligatures w14:val="none"/>
              </w:rPr>
            </w:pPr>
            <w:r w:rsidRPr="0054713F">
              <w:rPr>
                <w:rFonts w:asciiTheme="majorBidi" w:eastAsia="Times New Roman" w:hAnsiTheme="majorBidi" w:cstheme="majorBidi"/>
                <w:color w:val="000000"/>
                <w:kern w:val="0"/>
                <w:sz w:val="28"/>
                <w:szCs w:val="28"/>
                <w14:ligatures w14:val="none"/>
              </w:rPr>
              <w:t>Cameron and Quinn (2011)</w:t>
            </w:r>
          </w:p>
        </w:tc>
      </w:tr>
      <w:tr w:rsidR="0054713F" w:rsidRPr="0054713F" w14:paraId="7CE12FDE" w14:textId="77777777" w:rsidTr="0054713F">
        <w:trPr>
          <w:trHeight w:val="312"/>
        </w:trPr>
        <w:tc>
          <w:tcPr>
            <w:tcW w:w="3220" w:type="dxa"/>
            <w:vAlign w:val="center"/>
            <w:hideMark/>
          </w:tcPr>
          <w:p w14:paraId="4331804A" w14:textId="77777777" w:rsidR="0054713F" w:rsidRPr="0054713F" w:rsidRDefault="0054713F" w:rsidP="0054713F">
            <w:pPr>
              <w:bidi/>
              <w:spacing w:after="0" w:line="240" w:lineRule="auto"/>
              <w:jc w:val="center"/>
              <w:rPr>
                <w:rFonts w:asciiTheme="majorBidi" w:eastAsia="Times New Roman" w:hAnsiTheme="majorBidi" w:cstheme="majorBidi"/>
                <w:color w:val="000000"/>
                <w:kern w:val="0"/>
                <w:sz w:val="28"/>
                <w:szCs w:val="28"/>
                <w:rtl/>
                <w14:ligatures w14:val="none"/>
              </w:rPr>
            </w:pPr>
            <w:r w:rsidRPr="0054713F">
              <w:rPr>
                <w:rFonts w:asciiTheme="majorBidi" w:eastAsia="Times New Roman" w:hAnsiTheme="majorBidi" w:cstheme="majorBidi"/>
                <w:color w:val="000000"/>
                <w:kern w:val="0"/>
                <w:sz w:val="28"/>
                <w:szCs w:val="28"/>
                <w:rtl/>
                <w14:ligatures w14:val="none"/>
              </w:rPr>
              <w:t>ثقافة التمكين والتشاركية</w:t>
            </w:r>
          </w:p>
        </w:tc>
        <w:tc>
          <w:tcPr>
            <w:tcW w:w="3880" w:type="dxa"/>
            <w:vAlign w:val="center"/>
            <w:hideMark/>
          </w:tcPr>
          <w:p w14:paraId="5D138207" w14:textId="77777777" w:rsidR="0054713F" w:rsidRPr="0054713F" w:rsidRDefault="0054713F" w:rsidP="0054713F">
            <w:pPr>
              <w:bidi/>
              <w:spacing w:after="0" w:line="240" w:lineRule="auto"/>
              <w:jc w:val="center"/>
              <w:rPr>
                <w:rFonts w:asciiTheme="majorBidi" w:eastAsia="Times New Roman" w:hAnsiTheme="majorBidi" w:cstheme="majorBidi"/>
                <w:color w:val="000000"/>
                <w:kern w:val="0"/>
                <w:sz w:val="28"/>
                <w:szCs w:val="28"/>
                <w:rtl/>
                <w14:ligatures w14:val="none"/>
              </w:rPr>
            </w:pPr>
            <w:r w:rsidRPr="0054713F">
              <w:rPr>
                <w:rFonts w:asciiTheme="majorBidi" w:eastAsia="Times New Roman" w:hAnsiTheme="majorBidi" w:cstheme="majorBidi"/>
                <w:color w:val="000000"/>
                <w:kern w:val="0"/>
                <w:sz w:val="28"/>
                <w:szCs w:val="28"/>
                <w:rtl/>
                <w14:ligatures w14:val="none"/>
              </w:rPr>
              <w:t>بيئة داعمة تقوم على الثقة والمشاركة</w:t>
            </w:r>
          </w:p>
        </w:tc>
        <w:tc>
          <w:tcPr>
            <w:tcW w:w="2800" w:type="dxa"/>
            <w:vAlign w:val="center"/>
            <w:hideMark/>
          </w:tcPr>
          <w:p w14:paraId="50703D01" w14:textId="77777777" w:rsidR="0054713F" w:rsidRPr="0054713F" w:rsidRDefault="0054713F" w:rsidP="0054713F">
            <w:pPr>
              <w:bidi/>
              <w:spacing w:after="0" w:line="240" w:lineRule="auto"/>
              <w:jc w:val="center"/>
              <w:rPr>
                <w:rFonts w:asciiTheme="majorBidi" w:eastAsia="Times New Roman" w:hAnsiTheme="majorBidi" w:cstheme="majorBidi"/>
                <w:color w:val="000000"/>
                <w:kern w:val="0"/>
                <w:sz w:val="28"/>
                <w:szCs w:val="28"/>
                <w:rtl/>
                <w14:ligatures w14:val="none"/>
              </w:rPr>
            </w:pPr>
            <w:r w:rsidRPr="0054713F">
              <w:rPr>
                <w:rFonts w:asciiTheme="majorBidi" w:eastAsia="Times New Roman" w:hAnsiTheme="majorBidi" w:cstheme="majorBidi"/>
                <w:color w:val="000000"/>
                <w:kern w:val="0"/>
                <w:sz w:val="28"/>
                <w:szCs w:val="28"/>
                <w14:ligatures w14:val="none"/>
              </w:rPr>
              <w:t>Lawler III (1992)</w:t>
            </w:r>
          </w:p>
        </w:tc>
      </w:tr>
      <w:tr w:rsidR="0054713F" w:rsidRPr="0054713F" w14:paraId="086C27E3" w14:textId="77777777" w:rsidTr="0054713F">
        <w:trPr>
          <w:trHeight w:val="312"/>
        </w:trPr>
        <w:tc>
          <w:tcPr>
            <w:tcW w:w="3220" w:type="dxa"/>
            <w:vAlign w:val="center"/>
            <w:hideMark/>
          </w:tcPr>
          <w:p w14:paraId="65F6560D" w14:textId="77777777" w:rsidR="0054713F" w:rsidRPr="0054713F" w:rsidRDefault="0054713F" w:rsidP="0054713F">
            <w:pPr>
              <w:bidi/>
              <w:spacing w:after="0" w:line="240" w:lineRule="auto"/>
              <w:jc w:val="center"/>
              <w:rPr>
                <w:rFonts w:asciiTheme="majorBidi" w:eastAsia="Times New Roman" w:hAnsiTheme="majorBidi" w:cstheme="majorBidi"/>
                <w:color w:val="000000"/>
                <w:kern w:val="0"/>
                <w:sz w:val="28"/>
                <w:szCs w:val="28"/>
                <w:rtl/>
                <w14:ligatures w14:val="none"/>
              </w:rPr>
            </w:pPr>
            <w:r w:rsidRPr="0054713F">
              <w:rPr>
                <w:rFonts w:asciiTheme="majorBidi" w:eastAsia="Times New Roman" w:hAnsiTheme="majorBidi" w:cstheme="majorBidi"/>
                <w:color w:val="000000"/>
                <w:kern w:val="0"/>
                <w:sz w:val="28"/>
                <w:szCs w:val="28"/>
                <w:rtl/>
                <w14:ligatures w14:val="none"/>
              </w:rPr>
              <w:t>ثقافة التعلم والأمان النفسي</w:t>
            </w:r>
          </w:p>
        </w:tc>
        <w:tc>
          <w:tcPr>
            <w:tcW w:w="3880" w:type="dxa"/>
            <w:vAlign w:val="center"/>
            <w:hideMark/>
          </w:tcPr>
          <w:p w14:paraId="36501B0C" w14:textId="77777777" w:rsidR="0054713F" w:rsidRPr="0054713F" w:rsidRDefault="0054713F" w:rsidP="0054713F">
            <w:pPr>
              <w:bidi/>
              <w:spacing w:after="0" w:line="240" w:lineRule="auto"/>
              <w:jc w:val="center"/>
              <w:rPr>
                <w:rFonts w:asciiTheme="majorBidi" w:eastAsia="Times New Roman" w:hAnsiTheme="majorBidi" w:cstheme="majorBidi"/>
                <w:color w:val="000000"/>
                <w:kern w:val="0"/>
                <w:sz w:val="28"/>
                <w:szCs w:val="28"/>
                <w:rtl/>
                <w14:ligatures w14:val="none"/>
              </w:rPr>
            </w:pPr>
            <w:r w:rsidRPr="0054713F">
              <w:rPr>
                <w:rFonts w:asciiTheme="majorBidi" w:eastAsia="Times New Roman" w:hAnsiTheme="majorBidi" w:cstheme="majorBidi"/>
                <w:color w:val="000000"/>
                <w:kern w:val="0"/>
                <w:sz w:val="28"/>
                <w:szCs w:val="28"/>
                <w:rtl/>
                <w14:ligatures w14:val="none"/>
              </w:rPr>
              <w:t>التعلم المستمر وقبول الفشل كجزء من التطوير</w:t>
            </w:r>
          </w:p>
        </w:tc>
        <w:tc>
          <w:tcPr>
            <w:tcW w:w="2800" w:type="dxa"/>
            <w:vAlign w:val="center"/>
            <w:hideMark/>
          </w:tcPr>
          <w:p w14:paraId="3A2A6B89" w14:textId="77777777" w:rsidR="0054713F" w:rsidRPr="0054713F" w:rsidRDefault="0054713F" w:rsidP="0054713F">
            <w:pPr>
              <w:bidi/>
              <w:spacing w:after="0" w:line="240" w:lineRule="auto"/>
              <w:jc w:val="center"/>
              <w:rPr>
                <w:rFonts w:asciiTheme="majorBidi" w:eastAsia="Times New Roman" w:hAnsiTheme="majorBidi" w:cstheme="majorBidi"/>
                <w:color w:val="000000"/>
                <w:kern w:val="0"/>
                <w:sz w:val="28"/>
                <w:szCs w:val="28"/>
                <w:rtl/>
                <w14:ligatures w14:val="none"/>
              </w:rPr>
            </w:pPr>
            <w:r w:rsidRPr="0054713F">
              <w:rPr>
                <w:rFonts w:asciiTheme="majorBidi" w:eastAsia="Times New Roman" w:hAnsiTheme="majorBidi" w:cstheme="majorBidi"/>
                <w:color w:val="000000"/>
                <w:kern w:val="0"/>
                <w:sz w:val="28"/>
                <w:szCs w:val="28"/>
                <w14:ligatures w14:val="none"/>
              </w:rPr>
              <w:t>Edmondson (1999)</w:t>
            </w:r>
          </w:p>
        </w:tc>
      </w:tr>
      <w:tr w:rsidR="0054713F" w:rsidRPr="0054713F" w14:paraId="04DE3271" w14:textId="77777777" w:rsidTr="0054713F">
        <w:trPr>
          <w:trHeight w:val="312"/>
        </w:trPr>
        <w:tc>
          <w:tcPr>
            <w:tcW w:w="3220" w:type="dxa"/>
            <w:vAlign w:val="center"/>
            <w:hideMark/>
          </w:tcPr>
          <w:p w14:paraId="3842DD06" w14:textId="77777777" w:rsidR="0054713F" w:rsidRPr="0054713F" w:rsidRDefault="0054713F" w:rsidP="0054713F">
            <w:pPr>
              <w:bidi/>
              <w:spacing w:after="0" w:line="240" w:lineRule="auto"/>
              <w:jc w:val="center"/>
              <w:rPr>
                <w:rFonts w:asciiTheme="majorBidi" w:eastAsia="Times New Roman" w:hAnsiTheme="majorBidi" w:cstheme="majorBidi"/>
                <w:color w:val="000000"/>
                <w:kern w:val="0"/>
                <w:sz w:val="28"/>
                <w:szCs w:val="28"/>
                <w:rtl/>
                <w14:ligatures w14:val="none"/>
              </w:rPr>
            </w:pPr>
            <w:r w:rsidRPr="0054713F">
              <w:rPr>
                <w:rFonts w:asciiTheme="majorBidi" w:eastAsia="Times New Roman" w:hAnsiTheme="majorBidi" w:cstheme="majorBidi"/>
                <w:color w:val="000000"/>
                <w:kern w:val="0"/>
                <w:sz w:val="28"/>
                <w:szCs w:val="28"/>
                <w:rtl/>
                <w14:ligatures w14:val="none"/>
              </w:rPr>
              <w:t>البنية البيروقراطية</w:t>
            </w:r>
          </w:p>
        </w:tc>
        <w:tc>
          <w:tcPr>
            <w:tcW w:w="3880" w:type="dxa"/>
            <w:vAlign w:val="center"/>
            <w:hideMark/>
          </w:tcPr>
          <w:p w14:paraId="7825F370" w14:textId="77777777" w:rsidR="0054713F" w:rsidRPr="0054713F" w:rsidRDefault="0054713F" w:rsidP="0054713F">
            <w:pPr>
              <w:bidi/>
              <w:spacing w:after="0" w:line="240" w:lineRule="auto"/>
              <w:jc w:val="center"/>
              <w:rPr>
                <w:rFonts w:asciiTheme="majorBidi" w:eastAsia="Times New Roman" w:hAnsiTheme="majorBidi" w:cstheme="majorBidi"/>
                <w:color w:val="000000"/>
                <w:kern w:val="0"/>
                <w:sz w:val="28"/>
                <w:szCs w:val="28"/>
                <w:rtl/>
                <w14:ligatures w14:val="none"/>
              </w:rPr>
            </w:pPr>
            <w:r w:rsidRPr="0054713F">
              <w:rPr>
                <w:rFonts w:asciiTheme="majorBidi" w:eastAsia="Times New Roman" w:hAnsiTheme="majorBidi" w:cstheme="majorBidi"/>
                <w:color w:val="000000"/>
                <w:kern w:val="0"/>
                <w:sz w:val="28"/>
                <w:szCs w:val="28"/>
                <w:rtl/>
                <w14:ligatures w14:val="none"/>
              </w:rPr>
              <w:t>مركزية القرار وكثرة الإجراءات الرسمية</w:t>
            </w:r>
          </w:p>
        </w:tc>
        <w:tc>
          <w:tcPr>
            <w:tcW w:w="2800" w:type="dxa"/>
            <w:vAlign w:val="center"/>
            <w:hideMark/>
          </w:tcPr>
          <w:p w14:paraId="62F8FBBB" w14:textId="77777777" w:rsidR="0054713F" w:rsidRPr="0054713F" w:rsidRDefault="0054713F" w:rsidP="0054713F">
            <w:pPr>
              <w:bidi/>
              <w:spacing w:after="0" w:line="240" w:lineRule="auto"/>
              <w:jc w:val="center"/>
              <w:rPr>
                <w:rFonts w:asciiTheme="majorBidi" w:eastAsia="Times New Roman" w:hAnsiTheme="majorBidi" w:cstheme="majorBidi"/>
                <w:color w:val="000000"/>
                <w:kern w:val="0"/>
                <w:sz w:val="28"/>
                <w:szCs w:val="28"/>
                <w:rtl/>
                <w14:ligatures w14:val="none"/>
              </w:rPr>
            </w:pPr>
            <w:r w:rsidRPr="0054713F">
              <w:rPr>
                <w:rFonts w:asciiTheme="majorBidi" w:eastAsia="Times New Roman" w:hAnsiTheme="majorBidi" w:cstheme="majorBidi"/>
                <w:color w:val="000000"/>
                <w:kern w:val="0"/>
                <w:sz w:val="28"/>
                <w:szCs w:val="28"/>
                <w14:ligatures w14:val="none"/>
              </w:rPr>
              <w:t>Schein (2010)</w:t>
            </w:r>
          </w:p>
        </w:tc>
      </w:tr>
      <w:tr w:rsidR="0054713F" w:rsidRPr="0054713F" w14:paraId="10607BFE" w14:textId="77777777" w:rsidTr="0054713F">
        <w:trPr>
          <w:trHeight w:val="624"/>
        </w:trPr>
        <w:tc>
          <w:tcPr>
            <w:tcW w:w="3220" w:type="dxa"/>
            <w:vAlign w:val="center"/>
            <w:hideMark/>
          </w:tcPr>
          <w:p w14:paraId="5B41D60B" w14:textId="77777777" w:rsidR="0054713F" w:rsidRPr="0054713F" w:rsidRDefault="0054713F" w:rsidP="0054713F">
            <w:pPr>
              <w:bidi/>
              <w:spacing w:after="0" w:line="240" w:lineRule="auto"/>
              <w:jc w:val="center"/>
              <w:rPr>
                <w:rFonts w:asciiTheme="majorBidi" w:eastAsia="Times New Roman" w:hAnsiTheme="majorBidi" w:cstheme="majorBidi"/>
                <w:color w:val="000000"/>
                <w:kern w:val="0"/>
                <w:sz w:val="28"/>
                <w:szCs w:val="28"/>
                <w:rtl/>
                <w14:ligatures w14:val="none"/>
              </w:rPr>
            </w:pPr>
            <w:r w:rsidRPr="0054713F">
              <w:rPr>
                <w:rFonts w:asciiTheme="majorBidi" w:eastAsia="Times New Roman" w:hAnsiTheme="majorBidi" w:cstheme="majorBidi"/>
                <w:color w:val="000000"/>
                <w:kern w:val="0"/>
                <w:sz w:val="28"/>
                <w:szCs w:val="28"/>
                <w:rtl/>
                <w14:ligatures w14:val="none"/>
              </w:rPr>
              <w:t>التركيز على النتائج والمهمة</w:t>
            </w:r>
          </w:p>
        </w:tc>
        <w:tc>
          <w:tcPr>
            <w:tcW w:w="3880" w:type="dxa"/>
            <w:vAlign w:val="center"/>
            <w:hideMark/>
          </w:tcPr>
          <w:p w14:paraId="07BD384B" w14:textId="77777777" w:rsidR="0054713F" w:rsidRPr="0054713F" w:rsidRDefault="0054713F" w:rsidP="0054713F">
            <w:pPr>
              <w:bidi/>
              <w:spacing w:after="0" w:line="240" w:lineRule="auto"/>
              <w:jc w:val="center"/>
              <w:rPr>
                <w:rFonts w:asciiTheme="majorBidi" w:eastAsia="Times New Roman" w:hAnsiTheme="majorBidi" w:cstheme="majorBidi"/>
                <w:color w:val="000000"/>
                <w:kern w:val="0"/>
                <w:sz w:val="28"/>
                <w:szCs w:val="28"/>
                <w:rtl/>
                <w14:ligatures w14:val="none"/>
              </w:rPr>
            </w:pPr>
            <w:r w:rsidRPr="0054713F">
              <w:rPr>
                <w:rFonts w:asciiTheme="majorBidi" w:eastAsia="Times New Roman" w:hAnsiTheme="majorBidi" w:cstheme="majorBidi"/>
                <w:color w:val="000000"/>
                <w:kern w:val="0"/>
                <w:sz w:val="28"/>
                <w:szCs w:val="28"/>
                <w:rtl/>
                <w14:ligatures w14:val="none"/>
              </w:rPr>
              <w:t>السعي لتحقيق الأهداف ورضا العملاء</w:t>
            </w:r>
          </w:p>
        </w:tc>
        <w:tc>
          <w:tcPr>
            <w:tcW w:w="2800" w:type="dxa"/>
            <w:vAlign w:val="center"/>
            <w:hideMark/>
          </w:tcPr>
          <w:p w14:paraId="012555FD" w14:textId="77777777" w:rsidR="0054713F" w:rsidRPr="0054713F" w:rsidRDefault="0054713F" w:rsidP="0054713F">
            <w:pPr>
              <w:bidi/>
              <w:spacing w:after="0" w:line="240" w:lineRule="auto"/>
              <w:jc w:val="center"/>
              <w:rPr>
                <w:rFonts w:asciiTheme="majorBidi" w:eastAsia="Times New Roman" w:hAnsiTheme="majorBidi" w:cstheme="majorBidi"/>
                <w:color w:val="000000"/>
                <w:kern w:val="0"/>
                <w:sz w:val="28"/>
                <w:szCs w:val="28"/>
                <w:rtl/>
                <w14:ligatures w14:val="none"/>
              </w:rPr>
            </w:pPr>
            <w:r w:rsidRPr="0054713F">
              <w:rPr>
                <w:rFonts w:asciiTheme="majorBidi" w:eastAsia="Times New Roman" w:hAnsiTheme="majorBidi" w:cstheme="majorBidi"/>
                <w:color w:val="000000"/>
                <w:kern w:val="0"/>
                <w:sz w:val="28"/>
                <w:szCs w:val="28"/>
                <w14:ligatures w14:val="none"/>
              </w:rPr>
              <w:t>Denison and Mishra (1995)</w:t>
            </w:r>
          </w:p>
        </w:tc>
      </w:tr>
    </w:tbl>
    <w:p w14:paraId="126FA26D" w14:textId="22216F97" w:rsidR="007575D7" w:rsidRPr="007575D7" w:rsidRDefault="007575D7" w:rsidP="007575D7">
      <w:pPr>
        <w:bidi/>
        <w:rPr>
          <w:rFonts w:asciiTheme="majorBidi" w:hAnsiTheme="majorBidi" w:cstheme="majorBidi"/>
          <w:b/>
          <w:bCs/>
          <w:sz w:val="28"/>
          <w:szCs w:val="28"/>
        </w:rPr>
      </w:pPr>
    </w:p>
    <w:p w14:paraId="10D4E1C3" w14:textId="51E5AE7C" w:rsidR="006652C1" w:rsidRDefault="007575D7" w:rsidP="006652C1">
      <w:pPr>
        <w:bidi/>
        <w:jc w:val="both"/>
        <w:rPr>
          <w:rFonts w:asciiTheme="majorBidi" w:hAnsiTheme="majorBidi" w:cstheme="majorBidi"/>
          <w:sz w:val="28"/>
          <w:szCs w:val="28"/>
          <w:rtl/>
        </w:rPr>
      </w:pPr>
      <w:r w:rsidRPr="007575D7">
        <w:rPr>
          <w:rFonts w:asciiTheme="majorBidi" w:hAnsiTheme="majorBidi" w:cstheme="majorBidi"/>
          <w:sz w:val="28"/>
          <w:szCs w:val="28"/>
          <w:rtl/>
        </w:rPr>
        <w:t>يتسق اختيار هذه الأبعاد مع الإطار المفاهيمي الوارد في الفصل الأول، إذ تُعالج الثقافة التنظيمية بوصفها بيئة حاضنة أو مقيدة للأثر الذي تُحدثه أنظمة العمل عالية الأداء على الإبداع الوظيفي. فالثقافة التي تدعم الابتكار، وتمكّن الموظفين، وتوفر الأمان النفسي، غالبًا ما تعزز قدرة هذه الأنظمة على تحفيز التفكير الإبداعي وتحويل الأفكار إلى واقع عملي</w:t>
      </w:r>
      <w:r w:rsidR="0054713F" w:rsidRPr="00DC3DDE">
        <w:rPr>
          <w:rFonts w:asciiTheme="majorBidi" w:hAnsiTheme="majorBidi" w:cstheme="majorBidi"/>
          <w:sz w:val="28"/>
          <w:szCs w:val="28"/>
          <w:rtl/>
        </w:rPr>
        <w:t xml:space="preserve"> </w:t>
      </w:r>
      <w:r w:rsidR="0054713F" w:rsidRPr="00DC3DDE">
        <w:rPr>
          <w:rFonts w:asciiTheme="majorBidi" w:hAnsiTheme="majorBidi" w:cstheme="majorBidi"/>
          <w:sz w:val="28"/>
          <w:szCs w:val="28"/>
          <w:rtl/>
        </w:rPr>
        <w:fldChar w:fldCharType="begin"/>
      </w:r>
      <w:r w:rsidR="0054713F" w:rsidRPr="00DC3DDE">
        <w:rPr>
          <w:rFonts w:asciiTheme="majorBidi" w:hAnsiTheme="majorBidi" w:cstheme="majorBidi"/>
          <w:sz w:val="28"/>
          <w:szCs w:val="28"/>
          <w:rtl/>
        </w:rPr>
        <w:instrText xml:space="preserve"> </w:instrText>
      </w:r>
      <w:r w:rsidR="0054713F" w:rsidRPr="00DC3DDE">
        <w:rPr>
          <w:rFonts w:asciiTheme="majorBidi" w:hAnsiTheme="majorBidi" w:cstheme="majorBidi"/>
          <w:sz w:val="28"/>
          <w:szCs w:val="28"/>
        </w:rPr>
        <w:instrText>ADDIN EN.CITE &lt;EndNote&gt;&lt;Cite&gt;&lt;Author&gt;Martins&lt;/Author&gt;&lt;Year&gt;2003&lt;/Year&gt;&lt;RecNum&gt;2320&lt;/RecNum&gt;&lt;DisplayText&gt;(Martins and Terblanche, 2003, Takeuchi et al., 2007)&lt;/DisplayText&gt;&lt;record&gt;&lt;rec-number&gt;2320&lt;/rec-number&gt;&lt;foreign-keys&gt;&lt;key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Cite&gt;&lt;Author&gt;Takeuchi&lt;/Author&gt;&lt;Year&gt;2007&lt;/Year&gt;&lt;RecNum&gt;1358&lt;/RecNum&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psychology&lt;/secondary-title&gt;&lt;/titles&gt;&lt;periodical&gt;&lt;full-title&gt;Journal of applied psychology&lt;/full-title&gt;&lt;/periodical&gt;&lt;pages&gt;1069&lt;/pages&gt;&lt;volume&gt;92&lt;/volume&gt;&lt;number&gt;4&lt;/number&gt;&lt;dates&gt;&lt;year&gt;2007&lt;/year&gt;&lt;/dates&gt;&lt;isbn&gt;1939-1854&lt;/isbn&gt;&lt;urls&gt;&lt;/urls&gt;&lt;/record&gt;&lt;/Cite&gt;&lt;/EndNote</w:instrText>
      </w:r>
      <w:r w:rsidR="0054713F" w:rsidRPr="00DC3DDE">
        <w:rPr>
          <w:rFonts w:asciiTheme="majorBidi" w:hAnsiTheme="majorBidi" w:cstheme="majorBidi"/>
          <w:sz w:val="28"/>
          <w:szCs w:val="28"/>
          <w:rtl/>
        </w:rPr>
        <w:instrText>&gt;</w:instrText>
      </w:r>
      <w:r w:rsidR="0054713F" w:rsidRPr="00DC3DDE">
        <w:rPr>
          <w:rFonts w:asciiTheme="majorBidi" w:hAnsiTheme="majorBidi" w:cstheme="majorBidi"/>
          <w:sz w:val="28"/>
          <w:szCs w:val="28"/>
          <w:rtl/>
        </w:rPr>
        <w:fldChar w:fldCharType="separate"/>
      </w:r>
      <w:r w:rsidR="0054713F" w:rsidRPr="00DC3DDE">
        <w:rPr>
          <w:rFonts w:asciiTheme="majorBidi" w:hAnsiTheme="majorBidi" w:cstheme="majorBidi"/>
          <w:noProof/>
          <w:sz w:val="28"/>
          <w:szCs w:val="28"/>
          <w:rtl/>
        </w:rPr>
        <w:t>(</w:t>
      </w:r>
      <w:r w:rsidR="0054713F" w:rsidRPr="00DC3DDE">
        <w:rPr>
          <w:rFonts w:asciiTheme="majorBidi" w:hAnsiTheme="majorBidi" w:cstheme="majorBidi"/>
          <w:noProof/>
          <w:sz w:val="28"/>
          <w:szCs w:val="28"/>
        </w:rPr>
        <w:t>Martins and Terblanche, 2003, Takeuchi et al., 2007</w:t>
      </w:r>
      <w:r w:rsidR="0054713F" w:rsidRPr="00DC3DDE">
        <w:rPr>
          <w:rFonts w:asciiTheme="majorBidi" w:hAnsiTheme="majorBidi" w:cstheme="majorBidi"/>
          <w:noProof/>
          <w:sz w:val="28"/>
          <w:szCs w:val="28"/>
          <w:rtl/>
        </w:rPr>
        <w:t>)</w:t>
      </w:r>
      <w:r w:rsidR="0054713F" w:rsidRPr="00DC3DDE">
        <w:rPr>
          <w:rFonts w:asciiTheme="majorBidi" w:hAnsiTheme="majorBidi" w:cstheme="majorBidi"/>
          <w:sz w:val="28"/>
          <w:szCs w:val="28"/>
          <w:rtl/>
        </w:rPr>
        <w:fldChar w:fldCharType="end"/>
      </w:r>
      <w:r w:rsidR="0054713F" w:rsidRPr="00DC3DDE">
        <w:rPr>
          <w:rFonts w:asciiTheme="majorBidi" w:hAnsiTheme="majorBidi" w:cstheme="majorBidi"/>
          <w:sz w:val="28"/>
          <w:szCs w:val="28"/>
          <w:rtl/>
        </w:rPr>
        <w:t>.</w:t>
      </w:r>
    </w:p>
    <w:p w14:paraId="544A111D" w14:textId="77777777" w:rsidR="006652C1" w:rsidRPr="00DC3DDE" w:rsidRDefault="006652C1" w:rsidP="006652C1">
      <w:pPr>
        <w:bidi/>
        <w:jc w:val="both"/>
        <w:rPr>
          <w:rFonts w:asciiTheme="majorBidi" w:hAnsiTheme="majorBidi" w:cstheme="majorBidi"/>
          <w:sz w:val="28"/>
          <w:szCs w:val="28"/>
        </w:rPr>
      </w:pPr>
    </w:p>
    <w:p w14:paraId="075EE606" w14:textId="77777777" w:rsidR="002E6C18" w:rsidRPr="00DC3DDE" w:rsidRDefault="002E6C18" w:rsidP="002E6C18">
      <w:pPr>
        <w:bidi/>
        <w:rPr>
          <w:rFonts w:asciiTheme="majorBidi" w:hAnsiTheme="majorBidi" w:cstheme="majorBidi"/>
          <w:b/>
          <w:bCs/>
          <w:sz w:val="28"/>
          <w:szCs w:val="28"/>
        </w:rPr>
      </w:pPr>
      <w:r w:rsidRPr="00DC3DDE">
        <w:rPr>
          <w:rFonts w:asciiTheme="majorBidi" w:hAnsiTheme="majorBidi" w:cstheme="majorBidi"/>
          <w:b/>
          <w:bCs/>
          <w:sz w:val="28"/>
          <w:szCs w:val="28"/>
          <w:rtl/>
        </w:rPr>
        <w:t>أهمية النموذج في السياق التنظيمي</w:t>
      </w:r>
    </w:p>
    <w:p w14:paraId="5EAB337E" w14:textId="77777777" w:rsidR="002E6C18" w:rsidRPr="00DC3DDE" w:rsidRDefault="002E6C18" w:rsidP="00A0551C">
      <w:pPr>
        <w:bidi/>
        <w:jc w:val="both"/>
        <w:rPr>
          <w:rFonts w:asciiTheme="majorBidi" w:hAnsiTheme="majorBidi" w:cstheme="majorBidi"/>
          <w:sz w:val="28"/>
          <w:szCs w:val="28"/>
        </w:rPr>
      </w:pPr>
      <w:r w:rsidRPr="00DC3DDE">
        <w:rPr>
          <w:rFonts w:asciiTheme="majorBidi" w:hAnsiTheme="majorBidi" w:cstheme="majorBidi"/>
          <w:sz w:val="28"/>
          <w:szCs w:val="28"/>
          <w:rtl/>
        </w:rPr>
        <w:t xml:space="preserve">يُستخدم نموذج </w:t>
      </w:r>
      <w:proofErr w:type="spellStart"/>
      <w:r w:rsidRPr="00DC3DDE">
        <w:rPr>
          <w:rFonts w:asciiTheme="majorBidi" w:hAnsiTheme="majorBidi" w:cstheme="majorBidi"/>
          <w:sz w:val="28"/>
          <w:szCs w:val="28"/>
          <w:rtl/>
        </w:rPr>
        <w:t>هوفستد</w:t>
      </w:r>
      <w:proofErr w:type="spellEnd"/>
      <w:r w:rsidRPr="00DC3DDE">
        <w:rPr>
          <w:rFonts w:asciiTheme="majorBidi" w:hAnsiTheme="majorBidi" w:cstheme="majorBidi"/>
          <w:sz w:val="28"/>
          <w:szCs w:val="28"/>
          <w:rtl/>
        </w:rPr>
        <w:t xml:space="preserve"> كأداة تحليلية لتفسير سلوك الأفراد داخل المؤسسات متعددة الجنسيات أو داخل البيئات المتنوعة ثقافيًا. وفي سياق هذه الدراسة، يساعد هذا النموذج على تحليل كيف يمكن للخصائص الثقافية السائدة في المؤسسات السعودية أن تُشكل (أو تُقيد) العلاقة بين أنظمة العمل عالية الأداء والإبداع الوظيفي، من خلال تأثيرها على بيئة العمل وتوقعات الموظفين</w:t>
      </w:r>
      <w:r w:rsidRPr="00DC3DDE">
        <w:rPr>
          <w:rFonts w:asciiTheme="majorBidi" w:hAnsiTheme="majorBidi" w:cstheme="majorBidi"/>
          <w:sz w:val="28"/>
          <w:szCs w:val="28"/>
        </w:rPr>
        <w:t>.</w:t>
      </w:r>
    </w:p>
    <w:p w14:paraId="68E35544" w14:textId="77777777" w:rsidR="002E6C18" w:rsidRDefault="002E6C18" w:rsidP="00A0551C">
      <w:pPr>
        <w:bidi/>
        <w:jc w:val="both"/>
        <w:rPr>
          <w:rFonts w:asciiTheme="majorBidi" w:hAnsiTheme="majorBidi" w:cstheme="majorBidi"/>
          <w:sz w:val="28"/>
          <w:szCs w:val="28"/>
          <w:rtl/>
        </w:rPr>
      </w:pPr>
      <w:r w:rsidRPr="00DC3DDE">
        <w:rPr>
          <w:rFonts w:asciiTheme="majorBidi" w:hAnsiTheme="majorBidi" w:cstheme="majorBidi"/>
          <w:sz w:val="28"/>
          <w:szCs w:val="28"/>
          <w:rtl/>
        </w:rPr>
        <w:t xml:space="preserve">وقد أظهرت الأبحاث أن التوافق بين الثقافة التنظيمية وممارسات الموارد البشرية يُعد شرطًا أساسيًا لنجاح هذه الممارسات في تحفيز السلوك الإبداعي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&lt;EndNote&gt;&lt;Cite&gt;&lt;Author&gt;Taras&lt;/Author&gt;&lt;Year&gt;2010&lt;/Year&gt;&lt;RecNum&gt;2766&lt;/RecNum&gt;&lt;DisplayText&gt;(Taras et al., 2010)&lt;/DisplayText&gt;&lt;record&gt;&lt;rec-number&gt;2766&lt;/rec-number&gt;&lt;foreign-keys&gt;&lt;key app="EN" db-id="t5vttv59or5xwbe2zdm5ewrxd905arrpawff" timestamp="1748379705"&gt;2766&lt;/key&gt;&lt;/foreign-keys&gt;&lt;ref-type name="Journal Article"&gt;17&lt;/ref-type&gt;&lt;contributors&gt;&lt;authors&gt;&lt;author&gt;Taras, Vas&lt;/author&gt;&lt;author&gt;Kirkman, Bradley L&lt;/author&gt;&lt;author&gt;Steel, Piers&lt;/author&gt;&lt;/authors&gt;&lt;/contributors&gt;&lt;titles&gt;&lt;title&gt;Examining the impact of Culture&amp;apos;s consequences: a three-decade, multilevel, meta-analytic review of Hofstede&amp;apos;s cultural value dimensions&lt;/title&gt;&lt;secondary-title&gt;Journal of applied psychology&lt;/secondary-title&gt;&lt;/titles&gt;&lt;periodical&gt;&lt;full-title&gt;Journal of applied</w:instrText>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psychology&lt;/full-title&gt;&lt;/periodical&gt;&lt;pages&gt;405&lt;/pages&gt;&lt;volume&gt;95&lt;/volume&gt;&lt;number&gt;3&lt;/number&gt;&lt;dates&gt;&lt;year&gt;2010&lt;/year&gt;&lt;/dates&gt;&lt;isbn&gt;1939-1854&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Taras et al., 2010</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0958391A" w14:textId="77777777" w:rsidR="006652C1" w:rsidRPr="00DC3DDE" w:rsidRDefault="006652C1" w:rsidP="006652C1">
      <w:pPr>
        <w:bidi/>
        <w:jc w:val="both"/>
        <w:rPr>
          <w:rFonts w:asciiTheme="majorBidi" w:hAnsiTheme="majorBidi" w:cstheme="majorBidi"/>
          <w:sz w:val="28"/>
          <w:szCs w:val="28"/>
        </w:rPr>
      </w:pPr>
    </w:p>
    <w:p w14:paraId="744B1281" w14:textId="3B24613B" w:rsidR="002E6C18" w:rsidRPr="00DC3DDE" w:rsidRDefault="002E6C18" w:rsidP="00A0551C">
      <w:p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ثالثًا: نموذج </w:t>
      </w:r>
      <w:proofErr w:type="spellStart"/>
      <w:r w:rsidRPr="00DC3DDE">
        <w:rPr>
          <w:rFonts w:asciiTheme="majorBidi" w:hAnsiTheme="majorBidi" w:cstheme="majorBidi"/>
          <w:b/>
          <w:bCs/>
          <w:sz w:val="28"/>
          <w:szCs w:val="28"/>
          <w:rtl/>
        </w:rPr>
        <w:t>دينيسون</w:t>
      </w:r>
      <w:proofErr w:type="spellEnd"/>
      <w:r w:rsidRPr="00DC3DDE">
        <w:rPr>
          <w:rFonts w:asciiTheme="majorBidi" w:hAnsiTheme="majorBidi" w:cstheme="majorBidi"/>
          <w:b/>
          <w:bCs/>
          <w:sz w:val="28"/>
          <w:szCs w:val="28"/>
          <w:rtl/>
        </w:rPr>
        <w:t xml:space="preserve"> للثقافة التنظيمية</w:t>
      </w:r>
      <w:r w:rsidR="003A5C90">
        <w:rPr>
          <w:rFonts w:asciiTheme="majorBidi" w:hAnsiTheme="majorBidi" w:cstheme="majorBidi" w:hint="cs"/>
          <w:b/>
          <w:bCs/>
          <w:sz w:val="28"/>
          <w:szCs w:val="28"/>
          <w:rtl/>
        </w:rPr>
        <w:t xml:space="preserve"> </w:t>
      </w:r>
      <w:r w:rsidRPr="00DC3DDE">
        <w:rPr>
          <w:rFonts w:asciiTheme="majorBidi" w:hAnsiTheme="majorBidi" w:cstheme="majorBidi"/>
          <w:b/>
          <w:bCs/>
          <w:sz w:val="28"/>
          <w:szCs w:val="28"/>
        </w:rPr>
        <w:t>(Denison’s Organizational Culture Model)</w:t>
      </w:r>
    </w:p>
    <w:p w14:paraId="1A992DA7" w14:textId="120826EC" w:rsidR="003907B9" w:rsidRPr="00DC3DDE" w:rsidRDefault="002E6C18" w:rsidP="00A0551C">
      <w:pPr>
        <w:bidi/>
        <w:jc w:val="both"/>
        <w:rPr>
          <w:rFonts w:asciiTheme="majorBidi" w:hAnsiTheme="majorBidi" w:cstheme="majorBidi"/>
          <w:sz w:val="28"/>
          <w:szCs w:val="28"/>
        </w:rPr>
      </w:pPr>
      <w:r w:rsidRPr="00DC3DDE">
        <w:rPr>
          <w:rFonts w:asciiTheme="majorBidi" w:hAnsiTheme="majorBidi" w:cstheme="majorBidi"/>
          <w:sz w:val="28"/>
          <w:szCs w:val="28"/>
          <w:rtl/>
        </w:rPr>
        <w:t xml:space="preserve">يُعد نموذج </w:t>
      </w:r>
      <w:proofErr w:type="spellStart"/>
      <w:r w:rsidRPr="00DC3DDE">
        <w:rPr>
          <w:rFonts w:asciiTheme="majorBidi" w:hAnsiTheme="majorBidi" w:cstheme="majorBidi"/>
          <w:sz w:val="28"/>
          <w:szCs w:val="28"/>
          <w:rtl/>
        </w:rPr>
        <w:t>دينيسون</w:t>
      </w:r>
      <w:proofErr w:type="spellEnd"/>
      <w:r w:rsidRPr="00DC3DDE">
        <w:rPr>
          <w:rFonts w:asciiTheme="majorBidi" w:hAnsiTheme="majorBidi" w:cstheme="majorBidi"/>
          <w:sz w:val="28"/>
          <w:szCs w:val="28"/>
        </w:rPr>
        <w:t xml:space="preserve"> (Denison) </w:t>
      </w:r>
      <w:r w:rsidRPr="00DC3DDE">
        <w:rPr>
          <w:rFonts w:asciiTheme="majorBidi" w:hAnsiTheme="majorBidi" w:cstheme="majorBidi"/>
          <w:sz w:val="28"/>
          <w:szCs w:val="28"/>
          <w:rtl/>
        </w:rPr>
        <w:t xml:space="preserve">من أبرز النماذج التطبيقية التي تربط الثقافة التنظيمية بشكل مباشر بالأداء المؤسسي، حيث يجمع هذا النموذج بين العمق القيمي للثقافة والسلوكيات التنظيمية القابلة للقياس، مما يجعله أداة تحليلية فعّالة في بيئات العمل المعقدة. وقد طُوّر هذا النموذج على أساس أبحاث تجريبية واسعة النطاق أُجريت في قطاعات متنوعة، وكان الهدف منه فهم كيف تؤثر العناصر الثقافية على نتائج مثل الجودة، والابتكار، والربحية، ورضا الموظفين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&lt;EndNote&gt;&lt;Cite&gt;&lt;Author&gt;Denison&lt;/Author&gt;&lt;Year&gt;1995&lt;/Year&gt;&lt;RecNum&gt;2767&lt;/RecNum&gt;&lt;DisplayText&gt;(Denison and Mishra, 1995, Fondas, 1991)&lt;/DisplayText&gt;&lt;record&gt;&lt;rec-number&gt;2767&lt;/rec-number&gt;&lt;foreign-keys&gt;&lt;key app="EN" db-id="t5vttv59or5xwbe2zdm5ewrxd905arrpawff" timestamp="1748379825"&gt;2767&lt;/key&gt;&lt;/foreign-keys&gt;&lt;ref-type name="Journal Article"&gt;17&lt;/ref-type&gt;&lt;contributors&gt;&lt;authors&gt;&lt;author&gt;Denison, Daniel R&lt;/author&gt;&lt;author&gt;Mishra, Aneil K&lt;/author&gt;&lt;/authors&gt;&lt;/contributors&gt;&lt;titles&gt;&lt;title&gt;Toward a theory of</w:instrText>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organizational culture and effectiveness&lt;/title&gt;&lt;secondary-title&gt;Organization science&lt;/secondary-title&gt;&lt;/titles&gt;&lt;periodical&gt;&lt;full-title&gt;Organization science&lt;/full-title&gt;&lt;/periodical&gt;&lt;pages&gt;204-223&lt;/pages&gt;&lt;volume&gt;6&lt;/volume&gt;&lt;number&gt;2&lt;/number&gt;&lt;dates&gt;&lt;year&gt;1</w:instrText>
      </w:r>
      <w:r w:rsidRPr="00DC3DDE">
        <w:rPr>
          <w:rFonts w:asciiTheme="majorBidi" w:hAnsiTheme="majorBidi" w:cstheme="majorBidi"/>
          <w:sz w:val="28"/>
          <w:szCs w:val="28"/>
          <w:rtl/>
        </w:rPr>
        <w:instrText>995&lt;/</w:instrText>
      </w:r>
      <w:r w:rsidRPr="00DC3DDE">
        <w:rPr>
          <w:rFonts w:asciiTheme="majorBidi" w:hAnsiTheme="majorBidi" w:cstheme="majorBidi"/>
          <w:sz w:val="28"/>
          <w:szCs w:val="28"/>
        </w:rPr>
        <w:instrText>year&gt;&lt;/dates&gt;&lt;isbn&gt;1047-7039&lt;/isbn&gt;&lt;urls&gt;&lt;/urls&gt;&lt;/record&gt;&lt;/Cite&gt;&lt;Cite&gt;&lt;Author&gt;Fondas&lt;/Author&gt;&lt;Year&gt;1991&lt;/Year&gt;&lt;RecNum&gt;2768&lt;/RecNum&gt;&lt;record&gt;&lt;rec-number&gt;2768&lt;/rec-number&gt;&lt;foreign-keys&gt;&lt;key app="EN" db-id="t5vttv59or5xwbe2zdm5ewrxd905arrpawff" timestamp</w:instrText>
      </w:r>
      <w:r w:rsidRPr="00DC3DDE">
        <w:rPr>
          <w:rFonts w:asciiTheme="majorBidi" w:hAnsiTheme="majorBidi" w:cstheme="majorBidi"/>
          <w:sz w:val="28"/>
          <w:szCs w:val="28"/>
          <w:rtl/>
        </w:rPr>
        <w:instrText>="1748379875"&gt;2768&lt;/</w:instrText>
      </w:r>
      <w:r w:rsidRPr="00DC3DDE">
        <w:rPr>
          <w:rFonts w:asciiTheme="majorBidi" w:hAnsiTheme="majorBidi" w:cstheme="majorBidi"/>
          <w:sz w:val="28"/>
          <w:szCs w:val="28"/>
        </w:rPr>
        <w:instrText>key&gt;&lt;/foreign-keys&gt;&lt;ref-type name="Generic"&gt;13&lt;/ref-type&gt;&lt;contributors&gt;&lt;authors&gt;&lt;author&gt;Fondas, Nanette&lt;/author&gt;&lt;/authors&gt;&lt;/contributors&gt;&lt;titles&gt;&lt;title&gt;Corporate culture and organizational effectiveness&lt;/title&gt;&lt;/titles&gt;&lt;dates&gt;&lt;year&gt;199</w:instrText>
      </w:r>
      <w:r w:rsidRPr="00DC3DDE">
        <w:rPr>
          <w:rFonts w:asciiTheme="majorBidi" w:hAnsiTheme="majorBidi" w:cstheme="majorBidi"/>
          <w:sz w:val="28"/>
          <w:szCs w:val="28"/>
          <w:rtl/>
        </w:rPr>
        <w:instrText>1&lt;/</w:instrText>
      </w:r>
      <w:r w:rsidRPr="00DC3DDE">
        <w:rPr>
          <w:rFonts w:asciiTheme="majorBidi" w:hAnsiTheme="majorBidi" w:cstheme="majorBidi"/>
          <w:sz w:val="28"/>
          <w:szCs w:val="28"/>
        </w:rPr>
        <w:instrText>year&gt;&lt;/dates&gt;&lt;publisher&gt;Academy of Management Briarcliff Manor, NY 10510&lt;/publisher&gt;&lt;isbn&gt;0363-7425&lt;/isbn&gt;&lt;urls&gt;&lt;/urls&gt;&lt;/record&gt;&lt;/Cite&gt;&lt;/EndNote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Denison and Mishra, 1995, Fondas, 1991</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6749334E" w14:textId="77777777" w:rsidR="002E6C18" w:rsidRPr="00DC3DDE" w:rsidRDefault="002E6C18" w:rsidP="00A0551C">
      <w:pPr>
        <w:bidi/>
        <w:jc w:val="both"/>
        <w:rPr>
          <w:rFonts w:asciiTheme="majorBidi" w:hAnsiTheme="majorBidi" w:cstheme="majorBidi"/>
          <w:sz w:val="28"/>
          <w:szCs w:val="28"/>
        </w:rPr>
      </w:pPr>
      <w:r w:rsidRPr="00DC3DDE">
        <w:rPr>
          <w:rFonts w:asciiTheme="majorBidi" w:hAnsiTheme="majorBidi" w:cstheme="majorBidi"/>
          <w:sz w:val="28"/>
          <w:szCs w:val="28"/>
          <w:rtl/>
        </w:rPr>
        <w:lastRenderedPageBreak/>
        <w:t xml:space="preserve">ينقسم </w:t>
      </w:r>
      <w:r w:rsidRPr="002D7391">
        <w:rPr>
          <w:rFonts w:asciiTheme="majorBidi" w:hAnsiTheme="majorBidi" w:cstheme="majorBidi"/>
          <w:sz w:val="28"/>
          <w:szCs w:val="28"/>
          <w:rtl/>
        </w:rPr>
        <w:t>النموذج إلى أربعة أبعاد رئيسية، يُعتقد</w:t>
      </w:r>
      <w:r w:rsidRPr="00DC3DDE">
        <w:rPr>
          <w:rFonts w:asciiTheme="majorBidi" w:hAnsiTheme="majorBidi" w:cstheme="majorBidi"/>
          <w:sz w:val="28"/>
          <w:szCs w:val="28"/>
          <w:rtl/>
        </w:rPr>
        <w:t xml:space="preserve"> أنها تعكس جوهر الثقافة الفاعلة، وهذه الأبعاد ترتبط بمستويين من الأداء: الداخلي (الترابط والاستقرار) والخارجي (المرونة والتكيف). يمكن توضيح هذه الأبعاد كما يلي</w:t>
      </w:r>
      <w:r w:rsidRPr="00DC3DDE">
        <w:rPr>
          <w:rFonts w:asciiTheme="majorBidi" w:hAnsiTheme="majorBidi" w:cstheme="majorBidi"/>
          <w:sz w:val="28"/>
          <w:szCs w:val="28"/>
        </w:rPr>
        <w:t>:</w:t>
      </w:r>
    </w:p>
    <w:p w14:paraId="7E421691" w14:textId="77777777" w:rsidR="002E6C18" w:rsidRPr="00DC3DDE" w:rsidRDefault="002E6C18" w:rsidP="00A0551C">
      <w:pPr>
        <w:pStyle w:val="ListParagraph"/>
        <w:numPr>
          <w:ilvl w:val="0"/>
          <w:numId w:val="19"/>
        </w:num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المشاركة </w:t>
      </w:r>
      <w:r w:rsidRPr="00DC3DDE">
        <w:rPr>
          <w:rFonts w:asciiTheme="majorBidi" w:hAnsiTheme="majorBidi" w:cstheme="majorBidi"/>
          <w:b/>
          <w:bCs/>
          <w:sz w:val="28"/>
          <w:szCs w:val="28"/>
        </w:rPr>
        <w:t>(Involvement)</w:t>
      </w:r>
    </w:p>
    <w:p w14:paraId="73C30A7B" w14:textId="1EF12C52" w:rsidR="002E6C18" w:rsidRPr="00DC3DDE" w:rsidRDefault="002E6C18" w:rsidP="00A0551C">
      <w:pPr>
        <w:bidi/>
        <w:jc w:val="both"/>
        <w:rPr>
          <w:rFonts w:asciiTheme="majorBidi" w:hAnsiTheme="majorBidi" w:cstheme="majorBidi"/>
          <w:sz w:val="28"/>
          <w:szCs w:val="28"/>
        </w:rPr>
      </w:pPr>
      <w:r w:rsidRPr="00DC3DDE">
        <w:rPr>
          <w:rFonts w:asciiTheme="majorBidi" w:hAnsiTheme="majorBidi" w:cstheme="majorBidi"/>
          <w:b/>
          <w:bCs/>
          <w:sz w:val="28"/>
          <w:szCs w:val="28"/>
          <w:rtl/>
        </w:rPr>
        <w:t>علاقة بالإبداع</w:t>
      </w:r>
      <w:r w:rsidR="003907B9">
        <w:rPr>
          <w:rFonts w:asciiTheme="majorBidi" w:hAnsiTheme="majorBidi" w:cstheme="majorBidi" w:hint="cs"/>
          <w:b/>
          <w:bCs/>
          <w:sz w:val="28"/>
          <w:szCs w:val="28"/>
          <w:rtl/>
        </w:rPr>
        <w:t>:</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المشاركة الفعّالة تُعتبر محفزًا رئيسيًا للابتكار، إذ يشعر الموظفون بأن مساهماتهم تؤثر فعليًا في السياسات والنتائج</w:t>
      </w:r>
      <w:r w:rsidRPr="00DC3DDE">
        <w:rPr>
          <w:rFonts w:asciiTheme="majorBidi" w:hAnsiTheme="majorBidi" w:cstheme="majorBidi"/>
          <w:sz w:val="28"/>
          <w:szCs w:val="28"/>
        </w:rPr>
        <w:t>.</w:t>
      </w:r>
    </w:p>
    <w:p w14:paraId="1C7607D2" w14:textId="77777777" w:rsidR="002E6C18" w:rsidRPr="00DC3DDE" w:rsidRDefault="002E6C18" w:rsidP="00A0551C">
      <w:pPr>
        <w:pStyle w:val="ListParagraph"/>
        <w:numPr>
          <w:ilvl w:val="0"/>
          <w:numId w:val="19"/>
        </w:num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الاتساق </w:t>
      </w:r>
      <w:r w:rsidRPr="00DC3DDE">
        <w:rPr>
          <w:rFonts w:asciiTheme="majorBidi" w:hAnsiTheme="majorBidi" w:cstheme="majorBidi"/>
          <w:b/>
          <w:bCs/>
          <w:sz w:val="28"/>
          <w:szCs w:val="28"/>
        </w:rPr>
        <w:t>(Consistency)</w:t>
      </w:r>
    </w:p>
    <w:p w14:paraId="421A1913" w14:textId="56D83422" w:rsidR="002E6C18" w:rsidRPr="00DC3DDE" w:rsidRDefault="002E6C18" w:rsidP="00A0551C">
      <w:pPr>
        <w:bidi/>
        <w:jc w:val="both"/>
        <w:rPr>
          <w:rFonts w:asciiTheme="majorBidi" w:hAnsiTheme="majorBidi" w:cstheme="majorBidi"/>
          <w:sz w:val="28"/>
          <w:szCs w:val="28"/>
        </w:rPr>
      </w:pPr>
      <w:r w:rsidRPr="00DC3DDE">
        <w:rPr>
          <w:rFonts w:asciiTheme="majorBidi" w:hAnsiTheme="majorBidi" w:cstheme="majorBidi"/>
          <w:b/>
          <w:bCs/>
          <w:sz w:val="28"/>
          <w:szCs w:val="28"/>
          <w:rtl/>
        </w:rPr>
        <w:t>علاقة بالإبداع</w:t>
      </w:r>
      <w:r w:rsidR="003907B9">
        <w:rPr>
          <w:rFonts w:asciiTheme="majorBidi" w:hAnsiTheme="majorBidi" w:cstheme="majorBidi" w:hint="cs"/>
          <w:b/>
          <w:bCs/>
          <w:sz w:val="28"/>
          <w:szCs w:val="28"/>
          <w:rtl/>
        </w:rPr>
        <w:t>:</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وجود قيم واضحة يعزز بيئة العمل المستقرة التي تشجع الموظفين على التجريب ضمن حدود مقبولة، وتقلل من التردد والخوف من الفشل</w:t>
      </w:r>
      <w:r w:rsidRPr="00DC3DDE">
        <w:rPr>
          <w:rFonts w:asciiTheme="majorBidi" w:hAnsiTheme="majorBidi" w:cstheme="majorBidi"/>
          <w:sz w:val="28"/>
          <w:szCs w:val="28"/>
        </w:rPr>
        <w:t>.</w:t>
      </w:r>
    </w:p>
    <w:p w14:paraId="7E40D36D" w14:textId="77777777" w:rsidR="002E6C18" w:rsidRPr="00DC3DDE" w:rsidRDefault="002E6C18" w:rsidP="00A0551C">
      <w:pPr>
        <w:pStyle w:val="ListParagraph"/>
        <w:numPr>
          <w:ilvl w:val="0"/>
          <w:numId w:val="19"/>
        </w:num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القدرة على التكيف </w:t>
      </w:r>
      <w:r w:rsidRPr="00DC3DDE">
        <w:rPr>
          <w:rFonts w:asciiTheme="majorBidi" w:hAnsiTheme="majorBidi" w:cstheme="majorBidi"/>
          <w:b/>
          <w:bCs/>
          <w:sz w:val="28"/>
          <w:szCs w:val="28"/>
        </w:rPr>
        <w:t>(Adaptability)</w:t>
      </w:r>
    </w:p>
    <w:p w14:paraId="39D32E26" w14:textId="35606F4D" w:rsidR="002E6C18" w:rsidRPr="00DC3DDE" w:rsidRDefault="002E6C18" w:rsidP="00A0551C">
      <w:pPr>
        <w:bidi/>
        <w:jc w:val="both"/>
        <w:rPr>
          <w:rFonts w:asciiTheme="majorBidi" w:hAnsiTheme="majorBidi" w:cstheme="majorBidi"/>
          <w:sz w:val="28"/>
          <w:szCs w:val="28"/>
        </w:rPr>
      </w:pPr>
      <w:r w:rsidRPr="00DC3DDE">
        <w:rPr>
          <w:rFonts w:asciiTheme="majorBidi" w:hAnsiTheme="majorBidi" w:cstheme="majorBidi"/>
          <w:b/>
          <w:bCs/>
          <w:sz w:val="28"/>
          <w:szCs w:val="28"/>
          <w:rtl/>
        </w:rPr>
        <w:t>علاقة بالإبداع</w:t>
      </w:r>
      <w:r w:rsidR="003907B9">
        <w:rPr>
          <w:rFonts w:asciiTheme="majorBidi" w:hAnsiTheme="majorBidi" w:cstheme="majorBidi" w:hint="cs"/>
          <w:b/>
          <w:bCs/>
          <w:sz w:val="28"/>
          <w:szCs w:val="28"/>
          <w:rtl/>
        </w:rPr>
        <w:t>:</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كلما كانت المؤسسة مرنة في مواجهة التغير، كلما ازدادت فرص توليد وتطبيق الأفكار الجديدة بفعالية</w:t>
      </w:r>
      <w:r w:rsidRPr="00DC3DDE">
        <w:rPr>
          <w:rFonts w:asciiTheme="majorBidi" w:hAnsiTheme="majorBidi" w:cstheme="majorBidi"/>
          <w:sz w:val="28"/>
          <w:szCs w:val="28"/>
        </w:rPr>
        <w:t>.</w:t>
      </w:r>
    </w:p>
    <w:p w14:paraId="759E31AE" w14:textId="77777777" w:rsidR="002E6C18" w:rsidRPr="00DC3DDE" w:rsidRDefault="002E6C18" w:rsidP="00A0551C">
      <w:pPr>
        <w:pStyle w:val="ListParagraph"/>
        <w:numPr>
          <w:ilvl w:val="0"/>
          <w:numId w:val="19"/>
        </w:num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المهمة </w:t>
      </w:r>
      <w:r w:rsidRPr="00DC3DDE">
        <w:rPr>
          <w:rFonts w:asciiTheme="majorBidi" w:hAnsiTheme="majorBidi" w:cstheme="majorBidi"/>
          <w:b/>
          <w:bCs/>
          <w:sz w:val="28"/>
          <w:szCs w:val="28"/>
        </w:rPr>
        <w:t>(Mission)</w:t>
      </w:r>
    </w:p>
    <w:p w14:paraId="7811CDC9" w14:textId="791FCC60" w:rsidR="002E6C18" w:rsidRPr="00611E7E" w:rsidRDefault="002E6C18" w:rsidP="00A0551C">
      <w:pPr>
        <w:bidi/>
        <w:jc w:val="both"/>
        <w:rPr>
          <w:rFonts w:asciiTheme="majorBidi" w:hAnsiTheme="majorBidi" w:cstheme="majorBidi"/>
          <w:sz w:val="28"/>
          <w:szCs w:val="28"/>
        </w:rPr>
      </w:pPr>
      <w:r w:rsidRPr="00DC3DDE">
        <w:rPr>
          <w:rFonts w:asciiTheme="majorBidi" w:hAnsiTheme="majorBidi" w:cstheme="majorBidi"/>
          <w:b/>
          <w:bCs/>
          <w:sz w:val="28"/>
          <w:szCs w:val="28"/>
          <w:rtl/>
        </w:rPr>
        <w:t>علاقة بالإبداع</w:t>
      </w:r>
      <w:r w:rsidR="003907B9">
        <w:rPr>
          <w:rFonts w:asciiTheme="majorBidi" w:hAnsiTheme="majorBidi" w:cstheme="majorBidi" w:hint="cs"/>
          <w:b/>
          <w:bCs/>
          <w:sz w:val="28"/>
          <w:szCs w:val="28"/>
          <w:rtl/>
        </w:rPr>
        <w:t>:</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عندما تكون الرؤية واضحة ومشتركة، يصبح الإبداع موجهًا نحو تحقيق قيمة مضافة استراتيجية</w:t>
      </w:r>
      <w:r w:rsidRPr="00DC3DDE">
        <w:rPr>
          <w:rFonts w:asciiTheme="majorBidi" w:hAnsiTheme="majorBidi" w:cstheme="majorBidi"/>
          <w:sz w:val="28"/>
          <w:szCs w:val="28"/>
        </w:rPr>
        <w:t>.</w:t>
      </w:r>
    </w:p>
    <w:p w14:paraId="07AC4DD5" w14:textId="48746E2A" w:rsidR="00A91B25" w:rsidRDefault="002E6C18" w:rsidP="00A0551C">
      <w:pPr>
        <w:bidi/>
        <w:jc w:val="both"/>
        <w:rPr>
          <w:rFonts w:asciiTheme="majorBidi" w:hAnsiTheme="majorBidi" w:cstheme="majorBidi"/>
          <w:sz w:val="28"/>
          <w:szCs w:val="28"/>
          <w:rtl/>
        </w:rPr>
      </w:pPr>
      <w:r w:rsidRPr="00611E7E">
        <w:rPr>
          <w:rFonts w:asciiTheme="majorBidi" w:hAnsiTheme="majorBidi" w:cstheme="majorBidi"/>
          <w:sz w:val="28"/>
          <w:szCs w:val="28"/>
          <w:rtl/>
        </w:rPr>
        <w:t>يتميّز نموذج</w:t>
      </w:r>
      <w:r w:rsidRPr="00611E7E">
        <w:rPr>
          <w:rFonts w:asciiTheme="majorBidi" w:hAnsiTheme="majorBidi" w:cstheme="majorBidi"/>
          <w:sz w:val="28"/>
          <w:szCs w:val="28"/>
        </w:rPr>
        <w:t xml:space="preserve"> Denison </w:t>
      </w:r>
      <w:r w:rsidRPr="00611E7E">
        <w:rPr>
          <w:rFonts w:asciiTheme="majorBidi" w:hAnsiTheme="majorBidi" w:cstheme="majorBidi"/>
          <w:sz w:val="28"/>
          <w:szCs w:val="28"/>
          <w:rtl/>
        </w:rPr>
        <w:t>عن غيره من النماذج الثقافية بتركيزه على قابلية القياس والارتباط التجريبي المباشر بالأداء، ولذلك يُستخدم على نطاق واسع في تقييم الفعالية التنظيمية، وتوجيه استراتيجيات التغيير الثقافي والتحسين المستمر. كما أنه يتوافق مع متطلبات دراستنا، نظرًا لارتباط أبعاده بالعوامل التي تُحفّز الإبداع داخل بيئة العمل</w:t>
      </w:r>
      <w:r w:rsidRPr="00611E7E">
        <w:rPr>
          <w:rFonts w:asciiTheme="majorBidi" w:hAnsiTheme="majorBidi" w:cstheme="majorBidi"/>
          <w:sz w:val="28"/>
          <w:szCs w:val="28"/>
        </w:rPr>
        <w:t>.</w:t>
      </w:r>
      <w:r w:rsidR="003907B9" w:rsidRPr="00611E7E">
        <w:rPr>
          <w:rFonts w:asciiTheme="majorBidi" w:hAnsiTheme="majorBidi" w:cstheme="majorBidi" w:hint="cs"/>
          <w:sz w:val="28"/>
          <w:szCs w:val="28"/>
          <w:rtl/>
        </w:rPr>
        <w:t xml:space="preserve"> </w:t>
      </w:r>
      <w:r w:rsidRPr="00611E7E">
        <w:rPr>
          <w:rFonts w:asciiTheme="majorBidi" w:hAnsiTheme="majorBidi" w:cstheme="majorBidi"/>
          <w:sz w:val="28"/>
          <w:szCs w:val="28"/>
          <w:rtl/>
        </w:rPr>
        <w:t>وقد أكدت دراسات حديثة أن المنظمات التي تُسجّل درجات مرتفعة في بُعدي المشاركة والتكيف – وهما البُعدان الأكثر اتصالًا</w:t>
      </w:r>
      <w:r w:rsidRPr="00DC3DDE">
        <w:rPr>
          <w:rFonts w:asciiTheme="majorBidi" w:hAnsiTheme="majorBidi" w:cstheme="majorBidi"/>
          <w:sz w:val="28"/>
          <w:szCs w:val="28"/>
          <w:rtl/>
        </w:rPr>
        <w:t xml:space="preserve"> بالإبداع – تحقق نتائج أعلى في الابتكار والأداء المستدام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&lt;EndNote&gt;&lt;Cite&gt;&lt;Author&gt;Scott&lt;/Author&gt;&lt;Year&gt;2024&lt;/Year&gt;&lt;RecNum&gt;2769&lt;/RecNum&gt;&lt;DisplayText&gt;(Scott, 2024)&lt;/DisplayText&gt;&lt;record&gt;&lt;rec-number&gt;2769&lt;/rec-number&gt;&lt;foreign-keys&gt;&lt;key app="EN" db-id="t5vttv59or5xwbe2zdm5ewrxd905arrpawff" timestamp="1748</w:instrText>
      </w:r>
      <w:r w:rsidRPr="00DC3DDE">
        <w:rPr>
          <w:rFonts w:asciiTheme="majorBidi" w:hAnsiTheme="majorBidi" w:cstheme="majorBidi"/>
          <w:sz w:val="28"/>
          <w:szCs w:val="28"/>
          <w:rtl/>
        </w:rPr>
        <w:instrText>379988"&gt;2769&lt;/</w:instrText>
      </w:r>
      <w:r w:rsidRPr="00DC3DDE">
        <w:rPr>
          <w:rFonts w:asciiTheme="majorBidi" w:hAnsiTheme="majorBidi" w:cstheme="majorBidi"/>
          <w:sz w:val="28"/>
          <w:szCs w:val="28"/>
        </w:rPr>
        <w:instrText>key&gt;&lt;/foreign-keys&gt;&lt;ref-type name="Thesis"&gt;32&lt;/ref-type&gt;&lt;contributors&gt;&lt;authors&gt;&lt;author&gt;Scott, Ollivette Deniece&lt;/author&gt;&lt;/authors&gt;&lt;/contributors&gt;&lt;titles&gt;&lt;title&gt;The Relationship Between Relational Leadership Behaviors and Organizational Culture&lt;/title&gt;&lt;/titles&gt;&lt;dates&gt;&lt;year&gt;2024&lt;/year&gt;&lt;/dates&gt;&lt;publisher&gt;Capella University&lt;/publisher&gt;&lt;urls&gt;&lt;/urls&gt;&lt;/record&gt;&lt;/Cite&gt;&lt;/EndNote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Scott, 2024</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67B9560A" w14:textId="77777777" w:rsidR="006652C1" w:rsidRPr="00DC3DDE" w:rsidRDefault="006652C1" w:rsidP="006652C1">
      <w:pPr>
        <w:bidi/>
        <w:jc w:val="both"/>
        <w:rPr>
          <w:rFonts w:asciiTheme="majorBidi" w:hAnsiTheme="majorBidi" w:cstheme="majorBidi"/>
          <w:sz w:val="28"/>
          <w:szCs w:val="28"/>
        </w:rPr>
      </w:pPr>
    </w:p>
    <w:p w14:paraId="57BDDC9C" w14:textId="55E2756D" w:rsidR="00A91B25" w:rsidRPr="00DC3DDE" w:rsidRDefault="00A91B25" w:rsidP="00A91B25">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2.2.3.5.  محددات الإبداع في بيئة العمل </w:t>
      </w:r>
      <w:r w:rsidRPr="00DC3DDE">
        <w:rPr>
          <w:rFonts w:asciiTheme="majorBidi" w:hAnsiTheme="majorBidi" w:cstheme="majorBidi"/>
          <w:b/>
          <w:bCs/>
          <w:sz w:val="28"/>
          <w:szCs w:val="28"/>
        </w:rPr>
        <w:t>(Determinants of Creativity in the Workplace)</w:t>
      </w:r>
    </w:p>
    <w:p w14:paraId="29C5332D" w14:textId="77777777"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يُعد الإبداع الوظيفي نتاجًا تفاعليًا بين الخصائص الفردية للموظف والعوامل البيئية والتنظيمية المحيطة. وقد أكدت الأدبيات الحديثة أن تعزيز الإبداع لا يعتمد فقط على مهارات الفرد، بل يتطلب بنية تنظيمية وثقافية تسهّل التفكير غير التقليدي، وتدعم المخاطرة المحسوبة، وتشجع على المشاركة والحوار المفتوح. ويمكن تصنيف محددات الإبداع إلى ثلاثة مستويات رئيسية: فردية، تنظيمية، وسياقية</w:t>
      </w:r>
      <w:r w:rsidRPr="00DC3DDE">
        <w:rPr>
          <w:rFonts w:asciiTheme="majorBidi" w:hAnsiTheme="majorBidi" w:cstheme="majorBidi"/>
          <w:sz w:val="28"/>
          <w:szCs w:val="28"/>
        </w:rPr>
        <w:t>.</w:t>
      </w:r>
    </w:p>
    <w:p w14:paraId="0D490B69" w14:textId="77777777" w:rsidR="00A91B25" w:rsidRPr="00DC3DDE" w:rsidRDefault="00A91B25" w:rsidP="00A0551C">
      <w:p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أولاً: المحددات الفردية </w:t>
      </w:r>
      <w:r w:rsidRPr="00DC3DDE">
        <w:rPr>
          <w:rFonts w:asciiTheme="majorBidi" w:hAnsiTheme="majorBidi" w:cstheme="majorBidi"/>
          <w:b/>
          <w:bCs/>
          <w:sz w:val="28"/>
          <w:szCs w:val="28"/>
        </w:rPr>
        <w:t>(Individual-Level Determinants)</w:t>
      </w:r>
    </w:p>
    <w:p w14:paraId="46476840" w14:textId="77777777"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تشمل الخصائص النفسية والمعرفية والسلوكية للفرد، مثل</w:t>
      </w:r>
      <w:r w:rsidRPr="00DC3DDE">
        <w:rPr>
          <w:rFonts w:asciiTheme="majorBidi" w:hAnsiTheme="majorBidi" w:cstheme="majorBidi"/>
          <w:sz w:val="28"/>
          <w:szCs w:val="28"/>
        </w:rPr>
        <w:t>:</w:t>
      </w:r>
    </w:p>
    <w:p w14:paraId="3C77466D" w14:textId="2B5094A9" w:rsidR="00A91B25" w:rsidRPr="00DC3DDE" w:rsidRDefault="00A91B25" w:rsidP="00A0551C">
      <w:pPr>
        <w:numPr>
          <w:ilvl w:val="0"/>
          <w:numId w:val="12"/>
        </w:numPr>
        <w:bidi/>
        <w:jc w:val="both"/>
        <w:rPr>
          <w:rFonts w:asciiTheme="majorBidi" w:hAnsiTheme="majorBidi" w:cstheme="majorBidi"/>
          <w:sz w:val="28"/>
          <w:szCs w:val="28"/>
        </w:rPr>
      </w:pPr>
      <w:r w:rsidRPr="00DC3DDE">
        <w:rPr>
          <w:rFonts w:asciiTheme="majorBidi" w:hAnsiTheme="majorBidi" w:cstheme="majorBidi"/>
          <w:b/>
          <w:bCs/>
          <w:sz w:val="28"/>
          <w:szCs w:val="28"/>
          <w:rtl/>
        </w:rPr>
        <w:lastRenderedPageBreak/>
        <w:t xml:space="preserve">الفاعلية الذاتية الإبداعية </w:t>
      </w:r>
      <w:r w:rsidRPr="00DC3DDE">
        <w:rPr>
          <w:rFonts w:asciiTheme="majorBidi" w:hAnsiTheme="majorBidi" w:cstheme="majorBidi"/>
          <w:b/>
          <w:bCs/>
          <w:sz w:val="28"/>
          <w:szCs w:val="28"/>
        </w:rPr>
        <w:t>(Creative Self-Efficacy)</w:t>
      </w:r>
      <w:r w:rsidRPr="00DC3DDE">
        <w:rPr>
          <w:rFonts w:asciiTheme="majorBidi" w:hAnsiTheme="majorBidi" w:cstheme="majorBidi"/>
          <w:b/>
          <w:bCs/>
          <w:sz w:val="28"/>
          <w:szCs w:val="28"/>
          <w:rtl/>
        </w:rPr>
        <w:t>:</w:t>
      </w:r>
      <w:r w:rsidRPr="00DC3DDE">
        <w:rPr>
          <w:rFonts w:asciiTheme="majorBidi" w:hAnsiTheme="majorBidi" w:cstheme="majorBidi"/>
          <w:sz w:val="28"/>
          <w:szCs w:val="28"/>
          <w:rtl/>
        </w:rPr>
        <w:t xml:space="preserve"> وهي ثقة الفرد في قدرته على توليد أفكار مبتكرة، وقد ثبت أنها ترتبط إيجابيًا بسلوكيات الإبداع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&lt;EndNote&gt;&lt;Cite&gt;&lt;Author&gt;Tierney&lt;/Author&gt;&lt;Year&gt;2002&lt;/Year&gt;&lt;RecNum&gt;2761&lt;/RecNum&gt;&lt;DisplayText&gt;(Tierney and Farmer, 2002)&lt;/DisplayText&gt;&lt;record&gt;&lt;rec-number&gt;2761&lt;/rec-number&gt;&lt;foreign-keys&gt;&lt;key app="EN" db-id="t5vttv59or5xwbe2zdm5ewrxd905arrpawff</w:instrText>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timestamp="1748372184"&gt;2761&lt;/key&gt;&lt;/foreign-keys&gt;&lt;ref-type name="Journal Article"&gt;17&lt;/ref-type&gt;&lt;contributors&gt;&lt;authors&gt;&lt;author&gt;Tierney, Pamela&lt;/author&gt;&lt;author&gt;Farmer, Steven M&lt;/author&gt;&lt;/authors&gt;&lt;/contributors&gt;&lt;titles&gt;&lt;title&gt;Creative self-efficacy: Its potential antecedents and relationship to creative performance&lt;/title&gt;&lt;secondary-title&gt;Academy of Management journal&lt;/secondary-title&gt;&lt;/titles&gt;&lt;periodical&gt;&lt;full-title&gt;Academy of management journal&lt;/full-title&gt;&lt;/periodical&gt;&lt;pages&gt;1137-1148&lt;/pages&gt;&lt;volume&gt;45&lt;/volume&gt;&lt;number&gt;6&lt;/number&gt;&lt;dates&gt;&lt;year&gt;2002&lt;/year&gt;&lt;/dates&gt;&lt;isbn&gt;0001-4273&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Tierney and Farmer, 2002</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46D5A202" w14:textId="7B8F4C91" w:rsidR="00A91B25" w:rsidRPr="00DC3DDE" w:rsidRDefault="00A91B25" w:rsidP="00A0551C">
      <w:pPr>
        <w:numPr>
          <w:ilvl w:val="0"/>
          <w:numId w:val="12"/>
        </w:numPr>
        <w:bidi/>
        <w:jc w:val="both"/>
        <w:rPr>
          <w:rFonts w:asciiTheme="majorBidi" w:hAnsiTheme="majorBidi" w:cstheme="majorBidi"/>
          <w:sz w:val="28"/>
          <w:szCs w:val="28"/>
        </w:rPr>
      </w:pPr>
      <w:r w:rsidRPr="00DC3DDE">
        <w:rPr>
          <w:rFonts w:asciiTheme="majorBidi" w:hAnsiTheme="majorBidi" w:cstheme="majorBidi"/>
          <w:b/>
          <w:bCs/>
          <w:sz w:val="28"/>
          <w:szCs w:val="28"/>
          <w:rtl/>
        </w:rPr>
        <w:t xml:space="preserve">الدافعية الذاتية </w:t>
      </w:r>
      <w:r w:rsidRPr="00DC3DDE">
        <w:rPr>
          <w:rFonts w:asciiTheme="majorBidi" w:hAnsiTheme="majorBidi" w:cstheme="majorBidi"/>
          <w:b/>
          <w:bCs/>
          <w:sz w:val="28"/>
          <w:szCs w:val="28"/>
        </w:rPr>
        <w:t>(Intrinsic Motivation)</w:t>
      </w:r>
      <w:r w:rsidRPr="00DC3DDE">
        <w:rPr>
          <w:rFonts w:asciiTheme="majorBidi" w:hAnsiTheme="majorBidi" w:cstheme="majorBidi"/>
          <w:b/>
          <w:bCs/>
          <w:sz w:val="28"/>
          <w:szCs w:val="28"/>
          <w:rtl/>
        </w:rPr>
        <w:t>:</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 xml:space="preserve">تُعد أحد المحركات الأساسية للسلوك الإبداعي، إذ أن الأفراد الذين يعملون بدافع ذاتي يميلون أكثر للابتكار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publisher&gt;Boulder, CO: Westview Press&lt;/publisher&gt;&lt;urls&gt;&lt;/urls&gt;&lt;/record&gt;&lt;/Cite&gt;&lt;/EndNote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Amabile Teresa, 1996</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0CB4FB79" w14:textId="33AE0B84" w:rsidR="00A91B25" w:rsidRPr="00DC3DDE" w:rsidRDefault="00A91B25" w:rsidP="00A0551C">
      <w:pPr>
        <w:numPr>
          <w:ilvl w:val="0"/>
          <w:numId w:val="12"/>
        </w:numPr>
        <w:bidi/>
        <w:jc w:val="both"/>
        <w:rPr>
          <w:rFonts w:asciiTheme="majorBidi" w:hAnsiTheme="majorBidi" w:cstheme="majorBidi"/>
          <w:sz w:val="28"/>
          <w:szCs w:val="28"/>
        </w:rPr>
      </w:pPr>
      <w:r w:rsidRPr="00DC3DDE">
        <w:rPr>
          <w:rFonts w:asciiTheme="majorBidi" w:hAnsiTheme="majorBidi" w:cstheme="majorBidi"/>
          <w:b/>
          <w:bCs/>
          <w:sz w:val="28"/>
          <w:szCs w:val="28"/>
          <w:rtl/>
        </w:rPr>
        <w:t xml:space="preserve">الخبرة والتنوع المعرفي: </w:t>
      </w:r>
      <w:r w:rsidRPr="00DC3DDE">
        <w:rPr>
          <w:rFonts w:asciiTheme="majorBidi" w:hAnsiTheme="majorBidi" w:cstheme="majorBidi"/>
          <w:sz w:val="28"/>
          <w:szCs w:val="28"/>
          <w:rtl/>
        </w:rPr>
        <w:t xml:space="preserve">الأفراد ذوو خلفيات معرفية متنوعة يميلون إلى الجمع بين الأفكار المختلفة لإنتاج حلول جديدة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&lt;EndNote&gt;&lt;Cite&gt;&lt;Author&gt;Mumford&lt;/Author&gt;&lt;Year&gt;2002&lt;/Year&gt;&lt;RecNum&gt;2763&lt;/RecNum&gt;&lt;DisplayText&gt;(Mumford et al., 2002)&lt;/DisplayText&gt;&lt;record&gt;&lt;rec-number&gt;2763&lt;/rec-number&gt;&lt;foreign-keys&gt;&lt;key app="EN" db-id="t5vttv59or5xwbe2zdm5ewrxd905arrpawff" timestamp="1748376461"&gt;2763&lt;/key&gt;&lt;/foreign-keys&gt;&lt;ref-type name="Journal Article"&gt;17&lt;/ref-type&gt;&lt;contributors&gt;&lt;authors&gt;&lt;author&gt;Mumford, Michael D&lt;/author&gt;&lt;author&gt;Scott, Ginamarie M&lt;/author&gt;&lt;author&gt;Gaddis, Blaine&lt;/author&gt;&lt;author&gt;Strange, Jill M&lt;/author&gt;&lt;/authors</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contributors&gt;&lt;titles&gt;&lt;title&gt;Leading creative people: Orchestrating expertise and relationships&lt;/title&gt;&lt;secondary-title&gt;The leadership quarterly&lt;/secondary-title&gt;&lt;/titles&gt;&lt;periodical&gt;&lt;full-title&gt;The Leadership Quarterly&lt;/full-title&gt;&lt;/periodical&gt;&lt;pages&gt;7</w:instrText>
      </w:r>
      <w:r w:rsidRPr="00DC3DDE">
        <w:rPr>
          <w:rFonts w:asciiTheme="majorBidi" w:hAnsiTheme="majorBidi" w:cstheme="majorBidi"/>
          <w:sz w:val="28"/>
          <w:szCs w:val="28"/>
          <w:rtl/>
        </w:rPr>
        <w:instrText>05-750&lt;/</w:instrText>
      </w:r>
      <w:r w:rsidRPr="00DC3DDE">
        <w:rPr>
          <w:rFonts w:asciiTheme="majorBidi" w:hAnsiTheme="majorBidi" w:cstheme="majorBidi"/>
          <w:sz w:val="28"/>
          <w:szCs w:val="28"/>
        </w:rPr>
        <w:instrText>pages&gt;&lt;volume&gt;13&lt;/volume&gt;&lt;number&gt;6&lt;/number&gt;&lt;dates&gt;&lt;year&gt;2002&lt;/year&gt;&lt;/dates&gt;&lt;isbn&gt;1048-9843&lt;/isbn&gt;&lt;urls&gt;&lt;/urls&gt;&lt;/record&gt;&lt;/Cite&gt;&lt;/EndNote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Mumford et al., 2002</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16201525" w14:textId="77777777" w:rsidR="00A91B25" w:rsidRPr="00DC3DDE" w:rsidRDefault="00A91B25" w:rsidP="00A0551C">
      <w:p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ثانيًا: المحددات التنظيمية </w:t>
      </w:r>
      <w:r w:rsidRPr="00DC3DDE">
        <w:rPr>
          <w:rFonts w:asciiTheme="majorBidi" w:hAnsiTheme="majorBidi" w:cstheme="majorBidi"/>
          <w:b/>
          <w:bCs/>
          <w:sz w:val="28"/>
          <w:szCs w:val="28"/>
        </w:rPr>
        <w:t>(Organizational-Level Determinants)</w:t>
      </w:r>
    </w:p>
    <w:p w14:paraId="67D7EB27" w14:textId="77777777"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تتمثل في السياسات والممارسات والهياكل التنظيمية التي تؤثر على الإبداع، مثل</w:t>
      </w:r>
      <w:r w:rsidRPr="00DC3DDE">
        <w:rPr>
          <w:rFonts w:asciiTheme="majorBidi" w:hAnsiTheme="majorBidi" w:cstheme="majorBidi"/>
          <w:sz w:val="28"/>
          <w:szCs w:val="28"/>
        </w:rPr>
        <w:t>:</w:t>
      </w:r>
    </w:p>
    <w:p w14:paraId="616538A4" w14:textId="51BCF10E" w:rsidR="00A91B25" w:rsidRPr="00DC3DDE" w:rsidRDefault="00A91B25" w:rsidP="00A0551C">
      <w:pPr>
        <w:numPr>
          <w:ilvl w:val="0"/>
          <w:numId w:val="13"/>
        </w:numPr>
        <w:bidi/>
        <w:jc w:val="both"/>
        <w:rPr>
          <w:rFonts w:asciiTheme="majorBidi" w:hAnsiTheme="majorBidi" w:cstheme="majorBidi"/>
          <w:sz w:val="28"/>
          <w:szCs w:val="28"/>
        </w:rPr>
      </w:pPr>
      <w:r w:rsidRPr="00DC3DDE">
        <w:rPr>
          <w:rFonts w:asciiTheme="majorBidi" w:hAnsiTheme="majorBidi" w:cstheme="majorBidi"/>
          <w:b/>
          <w:bCs/>
          <w:sz w:val="28"/>
          <w:szCs w:val="28"/>
          <w:rtl/>
        </w:rPr>
        <w:t xml:space="preserve">نظم الموارد البشرية: </w:t>
      </w:r>
      <w:r w:rsidRPr="00DC3DDE">
        <w:rPr>
          <w:rFonts w:asciiTheme="majorBidi" w:hAnsiTheme="majorBidi" w:cstheme="majorBidi"/>
          <w:sz w:val="28"/>
          <w:szCs w:val="28"/>
          <w:rtl/>
        </w:rPr>
        <w:t xml:space="preserve">وتشمل التوظيف، التدريب، التقييم، والحوافز، خاصةً عند تصميمها وفقًا لمبادئ </w:t>
      </w:r>
      <w:r w:rsidRPr="00DC3DDE">
        <w:rPr>
          <w:rFonts w:asciiTheme="majorBidi" w:hAnsiTheme="majorBidi" w:cstheme="majorBidi"/>
          <w:sz w:val="28"/>
          <w:szCs w:val="28"/>
        </w:rPr>
        <w:t>HPWS</w:t>
      </w:r>
      <w:r w:rsidRPr="00DC3DDE">
        <w:rPr>
          <w:rFonts w:asciiTheme="majorBidi" w:hAnsiTheme="majorBidi" w:cstheme="majorBidi"/>
          <w:sz w:val="28"/>
          <w:szCs w:val="28"/>
          <w:rtl/>
        </w:rPr>
        <w:t xml:space="preserve">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Jiang et al., 2012</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033AE6FD" w14:textId="0DEF9057" w:rsidR="00A91B25" w:rsidRPr="00DC3DDE" w:rsidRDefault="00A91B25" w:rsidP="00A0551C">
      <w:pPr>
        <w:numPr>
          <w:ilvl w:val="0"/>
          <w:numId w:val="13"/>
        </w:numPr>
        <w:bidi/>
        <w:jc w:val="both"/>
        <w:rPr>
          <w:rFonts w:asciiTheme="majorBidi" w:hAnsiTheme="majorBidi" w:cstheme="majorBidi"/>
          <w:sz w:val="28"/>
          <w:szCs w:val="28"/>
        </w:rPr>
      </w:pPr>
      <w:r w:rsidRPr="00DC3DDE">
        <w:rPr>
          <w:rFonts w:asciiTheme="majorBidi" w:hAnsiTheme="majorBidi" w:cstheme="majorBidi"/>
          <w:b/>
          <w:bCs/>
          <w:sz w:val="28"/>
          <w:szCs w:val="28"/>
          <w:rtl/>
        </w:rPr>
        <w:t xml:space="preserve">التمكين الإداري: </w:t>
      </w:r>
      <w:r w:rsidRPr="00DC3DDE">
        <w:rPr>
          <w:rFonts w:asciiTheme="majorBidi" w:hAnsiTheme="majorBidi" w:cstheme="majorBidi"/>
          <w:sz w:val="28"/>
          <w:szCs w:val="28"/>
          <w:rtl/>
        </w:rPr>
        <w:t xml:space="preserve">يشير إلى منح الموظفين قدرًا أكبر من الاستقلالية والمسؤولية، ما يُعزز لديهم الشعور بالثقة ويزيد فرص التجريب والابتكار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&lt;EndNote&gt;&lt;Cite&gt;&lt;Author&gt;Spreitzer&lt;/Author&gt;&lt;Year&gt;1995&lt;/Year&gt;&lt;RecNum&gt;2764&lt;/RecNum&gt;&lt;DisplayText&gt;(Spreitzer, 1995)&lt;/DisplayText&gt;&lt;record&gt;&lt;rec-number&gt;2764&lt;/rec-number&gt;&lt;foreign-keys&gt;&lt;key app="EN" db-id="t5vttv59or5xwbe2zdm5ewrxd905arrpawff" timestamp="1748376856"&gt;2764&lt;/key&gt;&lt;/foreign-keys&gt;&lt;ref-type name="Journal Article"&gt;17&lt;/ref-type&gt;&lt;contributors&gt;&lt;authors&gt;&lt;author&gt;Spreitzer, Gretchen M&lt;/author&gt;&lt;/authors&gt;&lt;/contributors&gt;&lt;titles&gt;&lt;title&gt;Psychological empowerment in the workplace: Dimensions, measurement</w:instrText>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and validation&lt;/title&gt;&lt;secondary-title&gt;Academy of management Journal&lt;/secondary-title&gt;&lt;/titles&gt;&lt;periodical&gt;&lt;full-title&gt;Academy of management journal&lt;/full-title&gt;&lt;/periodical&gt;&lt;pages&gt;1442-1465&lt;/pages&gt;&lt;volume&gt;38&lt;/volume&gt;&lt;number&gt;5&lt;/number&gt;&lt;dates&gt;&lt;year&gt;1995</w:instrText>
      </w:r>
      <w:r w:rsidRPr="00DC3DDE">
        <w:rPr>
          <w:rFonts w:asciiTheme="majorBidi" w:hAnsiTheme="majorBidi" w:cstheme="majorBidi"/>
          <w:sz w:val="28"/>
          <w:szCs w:val="28"/>
          <w:rtl/>
        </w:rPr>
        <w:instrText>&lt;/</w:instrText>
      </w:r>
      <w:r w:rsidRPr="00DC3DDE">
        <w:rPr>
          <w:rFonts w:asciiTheme="majorBidi" w:hAnsiTheme="majorBidi" w:cstheme="majorBidi"/>
          <w:sz w:val="28"/>
          <w:szCs w:val="28"/>
        </w:rPr>
        <w:instrText>year&gt;&lt;/dates&gt;&lt;isbn&gt;0001-4273&lt;/isbn&gt;&lt;urls&gt;&lt;/urls&gt;&lt;/record&gt;&lt;/Cite&gt;&lt;/EndNote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Spreitzer, 1995</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05BC319C" w14:textId="6ED31A80" w:rsidR="00A91B25" w:rsidRPr="00DC3DDE" w:rsidRDefault="00A91B25" w:rsidP="00A0551C">
      <w:pPr>
        <w:numPr>
          <w:ilvl w:val="0"/>
          <w:numId w:val="13"/>
        </w:numPr>
        <w:bidi/>
        <w:jc w:val="both"/>
        <w:rPr>
          <w:rFonts w:asciiTheme="majorBidi" w:hAnsiTheme="majorBidi" w:cstheme="majorBidi"/>
          <w:sz w:val="28"/>
          <w:szCs w:val="28"/>
        </w:rPr>
      </w:pPr>
      <w:r w:rsidRPr="00DC3DDE">
        <w:rPr>
          <w:rFonts w:asciiTheme="majorBidi" w:hAnsiTheme="majorBidi" w:cstheme="majorBidi"/>
          <w:b/>
          <w:bCs/>
          <w:sz w:val="28"/>
          <w:szCs w:val="28"/>
          <w:rtl/>
        </w:rPr>
        <w:t xml:space="preserve">دعم القيادة: </w:t>
      </w:r>
      <w:r w:rsidRPr="00DC3DDE">
        <w:rPr>
          <w:rFonts w:asciiTheme="majorBidi" w:hAnsiTheme="majorBidi" w:cstheme="majorBidi"/>
          <w:sz w:val="28"/>
          <w:szCs w:val="28"/>
          <w:rtl/>
        </w:rPr>
        <w:t xml:space="preserve">تلعب القيادة التحويلية دورًا حيويًا في تعزيز الإبداع من خلال تحفيز الرؤية المستقبلية، وتحدي الوضع القائم، وتوفير الدعم النفسي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&lt;EndNote&gt;&lt;Cite&gt;&lt;Author&gt;Bass&lt;/Author&gt;&lt;Year&gt;2006&lt;/Year&gt;&lt;RecNum&gt;269&lt;/RecNum&gt;&lt;DisplayText&gt;(Bass and Riggio, 2006)&lt;/DisplayText&gt;&lt;record&gt;&lt;rec-number&gt;269&lt;/rec-number&gt;&lt;foreign-keys&gt;&lt;key app="EN" db-id="t5vttv59or5xwbe2zdm5ewrxd905arrpawff" timestamp="1721072708"&gt;269&lt;/key&gt;&lt;/foreign-keys&gt;&lt;ref-type name="Book"&gt;6&lt;/ref-type&gt;&lt;contributors&gt;&lt;authors&gt;&lt;author&gt;Bass, Bernard M&lt;/author&gt;&lt;author&gt;Riggio, Ronald E&lt;/author&gt;&lt;/authors&gt;&lt;/contributors&gt;&lt;titles&gt;&lt;title&gt;Transformational leadership&lt;/title&gt;&lt;/titles&gt;&lt;dates&gt;&lt;year&gt;2006&lt;/year&gt;&lt;/dates&gt;&lt;publisher&gt;Psychology press&lt;/publisher&gt;&lt;isbn&gt;1410617092&lt;/isbn&gt;&lt;urls&gt;&lt;/urls&gt;&lt;/record&gt;&lt;/Cite&gt;&lt;/EndNote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Bass and Riggio, 2006</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1FC7DBE8" w14:textId="77777777" w:rsidR="00A91B25" w:rsidRPr="00DC3DDE" w:rsidRDefault="00A91B25" w:rsidP="00A0551C">
      <w:p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ثالثًا: المحددات السياقية والثقافية </w:t>
      </w:r>
      <w:r w:rsidRPr="00DC3DDE">
        <w:rPr>
          <w:rFonts w:asciiTheme="majorBidi" w:hAnsiTheme="majorBidi" w:cstheme="majorBidi"/>
          <w:b/>
          <w:bCs/>
          <w:sz w:val="28"/>
          <w:szCs w:val="28"/>
        </w:rPr>
        <w:t>(Contextual &amp; Cultural Determinants)</w:t>
      </w:r>
    </w:p>
    <w:p w14:paraId="514C2086" w14:textId="77777777"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تتعلق بالبيئة الخارجية والداخلية للمؤسسة</w:t>
      </w:r>
      <w:r w:rsidRPr="00DC3DDE">
        <w:rPr>
          <w:rFonts w:asciiTheme="majorBidi" w:hAnsiTheme="majorBidi" w:cstheme="majorBidi"/>
          <w:sz w:val="28"/>
          <w:szCs w:val="28"/>
        </w:rPr>
        <w:t>:</w:t>
      </w:r>
    </w:p>
    <w:p w14:paraId="708889AF" w14:textId="4D4E3B0A" w:rsidR="00A91B25" w:rsidRPr="00DC3DDE" w:rsidRDefault="00A91B25" w:rsidP="00A0551C">
      <w:pPr>
        <w:numPr>
          <w:ilvl w:val="0"/>
          <w:numId w:val="14"/>
        </w:numPr>
        <w:bidi/>
        <w:jc w:val="both"/>
        <w:rPr>
          <w:rFonts w:asciiTheme="majorBidi" w:hAnsiTheme="majorBidi" w:cstheme="majorBidi"/>
          <w:sz w:val="28"/>
          <w:szCs w:val="28"/>
        </w:rPr>
      </w:pPr>
      <w:r w:rsidRPr="00DC3DDE">
        <w:rPr>
          <w:rFonts w:asciiTheme="majorBidi" w:hAnsiTheme="majorBidi" w:cstheme="majorBidi"/>
          <w:b/>
          <w:bCs/>
          <w:sz w:val="28"/>
          <w:szCs w:val="28"/>
          <w:rtl/>
        </w:rPr>
        <w:t xml:space="preserve">ثقافة العمل: </w:t>
      </w:r>
      <w:r w:rsidRPr="00DC3DDE">
        <w:rPr>
          <w:rFonts w:asciiTheme="majorBidi" w:hAnsiTheme="majorBidi" w:cstheme="majorBidi"/>
          <w:sz w:val="28"/>
          <w:szCs w:val="28"/>
          <w:rtl/>
        </w:rPr>
        <w:t xml:space="preserve">تشير إلى القيم والمعايير التي تحكم التفاعل داخل المؤسسة. فالثقافات التي تشجع على التساؤل والتجريب تحتضن الإبداع بدرجة أعلى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Martins and Terblanche, 2003</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4116EE5E" w14:textId="7BB23390" w:rsidR="00A91B25" w:rsidRPr="00DC3DDE" w:rsidRDefault="00A91B25" w:rsidP="00A0551C">
      <w:pPr>
        <w:numPr>
          <w:ilvl w:val="0"/>
          <w:numId w:val="14"/>
        </w:numPr>
        <w:bidi/>
        <w:jc w:val="both"/>
        <w:rPr>
          <w:rFonts w:asciiTheme="majorBidi" w:hAnsiTheme="majorBidi" w:cstheme="majorBidi"/>
          <w:sz w:val="28"/>
          <w:szCs w:val="28"/>
        </w:rPr>
      </w:pPr>
      <w:r w:rsidRPr="00DC3DDE">
        <w:rPr>
          <w:rFonts w:asciiTheme="majorBidi" w:hAnsiTheme="majorBidi" w:cstheme="majorBidi"/>
          <w:b/>
          <w:bCs/>
          <w:sz w:val="28"/>
          <w:szCs w:val="28"/>
          <w:rtl/>
        </w:rPr>
        <w:t xml:space="preserve">الأمان النفسي: </w:t>
      </w:r>
      <w:r w:rsidRPr="00DC3DDE">
        <w:rPr>
          <w:rFonts w:asciiTheme="majorBidi" w:hAnsiTheme="majorBidi" w:cstheme="majorBidi"/>
          <w:sz w:val="28"/>
          <w:szCs w:val="28"/>
          <w:rtl/>
        </w:rPr>
        <w:t xml:space="preserve">يشير إلى شعور الموظفين بأنهم قادرون على التعبير عن أفكارهم دون خوف من الانتقاد أو العقاب، وهو شرط أساسي للإبداع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&lt;EndNote&gt;&lt;Cite&gt;&lt;Author&gt;Edmondson&lt;/Author&gt;&lt;Year&gt;1999&lt;/Year&gt;&lt;RecNum&gt;1539&lt;/RecNum&gt;&lt;DisplayText&gt;(Edmondson, 1999)&lt;/DisplayText&gt;&lt;record&gt;&lt;rec-number&gt;1539&lt;/rec-number&gt;&lt;foreign-keys&gt;&lt;key app="EN" db-id="t5vttv59or5xwbe2zdm5ewrxd905arrpawff" timestamp="1731723017"&gt;1539&lt;/key&gt;&lt;/foreign-keys&gt;&lt;ref-type name="Journal Article"&gt;17&lt;/ref-type&gt;&lt;contributors&gt;&lt;authors&gt;&lt;author&gt;Edmondson, Amy&lt;/author&gt;&lt;/authors&gt;&lt;/contributors&gt;&lt;titles&gt;&lt;title&gt;Psychological safety and learning behavior in work teams&lt;/title&gt;&lt;secondary</w:instrText>
      </w:r>
      <w:r w:rsidRPr="00DC3DDE">
        <w:rPr>
          <w:rFonts w:asciiTheme="majorBidi" w:hAnsiTheme="majorBidi" w:cstheme="majorBidi"/>
          <w:sz w:val="28"/>
          <w:szCs w:val="28"/>
          <w:rtl/>
        </w:rPr>
        <w:instrText>-</w:instrText>
      </w:r>
      <w:r w:rsidRPr="00DC3DDE">
        <w:rPr>
          <w:rFonts w:asciiTheme="majorBidi" w:hAnsiTheme="majorBidi" w:cstheme="majorBidi"/>
          <w:sz w:val="28"/>
          <w:szCs w:val="28"/>
        </w:rPr>
        <w:instrText>title&gt;Administrative science quarterly&lt;/secondary-title&gt;&lt;/titles&gt;&lt;periodical&gt;&lt;full-title&gt;Administrative science quarterly&lt;/full-title&gt;&lt;/periodical&gt;&lt;pages&gt;350-383&lt;/pages&gt;&lt;volume&gt;44&lt;/volume&gt;&lt;number&gt;2&lt;/number&gt;&lt;dates&gt;&lt;year&gt;1999&lt;/year&gt;&lt;/dates&gt;&lt;isbn&gt;0001-8392</w:instrText>
      </w:r>
      <w:r w:rsidRPr="00DC3DDE">
        <w:rPr>
          <w:rFonts w:asciiTheme="majorBidi" w:hAnsiTheme="majorBidi" w:cstheme="majorBidi"/>
          <w:sz w:val="28"/>
          <w:szCs w:val="28"/>
          <w:rtl/>
        </w:rPr>
        <w:instrText>&lt;/</w:instrText>
      </w:r>
      <w:r w:rsidRPr="00DC3DDE">
        <w:rPr>
          <w:rFonts w:asciiTheme="majorBidi" w:hAnsiTheme="majorBidi" w:cstheme="majorBidi"/>
          <w:sz w:val="28"/>
          <w:szCs w:val="28"/>
        </w:rPr>
        <w:instrTex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Edmondson, 1999</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27C3664A" w14:textId="77777777" w:rsidR="00A91B25" w:rsidRPr="00DC3DDE" w:rsidRDefault="00A91B25" w:rsidP="00A0551C">
      <w:pPr>
        <w:numPr>
          <w:ilvl w:val="0"/>
          <w:numId w:val="14"/>
        </w:numPr>
        <w:bidi/>
        <w:jc w:val="both"/>
        <w:rPr>
          <w:rFonts w:asciiTheme="majorBidi" w:hAnsiTheme="majorBidi" w:cstheme="majorBidi"/>
          <w:sz w:val="28"/>
          <w:szCs w:val="28"/>
        </w:rPr>
      </w:pPr>
      <w:r w:rsidRPr="00DC3DDE">
        <w:rPr>
          <w:rFonts w:asciiTheme="majorBidi" w:hAnsiTheme="majorBidi" w:cstheme="majorBidi"/>
          <w:b/>
          <w:bCs/>
          <w:sz w:val="28"/>
          <w:szCs w:val="28"/>
          <w:rtl/>
        </w:rPr>
        <w:t xml:space="preserve">الضغوط الزمنية والبيروقراطية: </w:t>
      </w:r>
      <w:r w:rsidRPr="00DC3DDE">
        <w:rPr>
          <w:rFonts w:asciiTheme="majorBidi" w:hAnsiTheme="majorBidi" w:cstheme="majorBidi"/>
          <w:sz w:val="28"/>
          <w:szCs w:val="28"/>
          <w:rtl/>
        </w:rPr>
        <w:t>تؤدي البيئة التنظيمية ذات الهياكل الصلبة أو الضغوط المفرطة إلى تقليص فرص الإبداع، إذ تفضل الحلول السريعة على المبتكرة</w:t>
      </w:r>
      <w:r w:rsidRPr="00DC3DDE">
        <w:rPr>
          <w:rFonts w:asciiTheme="majorBidi" w:hAnsiTheme="majorBidi" w:cstheme="majorBidi"/>
          <w:sz w:val="28"/>
          <w:szCs w:val="28"/>
        </w:rPr>
        <w:t>.</w:t>
      </w:r>
    </w:p>
    <w:p w14:paraId="627C5B0D" w14:textId="5DC9EFEB" w:rsidR="00A91B25" w:rsidRDefault="00A91B25" w:rsidP="00A0551C">
      <w:pPr>
        <w:bidi/>
        <w:jc w:val="both"/>
        <w:rPr>
          <w:rFonts w:asciiTheme="majorBidi" w:hAnsiTheme="majorBidi" w:cstheme="majorBidi"/>
          <w:sz w:val="28"/>
          <w:szCs w:val="28"/>
          <w:rtl/>
        </w:rPr>
      </w:pPr>
      <w:r w:rsidRPr="00DC3DDE">
        <w:rPr>
          <w:rFonts w:asciiTheme="majorBidi" w:hAnsiTheme="majorBidi" w:cstheme="majorBidi"/>
          <w:sz w:val="28"/>
          <w:szCs w:val="28"/>
          <w:rtl/>
        </w:rPr>
        <w:t>يمكن القول إن الإبداع لا يُولد في فراغ، بل يتطلب بيئة تحفّز الإمكانيات الكامنة لدى الأفراد، وتُزيل العوائق النفسية والتنظيمية التي قد تحد من التفكير الحر. وهذا ما يجعل العلاقة بين</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والإبداع الوظيفي موضع اهتمام بحثي، إذ تُمثّل</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مدخلًا فاعلًا لتشكيل بيئة عمل تدعم المحددات المحفزة وتقلل من تلك المعوقة</w:t>
      </w:r>
      <w:r w:rsidRPr="00DC3DDE">
        <w:rPr>
          <w:rFonts w:asciiTheme="majorBidi" w:hAnsiTheme="majorBidi" w:cstheme="majorBidi"/>
          <w:sz w:val="28"/>
          <w:szCs w:val="28"/>
        </w:rPr>
        <w:t>.</w:t>
      </w:r>
    </w:p>
    <w:p w14:paraId="03C69E02" w14:textId="77777777" w:rsidR="006652C1" w:rsidRPr="007575D7" w:rsidRDefault="006652C1" w:rsidP="006652C1">
      <w:pPr>
        <w:bidi/>
        <w:jc w:val="both"/>
        <w:rPr>
          <w:rFonts w:asciiTheme="majorBidi" w:hAnsiTheme="majorBidi" w:cstheme="majorBidi"/>
          <w:sz w:val="28"/>
          <w:szCs w:val="28"/>
        </w:rPr>
      </w:pPr>
    </w:p>
    <w:p w14:paraId="6E8B1C4E" w14:textId="096AF64A" w:rsidR="00683321" w:rsidRPr="00683321" w:rsidRDefault="0054713F" w:rsidP="00683321">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2.2.4. </w:t>
      </w:r>
      <w:r w:rsidR="00683321" w:rsidRPr="00683321">
        <w:rPr>
          <w:rFonts w:asciiTheme="majorBidi" w:hAnsiTheme="majorBidi" w:cstheme="majorBidi"/>
          <w:b/>
          <w:bCs/>
          <w:sz w:val="28"/>
          <w:szCs w:val="28"/>
          <w:rtl/>
        </w:rPr>
        <w:t>العلاقات النظرية بين المتغيرات</w:t>
      </w:r>
    </w:p>
    <w:p w14:paraId="69C9D4AB" w14:textId="20D082FD" w:rsidR="00683321" w:rsidRPr="00683321" w:rsidRDefault="0054713F" w:rsidP="00683321">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2.2.4.1. </w:t>
      </w:r>
      <w:r w:rsidR="00683321" w:rsidRPr="00683321">
        <w:rPr>
          <w:rFonts w:asciiTheme="majorBidi" w:hAnsiTheme="majorBidi" w:cstheme="majorBidi"/>
          <w:b/>
          <w:bCs/>
          <w:sz w:val="28"/>
          <w:szCs w:val="28"/>
          <w:rtl/>
        </w:rPr>
        <w:t>العلاقة بين أنظمة العمل عالية الأداء</w:t>
      </w:r>
      <w:r w:rsidR="00683321" w:rsidRPr="00683321">
        <w:rPr>
          <w:rFonts w:asciiTheme="majorBidi" w:hAnsiTheme="majorBidi" w:cstheme="majorBidi"/>
          <w:b/>
          <w:bCs/>
          <w:sz w:val="28"/>
          <w:szCs w:val="28"/>
        </w:rPr>
        <w:t xml:space="preserve"> (HPWS) </w:t>
      </w:r>
      <w:r w:rsidR="00683321" w:rsidRPr="00683321">
        <w:rPr>
          <w:rFonts w:asciiTheme="majorBidi" w:hAnsiTheme="majorBidi" w:cstheme="majorBidi"/>
          <w:b/>
          <w:bCs/>
          <w:sz w:val="28"/>
          <w:szCs w:val="28"/>
          <w:rtl/>
        </w:rPr>
        <w:t>والإبداع الوظيفي</w:t>
      </w:r>
    </w:p>
    <w:p w14:paraId="6F3EE872" w14:textId="71821C2C" w:rsidR="00683321" w:rsidRPr="00DC3DDE" w:rsidRDefault="00683321" w:rsidP="00A0551C">
      <w:pPr>
        <w:bidi/>
        <w:jc w:val="both"/>
        <w:rPr>
          <w:rFonts w:asciiTheme="majorBidi" w:hAnsiTheme="majorBidi" w:cstheme="majorBidi"/>
          <w:sz w:val="28"/>
          <w:szCs w:val="28"/>
        </w:rPr>
      </w:pPr>
      <w:r w:rsidRPr="00683321">
        <w:rPr>
          <w:rFonts w:asciiTheme="majorBidi" w:hAnsiTheme="majorBidi" w:cstheme="majorBidi"/>
          <w:sz w:val="28"/>
          <w:szCs w:val="28"/>
          <w:rtl/>
        </w:rPr>
        <w:lastRenderedPageBreak/>
        <w:t>تشير الأدبيات إلى أن أنظمة العمل عالية الأداء تمثل أحد المحركات الرئيسة للإبداع في بيئة العمل، إذ تعمل من خلال استقطاب الكفاءات، وتوفير التدريب والتطوير المستمر، ومنح الموظفين التمكين اللازم لاتخاذ القرارات، وتحفيزهم عبر أنظمة مكافآت عادلة</w:t>
      </w:r>
      <w:r w:rsidR="005B5993">
        <w:rPr>
          <w:rFonts w:asciiTheme="majorBidi" w:hAnsiTheme="majorBidi" w:cstheme="majorBidi" w:hint="cs"/>
          <w:sz w:val="28"/>
          <w:szCs w:val="28"/>
          <w:rtl/>
        </w:rPr>
        <w:t xml:space="preserve"> </w:t>
      </w:r>
      <w:r w:rsidRPr="00683321">
        <w:rPr>
          <w:rFonts w:asciiTheme="majorBidi" w:hAnsiTheme="majorBidi" w:cstheme="majorBidi"/>
          <w:sz w:val="28"/>
          <w:szCs w:val="28"/>
        </w:rPr>
        <w:t>(Takeuchi et al., 2007; Boxall &amp; Macky, 2009)</w:t>
      </w:r>
      <w:r w:rsidR="005B5993">
        <w:rPr>
          <w:rFonts w:asciiTheme="majorBidi" w:hAnsiTheme="majorBidi" w:cstheme="majorBidi" w:hint="cs"/>
          <w:sz w:val="28"/>
          <w:szCs w:val="28"/>
          <w:rtl/>
        </w:rPr>
        <w:t>.</w:t>
      </w:r>
      <w:r w:rsidRPr="00683321">
        <w:rPr>
          <w:rFonts w:asciiTheme="majorBidi" w:hAnsiTheme="majorBidi" w:cstheme="majorBidi"/>
          <w:sz w:val="28"/>
          <w:szCs w:val="28"/>
        </w:rPr>
        <w:t xml:space="preserve"> </w:t>
      </w:r>
      <w:r w:rsidRPr="00683321">
        <w:rPr>
          <w:rFonts w:asciiTheme="majorBidi" w:hAnsiTheme="majorBidi" w:cstheme="majorBidi"/>
          <w:sz w:val="28"/>
          <w:szCs w:val="28"/>
          <w:rtl/>
        </w:rPr>
        <w:t>هذه الممارسات لا تعزز القدرات الفنية فحسب، بل ترفع أيضًا من مستويات الدافعية الداخلية، وهو ما يدفع الأفراد إلى البحث عن حلول مبتكرة وتطبيقها في العمل</w:t>
      </w:r>
      <w:r w:rsidRPr="00683321">
        <w:rPr>
          <w:rFonts w:asciiTheme="majorBidi" w:hAnsiTheme="majorBidi" w:cstheme="majorBidi"/>
          <w:sz w:val="28"/>
          <w:szCs w:val="28"/>
        </w:rPr>
        <w:t>.</w:t>
      </w:r>
      <w:r w:rsidRPr="00683321">
        <w:rPr>
          <w:rFonts w:asciiTheme="majorBidi" w:hAnsiTheme="majorBidi" w:cstheme="majorBidi"/>
          <w:sz w:val="28"/>
          <w:szCs w:val="28"/>
        </w:rPr>
        <w:br/>
      </w:r>
      <w:r w:rsidRPr="00683321">
        <w:rPr>
          <w:rFonts w:asciiTheme="majorBidi" w:hAnsiTheme="majorBidi" w:cstheme="majorBidi"/>
          <w:sz w:val="28"/>
          <w:szCs w:val="28"/>
          <w:rtl/>
        </w:rPr>
        <w:t>أثبتت دراسات تطبيقية أن المؤسسات التي تتبنى</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تسجل مستويات أعلى من توليد الأفكار الإبداعية وتنفيذها، مقارنة بالمؤسسات التي تعتمد على ممارسات تقليدية في إدارة الموارد البشرية</w:t>
      </w:r>
      <w:r w:rsidR="003907B9">
        <w:rPr>
          <w:rFonts w:asciiTheme="majorBidi" w:hAnsiTheme="majorBidi" w:cstheme="majorBidi" w:hint="cs"/>
          <w:sz w:val="28"/>
          <w:szCs w:val="28"/>
          <w:rtl/>
        </w:rPr>
        <w:t xml:space="preserve">. </w:t>
      </w:r>
      <w:r w:rsidRPr="00683321">
        <w:rPr>
          <w:rFonts w:asciiTheme="majorBidi" w:hAnsiTheme="majorBidi" w:cstheme="majorBidi"/>
          <w:sz w:val="28"/>
          <w:szCs w:val="28"/>
          <w:rtl/>
        </w:rPr>
        <w:t>ويرجع ذلك إلى أن</w:t>
      </w:r>
      <w:r w:rsidRPr="00683321">
        <w:rPr>
          <w:rFonts w:asciiTheme="majorBidi" w:hAnsiTheme="majorBidi" w:cstheme="majorBidi"/>
          <w:sz w:val="28"/>
          <w:szCs w:val="28"/>
        </w:rPr>
        <w:t xml:space="preserve"> HPWS</w:t>
      </w:r>
      <w:r w:rsidR="005B5993">
        <w:rPr>
          <w:rFonts w:asciiTheme="majorBidi" w:hAnsiTheme="majorBidi" w:cstheme="majorBidi" w:hint="cs"/>
          <w:sz w:val="28"/>
          <w:szCs w:val="28"/>
          <w:rtl/>
        </w:rPr>
        <w:t xml:space="preserve"> </w:t>
      </w:r>
      <w:r w:rsidRPr="00683321">
        <w:rPr>
          <w:rFonts w:asciiTheme="majorBidi" w:hAnsiTheme="majorBidi" w:cstheme="majorBidi"/>
          <w:sz w:val="28"/>
          <w:szCs w:val="28"/>
          <w:rtl/>
        </w:rPr>
        <w:t>توفر بيئة تشجع على التجريب وتحتمل الفشل كخطوة في مسار التعلم، مما يجعل الإبداع نتيجة طبيعية لهذه الأنظمة</w:t>
      </w:r>
      <w:r w:rsidRPr="00683321">
        <w:rPr>
          <w:rFonts w:asciiTheme="majorBidi" w:hAnsiTheme="majorBidi" w:cstheme="majorBidi"/>
          <w:sz w:val="28"/>
          <w:szCs w:val="28"/>
        </w:rPr>
        <w:t>.</w:t>
      </w:r>
    </w:p>
    <w:p w14:paraId="076F4DDA" w14:textId="5E7C0B16"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 xml:space="preserve">وتشير </w:t>
      </w:r>
      <w:r w:rsidRPr="002D7391">
        <w:rPr>
          <w:rFonts w:asciiTheme="majorBidi" w:hAnsiTheme="majorBidi" w:cstheme="majorBidi"/>
          <w:sz w:val="28"/>
          <w:szCs w:val="28"/>
          <w:rtl/>
        </w:rPr>
        <w:t>البحوث التطبيقية إلى أن هذه العلاقة لا تقتصر على الأفراد فقط، بل تُسهم</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أيضًا في بناء ثقافة مؤسسية داعمة للإبداع، يتشارك فيها جميع الموظفين في توليد وتطوير وتنفيذ الأفكار. كما وُجد أن الأثر الإيجابي لـ</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على الإبداع يكون أكثر وضوحًا في البيئات التي تتمتع بـ دعم تنظيمي، وقيادة تحفيزية، ومرونة هيكلية، مثل</w:t>
      </w:r>
      <w:r w:rsidRPr="00DC3DDE">
        <w:rPr>
          <w:rFonts w:asciiTheme="majorBidi" w:hAnsiTheme="majorBidi" w:cstheme="majorBidi"/>
          <w:sz w:val="28"/>
          <w:szCs w:val="28"/>
          <w:rtl/>
        </w:rPr>
        <w:t xml:space="preserve"> بيئة قطاع الضيافة، التي تُعد مجالًا غنيًا للتفاعل البشري والإبداع الخدمي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DC3DDE">
        <w:rPr>
          <w:rFonts w:asciiTheme="majorBidi" w:hAnsiTheme="majorBidi" w:cstheme="majorBidi"/>
          <w:sz w:val="28"/>
          <w:szCs w:val="28"/>
          <w:rtl/>
        </w:rPr>
        <w:instrText>05</w:instrText>
      </w:r>
      <w:r w:rsidRPr="00DC3DDE">
        <w:rPr>
          <w:rFonts w:asciiTheme="majorBidi" w:hAnsiTheme="majorBidi" w:cstheme="majorBidi"/>
          <w:sz w:val="28"/>
          <w:szCs w:val="28"/>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periodical&gt;&lt;pages&gt;102610&lt;/pages&gt;&lt;volume&gt;90&lt;/volume&gt;&lt;dates&gt;&lt;year&gt;2020&lt;/year&gt;&lt;/dates&gt;&lt;isbn&gt;0278-4319&lt;/isbn&gt;&lt;urls&gt;&lt;/urls&gt;&lt;/record&gt;&lt;/Cite&gt;&lt;/EndNote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Kloutsiniotis and Mihail, 2020</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540A551F" w14:textId="2CC47B6A" w:rsidR="00A91B25" w:rsidRPr="00DC3DDE" w:rsidRDefault="00A91B25" w:rsidP="00A0551C">
      <w:pPr>
        <w:bidi/>
        <w:jc w:val="both"/>
        <w:rPr>
          <w:rFonts w:asciiTheme="majorBidi" w:hAnsiTheme="majorBidi" w:cstheme="majorBidi"/>
          <w:sz w:val="28"/>
          <w:szCs w:val="28"/>
          <w:rtl/>
        </w:rPr>
      </w:pPr>
      <w:r w:rsidRPr="00DC3DDE">
        <w:rPr>
          <w:rFonts w:asciiTheme="majorBidi" w:hAnsiTheme="majorBidi" w:cstheme="majorBidi"/>
          <w:sz w:val="28"/>
          <w:szCs w:val="28"/>
          <w:rtl/>
        </w:rPr>
        <w:t xml:space="preserve">علاوة على ذلك، فقد كشفت دراسات حديثة أن </w:t>
      </w:r>
      <w:r w:rsidRPr="002D7391">
        <w:rPr>
          <w:rFonts w:asciiTheme="majorBidi" w:hAnsiTheme="majorBidi" w:cstheme="majorBidi"/>
          <w:sz w:val="28"/>
          <w:szCs w:val="28"/>
          <w:rtl/>
        </w:rPr>
        <w:t>العلاقة بين</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والإبداع قد تتأثر أيضًا بمتغيرات وسيطة مثل الرضا الوظيفي، والارتباط العاطفي بالمنظمة، والتعلم التنظيمي، مما يُشير إلى أن أثر</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على الإبداع لا يكون مباشرًا دائمًا، بل قد يتحقق عبر تفاعل مع</w:t>
      </w:r>
      <w:r w:rsidRPr="00DC3DDE">
        <w:rPr>
          <w:rFonts w:asciiTheme="majorBidi" w:hAnsiTheme="majorBidi" w:cstheme="majorBidi"/>
          <w:sz w:val="28"/>
          <w:szCs w:val="28"/>
          <w:rtl/>
        </w:rPr>
        <w:t xml:space="preserve"> عناصر أخرى على المستوى الفردي والتنظيمي </w:t>
      </w:r>
      <w:r w:rsidRPr="00DC3DDE">
        <w:rPr>
          <w:rFonts w:asciiTheme="majorBidi" w:hAnsiTheme="majorBidi" w:cstheme="majorBidi"/>
          <w:sz w:val="28"/>
          <w:szCs w:val="28"/>
          <w:rtl/>
        </w:rPr>
        <w:fldChar w:fldCharType="begin">
          <w:fldData xml:space="preserve">PEVuZE5vdGU+PENpdGU+PEF1dGhvcj5KaWFuZzwvQXV0aG9yPjxZZWFyPjIwMTI8L1llYXI+PFJl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</w:fldData>
        </w:fldChar>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w:instrText>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tl/>
        </w:rPr>
        <w:fldChar w:fldCharType="begin">
          <w:fldData xml:space="preserve">PEVuZE5vdGU+PENpdGU+PEF1dGhvcj5KaWFuZzwvQXV0aG9yPjxZZWFyPjIwMTI8L1llYXI+PFJl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</w:fldData>
        </w:fldChar>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EN.CITE.DATA</w:instrText>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tl/>
        </w:rPr>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Jiang et al., 2012, Messersmith and Guthrie, 2010</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2B70778E" w14:textId="77777777"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بالتالي، فإن تبني أنظمة العمل عالية الأداء يُعد م</w:t>
      </w:r>
      <w:r w:rsidRPr="002D7391">
        <w:rPr>
          <w:rFonts w:asciiTheme="majorBidi" w:hAnsiTheme="majorBidi" w:cstheme="majorBidi"/>
          <w:sz w:val="28"/>
          <w:szCs w:val="28"/>
          <w:rtl/>
        </w:rPr>
        <w:t xml:space="preserve">دخلاً استراتيجيًا لتعزيز الإبداع ليس فقط من خلال دعم الأفراد، بل عبر تصميم منظومة متكاملة من السياسات والممارسات التي تخلق بيئة مؤسسية تولّد وتحافظ على السلوك الإبداعي، مما يُمكّن المؤسسة من مواجهة التحديات المعقدة والتغيرات </w:t>
      </w:r>
      <w:r w:rsidRPr="00DC3DDE">
        <w:rPr>
          <w:rFonts w:asciiTheme="majorBidi" w:hAnsiTheme="majorBidi" w:cstheme="majorBidi"/>
          <w:sz w:val="28"/>
          <w:szCs w:val="28"/>
          <w:rtl/>
        </w:rPr>
        <w:t>المتسارعة في سوق العمل</w:t>
      </w:r>
      <w:r w:rsidRPr="00DC3DDE">
        <w:rPr>
          <w:rFonts w:asciiTheme="majorBidi" w:hAnsiTheme="majorBidi" w:cstheme="majorBidi"/>
          <w:sz w:val="28"/>
          <w:szCs w:val="28"/>
        </w:rPr>
        <w:t>.</w:t>
      </w:r>
    </w:p>
    <w:p w14:paraId="14A74EA4" w14:textId="77777777" w:rsidR="00A91B25" w:rsidRPr="00DC3DDE" w:rsidRDefault="00A91B25" w:rsidP="00A0551C">
      <w:pPr>
        <w:bidi/>
        <w:jc w:val="both"/>
        <w:rPr>
          <w:rFonts w:asciiTheme="majorBidi" w:hAnsiTheme="majorBidi" w:cstheme="majorBidi"/>
          <w:b/>
          <w:bCs/>
          <w:sz w:val="28"/>
          <w:szCs w:val="28"/>
        </w:rPr>
      </w:pPr>
      <w:r w:rsidRPr="00DC3DDE">
        <w:rPr>
          <w:rFonts w:asciiTheme="majorBidi" w:hAnsiTheme="majorBidi" w:cstheme="majorBidi"/>
          <w:b/>
          <w:bCs/>
          <w:sz w:val="28"/>
          <w:szCs w:val="28"/>
          <w:rtl/>
        </w:rPr>
        <w:t>الأطر النظرية المفسّرة للعلاقة بين</w:t>
      </w:r>
      <w:r w:rsidRPr="00DC3DDE">
        <w:rPr>
          <w:rFonts w:asciiTheme="majorBidi" w:hAnsiTheme="majorBidi" w:cstheme="majorBidi"/>
          <w:b/>
          <w:bCs/>
          <w:sz w:val="28"/>
          <w:szCs w:val="28"/>
        </w:rPr>
        <w:t xml:space="preserve"> HPWS </w:t>
      </w:r>
      <w:r w:rsidRPr="00DC3DDE">
        <w:rPr>
          <w:rFonts w:asciiTheme="majorBidi" w:hAnsiTheme="majorBidi" w:cstheme="majorBidi"/>
          <w:b/>
          <w:bCs/>
          <w:sz w:val="28"/>
          <w:szCs w:val="28"/>
          <w:rtl/>
        </w:rPr>
        <w:t>والإبداع</w:t>
      </w:r>
    </w:p>
    <w:p w14:paraId="7180AB10" w14:textId="77777777" w:rsidR="00A91B25" w:rsidRPr="003907B9" w:rsidRDefault="00A91B25" w:rsidP="00A0551C">
      <w:pPr>
        <w:bidi/>
        <w:jc w:val="both"/>
        <w:rPr>
          <w:rFonts w:asciiTheme="majorBidi" w:hAnsiTheme="majorBidi" w:cstheme="majorBidi"/>
          <w:sz w:val="28"/>
          <w:szCs w:val="28"/>
        </w:rPr>
      </w:pPr>
      <w:r w:rsidRPr="003907B9">
        <w:rPr>
          <w:rFonts w:asciiTheme="majorBidi" w:hAnsiTheme="majorBidi" w:cstheme="majorBidi"/>
          <w:sz w:val="28"/>
          <w:szCs w:val="28"/>
          <w:rtl/>
        </w:rPr>
        <w:t>لفهم الكيفية التي تؤثر بها أنظمة العمل عالية الأداء</w:t>
      </w:r>
      <w:r w:rsidRPr="003907B9">
        <w:rPr>
          <w:rFonts w:asciiTheme="majorBidi" w:hAnsiTheme="majorBidi" w:cstheme="majorBidi"/>
          <w:sz w:val="28"/>
          <w:szCs w:val="28"/>
        </w:rPr>
        <w:t xml:space="preserve"> (HPWS) </w:t>
      </w:r>
      <w:r w:rsidRPr="003907B9">
        <w:rPr>
          <w:rFonts w:asciiTheme="majorBidi" w:hAnsiTheme="majorBidi" w:cstheme="majorBidi"/>
          <w:sz w:val="28"/>
          <w:szCs w:val="28"/>
          <w:rtl/>
        </w:rPr>
        <w:t>على الأداء الإبداعي، لا بد من الرجوع إلى أطر نظرية تفسيرية تساعد على بناء تصور منهجي حول طبيعة هذه العلاقة والآليات التي تقف وراءها. ومن أبرز الأطر النظرية المستخدمة في هذا السياق، تبرز نظرية</w:t>
      </w:r>
      <w:r w:rsidRPr="003907B9">
        <w:rPr>
          <w:rFonts w:asciiTheme="majorBidi" w:hAnsiTheme="majorBidi" w:cstheme="majorBidi"/>
          <w:sz w:val="28"/>
          <w:szCs w:val="28"/>
        </w:rPr>
        <w:t xml:space="preserve"> AMO </w:t>
      </w:r>
      <w:r w:rsidRPr="003907B9">
        <w:rPr>
          <w:rFonts w:asciiTheme="majorBidi" w:hAnsiTheme="majorBidi" w:cstheme="majorBidi"/>
          <w:sz w:val="28"/>
          <w:szCs w:val="28"/>
          <w:rtl/>
        </w:rPr>
        <w:t>ونظرية الموارد الديناميكية</w:t>
      </w:r>
      <w:r w:rsidRPr="003907B9">
        <w:rPr>
          <w:rFonts w:asciiTheme="majorBidi" w:hAnsiTheme="majorBidi" w:cstheme="majorBidi"/>
          <w:sz w:val="28"/>
          <w:szCs w:val="28"/>
        </w:rPr>
        <w:t xml:space="preserve"> (RBV)</w:t>
      </w:r>
      <w:r w:rsidRPr="003907B9">
        <w:rPr>
          <w:rFonts w:asciiTheme="majorBidi" w:hAnsiTheme="majorBidi" w:cstheme="majorBidi"/>
          <w:sz w:val="28"/>
          <w:szCs w:val="28"/>
          <w:rtl/>
        </w:rPr>
        <w:t>، إلى جانب نظرية الدعم الإداري للإبداع، وكل منها يسلط الضوء على بعد مختلف من العلاقة بين الممارسات التنظيمية والمخرجات الإبداعية</w:t>
      </w:r>
      <w:r w:rsidRPr="003907B9">
        <w:rPr>
          <w:rFonts w:asciiTheme="majorBidi" w:hAnsiTheme="majorBidi" w:cstheme="majorBidi"/>
          <w:sz w:val="28"/>
          <w:szCs w:val="28"/>
        </w:rPr>
        <w:t>.</w:t>
      </w:r>
    </w:p>
    <w:p w14:paraId="702F7B92" w14:textId="77777777" w:rsidR="00A91B25" w:rsidRPr="00DC3DDE" w:rsidRDefault="00A91B25" w:rsidP="00A0551C">
      <w:pPr>
        <w:pStyle w:val="ListParagraph"/>
        <w:numPr>
          <w:ilvl w:val="1"/>
          <w:numId w:val="15"/>
        </w:numPr>
        <w:bidi/>
        <w:jc w:val="both"/>
        <w:rPr>
          <w:rFonts w:asciiTheme="majorBidi" w:hAnsiTheme="majorBidi" w:cstheme="majorBidi"/>
          <w:b/>
          <w:bCs/>
          <w:sz w:val="28"/>
          <w:szCs w:val="28"/>
        </w:rPr>
      </w:pPr>
      <w:r w:rsidRPr="00DC3DDE">
        <w:rPr>
          <w:rFonts w:asciiTheme="majorBidi" w:hAnsiTheme="majorBidi" w:cstheme="majorBidi"/>
          <w:b/>
          <w:bCs/>
          <w:sz w:val="28"/>
          <w:szCs w:val="28"/>
          <w:rtl/>
        </w:rPr>
        <w:t>إطار</w:t>
      </w:r>
      <w:r w:rsidRPr="00DC3DDE">
        <w:rPr>
          <w:rFonts w:asciiTheme="majorBidi" w:hAnsiTheme="majorBidi" w:cstheme="majorBidi"/>
          <w:b/>
          <w:bCs/>
          <w:sz w:val="28"/>
          <w:szCs w:val="28"/>
        </w:rPr>
        <w:t xml:space="preserve"> AMO </w:t>
      </w:r>
      <w:r w:rsidRPr="00DC3DDE">
        <w:rPr>
          <w:rFonts w:asciiTheme="majorBidi" w:hAnsiTheme="majorBidi" w:cstheme="majorBidi"/>
          <w:b/>
          <w:bCs/>
          <w:sz w:val="28"/>
          <w:szCs w:val="28"/>
          <w:rtl/>
        </w:rPr>
        <w:t>(القدرة–الدافعية–الفرصة)</w:t>
      </w:r>
    </w:p>
    <w:p w14:paraId="68A48C7E" w14:textId="77777777"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يُعد هذا الإطار من أكثر النماذج شيوعًا في أدبيات الموارد البشرية لتفسير تأثير ممارسات العمل على الأداء الوظيفي، بما في ذلك الأداء الإبداعي. ويفترض النموذج أن الأداء الأمثل يتحقق عندما توفر المنظمة للموظفين ما يلي</w:t>
      </w:r>
      <w:r w:rsidRPr="00DC3DDE">
        <w:rPr>
          <w:rFonts w:asciiTheme="majorBidi" w:hAnsiTheme="majorBidi" w:cstheme="majorBidi"/>
          <w:sz w:val="28"/>
          <w:szCs w:val="28"/>
        </w:rPr>
        <w:t>:</w:t>
      </w:r>
    </w:p>
    <w:p w14:paraId="0BAEB2BD" w14:textId="77777777" w:rsidR="00A91B25" w:rsidRPr="00DC3DDE" w:rsidRDefault="00A91B25" w:rsidP="00A0551C">
      <w:pPr>
        <w:numPr>
          <w:ilvl w:val="0"/>
          <w:numId w:val="16"/>
        </w:numPr>
        <w:bidi/>
        <w:jc w:val="both"/>
        <w:rPr>
          <w:rFonts w:asciiTheme="majorBidi" w:hAnsiTheme="majorBidi" w:cstheme="majorBidi"/>
          <w:sz w:val="28"/>
          <w:szCs w:val="28"/>
        </w:rPr>
      </w:pPr>
      <w:r w:rsidRPr="00DC3DDE">
        <w:rPr>
          <w:rFonts w:asciiTheme="majorBidi" w:hAnsiTheme="majorBidi" w:cstheme="majorBidi"/>
          <w:b/>
          <w:bCs/>
          <w:sz w:val="28"/>
          <w:szCs w:val="28"/>
          <w:rtl/>
        </w:rPr>
        <w:lastRenderedPageBreak/>
        <w:t xml:space="preserve">القدرة </w:t>
      </w:r>
      <w:r w:rsidRPr="00DC3DDE">
        <w:rPr>
          <w:rFonts w:asciiTheme="majorBidi" w:hAnsiTheme="majorBidi" w:cstheme="majorBidi"/>
          <w:b/>
          <w:bCs/>
          <w:sz w:val="28"/>
          <w:szCs w:val="28"/>
        </w:rPr>
        <w:t>(Ability)</w:t>
      </w:r>
      <w:r w:rsidRPr="00DC3DDE">
        <w:rPr>
          <w:rFonts w:asciiTheme="majorBidi" w:hAnsiTheme="majorBidi" w:cstheme="majorBidi"/>
          <w:b/>
          <w:bCs/>
          <w:sz w:val="28"/>
          <w:szCs w:val="28"/>
          <w:rtl/>
        </w:rPr>
        <w:t>:</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عبر التوظيف والتدريب المتخصصين</w:t>
      </w:r>
      <w:r w:rsidRPr="00DC3DDE">
        <w:rPr>
          <w:rFonts w:asciiTheme="majorBidi" w:hAnsiTheme="majorBidi" w:cstheme="majorBidi"/>
          <w:sz w:val="28"/>
          <w:szCs w:val="28"/>
        </w:rPr>
        <w:t>.</w:t>
      </w:r>
    </w:p>
    <w:p w14:paraId="480BC4E4" w14:textId="77777777" w:rsidR="00A91B25" w:rsidRPr="00DC3DDE" w:rsidRDefault="00A91B25" w:rsidP="00A0551C">
      <w:pPr>
        <w:numPr>
          <w:ilvl w:val="0"/>
          <w:numId w:val="16"/>
        </w:numPr>
        <w:bidi/>
        <w:jc w:val="both"/>
        <w:rPr>
          <w:rFonts w:asciiTheme="majorBidi" w:hAnsiTheme="majorBidi" w:cstheme="majorBidi"/>
          <w:sz w:val="28"/>
          <w:szCs w:val="28"/>
        </w:rPr>
      </w:pPr>
      <w:r w:rsidRPr="00DC3DDE">
        <w:rPr>
          <w:rFonts w:asciiTheme="majorBidi" w:hAnsiTheme="majorBidi" w:cstheme="majorBidi"/>
          <w:b/>
          <w:bCs/>
          <w:sz w:val="28"/>
          <w:szCs w:val="28"/>
          <w:rtl/>
        </w:rPr>
        <w:t xml:space="preserve">الدافعية </w:t>
      </w:r>
      <w:r w:rsidRPr="00DC3DDE">
        <w:rPr>
          <w:rFonts w:asciiTheme="majorBidi" w:hAnsiTheme="majorBidi" w:cstheme="majorBidi"/>
          <w:b/>
          <w:bCs/>
          <w:sz w:val="28"/>
          <w:szCs w:val="28"/>
        </w:rPr>
        <w:t>(Motivation)</w:t>
      </w:r>
      <w:r w:rsidRPr="00DC3DDE">
        <w:rPr>
          <w:rFonts w:asciiTheme="majorBidi" w:hAnsiTheme="majorBidi" w:cstheme="majorBidi"/>
          <w:b/>
          <w:bCs/>
          <w:sz w:val="28"/>
          <w:szCs w:val="28"/>
          <w:rtl/>
        </w:rPr>
        <w:t>:</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من خلال المكافآت والحوافز والتحفيز النفسي</w:t>
      </w:r>
      <w:r w:rsidRPr="00DC3DDE">
        <w:rPr>
          <w:rFonts w:asciiTheme="majorBidi" w:hAnsiTheme="majorBidi" w:cstheme="majorBidi"/>
          <w:sz w:val="28"/>
          <w:szCs w:val="28"/>
        </w:rPr>
        <w:t>.</w:t>
      </w:r>
    </w:p>
    <w:p w14:paraId="068D3C91" w14:textId="77777777" w:rsidR="00A91B25" w:rsidRPr="00DC3DDE" w:rsidRDefault="00A91B25" w:rsidP="00A0551C">
      <w:pPr>
        <w:numPr>
          <w:ilvl w:val="0"/>
          <w:numId w:val="16"/>
        </w:numPr>
        <w:bidi/>
        <w:jc w:val="both"/>
        <w:rPr>
          <w:rFonts w:asciiTheme="majorBidi" w:hAnsiTheme="majorBidi" w:cstheme="majorBidi"/>
          <w:sz w:val="28"/>
          <w:szCs w:val="28"/>
        </w:rPr>
      </w:pPr>
      <w:r w:rsidRPr="00DC3DDE">
        <w:rPr>
          <w:rFonts w:asciiTheme="majorBidi" w:hAnsiTheme="majorBidi" w:cstheme="majorBidi"/>
          <w:b/>
          <w:bCs/>
          <w:sz w:val="28"/>
          <w:szCs w:val="28"/>
          <w:rtl/>
        </w:rPr>
        <w:t xml:space="preserve">الفرصة </w:t>
      </w:r>
      <w:r w:rsidRPr="00DC3DDE">
        <w:rPr>
          <w:rFonts w:asciiTheme="majorBidi" w:hAnsiTheme="majorBidi" w:cstheme="majorBidi"/>
          <w:b/>
          <w:bCs/>
          <w:sz w:val="28"/>
          <w:szCs w:val="28"/>
        </w:rPr>
        <w:t>(Opportunity)</w:t>
      </w:r>
      <w:r w:rsidRPr="00DC3DDE">
        <w:rPr>
          <w:rFonts w:asciiTheme="majorBidi" w:hAnsiTheme="majorBidi" w:cstheme="majorBidi"/>
          <w:b/>
          <w:bCs/>
          <w:sz w:val="28"/>
          <w:szCs w:val="28"/>
          <w:rtl/>
        </w:rPr>
        <w:t>:</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من خلال التمكين والمشاركة في صنع القرار</w:t>
      </w:r>
      <w:r w:rsidRPr="00DC3DDE">
        <w:rPr>
          <w:rFonts w:asciiTheme="majorBidi" w:hAnsiTheme="majorBidi" w:cstheme="majorBidi"/>
          <w:sz w:val="28"/>
          <w:szCs w:val="28"/>
        </w:rPr>
        <w:t>.</w:t>
      </w:r>
    </w:p>
    <w:p w14:paraId="73594311" w14:textId="682F555F"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في هذا السياق، تعمل</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 xml:space="preserve">على تفعيل جميع هذه الأبعاد؛ إذ تُحسّن الكفاءة من خلال اختيار وتدريب الموظفين بعناية، وتُعزّز الدافعية من خلال نظم المكافآت والتحفيز، وتخلق فرصًا للإبداع من خلال التمكين والمرونة التنظيمية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&lt;EndNote&gt;&lt;Cite&gt;&lt;Author&gt;Jiang&lt;/Author&gt;&lt;Year&gt;2012&lt;/Year&gt;&lt;RecNum&gt;1364&lt;/RecNum&gt;&lt;DisplayText&gt;(Jiang et al., 2012, Appelbaum, 2000)&lt;/DisplayText&gt;&lt;record&gt;&lt;rec-number&gt;1364&lt;/rec-number&gt;&lt;foreign-keys&gt;&lt;key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contributors&gt;&lt;titles&gt;&lt;title&gt;How does human resource management influence organizational outcomes? A meta-analytic investigation of mediating mechanisms&lt;/title&gt;&lt;secondary-title&gt;Academy of management Journal&lt;/secondary-title&gt;&lt;/titles&gt;&lt;periodical&gt;&lt;full-title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Pr>
        <w:instrText>Academy of management journal&lt;/full-title&gt;&lt;/periodical&gt;&lt;pages&gt;1264-1294&lt;/pages&gt;&lt;volume&gt;55&lt;/volume&gt;&lt;number&gt;6&lt;/number&gt;&lt;dates&gt;&lt;year&gt;2012&lt;/year&gt;&lt;/dates&gt;&lt;isbn&gt;0001-4273&lt;/isbn&gt;&lt;urls&gt;&lt;/urls&gt;&lt;/record&gt;&lt;/Cite&gt;&lt;Cite&gt;&lt;Author&gt;Appelbaum&lt;/Author&gt;&lt;Year&gt;2000&lt;/Year&gt;&lt;RecNum&gt;2316&lt;/RecNum&gt;&lt;record&gt;&lt;rec-number&gt;2316&lt;/rec-number&gt;&lt;foreign-keys&gt;&lt;key app="EN" db-id="t5vttv59or5xwbe2zdm5ewrxd905arrpawff" timestamp="1744387034"&gt;2316&lt;/key&gt;&lt;/foreign-keys&gt;&lt;ref-type name="Book"&gt;6&lt;/ref-type&gt;&lt;contributors&gt;&lt;authors&gt;&lt;author&gt;Appelbaum, Eileen</w:instrText>
      </w:r>
      <w:r w:rsidRPr="00DC3DDE">
        <w:rPr>
          <w:rFonts w:asciiTheme="majorBidi" w:hAnsiTheme="majorBidi" w:cstheme="majorBidi"/>
          <w:sz w:val="28"/>
          <w:szCs w:val="28"/>
          <w:rtl/>
        </w:rPr>
        <w:instrText>&lt;/</w:instrText>
      </w:r>
      <w:r w:rsidRPr="00DC3DDE">
        <w:rPr>
          <w:rFonts w:asciiTheme="majorBidi" w:hAnsiTheme="majorBidi" w:cstheme="majorBidi"/>
          <w:sz w:val="28"/>
          <w:szCs w:val="28"/>
        </w:rPr>
        <w:instrText>author&gt;&lt;/authors&gt;&lt;/contributors&gt;&lt;titles&gt;&lt;title&gt;Manufacturing advantage: Why high-performance work systems pay off&lt;/title&gt;&lt;/titles&gt;&lt;dates&gt;&lt;year&gt;2000&lt;/year&gt;&lt;/dates&gt;&lt;publisher&gt;Cornell University Press&lt;/publisher&gt;&lt;isbn&gt;0801437652&lt;/isbn&gt;&lt;urls&gt;&lt;/urls&gt;&lt;/record</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Jiang et al., 2012, Appelbaum, 2000</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426ECC73" w14:textId="77777777" w:rsidR="00A91B25" w:rsidRPr="00DC3DDE" w:rsidRDefault="00A91B25" w:rsidP="00A0551C">
      <w:pPr>
        <w:pStyle w:val="ListParagraph"/>
        <w:numPr>
          <w:ilvl w:val="1"/>
          <w:numId w:val="15"/>
        </w:numPr>
        <w:bidi/>
        <w:jc w:val="both"/>
        <w:rPr>
          <w:rFonts w:asciiTheme="majorBidi" w:hAnsiTheme="majorBidi" w:cstheme="majorBidi"/>
          <w:b/>
          <w:bCs/>
          <w:sz w:val="28"/>
          <w:szCs w:val="28"/>
        </w:rPr>
      </w:pPr>
      <w:r w:rsidRPr="00DC3DDE">
        <w:rPr>
          <w:rFonts w:asciiTheme="majorBidi" w:hAnsiTheme="majorBidi" w:cstheme="majorBidi"/>
          <w:b/>
          <w:bCs/>
          <w:sz w:val="28"/>
          <w:szCs w:val="28"/>
        </w:rPr>
        <w:t xml:space="preserve"> </w:t>
      </w:r>
      <w:r w:rsidRPr="00DC3DDE">
        <w:rPr>
          <w:rFonts w:asciiTheme="majorBidi" w:hAnsiTheme="majorBidi" w:cstheme="majorBidi"/>
          <w:b/>
          <w:bCs/>
          <w:sz w:val="28"/>
          <w:szCs w:val="28"/>
          <w:rtl/>
        </w:rPr>
        <w:t xml:space="preserve">نظرية الموارد الديناميكية </w:t>
      </w:r>
      <w:r w:rsidRPr="00DC3DDE">
        <w:rPr>
          <w:rFonts w:asciiTheme="majorBidi" w:hAnsiTheme="majorBidi" w:cstheme="majorBidi"/>
          <w:b/>
          <w:bCs/>
          <w:sz w:val="28"/>
          <w:szCs w:val="28"/>
        </w:rPr>
        <w:t>(Resource-Based View - RBV)</w:t>
      </w:r>
    </w:p>
    <w:p w14:paraId="2FA6398F" w14:textId="1854BF60" w:rsidR="00A91B25" w:rsidRPr="003907B9" w:rsidRDefault="00A91B25" w:rsidP="00A0551C">
      <w:pPr>
        <w:bidi/>
        <w:jc w:val="both"/>
        <w:rPr>
          <w:rFonts w:asciiTheme="majorBidi" w:hAnsiTheme="majorBidi" w:cstheme="majorBidi"/>
          <w:sz w:val="28"/>
          <w:szCs w:val="28"/>
        </w:rPr>
      </w:pPr>
      <w:r w:rsidRPr="003907B9">
        <w:rPr>
          <w:rFonts w:asciiTheme="majorBidi" w:hAnsiTheme="majorBidi" w:cstheme="majorBidi"/>
          <w:sz w:val="28"/>
          <w:szCs w:val="28"/>
          <w:rtl/>
        </w:rPr>
        <w:t xml:space="preserve">تُقدم نظرية الموارد الديناميكية إطارًا استراتيجيًا لفهم كيف يمكن للمؤسسات تحقيق ميزة تنافسية مستدامة من خلال توظيف مواردها الفريدة بطريقة فعالة. </w:t>
      </w:r>
      <w:r w:rsidRPr="003907B9">
        <w:rPr>
          <w:rFonts w:asciiTheme="majorBidi" w:hAnsiTheme="majorBidi" w:cstheme="majorBidi"/>
          <w:sz w:val="28"/>
          <w:szCs w:val="28"/>
        </w:rPr>
        <w:t xml:space="preserve"> </w:t>
      </w:r>
      <w:r w:rsidRPr="003907B9">
        <w:rPr>
          <w:rFonts w:asciiTheme="majorBidi" w:hAnsiTheme="majorBidi" w:cstheme="majorBidi"/>
          <w:sz w:val="28"/>
          <w:szCs w:val="28"/>
          <w:rtl/>
        </w:rPr>
        <w:t xml:space="preserve">وفقًا لـ </w:t>
      </w:r>
      <w:r w:rsidRPr="003907B9">
        <w:rPr>
          <w:rFonts w:asciiTheme="majorBidi" w:hAnsiTheme="majorBidi" w:cstheme="majorBidi"/>
          <w:sz w:val="28"/>
          <w:szCs w:val="28"/>
        </w:rPr>
        <w:t>RBV</w:t>
      </w:r>
      <w:r w:rsidRPr="003907B9">
        <w:rPr>
          <w:rFonts w:asciiTheme="majorBidi" w:hAnsiTheme="majorBidi" w:cstheme="majorBidi"/>
          <w:sz w:val="28"/>
          <w:szCs w:val="28"/>
          <w:rtl/>
        </w:rPr>
        <w:t xml:space="preserve">، فإن الموارد التي تتسم بالندرة، وعدم القابلية للتقليد، والتكامل التنظيمي، تُعد من أهم مصادر التفوق التنافسي </w:t>
      </w:r>
      <w:r w:rsidRPr="003907B9">
        <w:rPr>
          <w:rFonts w:asciiTheme="majorBidi" w:hAnsiTheme="majorBidi" w:cstheme="majorBidi"/>
          <w:sz w:val="28"/>
          <w:szCs w:val="28"/>
          <w:rtl/>
        </w:rPr>
        <w:fldChar w:fldCharType="begin"/>
      </w:r>
      <w:r w:rsidRPr="003907B9">
        <w:rPr>
          <w:rFonts w:asciiTheme="majorBidi" w:hAnsiTheme="majorBidi" w:cstheme="majorBidi"/>
          <w:sz w:val="28"/>
          <w:szCs w:val="28"/>
          <w:rtl/>
        </w:rPr>
        <w:instrText xml:space="preserve"> </w:instrText>
      </w:r>
      <w:r w:rsidRPr="003907B9">
        <w:rPr>
          <w:rFonts w:asciiTheme="majorBidi" w:hAnsiTheme="majorBidi" w:cstheme="majorBidi"/>
          <w:sz w:val="28"/>
          <w:szCs w:val="28"/>
        </w:rPr>
        <w:instrText>ADDIN EN.CITE &lt;EndNote&gt;&lt;Cite&gt;&lt;Author&gt;Barney&lt;/Author&gt;&lt;Year&gt;1991&lt;/Year&gt;&lt;RecNum&gt;2317&lt;/RecNum&gt;&lt;DisplayText&gt;(Barney, 1991)&lt;/DisplayText&gt;&lt;record&gt;&lt;rec-number&gt;2317&lt;/rec-number&gt;&lt;foreign-keys&gt;&lt;key app="EN" db-id="t5vttv59or5xwbe2zdm5ewrxd905arrpawff" timestamp="17</w:instrText>
      </w:r>
      <w:r w:rsidRPr="003907B9">
        <w:rPr>
          <w:rFonts w:asciiTheme="majorBidi" w:hAnsiTheme="majorBidi" w:cstheme="majorBidi"/>
          <w:sz w:val="28"/>
          <w:szCs w:val="28"/>
          <w:rtl/>
        </w:rPr>
        <w:instrText>44387199"&gt;2317&lt;/</w:instrText>
      </w:r>
      <w:r w:rsidRPr="003907B9">
        <w:rPr>
          <w:rFonts w:asciiTheme="majorBidi" w:hAnsiTheme="majorBidi" w:cstheme="majorBidi"/>
          <w:sz w:val="28"/>
          <w:szCs w:val="28"/>
        </w:rPr>
        <w:instrText>key&gt;&lt;/foreign-keys&gt;&lt;ref-type name="Journal Article"&gt;17&lt;/ref-type&gt;&lt;contributors&gt;&lt;authors&gt;&lt;author&gt;Barney, Jay&lt;/author&gt;&lt;/authors&gt;&lt;/contributors&gt;&lt;titles&gt;&lt;title&gt;Firm resources and sustained competitive advantage&lt;/title&gt;&lt;secondary-title&gt;Journal</w:instrText>
      </w:r>
      <w:r w:rsidRPr="003907B9">
        <w:rPr>
          <w:rFonts w:asciiTheme="majorBidi" w:hAnsiTheme="majorBidi" w:cstheme="majorBidi"/>
          <w:sz w:val="28"/>
          <w:szCs w:val="28"/>
          <w:rtl/>
        </w:rPr>
        <w:instrText xml:space="preserve"> </w:instrText>
      </w:r>
      <w:r w:rsidRPr="003907B9">
        <w:rPr>
          <w:rFonts w:asciiTheme="majorBidi" w:hAnsiTheme="majorBidi" w:cstheme="majorBidi"/>
          <w:sz w:val="28"/>
          <w:szCs w:val="28"/>
        </w:rPr>
        <w:instrText>of management&lt;/secondary-title&gt;&lt;/titles&gt;&lt;periodical&gt;&lt;full-title&gt;Journal of management&lt;/full-title&gt;&lt;/periodical&gt;&lt;pages&gt;99-120&lt;/pages&gt;&lt;volume&gt;17&lt;/volume&gt;&lt;number&gt;1&lt;/number&gt;&lt;dates&gt;&lt;year&gt;1991&lt;/year&gt;&lt;/dates&gt;&lt;isbn&gt;0149-2063&lt;/isbn&gt;&lt;urls&gt;&lt;/urls&gt;&lt;/record&gt;&lt;/Cite&gt;&lt;/EndNote</w:instrText>
      </w:r>
      <w:r w:rsidRPr="003907B9">
        <w:rPr>
          <w:rFonts w:asciiTheme="majorBidi" w:hAnsiTheme="majorBidi" w:cstheme="majorBidi"/>
          <w:sz w:val="28"/>
          <w:szCs w:val="28"/>
          <w:rtl/>
        </w:rPr>
        <w:instrText>&gt;</w:instrText>
      </w:r>
      <w:r w:rsidRPr="003907B9">
        <w:rPr>
          <w:rFonts w:asciiTheme="majorBidi" w:hAnsiTheme="majorBidi" w:cstheme="majorBidi"/>
          <w:sz w:val="28"/>
          <w:szCs w:val="28"/>
          <w:rtl/>
        </w:rPr>
        <w:fldChar w:fldCharType="separate"/>
      </w:r>
      <w:r w:rsidRPr="003907B9">
        <w:rPr>
          <w:rFonts w:asciiTheme="majorBidi" w:hAnsiTheme="majorBidi" w:cstheme="majorBidi"/>
          <w:noProof/>
          <w:sz w:val="28"/>
          <w:szCs w:val="28"/>
          <w:rtl/>
        </w:rPr>
        <w:t>(</w:t>
      </w:r>
      <w:r w:rsidRPr="003907B9">
        <w:rPr>
          <w:rFonts w:asciiTheme="majorBidi" w:hAnsiTheme="majorBidi" w:cstheme="majorBidi"/>
          <w:noProof/>
          <w:sz w:val="28"/>
          <w:szCs w:val="28"/>
        </w:rPr>
        <w:t>Barney, 1991</w:t>
      </w:r>
      <w:r w:rsidRPr="003907B9">
        <w:rPr>
          <w:rFonts w:asciiTheme="majorBidi" w:hAnsiTheme="majorBidi" w:cstheme="majorBidi"/>
          <w:noProof/>
          <w:sz w:val="28"/>
          <w:szCs w:val="28"/>
          <w:rtl/>
        </w:rPr>
        <w:t>)</w:t>
      </w:r>
      <w:r w:rsidRPr="003907B9">
        <w:rPr>
          <w:rFonts w:asciiTheme="majorBidi" w:hAnsiTheme="majorBidi" w:cstheme="majorBidi"/>
          <w:sz w:val="28"/>
          <w:szCs w:val="28"/>
          <w:rtl/>
        </w:rPr>
        <w:fldChar w:fldCharType="end"/>
      </w:r>
      <w:r w:rsidRPr="003907B9">
        <w:rPr>
          <w:rFonts w:asciiTheme="majorBidi" w:hAnsiTheme="majorBidi" w:cstheme="majorBidi"/>
          <w:sz w:val="28"/>
          <w:szCs w:val="28"/>
          <w:rtl/>
        </w:rPr>
        <w:t>.</w:t>
      </w:r>
    </w:p>
    <w:p w14:paraId="16FAFE5D" w14:textId="36ABE4B2" w:rsidR="00A91B25" w:rsidRPr="003907B9" w:rsidRDefault="00A91B25" w:rsidP="00A0551C">
      <w:pPr>
        <w:bidi/>
        <w:jc w:val="both"/>
        <w:rPr>
          <w:rFonts w:asciiTheme="majorBidi" w:hAnsiTheme="majorBidi" w:cstheme="majorBidi"/>
          <w:sz w:val="28"/>
          <w:szCs w:val="28"/>
        </w:rPr>
      </w:pPr>
      <w:r w:rsidRPr="003907B9">
        <w:rPr>
          <w:rFonts w:asciiTheme="majorBidi" w:hAnsiTheme="majorBidi" w:cstheme="majorBidi"/>
          <w:sz w:val="28"/>
          <w:szCs w:val="28"/>
          <w:rtl/>
        </w:rPr>
        <w:t>في ضوء هذه النظرية، تُعد الموارد البشرية المتميزة – وخاصةً تلك التي تُدار عبر</w:t>
      </w:r>
      <w:r w:rsidRPr="003907B9">
        <w:rPr>
          <w:rFonts w:asciiTheme="majorBidi" w:hAnsiTheme="majorBidi" w:cstheme="majorBidi"/>
          <w:sz w:val="28"/>
          <w:szCs w:val="28"/>
        </w:rPr>
        <w:t xml:space="preserve"> HPWS – </w:t>
      </w:r>
      <w:r w:rsidRPr="003907B9">
        <w:rPr>
          <w:rFonts w:asciiTheme="majorBidi" w:hAnsiTheme="majorBidi" w:cstheme="majorBidi"/>
          <w:sz w:val="28"/>
          <w:szCs w:val="28"/>
          <w:rtl/>
        </w:rPr>
        <w:t>أحد أهم الأصول التنظيمية غير الملموسة التي تُسهم في إنتاج أفكار جديدة وتحقيق الإبداع المؤسسي. حيث تؤدي ممارسات</w:t>
      </w:r>
      <w:r w:rsidRPr="003907B9">
        <w:rPr>
          <w:rFonts w:asciiTheme="majorBidi" w:hAnsiTheme="majorBidi" w:cstheme="majorBidi"/>
          <w:sz w:val="28"/>
          <w:szCs w:val="28"/>
        </w:rPr>
        <w:t xml:space="preserve"> HPWS </w:t>
      </w:r>
      <w:r w:rsidRPr="003907B9">
        <w:rPr>
          <w:rFonts w:asciiTheme="majorBidi" w:hAnsiTheme="majorBidi" w:cstheme="majorBidi"/>
          <w:sz w:val="28"/>
          <w:szCs w:val="28"/>
          <w:rtl/>
        </w:rPr>
        <w:t xml:space="preserve">إلى بناء رأس مال بشري يتمتع بالمعرفة، والمرونة، والاستقلالية، والقدرة على التكيّف والإبداع، وهي صفات يصعب تقليدها من قبل المنافسين </w:t>
      </w:r>
      <w:r w:rsidRPr="003907B9">
        <w:rPr>
          <w:rFonts w:asciiTheme="majorBidi" w:hAnsiTheme="majorBidi" w:cstheme="majorBidi"/>
          <w:sz w:val="28"/>
          <w:szCs w:val="28"/>
          <w:rtl/>
        </w:rPr>
        <w:fldChar w:fldCharType="begin"/>
      </w:r>
      <w:r w:rsidRPr="003907B9">
        <w:rPr>
          <w:rFonts w:asciiTheme="majorBidi" w:hAnsiTheme="majorBidi" w:cstheme="majorBidi"/>
          <w:sz w:val="28"/>
          <w:szCs w:val="28"/>
          <w:rtl/>
        </w:rPr>
        <w:instrText xml:space="preserve"> </w:instrText>
      </w:r>
      <w:r w:rsidRPr="003907B9">
        <w:rPr>
          <w:rFonts w:asciiTheme="majorBidi" w:hAnsiTheme="majorBidi" w:cstheme="majorBidi"/>
          <w:sz w:val="28"/>
          <w:szCs w:val="28"/>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Pr="003907B9">
        <w:rPr>
          <w:rFonts w:asciiTheme="majorBidi" w:hAnsiTheme="majorBidi" w:cstheme="majorBidi"/>
          <w:sz w:val="28"/>
          <w:szCs w:val="28"/>
          <w:rtl/>
        </w:rPr>
        <w:instrText>&gt;&lt;</w:instrText>
      </w:r>
      <w:r w:rsidRPr="003907B9">
        <w:rPr>
          <w:rFonts w:asciiTheme="majorBidi" w:hAnsiTheme="majorBidi" w:cstheme="majorBidi"/>
          <w:sz w:val="28"/>
          <w:szCs w:val="28"/>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Pr="003907B9">
        <w:rPr>
          <w:rFonts w:asciiTheme="majorBidi" w:hAnsiTheme="majorBidi" w:cstheme="majorBidi"/>
          <w:sz w:val="28"/>
          <w:szCs w:val="28"/>
          <w:rtl/>
        </w:rPr>
        <w:instrText xml:space="preserve"> </w:instrText>
      </w:r>
      <w:r w:rsidRPr="003907B9">
        <w:rPr>
          <w:rFonts w:asciiTheme="majorBidi" w:hAnsiTheme="majorBidi" w:cstheme="majorBidi"/>
          <w:sz w:val="28"/>
          <w:szCs w:val="28"/>
        </w:rPr>
        <w:instrText>in personnel and human resources management&lt;/full-title&gt;&lt;/periodical&gt;&lt;pages&gt;217-271&lt;/pages&gt;&lt;dates&gt;&lt;year&gt;2006&lt;/year&gt;&lt;/dates&gt;&lt;isbn&gt;0742-7301&lt;/isbn&gt;&lt;urls&gt;&lt;/urls&gt;&lt;/record&gt;&lt;/Cite&gt;&lt;/EndNote</w:instrText>
      </w:r>
      <w:r w:rsidRPr="003907B9">
        <w:rPr>
          <w:rFonts w:asciiTheme="majorBidi" w:hAnsiTheme="majorBidi" w:cstheme="majorBidi"/>
          <w:sz w:val="28"/>
          <w:szCs w:val="28"/>
          <w:rtl/>
        </w:rPr>
        <w:instrText>&gt;</w:instrText>
      </w:r>
      <w:r w:rsidRPr="003907B9">
        <w:rPr>
          <w:rFonts w:asciiTheme="majorBidi" w:hAnsiTheme="majorBidi" w:cstheme="majorBidi"/>
          <w:sz w:val="28"/>
          <w:szCs w:val="28"/>
          <w:rtl/>
        </w:rPr>
        <w:fldChar w:fldCharType="separate"/>
      </w:r>
      <w:r w:rsidRPr="003907B9">
        <w:rPr>
          <w:rFonts w:asciiTheme="majorBidi" w:hAnsiTheme="majorBidi" w:cstheme="majorBidi"/>
          <w:noProof/>
          <w:sz w:val="28"/>
          <w:szCs w:val="28"/>
          <w:rtl/>
        </w:rPr>
        <w:t>(</w:t>
      </w:r>
      <w:r w:rsidRPr="003907B9">
        <w:rPr>
          <w:rFonts w:asciiTheme="majorBidi" w:hAnsiTheme="majorBidi" w:cstheme="majorBidi"/>
          <w:noProof/>
          <w:sz w:val="28"/>
          <w:szCs w:val="28"/>
        </w:rPr>
        <w:t>Lepak et al., 2006</w:t>
      </w:r>
      <w:r w:rsidRPr="003907B9">
        <w:rPr>
          <w:rFonts w:asciiTheme="majorBidi" w:hAnsiTheme="majorBidi" w:cstheme="majorBidi"/>
          <w:noProof/>
          <w:sz w:val="28"/>
          <w:szCs w:val="28"/>
          <w:rtl/>
        </w:rPr>
        <w:t>)</w:t>
      </w:r>
      <w:r w:rsidRPr="003907B9">
        <w:rPr>
          <w:rFonts w:asciiTheme="majorBidi" w:hAnsiTheme="majorBidi" w:cstheme="majorBidi"/>
          <w:sz w:val="28"/>
          <w:szCs w:val="28"/>
          <w:rtl/>
        </w:rPr>
        <w:fldChar w:fldCharType="end"/>
      </w:r>
      <w:r w:rsidRPr="003907B9">
        <w:rPr>
          <w:rFonts w:asciiTheme="majorBidi" w:hAnsiTheme="majorBidi" w:cstheme="majorBidi"/>
          <w:sz w:val="28"/>
          <w:szCs w:val="28"/>
          <w:rtl/>
        </w:rPr>
        <w:t>.</w:t>
      </w:r>
    </w:p>
    <w:p w14:paraId="35FD0057" w14:textId="77777777" w:rsidR="00A91B25" w:rsidRPr="00DC3DDE" w:rsidRDefault="00A91B25" w:rsidP="00A0551C">
      <w:pPr>
        <w:pStyle w:val="ListParagraph"/>
        <w:numPr>
          <w:ilvl w:val="1"/>
          <w:numId w:val="15"/>
        </w:num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نظرية الدعم الإداري للإبداع </w:t>
      </w:r>
      <w:r w:rsidRPr="00DC3DDE">
        <w:rPr>
          <w:rFonts w:asciiTheme="majorBidi" w:hAnsiTheme="majorBidi" w:cstheme="majorBidi"/>
          <w:b/>
          <w:bCs/>
          <w:sz w:val="28"/>
          <w:szCs w:val="28"/>
        </w:rPr>
        <w:t>(Perceived Organizational Support for Creativity)</w:t>
      </w:r>
    </w:p>
    <w:p w14:paraId="4602D92E" w14:textId="3A01558C" w:rsidR="00A91B25" w:rsidRPr="003907B9" w:rsidRDefault="00A91B25" w:rsidP="00A0551C">
      <w:pPr>
        <w:bidi/>
        <w:jc w:val="both"/>
        <w:rPr>
          <w:rFonts w:asciiTheme="majorBidi" w:hAnsiTheme="majorBidi" w:cstheme="majorBidi"/>
          <w:sz w:val="28"/>
          <w:szCs w:val="28"/>
          <w:rtl/>
        </w:rPr>
      </w:pPr>
      <w:r w:rsidRPr="003907B9">
        <w:rPr>
          <w:rFonts w:asciiTheme="majorBidi" w:hAnsiTheme="majorBidi" w:cstheme="majorBidi"/>
          <w:sz w:val="28"/>
          <w:szCs w:val="28"/>
          <w:rtl/>
        </w:rPr>
        <w:t xml:space="preserve">تشير هذه النظرية إلى أن إدراك الموظف للدعم الذي توفره المنظمة للإبداع يُعد من أبرز العوامل المحفزة له للمشاركة بأفكار جديدة. هذا الإدراك يتولد من خلال سياسات وإشارات متكررة تنبع من الإدارة، مثل قبول الاقتراحات، وتوفير الموارد، وتحمل نتائج التجريب، والاعتراف بالجهود الإبداعية </w:t>
      </w:r>
      <w:r w:rsidRPr="003907B9">
        <w:rPr>
          <w:rFonts w:asciiTheme="majorBidi" w:hAnsiTheme="majorBidi" w:cstheme="majorBidi"/>
          <w:sz w:val="28"/>
          <w:szCs w:val="28"/>
          <w:rtl/>
        </w:rPr>
        <w:fldChar w:fldCharType="begin"/>
      </w:r>
      <w:r w:rsidRPr="003907B9">
        <w:rPr>
          <w:rFonts w:asciiTheme="majorBidi" w:hAnsiTheme="majorBidi" w:cstheme="majorBidi"/>
          <w:sz w:val="28"/>
          <w:szCs w:val="28"/>
          <w:rtl/>
        </w:rPr>
        <w:instrText xml:space="preserve"> </w:instrText>
      </w:r>
      <w:r w:rsidRPr="003907B9">
        <w:rPr>
          <w:rFonts w:asciiTheme="majorBidi" w:hAnsiTheme="majorBidi" w:cstheme="majorBidi"/>
          <w:sz w:val="28"/>
          <w:szCs w:val="28"/>
        </w:rPr>
        <w:instrText>ADDIN EN.CITE &lt;EndNote&gt;&lt;Cite&gt;&lt;Author&gt;Rhoades&lt;/Author&gt;&lt;Year&gt;2002&lt;/Year&gt;&lt;RecNum&gt;2326&lt;/RecNum&gt;&lt;DisplayText&gt;(Rhoades and Eisenberger, 2002)&lt;/DisplayText&gt;&lt;record&gt;&lt;rec-number&gt;2326&lt;/rec-number&gt;&lt;foreign-keys&gt;&lt;key app="EN" db-id="t5vttv59or5xwbe2zdm5ewrxd905arrpawff" timestamp="1744400430"&gt;2326&lt;/key&gt;&lt;/foreign-keys&gt;&lt;ref-type name="Journal Article"&gt;17&lt;/ref-type&gt;&lt;contributors&gt;&lt;authors&gt;&lt;author&gt;Rhoades, Linda&lt;/author&gt;&lt;author&gt;Eisenberger, Robert&lt;/author&gt;&lt;/authors&gt;&lt;/contributors&gt;&lt;titles&gt;&lt;title&gt;Perceived organizational support: a review of the literature&lt;/title&gt;&lt;secondary-title&gt;Journal of applied psychology&lt;/secondary-title&gt;&lt;/titles&gt;&lt;periodical&gt;&lt;full-title&gt;Journal of applied psychology&lt;/full-title&gt;&lt;/periodical&gt;&lt;pages&gt;698&lt;/pages&gt;&lt;volume&gt;87&lt;/volume&gt;&lt;number&gt;4&lt;/number&gt;&lt;dates</w:instrText>
      </w:r>
      <w:r w:rsidRPr="003907B9">
        <w:rPr>
          <w:rFonts w:asciiTheme="majorBidi" w:hAnsiTheme="majorBidi" w:cstheme="majorBidi"/>
          <w:sz w:val="28"/>
          <w:szCs w:val="28"/>
          <w:rtl/>
        </w:rPr>
        <w:instrText>&gt;&lt;</w:instrText>
      </w:r>
      <w:r w:rsidRPr="003907B9">
        <w:rPr>
          <w:rFonts w:asciiTheme="majorBidi" w:hAnsiTheme="majorBidi" w:cstheme="majorBidi"/>
          <w:sz w:val="28"/>
          <w:szCs w:val="28"/>
        </w:rPr>
        <w:instrText>year&gt;2002&lt;/year&gt;&lt;/dates&gt;&lt;isbn&gt;1939-1854&lt;/isbn&gt;&lt;urls&gt;&lt;/urls&gt;&lt;/record&gt;&lt;/Cite&gt;&lt;/EndNote</w:instrText>
      </w:r>
      <w:r w:rsidRPr="003907B9">
        <w:rPr>
          <w:rFonts w:asciiTheme="majorBidi" w:hAnsiTheme="majorBidi" w:cstheme="majorBidi"/>
          <w:sz w:val="28"/>
          <w:szCs w:val="28"/>
          <w:rtl/>
        </w:rPr>
        <w:instrText>&gt;</w:instrText>
      </w:r>
      <w:r w:rsidRPr="003907B9">
        <w:rPr>
          <w:rFonts w:asciiTheme="majorBidi" w:hAnsiTheme="majorBidi" w:cstheme="majorBidi"/>
          <w:sz w:val="28"/>
          <w:szCs w:val="28"/>
          <w:rtl/>
        </w:rPr>
        <w:fldChar w:fldCharType="separate"/>
      </w:r>
      <w:r w:rsidRPr="003907B9">
        <w:rPr>
          <w:rFonts w:asciiTheme="majorBidi" w:hAnsiTheme="majorBidi" w:cstheme="majorBidi"/>
          <w:noProof/>
          <w:sz w:val="28"/>
          <w:szCs w:val="28"/>
          <w:rtl/>
        </w:rPr>
        <w:t>(</w:t>
      </w:r>
      <w:r w:rsidRPr="003907B9">
        <w:rPr>
          <w:rFonts w:asciiTheme="majorBidi" w:hAnsiTheme="majorBidi" w:cstheme="majorBidi"/>
          <w:noProof/>
          <w:sz w:val="28"/>
          <w:szCs w:val="28"/>
        </w:rPr>
        <w:t>Rhoades and Eisenberger, 2002</w:t>
      </w:r>
      <w:r w:rsidRPr="003907B9">
        <w:rPr>
          <w:rFonts w:asciiTheme="majorBidi" w:hAnsiTheme="majorBidi" w:cstheme="majorBidi"/>
          <w:noProof/>
          <w:sz w:val="28"/>
          <w:szCs w:val="28"/>
          <w:rtl/>
        </w:rPr>
        <w:t>)</w:t>
      </w:r>
      <w:r w:rsidRPr="003907B9">
        <w:rPr>
          <w:rFonts w:asciiTheme="majorBidi" w:hAnsiTheme="majorBidi" w:cstheme="majorBidi"/>
          <w:sz w:val="28"/>
          <w:szCs w:val="28"/>
          <w:rtl/>
        </w:rPr>
        <w:fldChar w:fldCharType="end"/>
      </w:r>
      <w:r w:rsidRPr="003907B9">
        <w:rPr>
          <w:rFonts w:asciiTheme="majorBidi" w:hAnsiTheme="majorBidi" w:cstheme="majorBidi"/>
          <w:sz w:val="28"/>
          <w:szCs w:val="28"/>
          <w:rtl/>
        </w:rPr>
        <w:t>.</w:t>
      </w:r>
    </w:p>
    <w:p w14:paraId="76528FCD" w14:textId="77777777" w:rsidR="00A91B25" w:rsidRPr="00DC3DDE" w:rsidRDefault="00A91B25" w:rsidP="00A0551C">
      <w:pPr>
        <w:bidi/>
        <w:jc w:val="both"/>
        <w:rPr>
          <w:rFonts w:asciiTheme="majorBidi" w:hAnsiTheme="majorBidi" w:cstheme="majorBidi"/>
          <w:sz w:val="28"/>
          <w:szCs w:val="28"/>
        </w:rPr>
      </w:pPr>
      <w:r w:rsidRPr="00DC3DDE">
        <w:rPr>
          <w:rFonts w:asciiTheme="majorBidi" w:hAnsiTheme="majorBidi" w:cstheme="majorBidi"/>
          <w:sz w:val="28"/>
          <w:szCs w:val="28"/>
          <w:rtl/>
        </w:rPr>
        <w:t>تسهم</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في ترسيخ هذا الشعور بالدعم الإداري من خلال توفير بيئة عمل تتميز بـ</w:t>
      </w:r>
      <w:r w:rsidRPr="00DC3DDE">
        <w:rPr>
          <w:rFonts w:asciiTheme="majorBidi" w:hAnsiTheme="majorBidi" w:cstheme="majorBidi"/>
          <w:sz w:val="28"/>
          <w:szCs w:val="28"/>
        </w:rPr>
        <w:t>:</w:t>
      </w:r>
    </w:p>
    <w:p w14:paraId="5863A05C" w14:textId="77777777" w:rsidR="00A91B25" w:rsidRPr="003907B9" w:rsidRDefault="00A91B25" w:rsidP="00A0551C">
      <w:pPr>
        <w:numPr>
          <w:ilvl w:val="0"/>
          <w:numId w:val="17"/>
        </w:numPr>
        <w:bidi/>
        <w:jc w:val="both"/>
        <w:rPr>
          <w:rFonts w:asciiTheme="majorBidi" w:hAnsiTheme="majorBidi" w:cstheme="majorBidi"/>
          <w:sz w:val="28"/>
          <w:szCs w:val="28"/>
        </w:rPr>
      </w:pPr>
      <w:r w:rsidRPr="003907B9">
        <w:rPr>
          <w:rFonts w:asciiTheme="majorBidi" w:hAnsiTheme="majorBidi" w:cstheme="majorBidi"/>
          <w:sz w:val="28"/>
          <w:szCs w:val="28"/>
          <w:rtl/>
        </w:rPr>
        <w:t>الثقة المتبادلة بين الموظفين والإدارة</w:t>
      </w:r>
      <w:r w:rsidRPr="003907B9">
        <w:rPr>
          <w:rFonts w:asciiTheme="majorBidi" w:hAnsiTheme="majorBidi" w:cstheme="majorBidi"/>
          <w:sz w:val="28"/>
          <w:szCs w:val="28"/>
        </w:rPr>
        <w:t>.</w:t>
      </w:r>
    </w:p>
    <w:p w14:paraId="010BD10D" w14:textId="77777777" w:rsidR="00A91B25" w:rsidRPr="003907B9" w:rsidRDefault="00A91B25" w:rsidP="00A0551C">
      <w:pPr>
        <w:numPr>
          <w:ilvl w:val="0"/>
          <w:numId w:val="17"/>
        </w:numPr>
        <w:bidi/>
        <w:jc w:val="both"/>
        <w:rPr>
          <w:rFonts w:asciiTheme="majorBidi" w:hAnsiTheme="majorBidi" w:cstheme="majorBidi"/>
          <w:sz w:val="28"/>
          <w:szCs w:val="28"/>
        </w:rPr>
      </w:pPr>
      <w:r w:rsidRPr="003907B9">
        <w:rPr>
          <w:rFonts w:asciiTheme="majorBidi" w:hAnsiTheme="majorBidi" w:cstheme="majorBidi"/>
          <w:sz w:val="28"/>
          <w:szCs w:val="28"/>
          <w:rtl/>
        </w:rPr>
        <w:t>الاستقلالية في اتخاذ القرار</w:t>
      </w:r>
      <w:r w:rsidRPr="003907B9">
        <w:rPr>
          <w:rFonts w:asciiTheme="majorBidi" w:hAnsiTheme="majorBidi" w:cstheme="majorBidi"/>
          <w:sz w:val="28"/>
          <w:szCs w:val="28"/>
        </w:rPr>
        <w:t>.</w:t>
      </w:r>
    </w:p>
    <w:p w14:paraId="3D5F9B37" w14:textId="77777777" w:rsidR="00A91B25" w:rsidRPr="003907B9" w:rsidRDefault="00A91B25" w:rsidP="00A0551C">
      <w:pPr>
        <w:numPr>
          <w:ilvl w:val="0"/>
          <w:numId w:val="17"/>
        </w:numPr>
        <w:bidi/>
        <w:jc w:val="both"/>
        <w:rPr>
          <w:rFonts w:asciiTheme="majorBidi" w:hAnsiTheme="majorBidi" w:cstheme="majorBidi"/>
          <w:sz w:val="28"/>
          <w:szCs w:val="28"/>
        </w:rPr>
      </w:pPr>
      <w:r w:rsidRPr="003907B9">
        <w:rPr>
          <w:rFonts w:asciiTheme="majorBidi" w:hAnsiTheme="majorBidi" w:cstheme="majorBidi"/>
          <w:sz w:val="28"/>
          <w:szCs w:val="28"/>
          <w:rtl/>
        </w:rPr>
        <w:t>تشجيع التجريب والابتكار</w:t>
      </w:r>
      <w:r w:rsidRPr="003907B9">
        <w:rPr>
          <w:rFonts w:asciiTheme="majorBidi" w:hAnsiTheme="majorBidi" w:cstheme="majorBidi"/>
          <w:sz w:val="28"/>
          <w:szCs w:val="28"/>
        </w:rPr>
        <w:t>.</w:t>
      </w:r>
    </w:p>
    <w:p w14:paraId="17D26F5E" w14:textId="77777777" w:rsidR="00A91B25" w:rsidRPr="003907B9" w:rsidRDefault="00A91B25" w:rsidP="00A0551C">
      <w:pPr>
        <w:numPr>
          <w:ilvl w:val="0"/>
          <w:numId w:val="17"/>
        </w:numPr>
        <w:bidi/>
        <w:jc w:val="both"/>
        <w:rPr>
          <w:rFonts w:asciiTheme="majorBidi" w:hAnsiTheme="majorBidi" w:cstheme="majorBidi"/>
          <w:sz w:val="28"/>
          <w:szCs w:val="28"/>
        </w:rPr>
      </w:pPr>
      <w:r w:rsidRPr="003907B9">
        <w:rPr>
          <w:rFonts w:asciiTheme="majorBidi" w:hAnsiTheme="majorBidi" w:cstheme="majorBidi"/>
          <w:sz w:val="28"/>
          <w:szCs w:val="28"/>
          <w:rtl/>
        </w:rPr>
        <w:t>ربط المكافآت بالمساهمات الإبداعية</w:t>
      </w:r>
      <w:r w:rsidRPr="003907B9">
        <w:rPr>
          <w:rFonts w:asciiTheme="majorBidi" w:hAnsiTheme="majorBidi" w:cstheme="majorBidi"/>
          <w:sz w:val="28"/>
          <w:szCs w:val="28"/>
        </w:rPr>
        <w:t>.</w:t>
      </w:r>
    </w:p>
    <w:p w14:paraId="4DB14581" w14:textId="75A856C4" w:rsidR="00A91B25" w:rsidRPr="00DC3DDE" w:rsidRDefault="00A91B25" w:rsidP="006652C1">
      <w:pPr>
        <w:bidi/>
        <w:jc w:val="both"/>
        <w:rPr>
          <w:rFonts w:asciiTheme="majorBidi" w:hAnsiTheme="majorBidi" w:cstheme="majorBidi"/>
          <w:sz w:val="28"/>
          <w:szCs w:val="28"/>
          <w:rtl/>
        </w:rPr>
      </w:pPr>
      <w:r w:rsidRPr="00DC3DDE">
        <w:rPr>
          <w:rFonts w:asciiTheme="majorBidi" w:hAnsiTheme="majorBidi" w:cstheme="majorBidi"/>
          <w:sz w:val="28"/>
          <w:szCs w:val="28"/>
          <w:rtl/>
        </w:rPr>
        <w:t>وبذلك، يُنظر إلى</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ليس فقط كمجموعة من الأدوات الإدارية، بل كنظام متكامل يُرسل إشارات تنظيمية تعزز ثقة الموظف بأن إبداعه مطلوب ومُقدَّر</w:t>
      </w:r>
      <w:r w:rsidRPr="00DC3DDE">
        <w:rPr>
          <w:rFonts w:asciiTheme="majorBidi" w:hAnsiTheme="majorBidi" w:cstheme="majorBidi"/>
          <w:sz w:val="28"/>
          <w:szCs w:val="28"/>
        </w:rPr>
        <w:t>.</w:t>
      </w:r>
    </w:p>
    <w:p w14:paraId="5B6848EF" w14:textId="434374A4" w:rsidR="00683321" w:rsidRPr="00683321" w:rsidRDefault="002E6C18" w:rsidP="00A0551C">
      <w:pPr>
        <w:bidi/>
        <w:jc w:val="both"/>
        <w:rPr>
          <w:rFonts w:asciiTheme="majorBidi" w:hAnsiTheme="majorBidi" w:cstheme="majorBidi"/>
          <w:b/>
          <w:bCs/>
          <w:sz w:val="28"/>
          <w:szCs w:val="28"/>
        </w:rPr>
      </w:pPr>
      <w:r w:rsidRPr="00DC3DDE">
        <w:rPr>
          <w:rFonts w:asciiTheme="majorBidi" w:hAnsiTheme="majorBidi" w:cstheme="majorBidi"/>
          <w:sz w:val="28"/>
          <w:szCs w:val="28"/>
          <w:rtl/>
          <w:lang w:bidi="ar-EG"/>
        </w:rPr>
        <w:t xml:space="preserve">2.2.4.3. </w:t>
      </w:r>
      <w:r w:rsidR="00683321" w:rsidRPr="00683321">
        <w:rPr>
          <w:rFonts w:asciiTheme="majorBidi" w:hAnsiTheme="majorBidi" w:cstheme="majorBidi"/>
          <w:b/>
          <w:bCs/>
          <w:sz w:val="28"/>
          <w:szCs w:val="28"/>
        </w:rPr>
        <w:t xml:space="preserve"> </w:t>
      </w:r>
      <w:r w:rsidR="00683321" w:rsidRPr="00683321">
        <w:rPr>
          <w:rFonts w:asciiTheme="majorBidi" w:hAnsiTheme="majorBidi" w:cstheme="majorBidi"/>
          <w:b/>
          <w:bCs/>
          <w:sz w:val="28"/>
          <w:szCs w:val="28"/>
          <w:rtl/>
        </w:rPr>
        <w:t>العلاقة بين أنظمة العمل عالية الأداء</w:t>
      </w:r>
      <w:r w:rsidR="00683321" w:rsidRPr="00683321">
        <w:rPr>
          <w:rFonts w:asciiTheme="majorBidi" w:hAnsiTheme="majorBidi" w:cstheme="majorBidi"/>
          <w:b/>
          <w:bCs/>
          <w:sz w:val="28"/>
          <w:szCs w:val="28"/>
        </w:rPr>
        <w:t xml:space="preserve"> (HPWS) </w:t>
      </w:r>
      <w:r w:rsidR="00683321" w:rsidRPr="00683321">
        <w:rPr>
          <w:rFonts w:asciiTheme="majorBidi" w:hAnsiTheme="majorBidi" w:cstheme="majorBidi"/>
          <w:b/>
          <w:bCs/>
          <w:sz w:val="28"/>
          <w:szCs w:val="28"/>
          <w:rtl/>
        </w:rPr>
        <w:t>والثقافة التنظيمية</w:t>
      </w:r>
    </w:p>
    <w:p w14:paraId="32DE69FA" w14:textId="490DFFA7" w:rsidR="00683321" w:rsidRPr="00DC3DDE" w:rsidRDefault="00683321" w:rsidP="00A0551C">
      <w:pPr>
        <w:bidi/>
        <w:jc w:val="both"/>
        <w:rPr>
          <w:rFonts w:asciiTheme="majorBidi" w:hAnsiTheme="majorBidi" w:cstheme="majorBidi"/>
          <w:sz w:val="28"/>
          <w:szCs w:val="28"/>
        </w:rPr>
      </w:pPr>
      <w:r w:rsidRPr="00683321">
        <w:rPr>
          <w:rFonts w:asciiTheme="majorBidi" w:hAnsiTheme="majorBidi" w:cstheme="majorBidi"/>
          <w:sz w:val="28"/>
          <w:szCs w:val="28"/>
          <w:rtl/>
        </w:rPr>
        <w:lastRenderedPageBreak/>
        <w:t>تؤثر</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على الثقافة التنظيمية من خلال تشكيل القيم والسلوكيات السائدة داخل المؤسسة. فالممارسات التي تركز على المشاركة، والتمكين، وبناء الثقة، تميل إلى خلق ثقافة داعمة للابتكار والانفتاح على التغيير</w:t>
      </w:r>
      <w:r w:rsidR="003907B9">
        <w:rPr>
          <w:rFonts w:asciiTheme="majorBidi" w:hAnsiTheme="majorBidi" w:cstheme="majorBidi" w:hint="cs"/>
          <w:sz w:val="28"/>
          <w:szCs w:val="28"/>
          <w:rtl/>
        </w:rPr>
        <w:t xml:space="preserve"> </w:t>
      </w:r>
      <w:r w:rsidR="003907B9">
        <w:rPr>
          <w:rFonts w:asciiTheme="majorBidi" w:hAnsiTheme="majorBidi" w:cstheme="majorBidi"/>
          <w:sz w:val="28"/>
          <w:szCs w:val="28"/>
          <w:rtl/>
        </w:rPr>
        <w:fldChar w:fldCharType="begin"/>
      </w:r>
      <w:r w:rsidR="003907B9">
        <w:rPr>
          <w:rFonts w:asciiTheme="majorBidi" w:hAnsiTheme="majorBidi" w:cstheme="majorBidi"/>
          <w:sz w:val="28"/>
          <w:szCs w:val="28"/>
          <w:rtl/>
        </w:rPr>
        <w:instrText xml:space="preserve"> </w:instrText>
      </w:r>
      <w:r w:rsidR="003907B9">
        <w:rPr>
          <w:rFonts w:asciiTheme="majorBidi" w:hAnsiTheme="majorBidi" w:cstheme="majorBidi"/>
          <w:sz w:val="28"/>
          <w:szCs w:val="28"/>
        </w:rPr>
        <w:instrText>ADDIN EN.CITE &lt;EndNote&gt;&lt;Cite&gt;&lt;Author&gt;Lawler III&lt;/Author&gt;&lt;Year&gt;1992&lt;/Year&gt;&lt;RecNum&gt;2753&lt;/RecNum&gt;&lt;DisplayText&gt;(Lawler III, 1992, Huselid, 1995)&lt;/DisplayText&gt;&lt;record&gt;&lt;rec-number&gt;2753&lt;/rec-number&gt;&lt;foreign-keys&gt;&lt;key app="EN" db-id="t5vttv59or5xwbe2zdm5ewrxd905arrpawff" timestamp="1748344384"&gt;2753&lt;/key&gt;&lt;/foreign-keys&gt;&lt;ref-type name="Journal Article"&gt;17&lt;/ref-type&gt;&lt;contributors&gt;&lt;authors&gt;&lt;author&gt;Lawler III, Edward E&lt;/author&gt;&lt;/authors&gt;&lt;/contributors&gt;&lt;titles&gt;&lt;title&gt;The ultimate advantage: Creating the high-involvement organization&lt;/title&gt;&lt;/titles&gt;&lt;dates&gt;&lt;year&gt;1992&lt;/year&gt;&lt;/dates&gt;&lt;urls&gt;&lt;/urls&gt;&lt;/record&gt;&lt;/Cite&gt;&lt;Cite&gt;&lt;Author&gt;Huselid&lt;/Author&gt;&lt;Year&gt;1995&lt;/Year&gt;&lt;RecNum&gt;2332&lt;/RecNum&gt;&lt;record&gt;&lt;rec-number&gt;2332&lt;/rec-number&gt;&lt;foreign-keys&gt;&lt;key app="EN" db-id="t5vttv59or5xwbe2zdm5ewrxd905arrpawff" timestamp="1744494389"&gt;2332&lt;/key&gt;&lt;/foreign-keys&gt;&lt;ref-type name="Journal Article"&gt;17&lt;/ref-type&gt;&lt;contributors&gt;&lt;authors&gt;&lt;author&gt;Huselid, Mark A&lt;/author&gt;&lt;/authors&gt;&lt;/contributors&gt;&lt;titles&gt;&lt;title&gt;The impact of human resource management practices</w:instrText>
      </w:r>
      <w:r w:rsidR="003907B9">
        <w:rPr>
          <w:rFonts w:asciiTheme="majorBidi" w:hAnsiTheme="majorBidi" w:cstheme="majorBidi"/>
          <w:sz w:val="28"/>
          <w:szCs w:val="28"/>
          <w:rtl/>
        </w:rPr>
        <w:instrText xml:space="preserve"> </w:instrText>
      </w:r>
      <w:r w:rsidR="003907B9">
        <w:rPr>
          <w:rFonts w:asciiTheme="majorBidi" w:hAnsiTheme="majorBidi" w:cstheme="majorBidi"/>
          <w:sz w:val="28"/>
          <w:szCs w:val="28"/>
        </w:rPr>
        <w:instrText>on turnover, productivity, and corporate financial performance&lt;/title&gt;&lt;secondary-title&gt;Academy of management journal&lt;/secondary-title&gt;&lt;/titles&gt;&lt;periodical&gt;&lt;full-title&gt;Academy of management journal&lt;/full-title&gt;&lt;/periodical&gt;&lt;pages&gt;635-672&lt;/pages&gt;&lt;volume&gt;38</w:instrText>
      </w:r>
      <w:r w:rsidR="003907B9">
        <w:rPr>
          <w:rFonts w:asciiTheme="majorBidi" w:hAnsiTheme="majorBidi" w:cstheme="majorBidi"/>
          <w:sz w:val="28"/>
          <w:szCs w:val="28"/>
          <w:rtl/>
        </w:rPr>
        <w:instrText>&lt;/</w:instrText>
      </w:r>
      <w:r w:rsidR="003907B9">
        <w:rPr>
          <w:rFonts w:asciiTheme="majorBidi" w:hAnsiTheme="majorBidi" w:cstheme="majorBidi"/>
          <w:sz w:val="28"/>
          <w:szCs w:val="28"/>
        </w:rPr>
        <w:instrText>volume&gt;&lt;number&gt;3&lt;/number&gt;&lt;dates&gt;&lt;year&gt;1995&lt;/year&gt;&lt;/dates&gt;&lt;isbn&gt;0001-4273&lt;/isbn&gt;&lt;urls&gt;&lt;/urls&gt;&lt;/record&gt;&lt;/Cite&gt;&lt;/EndNote</w:instrText>
      </w:r>
      <w:r w:rsidR="003907B9">
        <w:rPr>
          <w:rFonts w:asciiTheme="majorBidi" w:hAnsiTheme="majorBidi" w:cstheme="majorBidi"/>
          <w:sz w:val="28"/>
          <w:szCs w:val="28"/>
          <w:rtl/>
        </w:rPr>
        <w:instrText>&gt;</w:instrText>
      </w:r>
      <w:r w:rsidR="003907B9">
        <w:rPr>
          <w:rFonts w:asciiTheme="majorBidi" w:hAnsiTheme="majorBidi" w:cstheme="majorBidi"/>
          <w:sz w:val="28"/>
          <w:szCs w:val="28"/>
          <w:rtl/>
        </w:rPr>
        <w:fldChar w:fldCharType="separate"/>
      </w:r>
      <w:r w:rsidR="003907B9">
        <w:rPr>
          <w:rFonts w:asciiTheme="majorBidi" w:hAnsiTheme="majorBidi" w:cstheme="majorBidi"/>
          <w:noProof/>
          <w:sz w:val="28"/>
          <w:szCs w:val="28"/>
          <w:rtl/>
        </w:rPr>
        <w:t>(</w:t>
      </w:r>
      <w:r w:rsidR="003907B9">
        <w:rPr>
          <w:rFonts w:asciiTheme="majorBidi" w:hAnsiTheme="majorBidi" w:cstheme="majorBidi"/>
          <w:noProof/>
          <w:sz w:val="28"/>
          <w:szCs w:val="28"/>
        </w:rPr>
        <w:t>Lawler III, 1992, Huselid, 1995</w:t>
      </w:r>
      <w:r w:rsidR="003907B9">
        <w:rPr>
          <w:rFonts w:asciiTheme="majorBidi" w:hAnsiTheme="majorBidi" w:cstheme="majorBidi"/>
          <w:noProof/>
          <w:sz w:val="28"/>
          <w:szCs w:val="28"/>
          <w:rtl/>
        </w:rPr>
        <w:t>)</w:t>
      </w:r>
      <w:r w:rsidR="003907B9">
        <w:rPr>
          <w:rFonts w:asciiTheme="majorBidi" w:hAnsiTheme="majorBidi" w:cstheme="majorBidi"/>
          <w:sz w:val="28"/>
          <w:szCs w:val="28"/>
          <w:rtl/>
        </w:rPr>
        <w:fldChar w:fldCharType="end"/>
      </w:r>
      <w:r w:rsidR="003907B9">
        <w:rPr>
          <w:rFonts w:asciiTheme="majorBidi" w:hAnsiTheme="majorBidi" w:cstheme="majorBidi" w:hint="cs"/>
          <w:sz w:val="28"/>
          <w:szCs w:val="28"/>
          <w:rtl/>
        </w:rPr>
        <w:t xml:space="preserve">. </w:t>
      </w:r>
      <w:r w:rsidRPr="00683321">
        <w:rPr>
          <w:rFonts w:asciiTheme="majorBidi" w:hAnsiTheme="majorBidi" w:cstheme="majorBidi"/>
          <w:sz w:val="28"/>
          <w:szCs w:val="28"/>
          <w:rtl/>
        </w:rPr>
        <w:t>على سبيل المثال، سياسات الاستقطاب التي تركز على الملاءمة الثقافية، وبرامج التدريب التي تغرس قيم التعاون والتعلم المستمر، تسهم في تعزيز ثقافة تنظيمية تشجع على تبادل المعرفة وتقدّر المبادرات الفردية</w:t>
      </w:r>
      <w:r w:rsidR="003907B9">
        <w:rPr>
          <w:rFonts w:asciiTheme="majorBidi" w:hAnsiTheme="majorBidi" w:cstheme="majorBidi" w:hint="cs"/>
          <w:sz w:val="28"/>
          <w:szCs w:val="28"/>
          <w:rtl/>
        </w:rPr>
        <w:t xml:space="preserve"> </w:t>
      </w:r>
      <w:r w:rsidR="003907B9">
        <w:rPr>
          <w:rFonts w:asciiTheme="majorBidi" w:hAnsiTheme="majorBidi" w:cstheme="majorBidi"/>
          <w:sz w:val="28"/>
          <w:szCs w:val="28"/>
          <w:rtl/>
        </w:rPr>
        <w:fldChar w:fldCharType="begin"/>
      </w:r>
      <w:r w:rsidR="003907B9">
        <w:rPr>
          <w:rFonts w:asciiTheme="majorBidi" w:hAnsiTheme="majorBidi" w:cstheme="majorBidi"/>
          <w:sz w:val="28"/>
          <w:szCs w:val="28"/>
          <w:rtl/>
        </w:rPr>
        <w:instrText xml:space="preserve"> </w:instrText>
      </w:r>
      <w:r w:rsidR="003907B9">
        <w:rPr>
          <w:rFonts w:asciiTheme="majorBidi" w:hAnsiTheme="majorBidi" w:cstheme="majorBidi"/>
          <w:sz w:val="28"/>
          <w:szCs w:val="28"/>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3907B9">
        <w:rPr>
          <w:rFonts w:asciiTheme="majorBidi" w:hAnsiTheme="majorBidi" w:cstheme="majorBidi"/>
          <w:sz w:val="28"/>
          <w:szCs w:val="28"/>
          <w:rtl/>
        </w:rPr>
        <w:instrText>-</w:instrText>
      </w:r>
      <w:r w:rsidR="003907B9">
        <w:rPr>
          <w:rFonts w:asciiTheme="majorBidi" w:hAnsiTheme="majorBidi" w:cstheme="majorBidi"/>
          <w:sz w:val="28"/>
          <w:szCs w:val="28"/>
        </w:rPr>
        <w:instrText>title&gt;Journal of applied psychology&lt;/full-title&gt;&lt;/periodical&gt;&lt;pages&gt;1069&lt;/pages&gt;&lt;volume&gt;92&lt;/volume&gt;&lt;number&gt;4&lt;/number&gt;&lt;dates&gt;&lt;year&gt;2007&lt;/year&gt;&lt;/dates&gt;&lt;isbn&gt;1939-1854&lt;/isbn&gt;&lt;urls&gt;&lt;/urls&gt;&lt;/record&gt;&lt;/Cite&gt;&lt;/EndNote</w:instrText>
      </w:r>
      <w:r w:rsidR="003907B9">
        <w:rPr>
          <w:rFonts w:asciiTheme="majorBidi" w:hAnsiTheme="majorBidi" w:cstheme="majorBidi"/>
          <w:sz w:val="28"/>
          <w:szCs w:val="28"/>
          <w:rtl/>
        </w:rPr>
        <w:instrText>&gt;</w:instrText>
      </w:r>
      <w:r w:rsidR="003907B9">
        <w:rPr>
          <w:rFonts w:asciiTheme="majorBidi" w:hAnsiTheme="majorBidi" w:cstheme="majorBidi"/>
          <w:sz w:val="28"/>
          <w:szCs w:val="28"/>
          <w:rtl/>
        </w:rPr>
        <w:fldChar w:fldCharType="separate"/>
      </w:r>
      <w:r w:rsidR="003907B9">
        <w:rPr>
          <w:rFonts w:asciiTheme="majorBidi" w:hAnsiTheme="majorBidi" w:cstheme="majorBidi"/>
          <w:noProof/>
          <w:sz w:val="28"/>
          <w:szCs w:val="28"/>
          <w:rtl/>
        </w:rPr>
        <w:t>(</w:t>
      </w:r>
      <w:r w:rsidR="003907B9">
        <w:rPr>
          <w:rFonts w:asciiTheme="majorBidi" w:hAnsiTheme="majorBidi" w:cstheme="majorBidi"/>
          <w:noProof/>
          <w:sz w:val="28"/>
          <w:szCs w:val="28"/>
        </w:rPr>
        <w:t>Takeuchi et al., 2007</w:t>
      </w:r>
      <w:r w:rsidR="003907B9">
        <w:rPr>
          <w:rFonts w:asciiTheme="majorBidi" w:hAnsiTheme="majorBidi" w:cstheme="majorBidi"/>
          <w:noProof/>
          <w:sz w:val="28"/>
          <w:szCs w:val="28"/>
          <w:rtl/>
        </w:rPr>
        <w:t>)</w:t>
      </w:r>
      <w:r w:rsidR="003907B9">
        <w:rPr>
          <w:rFonts w:asciiTheme="majorBidi" w:hAnsiTheme="majorBidi" w:cstheme="majorBidi"/>
          <w:sz w:val="28"/>
          <w:szCs w:val="28"/>
          <w:rtl/>
        </w:rPr>
        <w:fldChar w:fldCharType="end"/>
      </w:r>
      <w:r w:rsidR="003907B9">
        <w:rPr>
          <w:rFonts w:asciiTheme="majorBidi" w:hAnsiTheme="majorBidi" w:cstheme="majorBidi" w:hint="cs"/>
          <w:sz w:val="28"/>
          <w:szCs w:val="28"/>
          <w:rtl/>
        </w:rPr>
        <w:t>.</w:t>
      </w:r>
      <w:r w:rsidRPr="00683321">
        <w:rPr>
          <w:rFonts w:asciiTheme="majorBidi" w:hAnsiTheme="majorBidi" w:cstheme="majorBidi"/>
          <w:sz w:val="28"/>
          <w:szCs w:val="28"/>
        </w:rPr>
        <w:br/>
      </w:r>
      <w:r w:rsidRPr="00683321">
        <w:rPr>
          <w:rFonts w:asciiTheme="majorBidi" w:hAnsiTheme="majorBidi" w:cstheme="majorBidi"/>
          <w:sz w:val="28"/>
          <w:szCs w:val="28"/>
          <w:rtl/>
        </w:rPr>
        <w:t>وتشير أبحاث حديثة إلى أن</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لا تعمل بمعزل عن الثقافة التنظيمية، بل تشكل أحد مصادرها الرئيسة، حيث تعمل على ترسيخ قيم الابتكار، والعمل الجماعي، والالتزام بالجودة، وهي جميعها سمات ثقافية تدعم الأهداف الاستراتيجية للمؤسسة</w:t>
      </w:r>
      <w:r w:rsidR="003907B9">
        <w:rPr>
          <w:rFonts w:asciiTheme="majorBidi" w:hAnsiTheme="majorBidi" w:cstheme="majorBidi" w:hint="cs"/>
          <w:sz w:val="28"/>
          <w:szCs w:val="28"/>
          <w:rtl/>
        </w:rPr>
        <w:t xml:space="preserve"> </w:t>
      </w:r>
      <w:r w:rsidR="003907B9">
        <w:rPr>
          <w:rFonts w:asciiTheme="majorBidi" w:hAnsiTheme="majorBidi" w:cstheme="majorBidi"/>
          <w:sz w:val="28"/>
          <w:szCs w:val="28"/>
          <w:rtl/>
        </w:rPr>
        <w:fldChar w:fldCharType="begin"/>
      </w:r>
      <w:r w:rsidR="003907B9">
        <w:rPr>
          <w:rFonts w:asciiTheme="majorBidi" w:hAnsiTheme="majorBidi" w:cstheme="majorBidi"/>
          <w:sz w:val="28"/>
          <w:szCs w:val="28"/>
          <w:rtl/>
        </w:rPr>
        <w:instrText xml:space="preserve"> </w:instrText>
      </w:r>
      <w:r w:rsidR="003907B9">
        <w:rPr>
          <w:rFonts w:asciiTheme="majorBidi" w:hAnsiTheme="majorBidi" w:cstheme="majorBidi"/>
          <w:sz w:val="28"/>
          <w:szCs w:val="28"/>
        </w:rPr>
        <w:instrText>ADDIN EN.CITE &lt;EndNote&gt;&lt;Cite&gt;&lt;Author&gt;Cameron&lt;/Author&gt;&lt;Year&gt;2011&lt;/Year&gt;&lt;RecNum&gt;2972&lt;/RecNum&gt;&lt;DisplayText&gt;(Cameron and Quinn, 2011)&lt;/DisplayText&gt;&lt;record&gt;&lt;rec-number&gt;2972&lt;/rec-number&gt;&lt;foreign-keys&gt;&lt;key app="EN" db-id="t5vttv59or5xwbe2zdm5ewrxd905arrpawff" timestamp="1752881178"&gt;2972&lt;/key&gt;&lt;/foreign-keys&gt;&lt;ref-type name="Book"&gt;6&lt;/ref-type&gt;&lt;contributors&gt;&lt;authors&gt;&lt;author&gt;Cameron, K.S.&lt;/author&gt;&lt;author&gt;Quinn, R.E.&lt;/author&gt;&lt;/authors&gt;&lt;/contributors&gt;&lt;titles&gt;&lt;title&gt;Diagnosing and Changing Organizational Culture: Based</w:instrText>
      </w:r>
      <w:r w:rsidR="003907B9">
        <w:rPr>
          <w:rFonts w:asciiTheme="majorBidi" w:hAnsiTheme="majorBidi" w:cstheme="majorBidi"/>
          <w:sz w:val="28"/>
          <w:szCs w:val="28"/>
          <w:rtl/>
        </w:rPr>
        <w:instrText xml:space="preserve"> </w:instrText>
      </w:r>
      <w:r w:rsidR="003907B9">
        <w:rPr>
          <w:rFonts w:asciiTheme="majorBidi" w:hAnsiTheme="majorBidi" w:cstheme="majorBidi"/>
          <w:sz w:val="28"/>
          <w:szCs w:val="28"/>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003907B9">
        <w:rPr>
          <w:rFonts w:asciiTheme="majorBidi" w:hAnsiTheme="majorBidi" w:cstheme="majorBidi"/>
          <w:sz w:val="28"/>
          <w:szCs w:val="28"/>
          <w:rtl/>
        </w:rPr>
        <w:instrText>&gt;&lt;/</w:instrText>
      </w:r>
      <w:r w:rsidR="003907B9">
        <w:rPr>
          <w:rFonts w:asciiTheme="majorBidi" w:hAnsiTheme="majorBidi" w:cstheme="majorBidi"/>
          <w:sz w:val="28"/>
          <w:szCs w:val="28"/>
        </w:rPr>
        <w:instrText>EndNote</w:instrText>
      </w:r>
      <w:r w:rsidR="003907B9">
        <w:rPr>
          <w:rFonts w:asciiTheme="majorBidi" w:hAnsiTheme="majorBidi" w:cstheme="majorBidi"/>
          <w:sz w:val="28"/>
          <w:szCs w:val="28"/>
          <w:rtl/>
        </w:rPr>
        <w:instrText>&gt;</w:instrText>
      </w:r>
      <w:r w:rsidR="003907B9">
        <w:rPr>
          <w:rFonts w:asciiTheme="majorBidi" w:hAnsiTheme="majorBidi" w:cstheme="majorBidi"/>
          <w:sz w:val="28"/>
          <w:szCs w:val="28"/>
          <w:rtl/>
        </w:rPr>
        <w:fldChar w:fldCharType="separate"/>
      </w:r>
      <w:r w:rsidR="003907B9">
        <w:rPr>
          <w:rFonts w:asciiTheme="majorBidi" w:hAnsiTheme="majorBidi" w:cstheme="majorBidi"/>
          <w:noProof/>
          <w:sz w:val="28"/>
          <w:szCs w:val="28"/>
          <w:rtl/>
        </w:rPr>
        <w:t>(</w:t>
      </w:r>
      <w:r w:rsidR="003907B9">
        <w:rPr>
          <w:rFonts w:asciiTheme="majorBidi" w:hAnsiTheme="majorBidi" w:cstheme="majorBidi"/>
          <w:noProof/>
          <w:sz w:val="28"/>
          <w:szCs w:val="28"/>
        </w:rPr>
        <w:t>Cameron and Quinn, 2011</w:t>
      </w:r>
      <w:r w:rsidR="003907B9">
        <w:rPr>
          <w:rFonts w:asciiTheme="majorBidi" w:hAnsiTheme="majorBidi" w:cstheme="majorBidi"/>
          <w:noProof/>
          <w:sz w:val="28"/>
          <w:szCs w:val="28"/>
          <w:rtl/>
        </w:rPr>
        <w:t>)</w:t>
      </w:r>
      <w:r w:rsidR="003907B9">
        <w:rPr>
          <w:rFonts w:asciiTheme="majorBidi" w:hAnsiTheme="majorBidi" w:cstheme="majorBidi"/>
          <w:sz w:val="28"/>
          <w:szCs w:val="28"/>
          <w:rtl/>
        </w:rPr>
        <w:fldChar w:fldCharType="end"/>
      </w:r>
      <w:r w:rsidR="003907B9">
        <w:rPr>
          <w:rFonts w:asciiTheme="majorBidi" w:hAnsiTheme="majorBidi" w:cstheme="majorBidi" w:hint="cs"/>
          <w:sz w:val="28"/>
          <w:szCs w:val="28"/>
          <w:rtl/>
        </w:rPr>
        <w:t>.</w:t>
      </w:r>
    </w:p>
    <w:p w14:paraId="2E824B19" w14:textId="77777777" w:rsidR="002E6C18" w:rsidRPr="00DC3DDE" w:rsidRDefault="002E6C18" w:rsidP="00A0551C">
      <w:pPr>
        <w:bidi/>
        <w:jc w:val="both"/>
        <w:rPr>
          <w:rFonts w:asciiTheme="majorBidi" w:hAnsiTheme="majorBidi" w:cstheme="majorBidi"/>
          <w:b/>
          <w:bCs/>
          <w:sz w:val="28"/>
          <w:szCs w:val="28"/>
        </w:rPr>
      </w:pPr>
      <w:r w:rsidRPr="00DC3DDE">
        <w:rPr>
          <w:rFonts w:asciiTheme="majorBidi" w:hAnsiTheme="majorBidi" w:cstheme="majorBidi"/>
          <w:b/>
          <w:bCs/>
          <w:sz w:val="28"/>
          <w:szCs w:val="28"/>
          <w:rtl/>
        </w:rPr>
        <w:t>أولًا: تأثير</w:t>
      </w:r>
      <w:r w:rsidRPr="00DC3DDE">
        <w:rPr>
          <w:rFonts w:asciiTheme="majorBidi" w:hAnsiTheme="majorBidi" w:cstheme="majorBidi"/>
          <w:b/>
          <w:bCs/>
          <w:sz w:val="28"/>
          <w:szCs w:val="28"/>
        </w:rPr>
        <w:t xml:space="preserve"> HPWS </w:t>
      </w:r>
      <w:r w:rsidRPr="00DC3DDE">
        <w:rPr>
          <w:rFonts w:asciiTheme="majorBidi" w:hAnsiTheme="majorBidi" w:cstheme="majorBidi"/>
          <w:b/>
          <w:bCs/>
          <w:sz w:val="28"/>
          <w:szCs w:val="28"/>
          <w:rtl/>
        </w:rPr>
        <w:t>على تشكيل الثقافة التنظيمية</w:t>
      </w:r>
    </w:p>
    <w:p w14:paraId="0D8AF76A" w14:textId="05045F9C" w:rsidR="002E6C18" w:rsidRPr="00DC3DDE" w:rsidRDefault="002E6C18" w:rsidP="005B5993">
      <w:pPr>
        <w:bidi/>
        <w:jc w:val="both"/>
        <w:rPr>
          <w:rFonts w:asciiTheme="majorBidi" w:hAnsiTheme="majorBidi" w:cstheme="majorBidi"/>
          <w:sz w:val="28"/>
          <w:szCs w:val="28"/>
        </w:rPr>
      </w:pPr>
      <w:r w:rsidRPr="002D7391">
        <w:rPr>
          <w:rFonts w:asciiTheme="majorBidi" w:hAnsiTheme="majorBidi" w:cstheme="majorBidi"/>
          <w:sz w:val="28"/>
          <w:szCs w:val="28"/>
          <w:rtl/>
        </w:rPr>
        <w:t xml:space="preserve">وتشير دراسة </w:t>
      </w:r>
      <w:r w:rsidRPr="002D7391">
        <w:rPr>
          <w:rFonts w:asciiTheme="majorBidi" w:hAnsiTheme="majorBidi" w:cstheme="majorBidi"/>
          <w:sz w:val="28"/>
          <w:szCs w:val="28"/>
        </w:rPr>
        <w:t>Takeuchi et al. (2007)</w:t>
      </w:r>
      <w:r w:rsidRPr="002D7391">
        <w:rPr>
          <w:rFonts w:asciiTheme="majorBidi" w:hAnsiTheme="majorBidi" w:cstheme="majorBidi"/>
          <w:sz w:val="28"/>
          <w:szCs w:val="28"/>
          <w:rtl/>
        </w:rPr>
        <w:t xml:space="preserve"> إلى أن المنظمات التي تطبّق</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 xml:space="preserve">بانتظام تُظهر مؤشرات أعلى على وجود ثقافة تنظيمية تدعم الابتكار والمبادرة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Pr="002D7391">
        <w:rPr>
          <w:rFonts w:asciiTheme="majorBidi" w:hAnsiTheme="majorBidi" w:cstheme="majorBidi"/>
          <w:sz w:val="28"/>
          <w:szCs w:val="28"/>
          <w:rtl/>
        </w:rPr>
        <w:instrText>-</w:instrText>
      </w:r>
      <w:r w:rsidRPr="002D7391">
        <w:rPr>
          <w:rFonts w:asciiTheme="majorBidi" w:hAnsiTheme="majorBidi" w:cstheme="majorBidi"/>
          <w:sz w:val="28"/>
          <w:szCs w:val="28"/>
        </w:rPr>
        <w:instrText>title&gt;Journal of applied psychology&lt;/full-title&gt;&lt;/periodical&gt;&lt;pages&gt;1069&lt;/pages&gt;&lt;volume&gt;92&lt;/volume&gt;&lt;number&gt;4&lt;/number&gt;&lt;dates&gt;&lt;year&gt;2007&lt;/year&gt;&lt;/dates&gt;&lt;isbn&gt;1939-1854&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Takeuchi et al., 2007</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2D7391">
        <w:rPr>
          <w:rFonts w:asciiTheme="majorBidi" w:hAnsiTheme="majorBidi" w:cstheme="majorBidi"/>
          <w:sz w:val="28"/>
          <w:szCs w:val="28"/>
          <w:rtl/>
        </w:rPr>
        <w:t xml:space="preserve">. كما وجد </w:t>
      </w:r>
      <w:r w:rsidRPr="002D7391">
        <w:rPr>
          <w:rFonts w:asciiTheme="majorBidi" w:hAnsiTheme="majorBidi" w:cstheme="majorBidi"/>
          <w:sz w:val="28"/>
          <w:szCs w:val="28"/>
        </w:rPr>
        <w:t>Jiang et al. (2012)</w:t>
      </w:r>
      <w:r w:rsidRPr="002D7391">
        <w:rPr>
          <w:rFonts w:asciiTheme="majorBidi" w:hAnsiTheme="majorBidi" w:cstheme="majorBidi"/>
          <w:sz w:val="28"/>
          <w:szCs w:val="28"/>
          <w:rtl/>
        </w:rPr>
        <w:t xml:space="preserve"> في تحليلهما البعدي أن</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 xml:space="preserve">تعزز مناخًا نفسيًا إيجابيًا يكون فيه الموظفون أكثر تقبلًا للمخاطرة الفكرية والتجريب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Jiang et al., 2012</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27425F39" w14:textId="77777777" w:rsidR="002E6C18" w:rsidRPr="00DC3DDE" w:rsidRDefault="002E6C18" w:rsidP="00A0551C">
      <w:pPr>
        <w:bidi/>
        <w:jc w:val="both"/>
        <w:rPr>
          <w:rFonts w:asciiTheme="majorBidi" w:hAnsiTheme="majorBidi" w:cstheme="majorBidi"/>
          <w:b/>
          <w:bCs/>
          <w:sz w:val="28"/>
          <w:szCs w:val="28"/>
        </w:rPr>
      </w:pPr>
      <w:r w:rsidRPr="00DC3DDE">
        <w:rPr>
          <w:rFonts w:asciiTheme="majorBidi" w:hAnsiTheme="majorBidi" w:cstheme="majorBidi"/>
          <w:b/>
          <w:bCs/>
          <w:sz w:val="28"/>
          <w:szCs w:val="28"/>
          <w:rtl/>
        </w:rPr>
        <w:t>ثانيًا: دور الثقافة التنظيمية في تعزيز أو إضعاف أثر</w:t>
      </w:r>
      <w:r w:rsidRPr="00DC3DDE">
        <w:rPr>
          <w:rFonts w:asciiTheme="majorBidi" w:hAnsiTheme="majorBidi" w:cstheme="majorBidi"/>
          <w:b/>
          <w:bCs/>
          <w:sz w:val="28"/>
          <w:szCs w:val="28"/>
        </w:rPr>
        <w:t xml:space="preserve"> HPWS</w:t>
      </w:r>
    </w:p>
    <w:p w14:paraId="384BCCA6" w14:textId="59CBED12" w:rsidR="002E6C18" w:rsidRPr="00DC3DDE" w:rsidRDefault="002E6C18" w:rsidP="00A0551C">
      <w:pPr>
        <w:bidi/>
        <w:jc w:val="both"/>
        <w:rPr>
          <w:rFonts w:asciiTheme="majorBidi" w:hAnsiTheme="majorBidi" w:cstheme="majorBidi"/>
          <w:sz w:val="28"/>
          <w:szCs w:val="28"/>
        </w:rPr>
      </w:pPr>
      <w:r w:rsidRPr="002D7391">
        <w:rPr>
          <w:rFonts w:asciiTheme="majorBidi" w:hAnsiTheme="majorBidi" w:cstheme="majorBidi"/>
          <w:sz w:val="28"/>
          <w:szCs w:val="28"/>
          <w:rtl/>
        </w:rPr>
        <w:t xml:space="preserve">في المقابل، فإن الثقافة التنظيمية تُعد عاملًا حاسمًا في تفسير نتائج تطبيق </w:t>
      </w:r>
      <w:r w:rsidRPr="002D7391">
        <w:rPr>
          <w:rFonts w:asciiTheme="majorBidi" w:hAnsiTheme="majorBidi" w:cstheme="majorBidi"/>
          <w:sz w:val="28"/>
          <w:szCs w:val="28"/>
        </w:rPr>
        <w:t>HPWS</w:t>
      </w:r>
      <w:r w:rsidRPr="002D7391">
        <w:rPr>
          <w:rFonts w:asciiTheme="majorBidi" w:hAnsiTheme="majorBidi" w:cstheme="majorBidi"/>
          <w:sz w:val="28"/>
          <w:szCs w:val="28"/>
          <w:rtl/>
        </w:rPr>
        <w:t xml:space="preserve">. حيث أوضحت دراسة </w:t>
      </w:r>
      <w:r w:rsidRPr="002D7391">
        <w:rPr>
          <w:rFonts w:asciiTheme="majorBidi" w:hAnsiTheme="majorBidi" w:cstheme="majorBidi"/>
          <w:sz w:val="28"/>
          <w:szCs w:val="28"/>
        </w:rPr>
        <w:t>Hartnell et al. (2019)</w:t>
      </w:r>
      <w:r w:rsidRPr="002D7391">
        <w:rPr>
          <w:rFonts w:asciiTheme="majorBidi" w:hAnsiTheme="majorBidi" w:cstheme="majorBidi"/>
          <w:sz w:val="28"/>
          <w:szCs w:val="28"/>
          <w:rtl/>
        </w:rPr>
        <w:t xml:space="preserve"> أن ثقافات الانضباط الصارم والبنية الهرمية المرتفعة يمكن أن تُضعف الأثر التحفيزي لممارسات </w:t>
      </w:r>
      <w:r w:rsidRPr="002D7391">
        <w:rPr>
          <w:rFonts w:asciiTheme="majorBidi" w:hAnsiTheme="majorBidi" w:cstheme="majorBidi"/>
          <w:sz w:val="28"/>
          <w:szCs w:val="28"/>
        </w:rPr>
        <w:t>HPWS</w:t>
      </w:r>
      <w:r w:rsidRPr="002D7391">
        <w:rPr>
          <w:rFonts w:asciiTheme="majorBidi" w:hAnsiTheme="majorBidi" w:cstheme="majorBidi"/>
          <w:sz w:val="28"/>
          <w:szCs w:val="28"/>
          <w:rtl/>
        </w:rPr>
        <w:t xml:space="preserve">، حتى وإن كانت هذه الممارسات مُصممة وفق المعايير المثلى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&lt;EndNote&gt;&lt;Cite&gt;&lt;Author&gt;Hartnell&lt;/Author&gt;&lt;Year&gt;2016&lt;/Year&gt;&lt;RecNum&gt;2773&lt;/RecNum&gt;&lt;DisplayText&gt;(Hartnell et al., 2016)&lt;/DisplayText&gt;&lt;record&gt;&lt;rec-number&gt;2773&lt;/rec-number&gt;&lt;foreign-keys&gt;&lt;key app="EN" db-id="t5vttv59or5xwbe2zdm5ewrxd905arrpawff" timestamp="1748383055"&gt;2773&lt;/key&gt;&lt;/foreign-keys&gt;&lt;ref-type name="Journal Article"&gt;17&lt;/ref-type&gt;&lt;contributors&gt;&lt;authors&gt;&lt;author&gt;Hartnell, Chad A&lt;/author&gt;&lt;author&gt;Kinicki, Angelo J&lt;/author&gt;&lt;author&gt;Lambert, Lisa Schurer&lt;/author&gt;&lt;author&gt;Fugate, Mel&lt;/author&gt;&lt;author</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Pr>
        <w:instrText>Doyle Corner, Patricia&lt;/author&gt;&lt;/authors&gt;&lt;/contributors&gt;&lt;titles&gt;&lt;title&gt;Do similarities or differences between CEO leadership and organizational culture have a more positive effect on firm performance? A test of competing predictions&lt;/title&gt;&lt;secondary-title&gt;Journal of Applied Psychology&lt;/secondary-title&gt;&lt;/titles&gt;&lt;periodical&gt;&lt;full-title&gt;Journal of applied psychology&lt;/full-title&gt;&lt;/periodical&gt;&lt;pages&gt;846&lt;/pages&gt;&lt;volume&gt;101&lt;/volume&gt;&lt;number&gt;6&lt;/number&gt;&lt;dates&gt;&lt;year&gt;2016&lt;/year&gt;&lt;/dates&gt;&lt;isbn&gt;1939-1854&lt;/isbn&gt;&lt;urls</w:instrText>
      </w:r>
      <w:r w:rsidRPr="002D7391">
        <w:rPr>
          <w:rFonts w:asciiTheme="majorBidi" w:hAnsiTheme="majorBidi" w:cstheme="majorBidi"/>
          <w:sz w:val="28"/>
          <w:szCs w:val="28"/>
          <w:rtl/>
        </w:rPr>
        <w:instrText>&gt;&lt;/</w:instrText>
      </w:r>
      <w:r w:rsidRPr="002D7391">
        <w:rPr>
          <w:rFonts w:asciiTheme="majorBidi" w:hAnsiTheme="majorBidi" w:cstheme="majorBidi"/>
          <w:sz w:val="28"/>
          <w:szCs w:val="28"/>
        </w:rPr>
        <w:instrTex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Hartnell et al., 2016</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DC3DDE">
        <w:rPr>
          <w:rFonts w:asciiTheme="majorBidi" w:hAnsiTheme="majorBidi" w:cstheme="majorBidi"/>
          <w:sz w:val="28"/>
          <w:szCs w:val="28"/>
          <w:rtl/>
        </w:rPr>
        <w:t>. فعلى سبيل المثال، قد لا تثمر استراتيجيات التمكين أو المكافآت إذا كانت الثقافة السائدة تُعاقب المخاطرة أو تنفر من التغيير</w:t>
      </w:r>
      <w:r w:rsidRPr="00DC3DDE">
        <w:rPr>
          <w:rFonts w:asciiTheme="majorBidi" w:hAnsiTheme="majorBidi" w:cstheme="majorBidi"/>
          <w:sz w:val="28"/>
          <w:szCs w:val="28"/>
        </w:rPr>
        <w:t>.</w:t>
      </w:r>
    </w:p>
    <w:p w14:paraId="4EF6C5F5" w14:textId="46E1D8B6" w:rsidR="002E6C18" w:rsidRPr="002D7391" w:rsidRDefault="002E6C18" w:rsidP="00A0551C">
      <w:pPr>
        <w:bidi/>
        <w:jc w:val="both"/>
        <w:rPr>
          <w:rFonts w:asciiTheme="majorBidi" w:hAnsiTheme="majorBidi" w:cstheme="majorBidi"/>
          <w:sz w:val="28"/>
          <w:szCs w:val="28"/>
        </w:rPr>
      </w:pPr>
      <w:r w:rsidRPr="00DC3DDE">
        <w:rPr>
          <w:rFonts w:asciiTheme="majorBidi" w:hAnsiTheme="majorBidi" w:cstheme="majorBidi"/>
          <w:sz w:val="28"/>
          <w:szCs w:val="28"/>
          <w:rtl/>
        </w:rPr>
        <w:t>وفي السياق السعودي، تبيّن الأدبيات</w:t>
      </w:r>
      <w:r w:rsidRPr="00DC3DDE">
        <w:rPr>
          <w:rFonts w:asciiTheme="majorBidi" w:hAnsiTheme="majorBidi" w:cstheme="majorBidi"/>
          <w:sz w:val="28"/>
          <w:szCs w:val="28"/>
        </w:rPr>
        <w:t xml:space="preserve"> (Alharbi, 2024) </w:t>
      </w:r>
      <w:r w:rsidRPr="00DC3DDE">
        <w:rPr>
          <w:rFonts w:asciiTheme="majorBidi" w:hAnsiTheme="majorBidi" w:cstheme="majorBidi"/>
          <w:sz w:val="28"/>
          <w:szCs w:val="28"/>
          <w:rtl/>
        </w:rPr>
        <w:t>أن المؤسسات التي تُراعي البُعد الثقافي المحلي في تصميم</w:t>
      </w:r>
      <w:r w:rsidRPr="00DC3DDE">
        <w:rPr>
          <w:rFonts w:asciiTheme="majorBidi" w:hAnsiTheme="majorBidi" w:cstheme="majorBidi"/>
          <w:sz w:val="28"/>
          <w:szCs w:val="28"/>
        </w:rPr>
        <w:t xml:space="preserve"> HPWS </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t xml:space="preserve">مثل احترام التسلسل الهرمي والحفاظ على الروابط الاجتماعية – تكون أكثر قدرة على تفعيل هذه الممارسات وتحقيق أثرها على الأداء والالتزام والإبداع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&lt;EndNote&gt;&lt;Cite&gt;&lt;Author&gt;Alharbi&lt;/Author&gt;&lt;Year&gt;2024&lt;/Year&gt;&lt;RecNum&gt;2778&lt;/RecNum&gt;&lt;DisplayText&gt;(Alharbi and Aloud, 2024)&lt;/DisplayText&gt;&lt;record&gt;&lt;rec-number&gt;2778&lt;/rec-number&gt;&lt;foreign-keys&gt;&lt;key app="EN" db-id="t5vttv59or5xwbe2zdm5ewrxd905arrpawff" timestamp="1748385507"&gt;2778&lt;/key&gt;&lt;/foreign-keys&gt;&lt;ref-type name="Journal Article"&gt;17&lt;/ref-type&gt;&lt;contributors&gt;&lt;authors&gt;&lt;author&gt;Alharbi, Ghadah Lafi&lt;/author&gt;&lt;author&gt;Aloud, Monira Essa&lt;/author&gt;&lt;/authors&gt;&lt;/contributors&gt;&lt;titles&gt;&lt;title&gt;The effects of knowledge management processes on service sector performance: evidence from Saudi Arabia&lt;/title&gt;&lt;secondary-title&gt;Humanities and Social Sciences Communications&lt;/secondary-title&gt;&lt;/titles&gt;&lt;periodical&gt;&lt;full-title&gt;Humanities and Social Sciences Communications&lt;/full-title</w:instrText>
      </w:r>
      <w:r w:rsidRPr="002D7391">
        <w:rPr>
          <w:rFonts w:asciiTheme="majorBidi" w:hAnsiTheme="majorBidi" w:cstheme="majorBidi"/>
          <w:sz w:val="28"/>
          <w:szCs w:val="28"/>
          <w:rtl/>
        </w:rPr>
        <w:instrText>&gt;&lt;/</w:instrText>
      </w:r>
      <w:r w:rsidRPr="002D7391">
        <w:rPr>
          <w:rFonts w:asciiTheme="majorBidi" w:hAnsiTheme="majorBidi" w:cstheme="majorBidi"/>
          <w:sz w:val="28"/>
          <w:szCs w:val="28"/>
        </w:rPr>
        <w:instrText>periodical&gt;&lt;pages&gt;1-19&lt;/pages&gt;&lt;volume&gt;11&lt;/volume&gt;&lt;number&gt;1&lt;/number&gt;&lt;dates&gt;&lt;year&gt;2024&lt;/year&gt;&lt;/dates&gt;&lt;isbn&gt;2662-9992&lt;/isbn&gt;&lt;urls&gt;&lt;/urls&gt;&lt;/record&gt;&lt;/Cite&gt;&lt;/EndNote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Alharbi and Aloud, 2024</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2D7391">
        <w:rPr>
          <w:rFonts w:asciiTheme="majorBidi" w:hAnsiTheme="majorBidi" w:cstheme="majorBidi"/>
          <w:sz w:val="28"/>
          <w:szCs w:val="28"/>
          <w:rtl/>
        </w:rPr>
        <w:t>.</w:t>
      </w:r>
    </w:p>
    <w:p w14:paraId="6C15370C" w14:textId="77777777" w:rsidR="002E6C18" w:rsidRPr="002D7391" w:rsidRDefault="002E6C18" w:rsidP="00A0551C">
      <w:pPr>
        <w:bidi/>
        <w:jc w:val="both"/>
        <w:rPr>
          <w:rFonts w:asciiTheme="majorBidi" w:hAnsiTheme="majorBidi" w:cstheme="majorBidi"/>
          <w:sz w:val="28"/>
          <w:szCs w:val="28"/>
          <w:rtl/>
          <w:lang w:bidi="ar-EG"/>
        </w:rPr>
      </w:pPr>
      <w:r w:rsidRPr="002D7391">
        <w:rPr>
          <w:rFonts w:asciiTheme="majorBidi" w:hAnsiTheme="majorBidi" w:cstheme="majorBidi"/>
          <w:sz w:val="28"/>
          <w:szCs w:val="28"/>
          <w:rtl/>
        </w:rPr>
        <w:t xml:space="preserve">وفقًا لنموذج </w:t>
      </w:r>
      <w:r w:rsidRPr="002D7391">
        <w:rPr>
          <w:rFonts w:asciiTheme="majorBidi" w:hAnsiTheme="majorBidi" w:cstheme="majorBidi"/>
          <w:sz w:val="28"/>
          <w:szCs w:val="28"/>
        </w:rPr>
        <w:t xml:space="preserve">Ostroff &amp; </w:t>
      </w:r>
      <w:proofErr w:type="gramStart"/>
      <w:r w:rsidRPr="002D7391">
        <w:rPr>
          <w:rFonts w:asciiTheme="majorBidi" w:hAnsiTheme="majorBidi" w:cstheme="majorBidi"/>
          <w:sz w:val="28"/>
          <w:szCs w:val="28"/>
        </w:rPr>
        <w:t xml:space="preserve">Bowen </w:t>
      </w:r>
      <w:r w:rsidRPr="002D7391">
        <w:rPr>
          <w:rFonts w:asciiTheme="majorBidi" w:hAnsiTheme="majorBidi" w:cstheme="majorBidi"/>
          <w:sz w:val="28"/>
          <w:szCs w:val="28"/>
          <w:rtl/>
        </w:rPr>
        <w:t>،</w:t>
      </w:r>
      <w:proofErr w:type="gramEnd"/>
      <w:r w:rsidRPr="002D7391">
        <w:rPr>
          <w:rFonts w:asciiTheme="majorBidi" w:hAnsiTheme="majorBidi" w:cstheme="majorBidi"/>
          <w:sz w:val="28"/>
          <w:szCs w:val="28"/>
          <w:rtl/>
        </w:rPr>
        <w:t xml:space="preserve"> فإن ممارسات الموارد البشرية لا تُنتج أثرًا سلوكيًا مباشِرًا، بل تعمل كمُرسل لقيم معينة تتفاعل مع الثقافة وتُعيد تشكيلها، وهي بدورها تُحدد كيفية إدراك الموظف لتلك الممارسات. وبالتالي، تعمل</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على تقوية أو إضعاف عناصر محددة في الثقافة التنظيمية، بما يؤثر على السلوك التنظيمي في نهاية المطاف</w:t>
      </w:r>
      <w:r w:rsidRPr="002D7391">
        <w:rPr>
          <w:rFonts w:asciiTheme="majorBidi" w:hAnsiTheme="majorBidi" w:cstheme="majorBidi"/>
          <w:sz w:val="28"/>
          <w:szCs w:val="28"/>
          <w:rtl/>
          <w:lang w:bidi="ar-EG"/>
        </w:rPr>
        <w:t xml:space="preserve"> </w:t>
      </w:r>
    </w:p>
    <w:p w14:paraId="63674B69" w14:textId="2705EF74" w:rsidR="002E6C18" w:rsidRPr="00683321" w:rsidRDefault="002E6C18" w:rsidP="00A0551C">
      <w:pPr>
        <w:bidi/>
        <w:jc w:val="both"/>
        <w:rPr>
          <w:rFonts w:asciiTheme="majorBidi" w:hAnsiTheme="majorBidi" w:cstheme="majorBidi"/>
          <w:sz w:val="28"/>
          <w:szCs w:val="28"/>
        </w:rPr>
      </w:pPr>
      <w:r w:rsidRPr="002D7391">
        <w:rPr>
          <w:rFonts w:asciiTheme="majorBidi" w:hAnsiTheme="majorBidi" w:cstheme="majorBidi"/>
          <w:sz w:val="28"/>
          <w:szCs w:val="28"/>
          <w:rtl/>
        </w:rPr>
        <w:t>في إطار هذه الدراسة، تُفترض أن</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تلعب دورًا تأسيسيًا في تشكيل الثقافة التنظيمية، خاصة عبر الممارسات التي</w:t>
      </w:r>
      <w:r w:rsidRPr="00DC3DDE">
        <w:rPr>
          <w:rFonts w:asciiTheme="majorBidi" w:hAnsiTheme="majorBidi" w:cstheme="majorBidi"/>
          <w:sz w:val="28"/>
          <w:szCs w:val="28"/>
          <w:rtl/>
        </w:rPr>
        <w:t xml:space="preserve"> تتعلق بالتمكين، والتواصل، والاعتراف بالأداء. كما يُفترض أن الثقافة التنظيمية ليست فقط نتاجًا للممارسات، بل متغيرًا وسيطًا يحدد مدى تأثير هذه الممارسات في تعزيز الإبداع الوظيفي. وبهذا، فإن فهم العلاقة بين</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والثقافة ضروري لتفسير التأثير غير المباشر الذي قد تلعبه الأولى على الابتكار داخل بيئات العمل الخدمية مثل الفنادق والمطاعم</w:t>
      </w:r>
      <w:r w:rsidRPr="00DC3DDE">
        <w:rPr>
          <w:rFonts w:asciiTheme="majorBidi" w:hAnsiTheme="majorBidi" w:cstheme="majorBidi"/>
          <w:sz w:val="28"/>
          <w:szCs w:val="28"/>
        </w:rPr>
        <w:t>.</w:t>
      </w:r>
    </w:p>
    <w:p w14:paraId="1994719E" w14:textId="73EC9FE4" w:rsidR="00683321" w:rsidRPr="00683321" w:rsidRDefault="003907B9" w:rsidP="00A0551C">
      <w:pPr>
        <w:bidi/>
        <w:jc w:val="both"/>
        <w:rPr>
          <w:rFonts w:asciiTheme="majorBidi" w:hAnsiTheme="majorBidi" w:cstheme="majorBidi"/>
          <w:b/>
          <w:bCs/>
          <w:sz w:val="28"/>
          <w:szCs w:val="28"/>
        </w:rPr>
      </w:pPr>
      <w:r>
        <w:rPr>
          <w:rFonts w:asciiTheme="majorBidi" w:hAnsiTheme="majorBidi" w:cstheme="majorBidi" w:hint="cs"/>
          <w:b/>
          <w:bCs/>
          <w:sz w:val="28"/>
          <w:szCs w:val="28"/>
          <w:rtl/>
        </w:rPr>
        <w:lastRenderedPageBreak/>
        <w:t xml:space="preserve">2.2.4.3. </w:t>
      </w:r>
      <w:r w:rsidR="00683321" w:rsidRPr="00683321">
        <w:rPr>
          <w:rFonts w:asciiTheme="majorBidi" w:hAnsiTheme="majorBidi" w:cstheme="majorBidi"/>
          <w:b/>
          <w:bCs/>
          <w:sz w:val="28"/>
          <w:szCs w:val="28"/>
          <w:rtl/>
        </w:rPr>
        <w:t>العلاقة بين الثقافة التنظيمية والإبداع الوظيفي</w:t>
      </w:r>
    </w:p>
    <w:p w14:paraId="597F5D78" w14:textId="29BFE9E4" w:rsidR="00683321" w:rsidRPr="00683321" w:rsidRDefault="00683321" w:rsidP="00A0551C">
      <w:pPr>
        <w:bidi/>
        <w:jc w:val="both"/>
        <w:rPr>
          <w:rFonts w:asciiTheme="majorBidi" w:hAnsiTheme="majorBidi" w:cstheme="majorBidi"/>
          <w:sz w:val="28"/>
          <w:szCs w:val="28"/>
        </w:rPr>
      </w:pPr>
      <w:r w:rsidRPr="00683321">
        <w:rPr>
          <w:rFonts w:asciiTheme="majorBidi" w:hAnsiTheme="majorBidi" w:cstheme="majorBidi"/>
          <w:sz w:val="28"/>
          <w:szCs w:val="28"/>
          <w:rtl/>
        </w:rPr>
        <w:t>تلعب الثقافة التنظيمية دور الوسيط الذي يربط بين ممارسات الموارد البشرية ونتائج الأداء الإبداعي. فالثقافة التي تشجع على المخاطرة المحسوبة، وتحتفي بالأفكار الجديدة، وتوفر الأمان النفسي للعاملين، تخلق بيئة خصبة لتوليد الأفكار وتنفيذه</w:t>
      </w:r>
      <w:r w:rsidR="003907B9">
        <w:rPr>
          <w:rFonts w:asciiTheme="majorBidi" w:hAnsiTheme="majorBidi" w:cstheme="majorBidi" w:hint="cs"/>
          <w:sz w:val="28"/>
          <w:szCs w:val="28"/>
          <w:rtl/>
        </w:rPr>
        <w:t xml:space="preserve">ا </w:t>
      </w:r>
      <w:r w:rsidR="003907B9">
        <w:rPr>
          <w:rFonts w:asciiTheme="majorBidi" w:hAnsiTheme="majorBidi" w:cstheme="majorBidi"/>
          <w:sz w:val="28"/>
          <w:szCs w:val="28"/>
          <w:rtl/>
        </w:rPr>
        <w:fldChar w:fldCharType="begin"/>
      </w:r>
      <w:r w:rsidR="003907B9">
        <w:rPr>
          <w:rFonts w:asciiTheme="majorBidi" w:hAnsiTheme="majorBidi" w:cstheme="majorBidi"/>
          <w:sz w:val="28"/>
          <w:szCs w:val="28"/>
          <w:rtl/>
        </w:rPr>
        <w:instrText xml:space="preserve"> </w:instrText>
      </w:r>
      <w:r w:rsidR="003907B9">
        <w:rPr>
          <w:rFonts w:asciiTheme="majorBidi" w:hAnsiTheme="majorBidi" w:cstheme="majorBidi"/>
          <w:sz w:val="28"/>
          <w:szCs w:val="28"/>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003907B9">
        <w:rPr>
          <w:rFonts w:asciiTheme="majorBidi" w:hAnsiTheme="majorBidi" w:cstheme="majorBidi"/>
          <w:sz w:val="28"/>
          <w:szCs w:val="28"/>
          <w:rtl/>
        </w:rPr>
        <w:instrText>&gt;</w:instrText>
      </w:r>
      <w:r w:rsidR="003907B9">
        <w:rPr>
          <w:rFonts w:asciiTheme="majorBidi" w:hAnsiTheme="majorBidi" w:cstheme="majorBidi"/>
          <w:sz w:val="28"/>
          <w:szCs w:val="28"/>
          <w:rtl/>
        </w:rPr>
        <w:fldChar w:fldCharType="separate"/>
      </w:r>
      <w:r w:rsidR="003907B9">
        <w:rPr>
          <w:rFonts w:asciiTheme="majorBidi" w:hAnsiTheme="majorBidi" w:cstheme="majorBidi"/>
          <w:noProof/>
          <w:sz w:val="28"/>
          <w:szCs w:val="28"/>
          <w:rtl/>
        </w:rPr>
        <w:t>(</w:t>
      </w:r>
      <w:r w:rsidR="003907B9">
        <w:rPr>
          <w:rFonts w:asciiTheme="majorBidi" w:hAnsiTheme="majorBidi" w:cstheme="majorBidi"/>
          <w:noProof/>
          <w:sz w:val="28"/>
          <w:szCs w:val="28"/>
        </w:rPr>
        <w:t>Martins and Terblanche, 2003</w:t>
      </w:r>
      <w:r w:rsidR="003907B9">
        <w:rPr>
          <w:rFonts w:asciiTheme="majorBidi" w:hAnsiTheme="majorBidi" w:cstheme="majorBidi"/>
          <w:noProof/>
          <w:sz w:val="28"/>
          <w:szCs w:val="28"/>
          <w:rtl/>
        </w:rPr>
        <w:t>)</w:t>
      </w:r>
      <w:r w:rsidR="003907B9">
        <w:rPr>
          <w:rFonts w:asciiTheme="majorBidi" w:hAnsiTheme="majorBidi" w:cstheme="majorBidi"/>
          <w:sz w:val="28"/>
          <w:szCs w:val="28"/>
          <w:rtl/>
        </w:rPr>
        <w:fldChar w:fldCharType="end"/>
      </w:r>
      <w:r w:rsidR="003907B9">
        <w:rPr>
          <w:rFonts w:asciiTheme="majorBidi" w:hAnsiTheme="majorBidi" w:cstheme="majorBidi" w:hint="cs"/>
          <w:sz w:val="28"/>
          <w:szCs w:val="28"/>
          <w:rtl/>
        </w:rPr>
        <w:t>.</w:t>
      </w:r>
      <w:r w:rsidRPr="00683321">
        <w:rPr>
          <w:rFonts w:asciiTheme="majorBidi" w:hAnsiTheme="majorBidi" w:cstheme="majorBidi"/>
          <w:sz w:val="28"/>
          <w:szCs w:val="28"/>
        </w:rPr>
        <w:br/>
      </w:r>
      <w:r w:rsidRPr="00683321">
        <w:rPr>
          <w:rFonts w:asciiTheme="majorBidi" w:hAnsiTheme="majorBidi" w:cstheme="majorBidi"/>
          <w:sz w:val="28"/>
          <w:szCs w:val="28"/>
          <w:rtl/>
        </w:rPr>
        <w:t>عندما تسود قيم الانفتاح، والتعاون، والدعم، يصبح الموظفون أكثر استعدادًا للتعبير عن أفكارهم، والمشاركة في مبادرات تطويرية، مما يعزز الإبداع على مستوى الأفراد والفرق</w:t>
      </w:r>
      <w:r w:rsidR="0027264E">
        <w:rPr>
          <w:rFonts w:asciiTheme="majorBidi" w:hAnsiTheme="majorBidi" w:cstheme="majorBidi" w:hint="cs"/>
          <w:sz w:val="28"/>
          <w:szCs w:val="28"/>
          <w:rtl/>
        </w:rPr>
        <w:t xml:space="preserve"> </w:t>
      </w:r>
      <w:r w:rsidR="0027264E">
        <w:rPr>
          <w:rFonts w:asciiTheme="majorBidi" w:hAnsiTheme="majorBidi" w:cstheme="majorBidi"/>
          <w:sz w:val="28"/>
          <w:szCs w:val="28"/>
          <w:rtl/>
        </w:rPr>
        <w:fldChar w:fldCharType="begin"/>
      </w:r>
      <w:r w:rsidR="0027264E">
        <w:rPr>
          <w:rFonts w:asciiTheme="majorBidi" w:hAnsiTheme="majorBidi" w:cstheme="majorBidi"/>
          <w:sz w:val="28"/>
          <w:szCs w:val="28"/>
          <w:rtl/>
        </w:rPr>
        <w:instrText xml:space="preserve"> </w:instrText>
      </w:r>
      <w:r w:rsidR="0027264E">
        <w:rPr>
          <w:rFonts w:asciiTheme="majorBidi" w:hAnsiTheme="majorBidi" w:cstheme="majorBidi"/>
          <w:sz w:val="28"/>
          <w:szCs w:val="28"/>
        </w:rPr>
        <w:instrText>ADDIN EN.CITE &lt;EndNote&gt;&lt;Cite&gt;&lt;Author&gt;Anderson&lt;/Author&gt;&lt;Year&gt;2014&lt;/Year&gt;&lt;RecNum&gt;2318&lt;/RecNum&gt;&lt;DisplayText&gt;(Anderson et al., 2014, Amabile Teresa, 1996)&lt;/DisplayText&gt;&lt;record&gt;&lt;rec-number&gt;2318&lt;/rec-number&gt;&lt;foreign-keys&gt;&lt;key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Neil&lt;/author&gt;&lt;author&gt;Potočnik, Kristina&lt;/author&gt;&lt;author&gt;Zhou, Jing&lt;/author&gt;&lt;/authors&gt;&lt;/contributors</w:instrText>
      </w:r>
      <w:r w:rsidR="0027264E">
        <w:rPr>
          <w:rFonts w:asciiTheme="majorBidi" w:hAnsiTheme="majorBidi" w:cstheme="majorBidi"/>
          <w:sz w:val="28"/>
          <w:szCs w:val="28"/>
          <w:rtl/>
        </w:rPr>
        <w:instrText>&gt;&lt;</w:instrText>
      </w:r>
      <w:r w:rsidR="0027264E">
        <w:rPr>
          <w:rFonts w:asciiTheme="majorBidi" w:hAnsiTheme="majorBidi" w:cstheme="majorBidi"/>
          <w:sz w:val="28"/>
          <w:szCs w:val="28"/>
        </w:rPr>
        <w:instrText>titles&gt;&lt;title&gt;Innovation and creativity in organizations: A state-of-the-science review, prospective commentary, and guiding framework&lt;/title&gt;&lt;secondary-title&gt;Journal of management&lt;/secondary-title&gt;&lt;/titles&gt;&lt;periodical&gt;&lt;full-title&gt;Journal of management</w:instrText>
      </w:r>
      <w:r w:rsidR="0027264E">
        <w:rPr>
          <w:rFonts w:asciiTheme="majorBidi" w:hAnsiTheme="majorBidi" w:cstheme="majorBidi"/>
          <w:sz w:val="28"/>
          <w:szCs w:val="28"/>
          <w:rtl/>
        </w:rPr>
        <w:instrText>&lt;/</w:instrText>
      </w:r>
      <w:r w:rsidR="0027264E">
        <w:rPr>
          <w:rFonts w:asciiTheme="majorBidi" w:hAnsiTheme="majorBidi" w:cstheme="majorBidi"/>
          <w:sz w:val="28"/>
          <w:szCs w:val="28"/>
        </w:rPr>
        <w:instrText>full-title&gt;&lt;/periodical&gt;&lt;pages&gt;1297-1333&lt;/pages&gt;&lt;volume&gt;40&lt;/volume&gt;&lt;number&gt;5&lt;/number&gt;&lt;dates&gt;&lt;year&gt;2014&lt;/year&gt;&lt;/dates&gt;&lt;isbn&gt;0149-2063&lt;/isbn&gt;&lt;urls&gt;&lt;/urls&gt;&lt;/record&gt;&lt;/Cite&gt;&lt;Cite&gt;&lt;Author&gt;Amabile Teresa&lt;/Author&gt;&lt;Year&gt;1996&lt;/Year&gt;&lt;RecNum&gt;1239&lt;/RecNum&gt;&lt;record&gt;&lt;rec</w:instrText>
      </w:r>
      <w:r w:rsidR="0027264E">
        <w:rPr>
          <w:rFonts w:asciiTheme="majorBidi" w:hAnsiTheme="majorBidi" w:cstheme="majorBidi"/>
          <w:sz w:val="28"/>
          <w:szCs w:val="28"/>
          <w:rtl/>
        </w:rPr>
        <w:instrText>-</w:instrText>
      </w:r>
      <w:r w:rsidR="0027264E">
        <w:rPr>
          <w:rFonts w:asciiTheme="majorBidi" w:hAnsiTheme="majorBidi" w:cstheme="majorBidi"/>
          <w:sz w:val="28"/>
          <w:szCs w:val="28"/>
        </w:rPr>
        <w:instrText>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context&lt;/title&gt;&lt;/titles&gt;&lt;dates&gt;&lt;year&gt;1996&lt;/year&gt;&lt;/dates&gt;&lt;publisher&gt;Boulder, CO: Westview Press&lt;/publisher&gt;&lt;urls&gt;&lt;/urls&gt;&lt;/record&gt;&lt;/Cite&gt;&lt;/EndNote</w:instrText>
      </w:r>
      <w:r w:rsidR="0027264E">
        <w:rPr>
          <w:rFonts w:asciiTheme="majorBidi" w:hAnsiTheme="majorBidi" w:cstheme="majorBidi"/>
          <w:sz w:val="28"/>
          <w:szCs w:val="28"/>
          <w:rtl/>
        </w:rPr>
        <w:instrText>&gt;</w:instrText>
      </w:r>
      <w:r w:rsidR="0027264E">
        <w:rPr>
          <w:rFonts w:asciiTheme="majorBidi" w:hAnsiTheme="majorBidi" w:cstheme="majorBidi"/>
          <w:sz w:val="28"/>
          <w:szCs w:val="28"/>
          <w:rtl/>
        </w:rPr>
        <w:fldChar w:fldCharType="separate"/>
      </w:r>
      <w:r w:rsidR="0027264E">
        <w:rPr>
          <w:rFonts w:asciiTheme="majorBidi" w:hAnsiTheme="majorBidi" w:cstheme="majorBidi"/>
          <w:noProof/>
          <w:sz w:val="28"/>
          <w:szCs w:val="28"/>
          <w:rtl/>
        </w:rPr>
        <w:t>(</w:t>
      </w:r>
      <w:r w:rsidR="0027264E">
        <w:rPr>
          <w:rFonts w:asciiTheme="majorBidi" w:hAnsiTheme="majorBidi" w:cstheme="majorBidi"/>
          <w:noProof/>
          <w:sz w:val="28"/>
          <w:szCs w:val="28"/>
        </w:rPr>
        <w:t>Anderson et al., 2014, Amabile Teresa, 1996</w:t>
      </w:r>
      <w:r w:rsidR="0027264E">
        <w:rPr>
          <w:rFonts w:asciiTheme="majorBidi" w:hAnsiTheme="majorBidi" w:cstheme="majorBidi"/>
          <w:noProof/>
          <w:sz w:val="28"/>
          <w:szCs w:val="28"/>
          <w:rtl/>
        </w:rPr>
        <w:t>)</w:t>
      </w:r>
      <w:r w:rsidR="0027264E">
        <w:rPr>
          <w:rFonts w:asciiTheme="majorBidi" w:hAnsiTheme="majorBidi" w:cstheme="majorBidi"/>
          <w:sz w:val="28"/>
          <w:szCs w:val="28"/>
          <w:rtl/>
        </w:rPr>
        <w:fldChar w:fldCharType="end"/>
      </w:r>
      <w:r w:rsidR="0027264E">
        <w:rPr>
          <w:rFonts w:asciiTheme="majorBidi" w:hAnsiTheme="majorBidi" w:cstheme="majorBidi" w:hint="cs"/>
          <w:sz w:val="28"/>
          <w:szCs w:val="28"/>
          <w:rtl/>
        </w:rPr>
        <w:t xml:space="preserve">. </w:t>
      </w:r>
      <w:r w:rsidRPr="00683321">
        <w:rPr>
          <w:rFonts w:asciiTheme="majorBidi" w:hAnsiTheme="majorBidi" w:cstheme="majorBidi"/>
          <w:sz w:val="28"/>
          <w:szCs w:val="28"/>
          <w:rtl/>
        </w:rPr>
        <w:t>وعلى العكس، فإن الثقافة التي تهيمن عليها البيروقراطية والمركزية المفرطة قد تحدّ من المبادرات الإبداعية، مهما كانت ممارسات الموارد البشرية متقدمة</w:t>
      </w:r>
      <w:r w:rsidRPr="00683321">
        <w:rPr>
          <w:rFonts w:asciiTheme="majorBidi" w:hAnsiTheme="majorBidi" w:cstheme="majorBidi"/>
          <w:sz w:val="28"/>
          <w:szCs w:val="28"/>
        </w:rPr>
        <w:t>.</w:t>
      </w:r>
    </w:p>
    <w:p w14:paraId="3994CE9E" w14:textId="77777777" w:rsidR="00683321" w:rsidRPr="00DC3DDE" w:rsidRDefault="00683321" w:rsidP="00A0551C">
      <w:pPr>
        <w:bidi/>
        <w:jc w:val="both"/>
        <w:rPr>
          <w:rFonts w:asciiTheme="majorBidi" w:hAnsiTheme="majorBidi" w:cstheme="majorBidi"/>
          <w:sz w:val="28"/>
          <w:szCs w:val="28"/>
          <w:rtl/>
        </w:rPr>
      </w:pPr>
      <w:r w:rsidRPr="00683321">
        <w:rPr>
          <w:rFonts w:asciiTheme="majorBidi" w:hAnsiTheme="majorBidi" w:cstheme="majorBidi"/>
          <w:sz w:val="28"/>
          <w:szCs w:val="28"/>
          <w:rtl/>
        </w:rPr>
        <w:t>توضح الإطار النظري أن العلاقة بين</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والإبداع الوظيفي ليست خطية فحسب، بل تتأثر بشكل جوهري بالثقافة التنظيمية التي تعمل كحلقة وصل ومُضاعِف للأثر. فأنظمة العمل عالية الأداء توفر الأدوات والموارد، في حين تهيئ الثقافة التنظيمية المناخ النفسي والسلوكي الذي يسمح لهذه الأدوات بالتحول إلى نتائج إبداعية ملموسة. ومن هنا تنبع أهمية دراسة المتغيرات الثلاثة معًا، كما هو موضح في النموذج المفاهيمي للفصل الأول</w:t>
      </w:r>
      <w:r w:rsidRPr="00683321">
        <w:rPr>
          <w:rFonts w:asciiTheme="majorBidi" w:hAnsiTheme="majorBidi" w:cstheme="majorBidi"/>
          <w:sz w:val="28"/>
          <w:szCs w:val="28"/>
        </w:rPr>
        <w:t>.</w:t>
      </w:r>
    </w:p>
    <w:p w14:paraId="33C0CF21" w14:textId="77777777" w:rsidR="002E6C18" w:rsidRPr="00DC3DDE" w:rsidRDefault="002E6C18" w:rsidP="00A0551C">
      <w:pPr>
        <w:bidi/>
        <w:jc w:val="both"/>
        <w:rPr>
          <w:rFonts w:asciiTheme="majorBidi" w:hAnsiTheme="majorBidi" w:cstheme="majorBidi"/>
          <w:b/>
          <w:bCs/>
          <w:sz w:val="28"/>
          <w:szCs w:val="28"/>
        </w:rPr>
      </w:pPr>
      <w:r w:rsidRPr="00DC3DDE">
        <w:rPr>
          <w:rFonts w:asciiTheme="majorBidi" w:hAnsiTheme="majorBidi" w:cstheme="majorBidi"/>
          <w:b/>
          <w:bCs/>
          <w:sz w:val="28"/>
          <w:szCs w:val="28"/>
          <w:rtl/>
        </w:rPr>
        <w:t>أولًا: الثقافة التنظيمية بوصفها محفزًا للإبداع</w:t>
      </w:r>
    </w:p>
    <w:p w14:paraId="06D6F3AB" w14:textId="269FBDCD" w:rsidR="002E6C18" w:rsidRPr="002D7391" w:rsidRDefault="002E6C18" w:rsidP="00A0551C">
      <w:pPr>
        <w:bidi/>
        <w:jc w:val="both"/>
        <w:rPr>
          <w:rFonts w:asciiTheme="majorBidi" w:hAnsiTheme="majorBidi" w:cstheme="majorBidi"/>
          <w:sz w:val="28"/>
          <w:szCs w:val="28"/>
        </w:rPr>
      </w:pPr>
      <w:r w:rsidRPr="002D7391">
        <w:rPr>
          <w:rFonts w:asciiTheme="majorBidi" w:hAnsiTheme="majorBidi" w:cstheme="majorBidi"/>
          <w:sz w:val="28"/>
          <w:szCs w:val="28"/>
          <w:rtl/>
        </w:rPr>
        <w:t xml:space="preserve">تُظهر الدراسات أن الثقافة التنظيمية التي تشجّع على الاستقلالية، وتحمل المخاطر، والقبول بالتجريب، تُعتبر بيئة خصبة لنمو الإبداع الفردي والجماعي. وتوضح </w:t>
      </w:r>
      <w:r w:rsidRPr="002D7391">
        <w:rPr>
          <w:rFonts w:asciiTheme="majorBidi" w:hAnsiTheme="majorBidi" w:cstheme="majorBidi"/>
          <w:sz w:val="28"/>
          <w:szCs w:val="28"/>
        </w:rPr>
        <w:t>Martins and Terblanche (2003)</w:t>
      </w:r>
      <w:r w:rsidRPr="002D7391">
        <w:rPr>
          <w:rFonts w:asciiTheme="majorBidi" w:hAnsiTheme="majorBidi" w:cstheme="majorBidi"/>
          <w:sz w:val="28"/>
          <w:szCs w:val="28"/>
          <w:rtl/>
        </w:rPr>
        <w:t xml:space="preserve"> أن الثقافة الموجهة نحو الابتكار تتميز بما يلي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Martins and Terblanche, 2003</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2D7391">
        <w:rPr>
          <w:rFonts w:asciiTheme="majorBidi" w:hAnsiTheme="majorBidi" w:cstheme="majorBidi"/>
          <w:sz w:val="28"/>
          <w:szCs w:val="28"/>
          <w:rtl/>
        </w:rPr>
        <w:t>:</w:t>
      </w:r>
    </w:p>
    <w:p w14:paraId="7F4E8FF4" w14:textId="77777777" w:rsidR="002E6C18" w:rsidRPr="0027264E" w:rsidRDefault="002E6C18" w:rsidP="00A0551C">
      <w:pPr>
        <w:numPr>
          <w:ilvl w:val="0"/>
          <w:numId w:val="21"/>
        </w:numPr>
        <w:bidi/>
        <w:jc w:val="both"/>
        <w:rPr>
          <w:rFonts w:asciiTheme="majorBidi" w:hAnsiTheme="majorBidi" w:cstheme="majorBidi"/>
          <w:sz w:val="28"/>
          <w:szCs w:val="28"/>
        </w:rPr>
      </w:pPr>
      <w:r w:rsidRPr="002D7391">
        <w:rPr>
          <w:rFonts w:asciiTheme="majorBidi" w:hAnsiTheme="majorBidi" w:cstheme="majorBidi"/>
          <w:sz w:val="28"/>
          <w:szCs w:val="28"/>
          <w:rtl/>
        </w:rPr>
        <w:t>قبول التنوع الفكري</w:t>
      </w:r>
      <w:r w:rsidRPr="0027264E">
        <w:rPr>
          <w:rFonts w:asciiTheme="majorBidi" w:hAnsiTheme="majorBidi" w:cstheme="majorBidi"/>
          <w:sz w:val="28"/>
          <w:szCs w:val="28"/>
          <w:rtl/>
        </w:rPr>
        <w:t xml:space="preserve"> وتشجيع النقاش الحر</w:t>
      </w:r>
      <w:r w:rsidRPr="0027264E">
        <w:rPr>
          <w:rFonts w:asciiTheme="majorBidi" w:hAnsiTheme="majorBidi" w:cstheme="majorBidi"/>
          <w:sz w:val="28"/>
          <w:szCs w:val="28"/>
        </w:rPr>
        <w:t>.</w:t>
      </w:r>
    </w:p>
    <w:p w14:paraId="03F5839F" w14:textId="77777777" w:rsidR="002E6C18" w:rsidRPr="0027264E" w:rsidRDefault="002E6C18" w:rsidP="00A0551C">
      <w:pPr>
        <w:numPr>
          <w:ilvl w:val="0"/>
          <w:numId w:val="21"/>
        </w:numPr>
        <w:bidi/>
        <w:jc w:val="both"/>
        <w:rPr>
          <w:rFonts w:asciiTheme="majorBidi" w:hAnsiTheme="majorBidi" w:cstheme="majorBidi"/>
          <w:sz w:val="28"/>
          <w:szCs w:val="28"/>
        </w:rPr>
      </w:pPr>
      <w:r w:rsidRPr="0027264E">
        <w:rPr>
          <w:rFonts w:asciiTheme="majorBidi" w:hAnsiTheme="majorBidi" w:cstheme="majorBidi"/>
          <w:sz w:val="28"/>
          <w:szCs w:val="28"/>
          <w:rtl/>
        </w:rPr>
        <w:t>عدم العقاب على الفشل، بل اعتباره فرصة للتعلّم</w:t>
      </w:r>
      <w:r w:rsidRPr="0027264E">
        <w:rPr>
          <w:rFonts w:asciiTheme="majorBidi" w:hAnsiTheme="majorBidi" w:cstheme="majorBidi"/>
          <w:sz w:val="28"/>
          <w:szCs w:val="28"/>
        </w:rPr>
        <w:t>.</w:t>
      </w:r>
    </w:p>
    <w:p w14:paraId="7CC72786" w14:textId="77777777" w:rsidR="002E6C18" w:rsidRPr="0027264E" w:rsidRDefault="002E6C18" w:rsidP="00A0551C">
      <w:pPr>
        <w:numPr>
          <w:ilvl w:val="0"/>
          <w:numId w:val="21"/>
        </w:numPr>
        <w:bidi/>
        <w:jc w:val="both"/>
        <w:rPr>
          <w:rFonts w:asciiTheme="majorBidi" w:hAnsiTheme="majorBidi" w:cstheme="majorBidi"/>
          <w:sz w:val="28"/>
          <w:szCs w:val="28"/>
        </w:rPr>
      </w:pPr>
      <w:r w:rsidRPr="0027264E">
        <w:rPr>
          <w:rFonts w:asciiTheme="majorBidi" w:hAnsiTheme="majorBidi" w:cstheme="majorBidi"/>
          <w:sz w:val="28"/>
          <w:szCs w:val="28"/>
          <w:rtl/>
        </w:rPr>
        <w:t>تشجيع المبادرة الفردية، والاعتراف بالأفكار الجديدة</w:t>
      </w:r>
      <w:r w:rsidRPr="0027264E">
        <w:rPr>
          <w:rFonts w:asciiTheme="majorBidi" w:hAnsiTheme="majorBidi" w:cstheme="majorBidi"/>
          <w:sz w:val="28"/>
          <w:szCs w:val="28"/>
        </w:rPr>
        <w:t>.</w:t>
      </w:r>
    </w:p>
    <w:p w14:paraId="7F444BCB" w14:textId="77777777" w:rsidR="002E6C18" w:rsidRPr="0027264E" w:rsidRDefault="002E6C18" w:rsidP="00A0551C">
      <w:pPr>
        <w:numPr>
          <w:ilvl w:val="0"/>
          <w:numId w:val="21"/>
        </w:numPr>
        <w:bidi/>
        <w:jc w:val="both"/>
        <w:rPr>
          <w:rFonts w:asciiTheme="majorBidi" w:hAnsiTheme="majorBidi" w:cstheme="majorBidi"/>
          <w:sz w:val="28"/>
          <w:szCs w:val="28"/>
        </w:rPr>
      </w:pPr>
      <w:r w:rsidRPr="0027264E">
        <w:rPr>
          <w:rFonts w:asciiTheme="majorBidi" w:hAnsiTheme="majorBidi" w:cstheme="majorBidi"/>
          <w:sz w:val="28"/>
          <w:szCs w:val="28"/>
          <w:rtl/>
        </w:rPr>
        <w:t>مرونة البنية الإدارية، وتفويض الصلاحيات</w:t>
      </w:r>
      <w:r w:rsidRPr="0027264E">
        <w:rPr>
          <w:rFonts w:asciiTheme="majorBidi" w:hAnsiTheme="majorBidi" w:cstheme="majorBidi"/>
          <w:sz w:val="28"/>
          <w:szCs w:val="28"/>
        </w:rPr>
        <w:t>.</w:t>
      </w:r>
    </w:p>
    <w:p w14:paraId="7A1C9E5B" w14:textId="77777777" w:rsidR="002E6C18" w:rsidRPr="00DC3DDE" w:rsidRDefault="002E6C18" w:rsidP="00A0551C">
      <w:pPr>
        <w:bidi/>
        <w:jc w:val="both"/>
        <w:rPr>
          <w:rFonts w:asciiTheme="majorBidi" w:hAnsiTheme="majorBidi" w:cstheme="majorBidi"/>
          <w:sz w:val="28"/>
          <w:szCs w:val="28"/>
        </w:rPr>
      </w:pPr>
      <w:r w:rsidRPr="00DC3DDE">
        <w:rPr>
          <w:rFonts w:asciiTheme="majorBidi" w:hAnsiTheme="majorBidi" w:cstheme="majorBidi"/>
          <w:sz w:val="28"/>
          <w:szCs w:val="28"/>
          <w:rtl/>
        </w:rPr>
        <w:t>في المقابل، فإن الثقافة التنظيمية ذات الطابع البيروقراطي أو السلطوي تميل إلى تقليص مساحة الإبداع بسبب الخوف من العقوبة أو ضعف الحافز</w:t>
      </w:r>
      <w:r w:rsidRPr="00DC3DDE">
        <w:rPr>
          <w:rFonts w:asciiTheme="majorBidi" w:hAnsiTheme="majorBidi" w:cstheme="majorBidi"/>
          <w:sz w:val="28"/>
          <w:szCs w:val="28"/>
        </w:rPr>
        <w:t>.</w:t>
      </w:r>
    </w:p>
    <w:p w14:paraId="36F413C0" w14:textId="77777777" w:rsidR="002E6C18" w:rsidRPr="00DC3DDE" w:rsidRDefault="002E6C18" w:rsidP="00A0551C">
      <w:pPr>
        <w:bidi/>
        <w:jc w:val="both"/>
        <w:rPr>
          <w:rFonts w:asciiTheme="majorBidi" w:hAnsiTheme="majorBidi" w:cstheme="majorBidi"/>
          <w:b/>
          <w:bCs/>
          <w:sz w:val="28"/>
          <w:szCs w:val="28"/>
        </w:rPr>
      </w:pPr>
      <w:r w:rsidRPr="00DC3DDE">
        <w:rPr>
          <w:rFonts w:asciiTheme="majorBidi" w:hAnsiTheme="majorBidi" w:cstheme="majorBidi"/>
          <w:b/>
          <w:bCs/>
          <w:sz w:val="28"/>
          <w:szCs w:val="28"/>
          <w:rtl/>
        </w:rPr>
        <w:t>ثانيًا: نظريات تفسير العلاقة</w:t>
      </w:r>
    </w:p>
    <w:p w14:paraId="4CA68EFB" w14:textId="77777777" w:rsidR="002E6C18" w:rsidRPr="00DC3DDE" w:rsidRDefault="002E6C18" w:rsidP="00A0551C">
      <w:pPr>
        <w:pStyle w:val="ListParagraph"/>
        <w:numPr>
          <w:ilvl w:val="0"/>
          <w:numId w:val="22"/>
        </w:num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نظرية المناخ النفسي </w:t>
      </w:r>
      <w:r w:rsidRPr="00DC3DDE">
        <w:rPr>
          <w:rFonts w:asciiTheme="majorBidi" w:hAnsiTheme="majorBidi" w:cstheme="majorBidi"/>
          <w:b/>
          <w:bCs/>
          <w:sz w:val="28"/>
          <w:szCs w:val="28"/>
        </w:rPr>
        <w:t>(Psychological Climate Theory)</w:t>
      </w:r>
      <w:r w:rsidRPr="00DC3DDE">
        <w:rPr>
          <w:rFonts w:asciiTheme="majorBidi" w:hAnsiTheme="majorBidi" w:cstheme="majorBidi"/>
          <w:b/>
          <w:bCs/>
          <w:sz w:val="28"/>
          <w:szCs w:val="28"/>
          <w:rtl/>
        </w:rPr>
        <w:t>:</w:t>
      </w:r>
    </w:p>
    <w:p w14:paraId="2CC8120B" w14:textId="0DB63315" w:rsidR="002E6C18" w:rsidRPr="00DC3DDE" w:rsidRDefault="002E6C18" w:rsidP="00A0551C">
      <w:pPr>
        <w:bidi/>
        <w:jc w:val="both"/>
        <w:rPr>
          <w:rFonts w:asciiTheme="majorBidi" w:hAnsiTheme="majorBidi" w:cstheme="majorBidi"/>
          <w:sz w:val="28"/>
          <w:szCs w:val="28"/>
        </w:rPr>
      </w:pPr>
      <w:r w:rsidRPr="00DC3DDE">
        <w:rPr>
          <w:rFonts w:asciiTheme="majorBidi" w:hAnsiTheme="majorBidi" w:cstheme="majorBidi"/>
          <w:sz w:val="28"/>
          <w:szCs w:val="28"/>
          <w:rtl/>
        </w:rPr>
        <w:t xml:space="preserve">تشير إلى أن الثقافة التنظيمية تُشكّل المناخ الذي يفسّر من خلاله الأفراد تجاربهم داخل المؤسسة. فالثقافة التي تدعم القيم الإبداعية تعزز من شعور الأفراد بالأمان النفسي والانفتاح، مما يُمكّنهم من التعبير عن أفكارهم دون تردد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&lt;EndNote&gt;&lt;Cite&gt;&lt;Author&gt;Isaksen&lt;/Author&gt;&lt;Year&gt;2010&lt;/Year&gt;&lt;RecNum&gt;2779&lt;/RecNum&gt;&lt;DisplayText&gt;(Isaksen and Ekvall, 2010)&lt;/DisplayText&gt;&lt;record&gt;&lt;rec-number&gt;2779&lt;/rec-number&gt;&lt;foreign-keys&gt;&lt;key app="EN" db-id="t5vttv59or5xwbe2zdm5ewrxd905arrpawff</w:instrText>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timestamp="1748385856"&gt;2779&lt;/key&gt;&lt;/foreign-keys&gt;&lt;ref-type name="Journal Article"&gt;17&lt;/ref-type&gt;&lt;contributors&gt;&lt;authors&gt;&lt;author&gt;Isaksen, Scott G&lt;/author&gt;&lt;author&gt;Ekvall, Göran&lt;/author&gt;&lt;/authors&gt;&lt;/contributors&gt;&lt;titles&gt;&lt;title&gt;Managing for innovation: The two faces of tension in creative climates&lt;/title&gt;&lt;secondary-title&gt;Creativity and innovation management&lt;/secondary-title&gt;&lt;/titles&gt;&lt;periodical&gt;&lt;full-title&gt;Creativity and Innovation Management&lt;/full-title&gt;&lt;/periodical&gt;&lt;pages&gt;73-88&lt;/pages&gt;&lt;volume&gt;19&lt;/volume&gt;&lt;number</w:instrText>
      </w:r>
      <w:r w:rsidRPr="00DC3DDE">
        <w:rPr>
          <w:rFonts w:asciiTheme="majorBidi" w:hAnsiTheme="majorBidi" w:cstheme="majorBidi"/>
          <w:sz w:val="28"/>
          <w:szCs w:val="28"/>
          <w:rtl/>
        </w:rPr>
        <w:instrText>&gt;2&lt;/</w:instrText>
      </w:r>
      <w:r w:rsidRPr="00DC3DDE">
        <w:rPr>
          <w:rFonts w:asciiTheme="majorBidi" w:hAnsiTheme="majorBidi" w:cstheme="majorBidi"/>
          <w:sz w:val="28"/>
          <w:szCs w:val="28"/>
        </w:rPr>
        <w:instrText>number&gt;&lt;dates&gt;&lt;year&gt;2010&lt;/year&gt;&lt;/dates&gt;&lt;isbn&gt;0963-1690&lt;/isbn&gt;&lt;urls&gt;&lt;/urls&gt;&lt;/record&gt;&lt;/Cite&gt;&lt;/EndNote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Isaksen and Ekvall, 2010</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12690831" w14:textId="77777777" w:rsidR="002E6C18" w:rsidRPr="00DC3DDE" w:rsidRDefault="002E6C18" w:rsidP="00A0551C">
      <w:pPr>
        <w:pStyle w:val="ListParagraph"/>
        <w:numPr>
          <w:ilvl w:val="0"/>
          <w:numId w:val="22"/>
        </w:numPr>
        <w:bidi/>
        <w:jc w:val="both"/>
        <w:rPr>
          <w:rFonts w:asciiTheme="majorBidi" w:hAnsiTheme="majorBidi" w:cstheme="majorBidi"/>
          <w:b/>
          <w:bCs/>
          <w:sz w:val="28"/>
          <w:szCs w:val="28"/>
        </w:rPr>
      </w:pPr>
      <w:r w:rsidRPr="00DC3DDE">
        <w:rPr>
          <w:rFonts w:asciiTheme="majorBidi" w:hAnsiTheme="majorBidi" w:cstheme="majorBidi"/>
          <w:b/>
          <w:bCs/>
          <w:sz w:val="28"/>
          <w:szCs w:val="28"/>
          <w:rtl/>
        </w:rPr>
        <w:t xml:space="preserve">نظرية المطابقة الثقافية </w:t>
      </w:r>
      <w:r w:rsidRPr="00DC3DDE">
        <w:rPr>
          <w:rFonts w:asciiTheme="majorBidi" w:hAnsiTheme="majorBidi" w:cstheme="majorBidi"/>
          <w:b/>
          <w:bCs/>
          <w:sz w:val="28"/>
          <w:szCs w:val="28"/>
        </w:rPr>
        <w:t>(Cultural Fit)</w:t>
      </w:r>
      <w:r w:rsidRPr="00DC3DDE">
        <w:rPr>
          <w:rFonts w:asciiTheme="majorBidi" w:hAnsiTheme="majorBidi" w:cstheme="majorBidi"/>
          <w:b/>
          <w:bCs/>
          <w:sz w:val="28"/>
          <w:szCs w:val="28"/>
          <w:rtl/>
        </w:rPr>
        <w:t>:</w:t>
      </w:r>
    </w:p>
    <w:p w14:paraId="626BEB42" w14:textId="01B14484" w:rsidR="002E6C18" w:rsidRPr="00DC3DDE" w:rsidRDefault="002E6C18" w:rsidP="00A0551C">
      <w:pPr>
        <w:bidi/>
        <w:jc w:val="both"/>
        <w:rPr>
          <w:rFonts w:asciiTheme="majorBidi" w:hAnsiTheme="majorBidi" w:cstheme="majorBidi"/>
          <w:sz w:val="28"/>
          <w:szCs w:val="28"/>
        </w:rPr>
      </w:pPr>
      <w:r w:rsidRPr="00DC3DDE">
        <w:rPr>
          <w:rFonts w:asciiTheme="majorBidi" w:hAnsiTheme="majorBidi" w:cstheme="majorBidi"/>
          <w:sz w:val="28"/>
          <w:szCs w:val="28"/>
          <w:rtl/>
        </w:rPr>
        <w:lastRenderedPageBreak/>
        <w:t xml:space="preserve">تفترض هذه النظرية أن تطابق قيم الموظف مع الثقافة التنظيمية يؤدي إلى مزيد من الالتزام والسلوك الإبداعي. الموظفون الذين يشعرون بتوافق قيمي مع مؤسستهم يكونون أكثر استعدادًا لبذل جهد ابتكاري يفوق المتوقع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&lt;EndNote&gt;&lt;Cite&gt;&lt;Author&gt;Kristof‐Brown&lt;/Author&gt;&lt;Year&gt;2005&lt;/Year&gt;&lt;RecNum&gt;1294&lt;/RecNum&gt;&lt;DisplayText&gt;(Kristof‐Brown et al., 2005)&lt;/DisplayText&gt;&lt;record&gt;&lt;rec-number&gt;1294&lt;/rec-number&gt;&lt;foreign-keys&gt;&lt;key app="EN" db-id="t5vttv59or5xwbe2zdm5ewrxd905arrpawff" timestamp="1730309668"&gt;1294&lt;/key&gt;&lt;/foreign-keys&gt;&lt;ref-type name="Journal Article"&gt;17&lt;/ref-type&gt;&lt;contributors&gt;&lt;authors&gt;&lt;author&gt;Kristof‐Brown, Amy L&lt;/author&gt;&lt;author&gt;Zimmerman, Ryan D&lt;/author&gt;&lt;author&gt;Johnson, Erin C&lt;/author&gt;&lt;/authors&gt;&lt;/contributors&gt;&lt;titles&gt;&lt;title&gt;Consequences OF INDIVIDUALS&amp;apos;FIT at work: A meta‐analysis OF person–job, person–organization, person–group, and person–supervisor fit&lt;/title&gt;&lt;secondary-title&gt;Personnel psychology&lt;/secondary-title&gt;&lt;/titles&gt;&lt;periodical&gt;&lt;full-title&gt;Personnel</w:instrText>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psychology&lt;/full-title&gt;&lt;/periodical&gt;&lt;pages&gt;281-342&lt;/pages&gt;&lt;volume&gt;58&lt;/volume&gt;&lt;number&gt;2&lt;/number&gt;&lt;dates&gt;&lt;year&gt;2005&lt;/year&gt;&lt;/dates&gt;&lt;isbn&gt;0031-5826&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Kristof‐Brown et al., 2005</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612D2A4D" w14:textId="77777777" w:rsidR="002E6C18" w:rsidRPr="00DC3DDE" w:rsidRDefault="002E6C18" w:rsidP="00A0551C">
      <w:pPr>
        <w:bidi/>
        <w:jc w:val="both"/>
        <w:rPr>
          <w:rFonts w:asciiTheme="majorBidi" w:hAnsiTheme="majorBidi" w:cstheme="majorBidi"/>
          <w:b/>
          <w:bCs/>
          <w:sz w:val="28"/>
          <w:szCs w:val="28"/>
        </w:rPr>
      </w:pPr>
      <w:r w:rsidRPr="00DC3DDE">
        <w:rPr>
          <w:rFonts w:asciiTheme="majorBidi" w:hAnsiTheme="majorBidi" w:cstheme="majorBidi"/>
          <w:b/>
          <w:bCs/>
          <w:sz w:val="28"/>
          <w:szCs w:val="28"/>
          <w:rtl/>
        </w:rPr>
        <w:t>ثالثًا: الثقافة كعامل وسيط بين الإدارة والإبداع</w:t>
      </w:r>
    </w:p>
    <w:p w14:paraId="1CBCB852" w14:textId="479F8527" w:rsidR="002E6C18" w:rsidRPr="00DC3DDE" w:rsidRDefault="002E6C18" w:rsidP="00A0551C">
      <w:pPr>
        <w:bidi/>
        <w:jc w:val="both"/>
        <w:rPr>
          <w:rFonts w:asciiTheme="majorBidi" w:hAnsiTheme="majorBidi" w:cstheme="majorBidi"/>
          <w:sz w:val="28"/>
          <w:szCs w:val="28"/>
        </w:rPr>
      </w:pPr>
      <w:r w:rsidRPr="00DC3DDE">
        <w:rPr>
          <w:rFonts w:asciiTheme="majorBidi" w:hAnsiTheme="majorBidi" w:cstheme="majorBidi"/>
          <w:sz w:val="28"/>
          <w:szCs w:val="28"/>
          <w:rtl/>
        </w:rPr>
        <w:t>تتجاوز الثقافة التنظيمية كون</w:t>
      </w:r>
      <w:r w:rsidRPr="00611E7E">
        <w:rPr>
          <w:rFonts w:asciiTheme="majorBidi" w:hAnsiTheme="majorBidi" w:cstheme="majorBidi"/>
          <w:sz w:val="28"/>
          <w:szCs w:val="28"/>
          <w:rtl/>
        </w:rPr>
        <w:t xml:space="preserve">ها بيئة خارجية إلى كونها متغيرًا وسيطًا يفسر كيف تؤثر ممارسات الإدارة – كأنظمة العمل عالية الأداء </w:t>
      </w:r>
      <w:r w:rsidRPr="00DC3DDE">
        <w:rPr>
          <w:rFonts w:asciiTheme="majorBidi" w:hAnsiTheme="majorBidi" w:cstheme="majorBidi"/>
          <w:sz w:val="28"/>
          <w:szCs w:val="28"/>
          <w:rtl/>
        </w:rPr>
        <w:t xml:space="preserve">– في نتائج مثل الإبداع. فعلى سبيل المثال، لا تؤدي برامج التدريب إلى الإبداع إلا إذا كانت الثقافة تشجع الموظفين على تطبيق ما يتعلمونه بحرية وابتكار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&lt;EndNote&gt;&lt;Cite&gt;&lt;Author&gt;Zhou&lt;/Author&gt;&lt;Year&gt;2001&lt;/Year&gt;&lt;RecNum&gt;2780&lt;/RecNum&gt;&lt;DisplayText&gt;(Zhou and George, 2001)&lt;/DisplayText&gt;&lt;record&gt;&lt;rec-number&gt;2780&lt;/rec-number&gt;&lt;foreign-keys&gt;&lt;key app="EN" db-id="t5vttv59or5xwbe2zdm5ewrxd905arrpawff" timestamp="1748385950"&gt;2780&lt;/key&gt;&lt;/foreign-keys&gt;&lt;ref-type name="Journal Article"&gt;17&lt;/ref-type&gt;&lt;contributors&gt;&lt;authors&gt;&lt;author&gt;Zhou, Jing&lt;/author&gt;&lt;author&gt;George, Jennifer M&lt;/author&gt;&lt;/authors&gt;&lt;/contributors&gt;&lt;titles&gt;&lt;title&gt;When job dissatisfaction leads to creativity: Encouraging the expression of voice&lt;/title&gt;&lt;secondary-title&gt;Academy of Management journal&lt;/secondary-title&gt;&lt;/titles&gt;&lt;periodical&gt;&lt;full-title&gt;Academy of management journal&lt;/full-title&gt;&lt;/periodical&gt;&lt;pages&gt;682-696&lt;/pages&gt;&lt;volume&gt;44&lt;/volume&gt;&lt;number&gt;4&lt;/number&gt;&lt;dates&gt;&lt;year&gt;2001&lt;/year&gt;&lt;/dates&gt;&lt;isbn&gt;0001-4273&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Zhou and George, 2001</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0EF7EE4B" w14:textId="77777777" w:rsidR="002E6C18" w:rsidRPr="00DC3DDE" w:rsidRDefault="002E6C18" w:rsidP="00A0551C">
      <w:pPr>
        <w:bidi/>
        <w:jc w:val="both"/>
        <w:rPr>
          <w:rFonts w:asciiTheme="majorBidi" w:hAnsiTheme="majorBidi" w:cstheme="majorBidi"/>
          <w:sz w:val="28"/>
          <w:szCs w:val="28"/>
        </w:rPr>
      </w:pPr>
      <w:r w:rsidRPr="00DC3DDE">
        <w:rPr>
          <w:rFonts w:asciiTheme="majorBidi" w:hAnsiTheme="majorBidi" w:cstheme="majorBidi"/>
          <w:sz w:val="28"/>
          <w:szCs w:val="28"/>
          <w:rtl/>
        </w:rPr>
        <w:t>وفي هذا السياق، تُسهم هذه الدراسة في تحليل كيف تُفعِّل الثقافة التنظيمية أثر</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على الإبداع الوظيفي، خاصة في القطاعات الخدمية كثيفة التفاعل مع العملاء مثل الضيافة</w:t>
      </w:r>
      <w:r w:rsidRPr="00DC3DDE">
        <w:rPr>
          <w:rFonts w:asciiTheme="majorBidi" w:hAnsiTheme="majorBidi" w:cstheme="majorBidi"/>
          <w:sz w:val="28"/>
          <w:szCs w:val="28"/>
        </w:rPr>
        <w:t>.</w:t>
      </w:r>
    </w:p>
    <w:p w14:paraId="587D782E" w14:textId="77777777" w:rsidR="002E6C18" w:rsidRPr="00DC3DDE" w:rsidRDefault="002E6C18" w:rsidP="00A0551C">
      <w:pPr>
        <w:bidi/>
        <w:jc w:val="both"/>
        <w:rPr>
          <w:rFonts w:asciiTheme="majorBidi" w:hAnsiTheme="majorBidi" w:cstheme="majorBidi"/>
          <w:b/>
          <w:bCs/>
          <w:sz w:val="28"/>
          <w:szCs w:val="28"/>
        </w:rPr>
      </w:pPr>
      <w:r w:rsidRPr="00DC3DDE">
        <w:rPr>
          <w:rFonts w:asciiTheme="majorBidi" w:hAnsiTheme="majorBidi" w:cstheme="majorBidi"/>
          <w:b/>
          <w:bCs/>
          <w:sz w:val="28"/>
          <w:szCs w:val="28"/>
          <w:rtl/>
        </w:rPr>
        <w:t>رابعًا: الأدلة التجريبية</w:t>
      </w:r>
    </w:p>
    <w:p w14:paraId="60785ABF" w14:textId="2F7F6E3F" w:rsidR="002E6C18" w:rsidRPr="002D7391" w:rsidRDefault="002E6C18" w:rsidP="00A0551C">
      <w:pPr>
        <w:bidi/>
        <w:jc w:val="both"/>
        <w:rPr>
          <w:rFonts w:asciiTheme="majorBidi" w:hAnsiTheme="majorBidi" w:cstheme="majorBidi"/>
          <w:sz w:val="28"/>
          <w:szCs w:val="28"/>
        </w:rPr>
      </w:pPr>
      <w:r w:rsidRPr="002D7391">
        <w:rPr>
          <w:rFonts w:asciiTheme="majorBidi" w:hAnsiTheme="majorBidi" w:cstheme="majorBidi"/>
          <w:sz w:val="28"/>
          <w:szCs w:val="28"/>
          <w:rtl/>
        </w:rPr>
        <w:t xml:space="preserve">أظهرت </w:t>
      </w:r>
      <w:r w:rsidRPr="002D7391">
        <w:rPr>
          <w:rFonts w:asciiTheme="majorBidi" w:hAnsiTheme="majorBidi" w:cstheme="majorBidi"/>
          <w:sz w:val="28"/>
          <w:szCs w:val="28"/>
        </w:rPr>
        <w:t>Cameron &amp; Quinn (2011)</w:t>
      </w:r>
      <w:r w:rsidRPr="002D7391">
        <w:rPr>
          <w:rFonts w:asciiTheme="majorBidi" w:hAnsiTheme="majorBidi" w:cstheme="majorBidi"/>
          <w:sz w:val="28"/>
          <w:szCs w:val="28"/>
          <w:rtl/>
        </w:rPr>
        <w:t xml:space="preserve"> أن ثقافة "القبيلة</w:t>
      </w:r>
      <w:r w:rsidRPr="002D7391">
        <w:rPr>
          <w:rFonts w:asciiTheme="majorBidi" w:hAnsiTheme="majorBidi" w:cstheme="majorBidi"/>
          <w:sz w:val="28"/>
          <w:szCs w:val="28"/>
        </w:rPr>
        <w:t>"</w:t>
      </w:r>
      <w:r w:rsidRPr="002D7391">
        <w:rPr>
          <w:rFonts w:asciiTheme="majorBidi" w:hAnsiTheme="majorBidi" w:cstheme="majorBidi"/>
          <w:sz w:val="28"/>
          <w:szCs w:val="28"/>
          <w:rtl/>
        </w:rPr>
        <w:t xml:space="preserve"> </w:t>
      </w:r>
      <w:r w:rsidRPr="002D7391">
        <w:rPr>
          <w:rFonts w:asciiTheme="majorBidi" w:hAnsiTheme="majorBidi" w:cstheme="majorBidi"/>
          <w:sz w:val="28"/>
          <w:szCs w:val="28"/>
        </w:rPr>
        <w:t>(Clan Culture)</w:t>
      </w:r>
      <w:r w:rsidRPr="002D7391">
        <w:rPr>
          <w:rFonts w:asciiTheme="majorBidi" w:hAnsiTheme="majorBidi" w:cstheme="majorBidi"/>
          <w:sz w:val="28"/>
          <w:szCs w:val="28"/>
          <w:rtl/>
        </w:rPr>
        <w:t xml:space="preserve"> و"ثقافة </w:t>
      </w:r>
      <w:proofErr w:type="spellStart"/>
      <w:r w:rsidRPr="002D7391">
        <w:rPr>
          <w:rFonts w:asciiTheme="majorBidi" w:hAnsiTheme="majorBidi" w:cstheme="majorBidi"/>
          <w:sz w:val="28"/>
          <w:szCs w:val="28"/>
          <w:rtl/>
        </w:rPr>
        <w:t>الأدهوكراسية</w:t>
      </w:r>
      <w:proofErr w:type="spellEnd"/>
      <w:r w:rsidRPr="002D7391">
        <w:rPr>
          <w:rFonts w:asciiTheme="majorBidi" w:hAnsiTheme="majorBidi" w:cstheme="majorBidi"/>
          <w:sz w:val="28"/>
          <w:szCs w:val="28"/>
        </w:rPr>
        <w:t>"</w:t>
      </w:r>
      <w:r w:rsidRPr="002D7391">
        <w:rPr>
          <w:rFonts w:asciiTheme="majorBidi" w:hAnsiTheme="majorBidi" w:cstheme="majorBidi"/>
          <w:sz w:val="28"/>
          <w:szCs w:val="28"/>
          <w:rtl/>
        </w:rPr>
        <w:t xml:space="preserve"> </w:t>
      </w:r>
      <w:r w:rsidRPr="002D7391">
        <w:rPr>
          <w:rFonts w:asciiTheme="majorBidi" w:hAnsiTheme="majorBidi" w:cstheme="majorBidi"/>
          <w:sz w:val="28"/>
          <w:szCs w:val="28"/>
        </w:rPr>
        <w:t>(Adhocracy Culture)</w:t>
      </w:r>
      <w:r w:rsidRPr="002D7391">
        <w:rPr>
          <w:rFonts w:asciiTheme="majorBidi" w:hAnsiTheme="majorBidi" w:cstheme="majorBidi"/>
          <w:sz w:val="28"/>
          <w:szCs w:val="28"/>
          <w:rtl/>
        </w:rPr>
        <w:t xml:space="preserve"> ترتبط ارتباطًا إيجابيًا بسلوكيات الإبداع، نظرًا لتركيزها على التعاون، التمكين، والانفتاح على التغيير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&lt;EndNote&gt;&lt;Cite&gt;&lt;Author&gt;Cameron&lt;/Author&gt;&lt;Year&gt;2011&lt;/Year&gt;&lt;RecNum&gt;2781&lt;/RecNum&gt;&lt;DisplayText&gt;(Cameron and Quinn, 2011)&lt;/DisplayText&gt;&lt;record&gt;&lt;rec-number&gt;2781&lt;/rec-number&gt;&lt;foreign-keys&gt;&lt;key app="EN" db-id="t5vttv59or5xwbe2zdm5ewrxd905arrpawff" timestamp="1748386171"&gt;2781&lt;/key&gt;&lt;/foreign-keys&gt;&lt;ref-type name="Book"&gt;6&lt;/ref-type&gt;&lt;contributors&gt;&lt;authors&gt;&lt;author&gt;Cameron, K.S.&lt;/author&gt;&lt;author&gt;Quinn, R.E.&lt;/author&gt;&lt;/authors&gt;&lt;/contributors&gt;&lt;titles&gt;&lt;title&gt;Diagnosing and Changing Organizational Culture: Based</w:instrText>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Pr="002D7391">
        <w:rPr>
          <w:rFonts w:asciiTheme="majorBidi" w:hAnsiTheme="majorBidi" w:cstheme="majorBidi"/>
          <w:sz w:val="28"/>
          <w:szCs w:val="28"/>
          <w:rtl/>
        </w:rPr>
        <w:instrText>&gt;&lt;/</w:instrText>
      </w:r>
      <w:r w:rsidRPr="002D7391">
        <w:rPr>
          <w:rFonts w:asciiTheme="majorBidi" w:hAnsiTheme="majorBidi" w:cstheme="majorBidi"/>
          <w:sz w:val="28"/>
          <w:szCs w:val="28"/>
        </w:rPr>
        <w:instrTex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Cameron and Quinn, 2011</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2D7391">
        <w:rPr>
          <w:rFonts w:asciiTheme="majorBidi" w:hAnsiTheme="majorBidi" w:cstheme="majorBidi"/>
          <w:sz w:val="28"/>
          <w:szCs w:val="28"/>
          <w:rtl/>
        </w:rPr>
        <w:t xml:space="preserve">. كما وجدت دراسة </w:t>
      </w:r>
      <w:r w:rsidRPr="002D7391">
        <w:rPr>
          <w:rFonts w:asciiTheme="majorBidi" w:hAnsiTheme="majorBidi" w:cstheme="majorBidi"/>
          <w:sz w:val="28"/>
          <w:szCs w:val="28"/>
        </w:rPr>
        <w:t>Chang &amp; Lee (2007)</w:t>
      </w:r>
      <w:r w:rsidRPr="002D7391">
        <w:rPr>
          <w:rFonts w:asciiTheme="majorBidi" w:hAnsiTheme="majorBidi" w:cstheme="majorBidi"/>
          <w:sz w:val="28"/>
          <w:szCs w:val="28"/>
          <w:rtl/>
        </w:rPr>
        <w:t xml:space="preserve"> أن الثقافة التنظيمية المرنة والمتجددة تُعد من أهم محددات الإبداع لدى الموظفين في المؤسسات الخدمية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&lt;EndNote&gt;&lt;Cite&gt;&lt;Author&gt;Chang&lt;/Author&gt;&lt;Year&gt;2007&lt;/Year&gt;&lt;RecNum&gt;2782&lt;/RecNum&gt;&lt;DisplayText&gt;(Chang and Lee, 2007)&lt;/DisplayText&gt;&lt;record&gt;&lt;rec-number&gt;2782&lt;/rec-number&gt;&lt;foreign-keys&gt;&lt;key app="EN" db-id="t5vttv59or5xwbe2zdm5ewrxd905arrpawff" timestamp="1748386243"&gt;2782&lt;/key&gt;&lt;/foreign-keys&gt;&lt;ref-type name="Journal Article"&gt;17&lt;/ref-type&gt;&lt;contributors&gt;&lt;authors&gt;&lt;author&gt;Chang, Su‐Chao&lt;/author&gt;&lt;author&gt;Lee, Ming‐Shing&lt;/author&gt;&lt;/authors&gt;&lt;/contributors&gt;&lt;titles&gt;&lt;title&gt;A study on relationship among leadership</w:instrText>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organizational culture, the operation of learning organization and employees&amp;apos; job satisfaction&lt;/title&gt;&lt;secondary-title&gt;The learning organization&lt;/secondary-title&gt;&lt;/titles&gt;&lt;periodical&gt;&lt;full-title&gt;The learning organization&lt;/full-title&gt;&lt;/periodical&gt;&lt;pages&gt;155-185&lt;/pages&gt;&lt;volume&gt;14&lt;/volume&gt;&lt;number&gt;2&lt;/number&gt;&lt;dates&gt;&lt;year&gt;2007&lt;/year&gt;&lt;/dates&gt;&lt;isbn&gt;0969-6474&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Chang and Lee, 2007</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2D7391">
        <w:rPr>
          <w:rFonts w:asciiTheme="majorBidi" w:hAnsiTheme="majorBidi" w:cstheme="majorBidi"/>
          <w:sz w:val="28"/>
          <w:szCs w:val="28"/>
          <w:rtl/>
        </w:rPr>
        <w:t>.</w:t>
      </w:r>
    </w:p>
    <w:p w14:paraId="043E29A8" w14:textId="1A3745D6" w:rsidR="002E6C18" w:rsidRPr="002D7391" w:rsidRDefault="002E6C18" w:rsidP="00A0551C">
      <w:pPr>
        <w:bidi/>
        <w:jc w:val="both"/>
        <w:rPr>
          <w:rFonts w:asciiTheme="majorBidi" w:hAnsiTheme="majorBidi" w:cstheme="majorBidi"/>
          <w:sz w:val="28"/>
          <w:szCs w:val="28"/>
        </w:rPr>
      </w:pPr>
      <w:r w:rsidRPr="002D7391">
        <w:rPr>
          <w:rFonts w:asciiTheme="majorBidi" w:hAnsiTheme="majorBidi" w:cstheme="majorBidi"/>
          <w:sz w:val="28"/>
          <w:szCs w:val="28"/>
          <w:rtl/>
        </w:rPr>
        <w:t xml:space="preserve">أما في السياق العربي، فقد كشفت دراسة </w:t>
      </w:r>
      <w:proofErr w:type="spellStart"/>
      <w:r w:rsidRPr="002D7391">
        <w:rPr>
          <w:rFonts w:asciiTheme="majorBidi" w:hAnsiTheme="majorBidi" w:cstheme="majorBidi"/>
          <w:sz w:val="28"/>
          <w:szCs w:val="28"/>
          <w:rtl/>
        </w:rPr>
        <w:t>بلكبير</w:t>
      </w:r>
      <w:proofErr w:type="spellEnd"/>
      <w:r w:rsidRPr="002D7391">
        <w:rPr>
          <w:rFonts w:asciiTheme="majorBidi" w:hAnsiTheme="majorBidi" w:cstheme="majorBidi"/>
          <w:sz w:val="28"/>
          <w:szCs w:val="28"/>
          <w:rtl/>
        </w:rPr>
        <w:t xml:space="preserve"> 2013 عن وجود علاقة إيجابية بين الثقافة التنظيمية التمكينية والإبداع في بيئة العمل السعودية، خاصة في المؤسسات التي تعزز الثقة وتشارك السلطة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w:instrText>
      </w:r>
      <w:r w:rsidRPr="002D7391">
        <w:rPr>
          <w:rFonts w:asciiTheme="majorBidi" w:hAnsiTheme="majorBidi" w:cstheme="majorBidi"/>
          <w:sz w:val="28"/>
          <w:szCs w:val="28"/>
          <w:rtl/>
        </w:rPr>
        <w:instrText>&gt;بلكبير&lt;/</w:instrText>
      </w:r>
      <w:r w:rsidRPr="002D7391">
        <w:rPr>
          <w:rFonts w:asciiTheme="majorBidi" w:hAnsiTheme="majorBidi" w:cstheme="majorBidi"/>
          <w:sz w:val="28"/>
          <w:szCs w:val="28"/>
        </w:rPr>
        <w:instrText>Author&gt;&lt;Year&gt;2013&lt;/Year&gt;&lt;RecNum&gt;2783&lt;/RecNum&gt;&lt;DisplayText</w:instrText>
      </w:r>
      <w:r w:rsidRPr="002D7391">
        <w:rPr>
          <w:rFonts w:asciiTheme="majorBidi" w:hAnsiTheme="majorBidi" w:cstheme="majorBidi"/>
          <w:sz w:val="28"/>
          <w:szCs w:val="28"/>
          <w:rtl/>
        </w:rPr>
        <w:instrText xml:space="preserve">&gt;(بلكبير </w:instrText>
      </w:r>
      <w:r w:rsidRPr="002D7391">
        <w:rPr>
          <w:rFonts w:asciiTheme="majorBidi" w:hAnsiTheme="majorBidi" w:cstheme="majorBidi"/>
          <w:sz w:val="28"/>
          <w:szCs w:val="28"/>
        </w:rPr>
        <w:instrText>and</w:instrText>
      </w:r>
      <w:r w:rsidRPr="002D7391">
        <w:rPr>
          <w:rFonts w:asciiTheme="majorBidi" w:hAnsiTheme="majorBidi" w:cstheme="majorBidi"/>
          <w:sz w:val="28"/>
          <w:szCs w:val="28"/>
          <w:rtl/>
        </w:rPr>
        <w:instrText xml:space="preserve"> مدين, 2013)&lt;/</w:instrText>
      </w:r>
      <w:r w:rsidRPr="002D7391">
        <w:rPr>
          <w:rFonts w:asciiTheme="majorBidi" w:hAnsiTheme="majorBidi" w:cstheme="majorBidi"/>
          <w:sz w:val="28"/>
          <w:szCs w:val="28"/>
        </w:rPr>
        <w:instrText>DisplayText&gt;&lt;record&gt;&lt;rec-number&gt;2783&lt;/rec-number&gt;&lt;foreign-keys&gt;&lt;key app="EN" db-id="t5vttv59or5xwbe2zdm5ewrxd905arrpawff" timestamp="1748386400"&gt;2783&lt;/key&gt;&lt;/foreign-keys&gt;&lt;ref-type name="Journal Article"&gt;17&lt;/ref-type&gt;&lt;contributors&gt;&lt;authors&gt;&lt;author</w:instrText>
      </w:r>
      <w:r w:rsidRPr="002D7391">
        <w:rPr>
          <w:rFonts w:asciiTheme="majorBidi" w:hAnsiTheme="majorBidi" w:cstheme="majorBidi"/>
          <w:sz w:val="28"/>
          <w:szCs w:val="28"/>
          <w:rtl/>
        </w:rPr>
        <w:instrText>&gt;بلكبير&lt;/</w:instrText>
      </w:r>
      <w:r w:rsidRPr="002D7391">
        <w:rPr>
          <w:rFonts w:asciiTheme="majorBidi" w:hAnsiTheme="majorBidi" w:cstheme="majorBidi"/>
          <w:sz w:val="28"/>
          <w:szCs w:val="28"/>
        </w:rPr>
        <w:instrText>author&gt;&lt;author</w:instrText>
      </w:r>
      <w:r w:rsidRPr="002D7391">
        <w:rPr>
          <w:rFonts w:asciiTheme="majorBidi" w:hAnsiTheme="majorBidi" w:cstheme="majorBidi"/>
          <w:sz w:val="28"/>
          <w:szCs w:val="28"/>
          <w:rtl/>
        </w:rPr>
        <w:instrText>&gt;مدين&lt;/</w:instrText>
      </w:r>
      <w:r w:rsidRPr="002D7391">
        <w:rPr>
          <w:rFonts w:asciiTheme="majorBidi" w:hAnsiTheme="majorBidi" w:cstheme="majorBidi"/>
          <w:sz w:val="28"/>
          <w:szCs w:val="28"/>
        </w:rPr>
        <w:instrText>author&gt;&lt;/authors&gt;&lt;/contributors&gt;&lt;titles&gt;&lt;title</w:instrText>
      </w:r>
      <w:r w:rsidRPr="002D7391">
        <w:rPr>
          <w:rFonts w:asciiTheme="majorBidi" w:hAnsiTheme="majorBidi" w:cstheme="majorBidi"/>
          <w:sz w:val="28"/>
          <w:szCs w:val="28"/>
          <w:rtl/>
        </w:rPr>
        <w:instrText>&gt;أهمية الثقافة التنظيمية في تحقيق الابتكار وتحسين مستويات الأداء في المؤسسات: إطار تحليلي لمجموعة من الدراسات السابقة&lt;/</w:instrText>
      </w:r>
      <w:r w:rsidRPr="002D7391">
        <w:rPr>
          <w:rFonts w:asciiTheme="majorBidi" w:hAnsiTheme="majorBidi" w:cstheme="majorBidi"/>
          <w:sz w:val="28"/>
          <w:szCs w:val="28"/>
        </w:rPr>
        <w:instrText>title&gt;&lt;secondary-title</w:instrText>
      </w:r>
      <w:r w:rsidRPr="002D7391">
        <w:rPr>
          <w:rFonts w:asciiTheme="majorBidi" w:hAnsiTheme="majorBidi" w:cstheme="majorBidi"/>
          <w:sz w:val="28"/>
          <w:szCs w:val="28"/>
          <w:rtl/>
        </w:rPr>
        <w:instrText>&gt;حوليات جامعة قالمة للعلوم الاجتماعية والإنسانية&lt;/</w:instrText>
      </w:r>
      <w:r w:rsidRPr="002D7391">
        <w:rPr>
          <w:rFonts w:asciiTheme="majorBidi" w:hAnsiTheme="majorBidi" w:cstheme="majorBidi"/>
          <w:sz w:val="28"/>
          <w:szCs w:val="28"/>
        </w:rPr>
        <w:instrText>secondary-title&gt;&lt;/titles&gt;&lt;periodical&gt;&lt;full-title</w:instrText>
      </w:r>
      <w:r w:rsidRPr="002D7391">
        <w:rPr>
          <w:rFonts w:asciiTheme="majorBidi" w:hAnsiTheme="majorBidi" w:cstheme="majorBidi"/>
          <w:sz w:val="28"/>
          <w:szCs w:val="28"/>
          <w:rtl/>
        </w:rPr>
        <w:instrText>&gt;حوليات جامعة قالمة للعلوم الاجتماعية والإنسانية&lt;/</w:instrText>
      </w:r>
      <w:r w:rsidRPr="002D7391">
        <w:rPr>
          <w:rFonts w:asciiTheme="majorBidi" w:hAnsiTheme="majorBidi" w:cstheme="majorBidi"/>
          <w:sz w:val="28"/>
          <w:szCs w:val="28"/>
        </w:rPr>
        <w:instrText>full-title&gt;&lt;/periodical</w:instrText>
      </w:r>
      <w:r w:rsidRPr="002D7391">
        <w:rPr>
          <w:rFonts w:asciiTheme="majorBidi" w:hAnsiTheme="majorBidi" w:cstheme="majorBidi"/>
          <w:sz w:val="28"/>
          <w:szCs w:val="28"/>
          <w:rtl/>
        </w:rPr>
        <w:instrText>&gt;&lt;</w:instrText>
      </w:r>
      <w:r w:rsidRPr="002D7391">
        <w:rPr>
          <w:rFonts w:asciiTheme="majorBidi" w:hAnsiTheme="majorBidi" w:cstheme="majorBidi"/>
          <w:sz w:val="28"/>
          <w:szCs w:val="28"/>
        </w:rPr>
        <w:instrText>pages&gt;255-274&lt;/pages&gt;&lt;volume&gt;7&lt;/volume&gt;&lt;number&gt;1&lt;/number&gt;&lt;dates&gt;&lt;year&gt;2013&lt;/year&gt;&lt;/dates&gt;&lt;isbn&gt;2602-5361&lt;/isbn&gt;&lt;urls&gt;&lt;/urls&gt;&lt;/record&gt;&lt;/Cite&gt;&lt;/EndNote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 xml:space="preserve">(بلكبير </w:t>
      </w:r>
      <w:r w:rsidRPr="002D7391">
        <w:rPr>
          <w:rFonts w:asciiTheme="majorBidi" w:hAnsiTheme="majorBidi" w:cstheme="majorBidi"/>
          <w:noProof/>
          <w:sz w:val="28"/>
          <w:szCs w:val="28"/>
        </w:rPr>
        <w:t>and</w:t>
      </w:r>
      <w:r w:rsidRPr="002D7391">
        <w:rPr>
          <w:rFonts w:asciiTheme="majorBidi" w:hAnsiTheme="majorBidi" w:cstheme="majorBidi"/>
          <w:noProof/>
          <w:sz w:val="28"/>
          <w:szCs w:val="28"/>
          <w:rtl/>
        </w:rPr>
        <w:t xml:space="preserve"> مدين, 2013)</w:t>
      </w:r>
      <w:r w:rsidRPr="002D7391">
        <w:rPr>
          <w:rFonts w:asciiTheme="majorBidi" w:hAnsiTheme="majorBidi" w:cstheme="majorBidi"/>
          <w:sz w:val="28"/>
          <w:szCs w:val="28"/>
          <w:rtl/>
        </w:rPr>
        <w:fldChar w:fldCharType="end"/>
      </w:r>
      <w:r w:rsidRPr="002D7391">
        <w:rPr>
          <w:rFonts w:asciiTheme="majorBidi" w:hAnsiTheme="majorBidi" w:cstheme="majorBidi"/>
          <w:sz w:val="28"/>
          <w:szCs w:val="28"/>
          <w:rtl/>
        </w:rPr>
        <w:t>.</w:t>
      </w:r>
    </w:p>
    <w:p w14:paraId="210A8535" w14:textId="77777777" w:rsidR="002E6C18" w:rsidRPr="00DC3DDE" w:rsidRDefault="002E6C18" w:rsidP="002E6C18">
      <w:pPr>
        <w:pStyle w:val="ListParagraph"/>
        <w:numPr>
          <w:ilvl w:val="2"/>
          <w:numId w:val="22"/>
        </w:numPr>
        <w:bidi/>
        <w:rPr>
          <w:rFonts w:asciiTheme="majorBidi" w:hAnsiTheme="majorBidi" w:cstheme="majorBidi"/>
          <w:b/>
          <w:bCs/>
          <w:sz w:val="28"/>
          <w:szCs w:val="28"/>
        </w:rPr>
      </w:pPr>
      <w:r w:rsidRPr="00DC3DDE">
        <w:rPr>
          <w:rFonts w:asciiTheme="majorBidi" w:hAnsiTheme="majorBidi" w:cstheme="majorBidi"/>
          <w:b/>
          <w:bCs/>
          <w:sz w:val="28"/>
          <w:szCs w:val="28"/>
          <w:rtl/>
        </w:rPr>
        <w:t xml:space="preserve"> أثر نوع القطاع على العلاقة بين</w:t>
      </w:r>
      <w:r w:rsidRPr="00DC3DDE">
        <w:rPr>
          <w:rFonts w:asciiTheme="majorBidi" w:hAnsiTheme="majorBidi" w:cstheme="majorBidi"/>
          <w:b/>
          <w:bCs/>
          <w:sz w:val="28"/>
          <w:szCs w:val="28"/>
        </w:rPr>
        <w:t xml:space="preserve"> HPWS </w:t>
      </w:r>
      <w:r w:rsidRPr="00DC3DDE">
        <w:rPr>
          <w:rFonts w:asciiTheme="majorBidi" w:hAnsiTheme="majorBidi" w:cstheme="majorBidi"/>
          <w:b/>
          <w:bCs/>
          <w:sz w:val="28"/>
          <w:szCs w:val="28"/>
          <w:rtl/>
        </w:rPr>
        <w:t>والإبداع</w:t>
      </w:r>
    </w:p>
    <w:p w14:paraId="2BA50B76" w14:textId="77777777" w:rsidR="002E6C18" w:rsidRPr="00DC3DDE" w:rsidRDefault="002E6C18" w:rsidP="002E6C18">
      <w:pPr>
        <w:bidi/>
        <w:rPr>
          <w:rFonts w:asciiTheme="majorBidi" w:hAnsiTheme="majorBidi" w:cstheme="majorBidi"/>
          <w:b/>
          <w:bCs/>
          <w:sz w:val="28"/>
          <w:szCs w:val="28"/>
        </w:rPr>
      </w:pPr>
      <w:r w:rsidRPr="00DC3DDE">
        <w:rPr>
          <w:rFonts w:asciiTheme="majorBidi" w:hAnsiTheme="majorBidi" w:cstheme="majorBidi"/>
          <w:b/>
          <w:bCs/>
          <w:sz w:val="28"/>
          <w:szCs w:val="28"/>
          <w:rtl/>
        </w:rPr>
        <w:t>خصوصية قطاع الفنادق</w:t>
      </w:r>
    </w:p>
    <w:p w14:paraId="75B57319" w14:textId="2579663C" w:rsidR="002E6C18" w:rsidRPr="002D7391" w:rsidRDefault="002E6C18" w:rsidP="002E6C18">
      <w:pPr>
        <w:bidi/>
        <w:rPr>
          <w:rFonts w:asciiTheme="majorBidi" w:hAnsiTheme="majorBidi" w:cstheme="majorBidi"/>
          <w:sz w:val="28"/>
          <w:szCs w:val="28"/>
        </w:rPr>
      </w:pPr>
      <w:r w:rsidRPr="0027264E">
        <w:rPr>
          <w:rFonts w:asciiTheme="majorBidi" w:hAnsiTheme="majorBidi" w:cstheme="majorBidi"/>
          <w:sz w:val="28"/>
          <w:szCs w:val="28"/>
          <w:rtl/>
        </w:rPr>
        <w:t xml:space="preserve">يُعد قطاع الفنادق من القطاعات الخدمية ذات الطابع الديناميكي العالي، حيث تتداخل فيه العوامل التشغيلية والإنسانية </w:t>
      </w:r>
      <w:r w:rsidRPr="002D7391">
        <w:rPr>
          <w:rFonts w:asciiTheme="majorBidi" w:hAnsiTheme="majorBidi" w:cstheme="majorBidi"/>
          <w:sz w:val="28"/>
          <w:szCs w:val="28"/>
          <w:rtl/>
        </w:rPr>
        <w:t xml:space="preserve">لتقديم تجربة خدمة متكاملة. وتُشكّل الخبرة المقدَّمة للعميل جوهر القيمة التي يُقدّمها الفندق، مما يجعل سلوكيات الموظفين الإبداعية عاملًا استراتيجيًا في تحقيق رضا النزلاء وتعزيز الولاء وسمعة المنشأة في السوق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&lt;EndNote&gt;&lt;Cite&gt;&lt;Author&gt;Baum&lt;/Author&gt;&lt;Year&gt;2007&lt;/Year&gt;&lt;RecNum&gt;2327&lt;/RecNum&gt;&lt;DisplayText&gt;(Baum, 2007)&lt;/DisplayText&gt;&lt;record&gt;&lt;rec-number&gt;2327&lt;/rec-number&gt;&lt;foreign-keys&gt;&lt;key app="EN" db-id="t5vttv59or5xwbe2zdm5ewrxd905arrpawff" timestamp="174440</w:instrText>
      </w:r>
      <w:r w:rsidRPr="002D7391">
        <w:rPr>
          <w:rFonts w:asciiTheme="majorBidi" w:hAnsiTheme="majorBidi" w:cstheme="majorBidi"/>
          <w:sz w:val="28"/>
          <w:szCs w:val="28"/>
          <w:rtl/>
        </w:rPr>
        <w:instrText>0652"&gt;2327&lt;/</w:instrText>
      </w:r>
      <w:r w:rsidRPr="002D7391">
        <w:rPr>
          <w:rFonts w:asciiTheme="majorBidi" w:hAnsiTheme="majorBidi" w:cstheme="majorBidi"/>
          <w:sz w:val="28"/>
          <w:szCs w:val="28"/>
        </w:rPr>
        <w:instrText>key&gt;&lt;/foreign-keys&gt;&lt;ref-type name="Journal Article"&gt;17&lt;/ref-type&gt;&lt;contributors&gt;&lt;authors&gt;&lt;author&gt;Baum, Tom&lt;/author&gt;&lt;/authors&gt;&lt;/contributors&gt;&lt;titles&gt;&lt;title&gt;Human resources in tourism: Still waiting for change&lt;/title&gt;&lt;secondary-title&gt;Tourism management&lt;/secondary-title&gt;&lt;/titles&gt;&lt;periodical&gt;&lt;full-title&gt;Tourism management&lt;/full-title&gt;&lt;/periodical&gt;&lt;pages&gt;1383-1399&lt;/pages&gt;&lt;volume&gt;28&lt;/volume&gt;&lt;number&gt;6&lt;/number&gt;&lt;dates&gt;&lt;year&gt;2007&lt;/year&gt;&lt;/dates&gt;&lt;isbn&gt;0261-5177&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Baum, 2007</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2D7391">
        <w:rPr>
          <w:rFonts w:asciiTheme="majorBidi" w:hAnsiTheme="majorBidi" w:cstheme="majorBidi"/>
          <w:sz w:val="28"/>
          <w:szCs w:val="28"/>
          <w:rtl/>
        </w:rPr>
        <w:t>.</w:t>
      </w:r>
    </w:p>
    <w:p w14:paraId="4D0D7FFD" w14:textId="77777777" w:rsidR="002E6C18" w:rsidRPr="002D7391" w:rsidRDefault="002E6C18" w:rsidP="002E6C18">
      <w:pPr>
        <w:bidi/>
        <w:rPr>
          <w:rFonts w:asciiTheme="majorBidi" w:hAnsiTheme="majorBidi" w:cstheme="majorBidi"/>
          <w:sz w:val="28"/>
          <w:szCs w:val="28"/>
        </w:rPr>
      </w:pPr>
      <w:r w:rsidRPr="002D7391">
        <w:rPr>
          <w:rFonts w:asciiTheme="majorBidi" w:hAnsiTheme="majorBidi" w:cstheme="majorBidi"/>
          <w:sz w:val="28"/>
          <w:szCs w:val="28"/>
          <w:rtl/>
        </w:rPr>
        <w:t>تتمثل خصوصية هذا القطاع في عدد من الخصائص الجوهرية التي تجعل من أنظمة العمل عالية الأداء</w:t>
      </w:r>
      <w:r w:rsidRPr="002D7391">
        <w:rPr>
          <w:rFonts w:asciiTheme="majorBidi" w:hAnsiTheme="majorBidi" w:cstheme="majorBidi"/>
          <w:sz w:val="28"/>
          <w:szCs w:val="28"/>
        </w:rPr>
        <w:t xml:space="preserve"> (HPWS)</w:t>
      </w:r>
      <w:r w:rsidRPr="002D7391">
        <w:rPr>
          <w:rFonts w:asciiTheme="majorBidi" w:hAnsiTheme="majorBidi" w:cstheme="majorBidi"/>
          <w:sz w:val="28"/>
          <w:szCs w:val="28"/>
          <w:rtl/>
        </w:rPr>
        <w:t xml:space="preserve"> ضرورة ملحة لتعزيز الأداء الإبداعي داخله</w:t>
      </w:r>
      <w:r w:rsidRPr="002D7391">
        <w:rPr>
          <w:rFonts w:asciiTheme="majorBidi" w:hAnsiTheme="majorBidi" w:cstheme="majorBidi"/>
          <w:sz w:val="28"/>
          <w:szCs w:val="28"/>
        </w:rPr>
        <w:t>:</w:t>
      </w:r>
    </w:p>
    <w:p w14:paraId="19F3FB22" w14:textId="53B3FB38" w:rsidR="002E6C18" w:rsidRPr="00DC3DDE" w:rsidRDefault="002E6C18" w:rsidP="002E6C18">
      <w:pPr>
        <w:numPr>
          <w:ilvl w:val="0"/>
          <w:numId w:val="23"/>
        </w:numPr>
        <w:bidi/>
        <w:rPr>
          <w:rFonts w:asciiTheme="majorBidi" w:hAnsiTheme="majorBidi" w:cstheme="majorBidi"/>
          <w:sz w:val="28"/>
          <w:szCs w:val="28"/>
        </w:rPr>
      </w:pPr>
      <w:r w:rsidRPr="00DC3DDE">
        <w:rPr>
          <w:rFonts w:asciiTheme="majorBidi" w:hAnsiTheme="majorBidi" w:cstheme="majorBidi"/>
          <w:b/>
          <w:bCs/>
          <w:sz w:val="28"/>
          <w:szCs w:val="28"/>
          <w:rtl/>
        </w:rPr>
        <w:t>الاعتماد العالي على رأس المال البشري</w:t>
      </w:r>
      <w:r w:rsidRPr="00DC3DDE">
        <w:rPr>
          <w:rFonts w:asciiTheme="majorBidi" w:hAnsiTheme="majorBidi" w:cstheme="majorBidi"/>
          <w:b/>
          <w:bCs/>
          <w:sz w:val="28"/>
          <w:szCs w:val="28"/>
        </w:rPr>
        <w:t>:</w:t>
      </w:r>
      <w:r w:rsidRPr="00DC3DDE">
        <w:rPr>
          <w:rFonts w:asciiTheme="majorBidi" w:hAnsiTheme="majorBidi" w:cstheme="majorBidi"/>
          <w:sz w:val="28"/>
          <w:szCs w:val="28"/>
        </w:rPr>
        <w:br/>
      </w:r>
      <w:r w:rsidRPr="002D7391">
        <w:rPr>
          <w:rFonts w:asciiTheme="majorBidi" w:hAnsiTheme="majorBidi" w:cstheme="majorBidi"/>
          <w:sz w:val="28"/>
          <w:szCs w:val="28"/>
          <w:rtl/>
        </w:rPr>
        <w:t>قطاع الفنادق يعتمد بشكل أساسي على التفاعل البشري المباشر في تقديم الخدمة، مما يجعل جودة الخدمة مرتبطة ارتباطًا وثيقًا بكفاءة الموظف وسلوكه ومبادرته الفردية</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t>وبالتالي، فإن تطبيق</w:t>
      </w:r>
      <w:r w:rsidRPr="002D7391">
        <w:rPr>
          <w:rFonts w:asciiTheme="majorBidi" w:hAnsiTheme="majorBidi" w:cstheme="majorBidi"/>
          <w:sz w:val="28"/>
          <w:szCs w:val="28"/>
        </w:rPr>
        <w:t xml:space="preserve"> HPWS</w:t>
      </w:r>
      <w:r w:rsidRPr="002D7391">
        <w:rPr>
          <w:rFonts w:asciiTheme="majorBidi" w:hAnsiTheme="majorBidi" w:cstheme="majorBidi"/>
          <w:sz w:val="28"/>
          <w:szCs w:val="28"/>
          <w:rtl/>
        </w:rPr>
        <w:t xml:space="preserve"> </w:t>
      </w:r>
      <w:r w:rsidRPr="002D7391">
        <w:rPr>
          <w:rFonts w:asciiTheme="majorBidi" w:hAnsiTheme="majorBidi" w:cstheme="majorBidi"/>
          <w:sz w:val="28"/>
          <w:szCs w:val="28"/>
          <w:rtl/>
        </w:rPr>
        <w:lastRenderedPageBreak/>
        <w:t>من خلال التوظيف الانتقائي، والتدريب المستمر، والتحفيز – يُعد عنصرًا حاسمًا في تمكين الموظفين من تقديم حلول مبتكرة واستجابات مخصصة لاحتياجات النزلاء</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t xml:space="preserve">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&lt;EndNote&gt;&lt;Cite&gt;&lt;Author&gt;Boxall&lt;/Author&gt;&lt;Year&gt;2022&lt;/Year&gt;&lt;RecNum&gt;243&lt;/RecNum&gt;&lt;DisplayText&gt;(Boxall and Purcell, 2022)&lt;/DisplayText&gt;&lt;record&gt;&lt;rec-number&gt;243&lt;/rec-number&gt;&lt;foreign-keys&gt;&lt;key app="EN" db-id="t5vttv59or5xwbe2zdm5ewrxd905arrpawff" timestamp="1720715656"&gt;243&lt;/key&gt;&lt;/foreign-keys&gt;&lt;ref-type name="Book"&gt;6&lt;/ref-type&gt;&lt;contributors&gt;&lt;authors&gt;&lt;author&gt;Boxall, Peter&lt;/author&gt;&lt;author&gt;Purcell, John&lt;/author&gt;&lt;/authors&gt;&lt;/contributors&gt;&lt;titles&gt;&lt;title&gt;Strategy and human resource management&lt;/title&gt;&lt;/titles</w:instrText>
      </w:r>
      <w:r w:rsidRPr="002D7391">
        <w:rPr>
          <w:rFonts w:asciiTheme="majorBidi" w:hAnsiTheme="majorBidi" w:cstheme="majorBidi"/>
          <w:sz w:val="28"/>
          <w:szCs w:val="28"/>
          <w:rtl/>
        </w:rPr>
        <w:instrText>&gt;&lt;</w:instrText>
      </w:r>
      <w:r w:rsidRPr="002D7391">
        <w:rPr>
          <w:rFonts w:asciiTheme="majorBidi" w:hAnsiTheme="majorBidi" w:cstheme="majorBidi"/>
          <w:sz w:val="28"/>
          <w:szCs w:val="28"/>
        </w:rPr>
        <w:instrText>dates&gt;&lt;year&gt;2022&lt;/year&gt;&lt;/dates&gt;&lt;publisher&gt;Bloomsbury Publishing&lt;/publisher&gt;&lt;isbn&gt;1350309877&lt;/isbn&gt;&lt;urls&gt;&lt;/urls&gt;&lt;/record&gt;&lt;/Cite&gt;&lt;/EndNote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Boxall and Purcell, 2022</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2D7391">
        <w:rPr>
          <w:rFonts w:asciiTheme="majorBidi" w:hAnsiTheme="majorBidi" w:cstheme="majorBidi"/>
          <w:sz w:val="28"/>
          <w:szCs w:val="28"/>
          <w:rtl/>
        </w:rPr>
        <w:t>.</w:t>
      </w:r>
    </w:p>
    <w:p w14:paraId="3FF6023F" w14:textId="77777777" w:rsidR="002E6C18" w:rsidRPr="00DC3DDE" w:rsidRDefault="002E6C18" w:rsidP="002E6C18">
      <w:pPr>
        <w:numPr>
          <w:ilvl w:val="0"/>
          <w:numId w:val="23"/>
        </w:numPr>
        <w:bidi/>
        <w:rPr>
          <w:rFonts w:asciiTheme="majorBidi" w:hAnsiTheme="majorBidi" w:cstheme="majorBidi"/>
          <w:sz w:val="28"/>
          <w:szCs w:val="28"/>
        </w:rPr>
      </w:pPr>
      <w:r w:rsidRPr="00DC3DDE">
        <w:rPr>
          <w:rFonts w:asciiTheme="majorBidi" w:hAnsiTheme="majorBidi" w:cstheme="majorBidi"/>
          <w:b/>
          <w:bCs/>
          <w:sz w:val="28"/>
          <w:szCs w:val="28"/>
          <w:rtl/>
        </w:rPr>
        <w:t>البيئة التشغيلية المعقدة والمتغيرة</w:t>
      </w:r>
      <w:r w:rsidRPr="00DC3DDE">
        <w:rPr>
          <w:rFonts w:asciiTheme="majorBidi" w:hAnsiTheme="majorBidi" w:cstheme="majorBidi"/>
          <w:b/>
          <w:bCs/>
          <w:sz w:val="28"/>
          <w:szCs w:val="28"/>
        </w:rPr>
        <w:t>:</w:t>
      </w:r>
      <w:r w:rsidRPr="00DC3DDE">
        <w:rPr>
          <w:rFonts w:asciiTheme="majorBidi" w:hAnsiTheme="majorBidi" w:cstheme="majorBidi"/>
          <w:sz w:val="28"/>
          <w:szCs w:val="28"/>
        </w:rPr>
        <w:br/>
      </w:r>
      <w:r w:rsidRPr="002D7391">
        <w:rPr>
          <w:rFonts w:asciiTheme="majorBidi" w:hAnsiTheme="majorBidi" w:cstheme="majorBidi"/>
          <w:sz w:val="28"/>
          <w:szCs w:val="28"/>
          <w:rtl/>
        </w:rPr>
        <w:t>الفنادق تعمل ضمن بيئة خدمية تتطلب المرونة الفورية في الاستجابة للمواقف الطارئة واحتياجات العملاء المتنوعة والمتغيرة باستمرار</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t>هذه الطبيعة التشغيلية تحفّز الحاجة إلى سلوكيات إبداعية لحظية، كالتعامل مع الشكاوى أو توفير خدمات إضافية غير مذكورة مسبقًا. وهنا تبرز أهمية</w:t>
      </w:r>
      <w:r w:rsidRPr="002D7391">
        <w:rPr>
          <w:rFonts w:asciiTheme="majorBidi" w:hAnsiTheme="majorBidi" w:cstheme="majorBidi"/>
          <w:sz w:val="28"/>
          <w:szCs w:val="28"/>
        </w:rPr>
        <w:t xml:space="preserve"> HPWS</w:t>
      </w:r>
      <w:r w:rsidRPr="002D7391">
        <w:rPr>
          <w:rFonts w:asciiTheme="majorBidi" w:hAnsiTheme="majorBidi" w:cstheme="majorBidi"/>
          <w:sz w:val="28"/>
          <w:szCs w:val="28"/>
          <w:rtl/>
        </w:rPr>
        <w:t xml:space="preserve"> في تمكين الموظف واتخاذ قرارات إبداعية دون الرجوع الدائم للإدارة</w:t>
      </w:r>
      <w:r w:rsidRPr="002D7391">
        <w:rPr>
          <w:rFonts w:asciiTheme="majorBidi" w:hAnsiTheme="majorBidi" w:cstheme="majorBidi"/>
          <w:sz w:val="28"/>
          <w:szCs w:val="28"/>
        </w:rPr>
        <w:t>.</w:t>
      </w:r>
    </w:p>
    <w:p w14:paraId="5BC0FBE2" w14:textId="02EDEDEB" w:rsidR="002E6C18" w:rsidRPr="002D7391" w:rsidRDefault="002E6C18" w:rsidP="002E6C18">
      <w:pPr>
        <w:numPr>
          <w:ilvl w:val="0"/>
          <w:numId w:val="23"/>
        </w:numPr>
        <w:bidi/>
        <w:rPr>
          <w:rFonts w:asciiTheme="majorBidi" w:hAnsiTheme="majorBidi" w:cstheme="majorBidi"/>
          <w:sz w:val="28"/>
          <w:szCs w:val="28"/>
        </w:rPr>
      </w:pPr>
      <w:r w:rsidRPr="00DC3DDE">
        <w:rPr>
          <w:rFonts w:asciiTheme="majorBidi" w:hAnsiTheme="majorBidi" w:cstheme="majorBidi"/>
          <w:b/>
          <w:bCs/>
          <w:sz w:val="28"/>
          <w:szCs w:val="28"/>
          <w:rtl/>
        </w:rPr>
        <w:t>الحاجة إلى تمايز الخدمة كمصدر للتنافسية</w:t>
      </w:r>
      <w:r w:rsidRPr="00DC3DDE">
        <w:rPr>
          <w:rFonts w:asciiTheme="majorBidi" w:hAnsiTheme="majorBidi" w:cstheme="majorBidi"/>
          <w:b/>
          <w:bCs/>
          <w:sz w:val="28"/>
          <w:szCs w:val="28"/>
        </w:rPr>
        <w:t>:</w:t>
      </w:r>
      <w:r w:rsidRPr="00DC3DDE">
        <w:rPr>
          <w:rFonts w:asciiTheme="majorBidi" w:hAnsiTheme="majorBidi" w:cstheme="majorBidi"/>
          <w:sz w:val="28"/>
          <w:szCs w:val="28"/>
        </w:rPr>
        <w:br/>
      </w:r>
      <w:r w:rsidRPr="002D7391">
        <w:rPr>
          <w:rFonts w:asciiTheme="majorBidi" w:hAnsiTheme="majorBidi" w:cstheme="majorBidi"/>
          <w:sz w:val="28"/>
          <w:szCs w:val="28"/>
          <w:rtl/>
        </w:rPr>
        <w:t>في ظل تشابه المرافق الفندقية، أصبحت جودة التفاعل الإنساني والإبداع في تقديم الخدمة هي العامل الفارق بين منشأة وأخرى. و</w:t>
      </w:r>
      <w:r w:rsidRPr="002D7391">
        <w:rPr>
          <w:rFonts w:asciiTheme="majorBidi" w:hAnsiTheme="majorBidi" w:cstheme="majorBidi"/>
          <w:sz w:val="28"/>
          <w:szCs w:val="28"/>
        </w:rPr>
        <w:t>HPWS</w:t>
      </w:r>
      <w:r w:rsidRPr="002D7391">
        <w:rPr>
          <w:rFonts w:asciiTheme="majorBidi" w:hAnsiTheme="majorBidi" w:cstheme="majorBidi"/>
          <w:sz w:val="28"/>
          <w:szCs w:val="28"/>
          <w:rtl/>
        </w:rPr>
        <w:t xml:space="preserve"> توفّر البنية التحتية لهذا التمايز من خلال بناء ثقافة عمل تقدّر الإبداع، وتربط الحوافز بسلوكيات الابتكار في نقاط الاتصال مع الضيف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&lt;EndNote&gt;&lt;Cite&gt;&lt;Author&gt;Tang&lt;/Author&gt;&lt;Year&gt;2015&lt;/Year&gt;&lt;RecNum&gt;2329&lt;/RecNum&gt;&lt;DisplayText&gt;(Tang et al., 2015)&lt;/DisplayText&gt;&lt;record&gt;&lt;rec-number&gt;2329&lt;/rec-number&gt;&lt;foreign-keys&gt;&lt;key app="EN" db-id="t5vttv59or5xwbe2zdm5ewrxd905arrpawff" timestamp</w:instrText>
      </w:r>
      <w:r w:rsidRPr="002D7391">
        <w:rPr>
          <w:rFonts w:asciiTheme="majorBidi" w:hAnsiTheme="majorBidi" w:cstheme="majorBidi"/>
          <w:sz w:val="28"/>
          <w:szCs w:val="28"/>
          <w:rtl/>
        </w:rPr>
        <w:instrText>="1744400800"&gt;2329&lt;/</w:instrText>
      </w:r>
      <w:r w:rsidRPr="002D7391">
        <w:rPr>
          <w:rFonts w:asciiTheme="majorBidi" w:hAnsiTheme="majorBidi" w:cstheme="majorBidi"/>
          <w:sz w:val="28"/>
          <w:szCs w:val="28"/>
        </w:rPr>
        <w:instrText>key&gt;&lt;/foreign-keys&gt;&lt;ref-type name="Journal Article"&gt;17&lt;/ref-type&gt;&lt;contributors&gt;&lt;authors&gt;&lt;author&gt;Tang, Ta-Wei&lt;/author&gt;&lt;author&gt;Wang, Michael Chih-Hung&lt;/author&gt;&lt;author&gt;Tang, Ya-Yun&lt;/author&gt;&lt;/authors&gt;&lt;/contributors&gt;&lt;titles&gt;&lt;title&gt;Developing</w:instrText>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service innovation capability in the hotel industry&lt;/title&gt;&lt;secondary-title&gt;Service Business&lt;/secondary-title&gt;&lt;/titles&gt;&lt;periodical&gt;&lt;full-title&gt;Service Business&lt;/full-title&gt;&lt;/periodical&gt;&lt;pages&gt;97-113&lt;/pages&gt;&lt;volume&gt;9&lt;/volume&gt;&lt;dates&gt;&lt;year&gt;2015&lt;/year&gt;&lt;/dates&gt;&lt;isbn&gt;1862-8516&lt;/isbn&gt;&lt;urls&gt;&lt;/urls&gt;&lt;/record&gt;&lt;/Cite&gt;&lt;/EndNote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Tang et al., 2015</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2D7391">
        <w:rPr>
          <w:rFonts w:asciiTheme="majorBidi" w:hAnsiTheme="majorBidi" w:cstheme="majorBidi"/>
          <w:sz w:val="28"/>
          <w:szCs w:val="28"/>
          <w:rtl/>
        </w:rPr>
        <w:t>.</w:t>
      </w:r>
    </w:p>
    <w:p w14:paraId="158BF481" w14:textId="77777777" w:rsidR="002E6C18" w:rsidRPr="00DC3DDE" w:rsidRDefault="002E6C18" w:rsidP="002E6C18">
      <w:pPr>
        <w:numPr>
          <w:ilvl w:val="0"/>
          <w:numId w:val="23"/>
        </w:numPr>
        <w:bidi/>
        <w:rPr>
          <w:rFonts w:asciiTheme="majorBidi" w:hAnsiTheme="majorBidi" w:cstheme="majorBidi"/>
          <w:sz w:val="28"/>
          <w:szCs w:val="28"/>
        </w:rPr>
      </w:pPr>
      <w:r w:rsidRPr="00DC3DDE">
        <w:rPr>
          <w:rFonts w:asciiTheme="majorBidi" w:hAnsiTheme="majorBidi" w:cstheme="majorBidi"/>
          <w:b/>
          <w:bCs/>
          <w:sz w:val="28"/>
          <w:szCs w:val="28"/>
          <w:rtl/>
        </w:rPr>
        <w:t>العمل بنظام الورديات والضغط التشغيلي</w:t>
      </w:r>
      <w:r w:rsidRPr="00DC3DDE">
        <w:rPr>
          <w:rFonts w:asciiTheme="majorBidi" w:hAnsiTheme="majorBidi" w:cstheme="majorBidi"/>
          <w:b/>
          <w:bCs/>
          <w:sz w:val="28"/>
          <w:szCs w:val="28"/>
        </w:rPr>
        <w:t>:</w:t>
      </w:r>
      <w:r w:rsidRPr="00DC3DDE">
        <w:rPr>
          <w:rFonts w:asciiTheme="majorBidi" w:hAnsiTheme="majorBidi" w:cstheme="majorBidi"/>
          <w:sz w:val="28"/>
          <w:szCs w:val="28"/>
        </w:rPr>
        <w:br/>
      </w:r>
      <w:r w:rsidRPr="002D7391">
        <w:rPr>
          <w:rFonts w:asciiTheme="majorBidi" w:hAnsiTheme="majorBidi" w:cstheme="majorBidi"/>
          <w:sz w:val="28"/>
          <w:szCs w:val="28"/>
          <w:rtl/>
        </w:rPr>
        <w:t>يواجه موظفو الفنادق تحديات مرتبطة بساعات العمل المتغيرة، وتفاوت أوقات الضغط، وتعقيد التنسيق بين الإدارات. أنظمة العمل عالية الأداء تتيح تنظيم العمل بشكل يدعم الموظف عبر التدريب التفاعلي، ونقل المعرفة بين الورديات، وتمكين التعاون بين الفرق، مما يُسهم في خلق حلول إبداعية جماعية للتحديات التشغيلية اليومية</w:t>
      </w:r>
      <w:r w:rsidRPr="002D7391">
        <w:rPr>
          <w:rFonts w:asciiTheme="majorBidi" w:hAnsiTheme="majorBidi" w:cstheme="majorBidi"/>
          <w:sz w:val="28"/>
          <w:szCs w:val="28"/>
        </w:rPr>
        <w:t>.</w:t>
      </w:r>
    </w:p>
    <w:p w14:paraId="352FC5D1" w14:textId="180C70FA" w:rsidR="002E6C18" w:rsidRPr="00DC3DDE" w:rsidRDefault="002E6C18" w:rsidP="002E6C18">
      <w:pPr>
        <w:numPr>
          <w:ilvl w:val="0"/>
          <w:numId w:val="23"/>
        </w:numPr>
        <w:bidi/>
        <w:rPr>
          <w:rFonts w:asciiTheme="majorBidi" w:hAnsiTheme="majorBidi" w:cstheme="majorBidi"/>
          <w:sz w:val="28"/>
          <w:szCs w:val="28"/>
        </w:rPr>
      </w:pPr>
      <w:r w:rsidRPr="00DC3DDE">
        <w:rPr>
          <w:rFonts w:asciiTheme="majorBidi" w:hAnsiTheme="majorBidi" w:cstheme="majorBidi"/>
          <w:b/>
          <w:bCs/>
          <w:sz w:val="28"/>
          <w:szCs w:val="28"/>
          <w:rtl/>
        </w:rPr>
        <w:t>تنوع القوى العاملة وتعدد الثقافات</w:t>
      </w:r>
      <w:r w:rsidRPr="00DC3DDE">
        <w:rPr>
          <w:rFonts w:asciiTheme="majorBidi" w:hAnsiTheme="majorBidi" w:cstheme="majorBidi"/>
          <w:b/>
          <w:bCs/>
          <w:sz w:val="28"/>
          <w:szCs w:val="28"/>
        </w:rPr>
        <w:t>:</w:t>
      </w:r>
      <w:r w:rsidRPr="00DC3DDE">
        <w:rPr>
          <w:rFonts w:asciiTheme="majorBidi" w:hAnsiTheme="majorBidi" w:cstheme="majorBidi"/>
          <w:sz w:val="28"/>
          <w:szCs w:val="28"/>
        </w:rPr>
        <w:br/>
      </w:r>
      <w:r w:rsidRPr="00DC3DDE">
        <w:rPr>
          <w:rFonts w:asciiTheme="majorBidi" w:hAnsiTheme="majorBidi" w:cstheme="majorBidi"/>
          <w:sz w:val="28"/>
          <w:szCs w:val="28"/>
          <w:rtl/>
        </w:rPr>
        <w:t>تضم الفنادق عادةً قوى عاملة من خلفيات ثقافية وتعليمية مختلفة، ما يخلق بيئة غنية بالأفكار لكن أيضًا عرضة لسوء الفهم أو التباين في الأداء. تسهم</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 xml:space="preserve">في إدارة هذا التنوع من خلال </w:t>
      </w:r>
      <w:r w:rsidRPr="00DC3DDE">
        <w:rPr>
          <w:rFonts w:asciiTheme="majorBidi" w:hAnsiTheme="majorBidi" w:cstheme="majorBidi"/>
          <w:b/>
          <w:bCs/>
          <w:sz w:val="28"/>
          <w:szCs w:val="28"/>
          <w:rtl/>
        </w:rPr>
        <w:t xml:space="preserve">نُظم عادلة </w:t>
      </w:r>
      <w:r w:rsidRPr="002D7391">
        <w:rPr>
          <w:rFonts w:asciiTheme="majorBidi" w:hAnsiTheme="majorBidi" w:cstheme="majorBidi"/>
          <w:sz w:val="28"/>
          <w:szCs w:val="28"/>
          <w:rtl/>
        </w:rPr>
        <w:t xml:space="preserve">ومحفزة، وتوفير مساحات للحوار والابتكار الجماعي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2D7391">
        <w:rPr>
          <w:rFonts w:asciiTheme="majorBidi" w:hAnsiTheme="majorBidi" w:cstheme="majorBidi"/>
          <w:sz w:val="28"/>
          <w:szCs w:val="28"/>
          <w:rtl/>
        </w:rPr>
        <w:instrText>05</w:instrText>
      </w:r>
      <w:r w:rsidRPr="002D7391">
        <w:rPr>
          <w:rFonts w:asciiTheme="majorBidi" w:hAnsiTheme="majorBidi" w:cstheme="majorBidi"/>
          <w:sz w:val="28"/>
          <w:szCs w:val="28"/>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2D7391">
        <w:rPr>
          <w:rFonts w:asciiTheme="majorBidi" w:hAnsiTheme="majorBidi" w:cstheme="majorBidi"/>
          <w:sz w:val="28"/>
          <w:szCs w:val="28"/>
          <w:rtl/>
        </w:rPr>
        <w:instrText>&gt;&lt;/</w:instrText>
      </w:r>
      <w:r w:rsidRPr="002D7391">
        <w:rPr>
          <w:rFonts w:asciiTheme="majorBidi" w:hAnsiTheme="majorBidi" w:cstheme="majorBidi"/>
          <w:sz w:val="28"/>
          <w:szCs w:val="28"/>
        </w:rPr>
        <w:instrText>periodical&gt;&lt;pages&gt;102610&lt;/pages&gt;&lt;volume&gt;90&lt;/volume&gt;&lt;dates&gt;&lt;year&gt;2020&lt;/year&gt;&lt;/dates&gt;&lt;isbn&gt;0278-4319&lt;/isbn&gt;&lt;urls&gt;&lt;/urls&gt;&lt;/record&gt;&lt;/Cite&gt;&lt;/EndNote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Kloutsiniotis and Mihail, 2020</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101F9DC4" w14:textId="77777777" w:rsidR="008D46BA" w:rsidRDefault="008D46BA" w:rsidP="002E6C18">
      <w:pPr>
        <w:bidi/>
        <w:rPr>
          <w:rFonts w:asciiTheme="majorBidi" w:hAnsiTheme="majorBidi" w:cstheme="majorBidi"/>
          <w:b/>
          <w:bCs/>
          <w:sz w:val="28"/>
          <w:szCs w:val="28"/>
          <w:rtl/>
        </w:rPr>
      </w:pPr>
    </w:p>
    <w:p w14:paraId="1FCF163E" w14:textId="1BA7D192" w:rsidR="002E6C18" w:rsidRPr="00DC3DDE" w:rsidRDefault="002E6C18" w:rsidP="008D46BA">
      <w:pPr>
        <w:bidi/>
        <w:rPr>
          <w:rFonts w:asciiTheme="majorBidi" w:hAnsiTheme="majorBidi" w:cstheme="majorBidi"/>
          <w:b/>
          <w:bCs/>
          <w:sz w:val="28"/>
          <w:szCs w:val="28"/>
        </w:rPr>
      </w:pPr>
      <w:r w:rsidRPr="00DC3DDE">
        <w:rPr>
          <w:rFonts w:asciiTheme="majorBidi" w:hAnsiTheme="majorBidi" w:cstheme="majorBidi"/>
          <w:b/>
          <w:bCs/>
          <w:sz w:val="28"/>
          <w:szCs w:val="28"/>
          <w:rtl/>
        </w:rPr>
        <w:t>خصوصية قطاع المطاعم</w:t>
      </w:r>
    </w:p>
    <w:p w14:paraId="66950C2F" w14:textId="6A2B3729" w:rsidR="002E6C18" w:rsidRPr="002D7391" w:rsidRDefault="002E6C18" w:rsidP="00A0551C">
      <w:pPr>
        <w:bidi/>
        <w:jc w:val="both"/>
        <w:rPr>
          <w:rFonts w:asciiTheme="majorBidi" w:hAnsiTheme="majorBidi" w:cstheme="majorBidi"/>
          <w:sz w:val="28"/>
          <w:szCs w:val="28"/>
        </w:rPr>
      </w:pPr>
      <w:r w:rsidRPr="002D7391">
        <w:rPr>
          <w:rFonts w:asciiTheme="majorBidi" w:hAnsiTheme="majorBidi" w:cstheme="majorBidi"/>
          <w:sz w:val="28"/>
          <w:szCs w:val="28"/>
          <w:rtl/>
        </w:rPr>
        <w:t>يتميز قطاع المطاعم بعدد من الخصائص الهيكلية والتشغيلية والسلوكية التي تجعله بيئة خصبة لتفعيل العلاقة بين أنظمة العمل عالية الأداء</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والأداء الإبداعي. فعلى غرار الفنادق، يُعد قطاع المطاعم جزءًا من صناعة الضيافة، لكنه يتميز بطبيعة تشغيلية أكثر تسارعًا، واتصالًا أكثر كثافة ومباشرة مع العملاء، ما يضع الابتكار الخدمي والتفاعل الإبداعي في قلب العمليات اليومية</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t xml:space="preserve">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&lt;EndNote&gt;&lt;Cite&gt;&lt;Author&gt;Kim&lt;/Author&gt;&lt;Year&gt;2005&lt;/Year&gt;&lt;RecNum&gt;2331&lt;/RecNum&gt;&lt;DisplayText&gt;(Kim et al., 2005)&lt;/DisplayText&gt;&lt;record&gt;&lt;rec-number&gt;2331&lt;/rec-number&gt;&lt;foreign-keys&gt;&lt;key app="EN" db-id="t5vttv59or5xwbe2zdm5ewrxd905arrpawff" timestamp="1</w:instrText>
      </w:r>
      <w:r w:rsidRPr="002D7391">
        <w:rPr>
          <w:rFonts w:asciiTheme="majorBidi" w:hAnsiTheme="majorBidi" w:cstheme="majorBidi"/>
          <w:sz w:val="28"/>
          <w:szCs w:val="28"/>
          <w:rtl/>
        </w:rPr>
        <w:instrText>744400989"&gt;2331&lt;/</w:instrText>
      </w:r>
      <w:r w:rsidRPr="002D7391">
        <w:rPr>
          <w:rFonts w:asciiTheme="majorBidi" w:hAnsiTheme="majorBidi" w:cstheme="majorBidi"/>
          <w:sz w:val="28"/>
          <w:szCs w:val="28"/>
        </w:rPr>
        <w:instrText>key&gt;&lt;/foreign-keys&gt;&lt;ref-type name="Journal Article"&gt;17&lt;/ref-type&gt;&lt;contributors&gt;&lt;authors&gt;&lt;author&gt;Kim, Woo Gon&lt;/author&gt;&lt;author&gt;Leong, Jerrold K&lt;/author&gt;&lt;author&gt;Lee, Yong-Ki&lt;/author&gt;&lt;/authors&gt;&lt;/contributors&gt;&lt;titles&gt;&lt;title&gt;Effect of service orientation on job satisfaction, organizational commitment, and intention of leaving in a casual dining chain restaurant&lt;/title&gt;&lt;secondary-title&gt;International Journal of Hospitality Management&lt;/secondary-title&gt;&lt;/titles&gt;&lt;periodical&gt;&lt;full-title&gt;International</w:instrText>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Journal of Hospitality Management&lt;/full-title&gt;&lt;/periodical&gt;&lt;pages&gt;171-193&lt;/pages&gt;&lt;volume&gt;24&lt;/volume&gt;&lt;number&gt;2&lt;/number&gt;&lt;dates&gt;&lt;year&gt;2005&lt;/year&gt;&lt;/dates&gt;&lt;isbn&gt;0278-4319&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Kim et al., 2005</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2D7391">
        <w:rPr>
          <w:rFonts w:asciiTheme="majorBidi" w:hAnsiTheme="majorBidi" w:cstheme="majorBidi"/>
          <w:sz w:val="28"/>
          <w:szCs w:val="28"/>
          <w:rtl/>
        </w:rPr>
        <w:t>.</w:t>
      </w:r>
    </w:p>
    <w:p w14:paraId="7F0141BC" w14:textId="77777777" w:rsidR="002E6C18" w:rsidRPr="00DC3DDE" w:rsidRDefault="002E6C18" w:rsidP="002E6C18">
      <w:pPr>
        <w:numPr>
          <w:ilvl w:val="0"/>
          <w:numId w:val="24"/>
        </w:numPr>
        <w:bidi/>
        <w:rPr>
          <w:rFonts w:asciiTheme="majorBidi" w:hAnsiTheme="majorBidi" w:cstheme="majorBidi"/>
          <w:sz w:val="28"/>
          <w:szCs w:val="28"/>
        </w:rPr>
      </w:pPr>
      <w:r w:rsidRPr="00DC3DDE">
        <w:rPr>
          <w:rFonts w:asciiTheme="majorBidi" w:hAnsiTheme="majorBidi" w:cstheme="majorBidi"/>
          <w:b/>
          <w:bCs/>
          <w:sz w:val="28"/>
          <w:szCs w:val="28"/>
          <w:rtl/>
        </w:rPr>
        <w:t>السرعة العالية في وتيرة العمل</w:t>
      </w:r>
      <w:r w:rsidRPr="00DC3DDE">
        <w:rPr>
          <w:rFonts w:asciiTheme="majorBidi" w:hAnsiTheme="majorBidi" w:cstheme="majorBidi"/>
          <w:sz w:val="28"/>
          <w:szCs w:val="28"/>
        </w:rPr>
        <w:br/>
      </w:r>
      <w:r w:rsidRPr="002D7391">
        <w:rPr>
          <w:rFonts w:asciiTheme="majorBidi" w:hAnsiTheme="majorBidi" w:cstheme="majorBidi"/>
          <w:sz w:val="28"/>
          <w:szCs w:val="28"/>
          <w:rtl/>
        </w:rPr>
        <w:t>يعمل قطاع المطاعم غالبًا ضمن بيئة تُفرض عليها ضغوط زمنية مكثفة، خاصة في أوقات الذروة، مما يتطلب من الموظفين استجابات سريعة، مرنة، وغير نمطية</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t>في هذا السياق، تبرز أهمية</w:t>
      </w:r>
      <w:r w:rsidRPr="002D7391">
        <w:rPr>
          <w:rFonts w:asciiTheme="majorBidi" w:hAnsiTheme="majorBidi" w:cstheme="majorBidi"/>
          <w:sz w:val="28"/>
          <w:szCs w:val="28"/>
        </w:rPr>
        <w:t xml:space="preserve"> HPWS</w:t>
      </w:r>
      <w:r w:rsidRPr="002D7391">
        <w:rPr>
          <w:rFonts w:asciiTheme="majorBidi" w:hAnsiTheme="majorBidi" w:cstheme="majorBidi"/>
          <w:sz w:val="28"/>
          <w:szCs w:val="28"/>
          <w:rtl/>
        </w:rPr>
        <w:t xml:space="preserve"> في بناء قدرة الموظفين على التفكير الخلاق والتصرف السريع، من خلال ممارسات مثل التدريب العملي، والتمكين، وتفويض السلطات، وهي ضرورية لتعزيز الإبداع اللحظي في تقديم الخدمة</w:t>
      </w:r>
      <w:r w:rsidRPr="002D7391">
        <w:rPr>
          <w:rFonts w:asciiTheme="majorBidi" w:hAnsiTheme="majorBidi" w:cstheme="majorBidi"/>
          <w:sz w:val="28"/>
          <w:szCs w:val="28"/>
        </w:rPr>
        <w:t>.</w:t>
      </w:r>
    </w:p>
    <w:p w14:paraId="6E43C141" w14:textId="65657475" w:rsidR="002E6C18" w:rsidRPr="00DC3DDE" w:rsidRDefault="002E6C18" w:rsidP="002E6C18">
      <w:pPr>
        <w:numPr>
          <w:ilvl w:val="0"/>
          <w:numId w:val="24"/>
        </w:numPr>
        <w:bidi/>
        <w:rPr>
          <w:rFonts w:asciiTheme="majorBidi" w:hAnsiTheme="majorBidi" w:cstheme="majorBidi"/>
          <w:sz w:val="28"/>
          <w:szCs w:val="28"/>
        </w:rPr>
      </w:pPr>
      <w:r w:rsidRPr="00DC3DDE">
        <w:rPr>
          <w:rFonts w:asciiTheme="majorBidi" w:hAnsiTheme="majorBidi" w:cstheme="majorBidi"/>
          <w:b/>
          <w:bCs/>
          <w:sz w:val="28"/>
          <w:szCs w:val="28"/>
          <w:rtl/>
        </w:rPr>
        <w:lastRenderedPageBreak/>
        <w:t>تفاعل مباشر ومفتوح مع العميل</w:t>
      </w:r>
      <w:r w:rsidRPr="00DC3DDE">
        <w:rPr>
          <w:rFonts w:asciiTheme="majorBidi" w:hAnsiTheme="majorBidi" w:cstheme="majorBidi"/>
          <w:sz w:val="28"/>
          <w:szCs w:val="28"/>
        </w:rPr>
        <w:br/>
      </w:r>
      <w:r w:rsidRPr="002D7391">
        <w:rPr>
          <w:rFonts w:asciiTheme="majorBidi" w:hAnsiTheme="majorBidi" w:cstheme="majorBidi"/>
          <w:sz w:val="28"/>
          <w:szCs w:val="28"/>
          <w:rtl/>
        </w:rPr>
        <w:t>يُعد موظف الخدمة في المطعم (مثل النادل، مدير الصالة، أو الطاهي في بعض الأنظمة المفتوحة) الواجهة الأولى والأخيرة لتجربة العميل</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t>وكل تفاعل مع الزبون هو فرصة للتأثير على الانطباع الكلي عن المؤسسة. وهنا يظهر الدور المحوري لـ</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 xml:space="preserve">في دعم الموظف وتدريبه على كيفية الاستماع النشط، وفهم السياق، وتقديم حلول مبتكرة تُرضي العميل في الوقت الفعلي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&lt;EndNote&gt;&lt;Cite&gt;&lt;Author&gt;Tang&lt;/Author&gt;&lt;Year&gt;2015&lt;/Year&gt;&lt;RecNum&gt;2329&lt;/RecNum&gt;&lt;DisplayText&gt;(Tang et al., 2015)&lt;/DisplayText&gt;&lt;record&gt;&lt;rec-number&gt;2329&lt;/rec-number&gt;&lt;foreign-keys&gt;&lt;key app="EN" db-id="t5vttv59or5xwbe2zdm5ewrxd905arrpawff" timestamp</w:instrText>
      </w:r>
      <w:r w:rsidRPr="002D7391">
        <w:rPr>
          <w:rFonts w:asciiTheme="majorBidi" w:hAnsiTheme="majorBidi" w:cstheme="majorBidi"/>
          <w:sz w:val="28"/>
          <w:szCs w:val="28"/>
          <w:rtl/>
        </w:rPr>
        <w:instrText>="1744400800"&gt;2329&lt;/</w:instrText>
      </w:r>
      <w:r w:rsidRPr="002D7391">
        <w:rPr>
          <w:rFonts w:asciiTheme="majorBidi" w:hAnsiTheme="majorBidi" w:cstheme="majorBidi"/>
          <w:sz w:val="28"/>
          <w:szCs w:val="28"/>
        </w:rPr>
        <w:instrText>key&gt;&lt;/foreign-keys&gt;&lt;ref-type name="Journal Article"&gt;17&lt;/ref-type&gt;&lt;contributors&gt;&lt;authors&gt;&lt;author&gt;Tang, Ta-Wei&lt;/author&gt;&lt;author&gt;Wang, Michael Chih-Hung&lt;/author&gt;&lt;author&gt;Tang, Ya-Yun&lt;/author&gt;&lt;/authors&gt;&lt;/contributors&gt;&lt;titles&gt;&lt;title&gt;Developing</w:instrText>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service innovation capability in the hotel industry&lt;/title&gt;&lt;secondary-title&gt;Service Business&lt;/secondary-title&gt;&lt;/titles&gt;&lt;periodical&gt;&lt;full-title&gt;Service Business&lt;/full-title&gt;&lt;/periodical&gt;&lt;pages&gt;97-113&lt;/pages&gt;&lt;volume&gt;9&lt;/volume&gt;&lt;dates&gt;&lt;year&gt;2015&lt;/year&gt;&lt;/dates&gt;&lt;isbn&gt;1862-8516&lt;/isbn&gt;&lt;urls&gt;&lt;/urls&gt;&lt;/record&gt;&lt;/Cite&gt;&lt;/EndNote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Tang et al., 2015</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3859D379" w14:textId="56F561A6" w:rsidR="002E6C18" w:rsidRPr="00DC3DDE" w:rsidRDefault="002E6C18" w:rsidP="002E6C18">
      <w:pPr>
        <w:numPr>
          <w:ilvl w:val="0"/>
          <w:numId w:val="24"/>
        </w:numPr>
        <w:bidi/>
        <w:rPr>
          <w:rFonts w:asciiTheme="majorBidi" w:hAnsiTheme="majorBidi" w:cstheme="majorBidi"/>
          <w:sz w:val="28"/>
          <w:szCs w:val="28"/>
        </w:rPr>
      </w:pPr>
      <w:r w:rsidRPr="00DC3DDE">
        <w:rPr>
          <w:rFonts w:asciiTheme="majorBidi" w:hAnsiTheme="majorBidi" w:cstheme="majorBidi"/>
          <w:b/>
          <w:bCs/>
          <w:sz w:val="28"/>
          <w:szCs w:val="28"/>
          <w:rtl/>
        </w:rPr>
        <w:t>المرونة العالية وتنوع الأدوار</w:t>
      </w:r>
      <w:r w:rsidRPr="00DC3DDE">
        <w:rPr>
          <w:rFonts w:asciiTheme="majorBidi" w:hAnsiTheme="majorBidi" w:cstheme="majorBidi"/>
          <w:sz w:val="28"/>
          <w:szCs w:val="28"/>
        </w:rPr>
        <w:br/>
      </w:r>
      <w:r w:rsidRPr="002D7391">
        <w:rPr>
          <w:rFonts w:asciiTheme="majorBidi" w:hAnsiTheme="majorBidi" w:cstheme="majorBidi"/>
          <w:sz w:val="28"/>
          <w:szCs w:val="28"/>
          <w:rtl/>
        </w:rPr>
        <w:t>كثير من موظفي المطاعم يُكلَّفون بمهام متعددة، ويتنقلون بين الأدوار (مثل خدمة الطاولات، المساعدة في المطبخ، أو التفاعل مع الزبائن)، ما يجعل المرونة والقدرة على التكيّف شرطًا أساسيًا</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t>تُمكّن</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 xml:space="preserve">من خلق هذا النمط الوظيفي من خلال التدريب التبادلي، وبناء فرق متعددة المهارات، وتشجيع ثقافة التعلم الذاتي، وهي عوامل تُسهم في بناء كفاءات إبداعية مستدامة لدى الموظفين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Jiang et al., 2012</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2D7391">
        <w:rPr>
          <w:rFonts w:asciiTheme="majorBidi" w:hAnsiTheme="majorBidi" w:cstheme="majorBidi"/>
          <w:sz w:val="28"/>
          <w:szCs w:val="28"/>
          <w:rtl/>
        </w:rPr>
        <w:t>.</w:t>
      </w:r>
    </w:p>
    <w:p w14:paraId="6912A258" w14:textId="6170DBF7" w:rsidR="002E6C18" w:rsidRPr="00DC3DDE" w:rsidRDefault="002E6C18" w:rsidP="002E6C18">
      <w:pPr>
        <w:numPr>
          <w:ilvl w:val="0"/>
          <w:numId w:val="24"/>
        </w:numPr>
        <w:bidi/>
        <w:rPr>
          <w:rFonts w:asciiTheme="majorBidi" w:hAnsiTheme="majorBidi" w:cstheme="majorBidi"/>
          <w:sz w:val="28"/>
          <w:szCs w:val="28"/>
        </w:rPr>
      </w:pPr>
      <w:r w:rsidRPr="00DC3DDE">
        <w:rPr>
          <w:rFonts w:asciiTheme="majorBidi" w:hAnsiTheme="majorBidi" w:cstheme="majorBidi"/>
          <w:b/>
          <w:bCs/>
          <w:sz w:val="28"/>
          <w:szCs w:val="28"/>
          <w:rtl/>
        </w:rPr>
        <w:t>التركيز على التجربة الحسية والعاطفية</w:t>
      </w:r>
      <w:r w:rsidRPr="00DC3DDE">
        <w:rPr>
          <w:rFonts w:asciiTheme="majorBidi" w:hAnsiTheme="majorBidi" w:cstheme="majorBidi"/>
          <w:sz w:val="28"/>
          <w:szCs w:val="28"/>
        </w:rPr>
        <w:br/>
      </w:r>
      <w:r w:rsidRPr="002D7391">
        <w:rPr>
          <w:rFonts w:asciiTheme="majorBidi" w:hAnsiTheme="majorBidi" w:cstheme="majorBidi"/>
          <w:sz w:val="28"/>
          <w:szCs w:val="28"/>
          <w:rtl/>
        </w:rPr>
        <w:t>لا يقتصر دور المطعم على تقديم الطعام، بل يشمل تقديم تجربة متكاملة تتضمن الذوق، العرض، التواصل، وبيئة الجلوس</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t>ولهذا يُتوقع من الموظفين تقديم أفكار جديدة تتعلق بطريقة التقديم، أو تحسين أسلوب الخدمة، أو حتى تغيير نبرة التواصل مع الزبون، وهي سلوكيات إبداعية دقيقة ترتبط مباشرة بجودة تجربة العميل. تدعم</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 xml:space="preserve">هذا النمط من الابتكار الخدمي من خلال تعزيز حرية المبادرة ومكافأة التفكير خارج الصندوق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2D7391">
        <w:rPr>
          <w:rFonts w:asciiTheme="majorBidi" w:hAnsiTheme="majorBidi" w:cstheme="majorBidi"/>
          <w:sz w:val="28"/>
          <w:szCs w:val="28"/>
          <w:rtl/>
        </w:rPr>
        <w:instrText>05</w:instrText>
      </w:r>
      <w:r w:rsidRPr="002D7391">
        <w:rPr>
          <w:rFonts w:asciiTheme="majorBidi" w:hAnsiTheme="majorBidi" w:cstheme="majorBidi"/>
          <w:sz w:val="28"/>
          <w:szCs w:val="28"/>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2D7391">
        <w:rPr>
          <w:rFonts w:asciiTheme="majorBidi" w:hAnsiTheme="majorBidi" w:cstheme="majorBidi"/>
          <w:sz w:val="28"/>
          <w:szCs w:val="28"/>
          <w:rtl/>
        </w:rPr>
        <w:instrText>&gt;&lt;/</w:instrText>
      </w:r>
      <w:r w:rsidRPr="002D7391">
        <w:rPr>
          <w:rFonts w:asciiTheme="majorBidi" w:hAnsiTheme="majorBidi" w:cstheme="majorBidi"/>
          <w:sz w:val="28"/>
          <w:szCs w:val="28"/>
        </w:rPr>
        <w:instrText>periodical&gt;&lt;pages&gt;102610&lt;/pages&gt;&lt;volume&gt;90&lt;/volume&gt;&lt;dates&gt;&lt;year&gt;2020&lt;/year&gt;&lt;/dates&gt;&lt;isbn&gt;0278-4319&lt;/isbn&gt;&lt;urls&gt;&lt;/urls&gt;&lt;/record&gt;&lt;/Cite&gt;&lt;/EndNote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Kloutsiniotis and Mihail, 2020</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0AEAFE90" w14:textId="3DCF02DC" w:rsidR="002E6C18" w:rsidRPr="00DC3DDE" w:rsidRDefault="002E6C18" w:rsidP="002E6C18">
      <w:pPr>
        <w:numPr>
          <w:ilvl w:val="0"/>
          <w:numId w:val="24"/>
        </w:numPr>
        <w:bidi/>
        <w:rPr>
          <w:rFonts w:asciiTheme="majorBidi" w:hAnsiTheme="majorBidi" w:cstheme="majorBidi"/>
          <w:sz w:val="28"/>
          <w:szCs w:val="28"/>
        </w:rPr>
      </w:pPr>
      <w:r w:rsidRPr="00DC3DDE">
        <w:rPr>
          <w:rFonts w:asciiTheme="majorBidi" w:hAnsiTheme="majorBidi" w:cstheme="majorBidi"/>
          <w:b/>
          <w:bCs/>
          <w:sz w:val="28"/>
          <w:szCs w:val="28"/>
          <w:rtl/>
        </w:rPr>
        <w:t>العمالة الشابة والمؤقتة</w:t>
      </w:r>
      <w:r w:rsidRPr="00DC3DDE">
        <w:rPr>
          <w:rFonts w:asciiTheme="majorBidi" w:hAnsiTheme="majorBidi" w:cstheme="majorBidi"/>
          <w:sz w:val="28"/>
          <w:szCs w:val="28"/>
        </w:rPr>
        <w:br/>
      </w:r>
      <w:r w:rsidRPr="002D7391">
        <w:rPr>
          <w:rFonts w:asciiTheme="majorBidi" w:hAnsiTheme="majorBidi" w:cstheme="majorBidi"/>
          <w:sz w:val="28"/>
          <w:szCs w:val="28"/>
          <w:rtl/>
        </w:rPr>
        <w:t>يتميز قطاع المطاعم بنسبة عالية من الموظفين الشباب، أو العاملين بدوام جزئي، أو المؤقتين، مما قد يؤدي إلى ضعف الاستقرار الوظيفي وتأثيره السلبي على الإبداع. إلا أن</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تستطيع مواجهة هذه التحديات من خلال تصميم ممارسات مُحفزة وموجهة للفئات قصيرة الأمد، مثل توفير تدريب سريع الفعالية، ومكافآت فورية، ومسارات ترقية مرنة، مما يعزز الالتزام والسلوك الإبداعي حتى لدى العاملين غير الدائمين</w:t>
      </w:r>
      <w:r w:rsidRPr="00DC3DDE">
        <w:rPr>
          <w:rFonts w:asciiTheme="majorBidi" w:hAnsiTheme="majorBidi" w:cstheme="majorBidi"/>
          <w:sz w:val="28"/>
          <w:szCs w:val="28"/>
          <w:rtl/>
        </w:rPr>
        <w:t xml:space="preserve">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&lt;EndNote&gt;&lt;Cite&gt;&lt;Author&gt;Boxall&lt;/Author&gt;&lt;Year&gt;2022&lt;/Year&gt;&lt;RecNum&gt;243&lt;/RecNum&gt;&lt;DisplayText&gt;(Boxall and Purcell, 2022)&lt;/DisplayText&gt;&lt;record&gt;&lt;rec-number&gt;243&lt;/rec-number&gt;&lt;foreign-keys&gt;&lt;key app="EN" db-id="t5vttv59or5xwbe2zdm5ewrxd905arrpawff" timestamp="1720715656"&gt;243&lt;/key&gt;&lt;/foreign-keys&gt;&lt;ref-type name="Book"&gt;6&lt;/ref-type&gt;&lt;contributors&gt;&lt;authors&gt;&lt;author&gt;Boxall, Peter&lt;/author&gt;&lt;author&gt;Purcell, John&lt;/author&gt;&lt;/authors&gt;&lt;/contributors&gt;&lt;titles&gt;&lt;title&gt;Strategy and human resource management&lt;/title&gt;&lt;/titles</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dates&gt;&lt;year&gt;2022&lt;/year&gt;&lt;/dates&gt;&lt;publisher&gt;Bloomsbury Publishing&lt;/publisher&gt;&lt;isbn&gt;1350309877&lt;/isbn&gt;&lt;urls&gt;&lt;/urls&gt;&lt;/record&gt;&lt;/Cite&gt;&lt;/EndNote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Boxall and Purcell, 2022</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1D13E85F" w14:textId="77777777" w:rsidR="002E6C18" w:rsidRPr="00DC3DDE" w:rsidRDefault="002E6C18" w:rsidP="002E6C18">
      <w:pPr>
        <w:bidi/>
        <w:rPr>
          <w:rFonts w:asciiTheme="majorBidi" w:hAnsiTheme="majorBidi" w:cstheme="majorBidi"/>
          <w:b/>
          <w:bCs/>
          <w:sz w:val="28"/>
          <w:szCs w:val="28"/>
        </w:rPr>
      </w:pPr>
      <w:r w:rsidRPr="00DC3DDE">
        <w:rPr>
          <w:rFonts w:asciiTheme="majorBidi" w:hAnsiTheme="majorBidi" w:cstheme="majorBidi"/>
          <w:b/>
          <w:bCs/>
          <w:sz w:val="28"/>
          <w:szCs w:val="28"/>
          <w:rtl/>
        </w:rPr>
        <w:t>الفروقات التشغيلية والثقافية بين القطاعين</w:t>
      </w:r>
    </w:p>
    <w:p w14:paraId="1FC63F2F" w14:textId="5C5DA24B" w:rsidR="002E6C18" w:rsidRPr="00DC3DDE" w:rsidRDefault="002E6C18" w:rsidP="00A0551C">
      <w:pPr>
        <w:bidi/>
        <w:jc w:val="both"/>
        <w:rPr>
          <w:rFonts w:asciiTheme="majorBidi" w:hAnsiTheme="majorBidi" w:cstheme="majorBidi"/>
          <w:sz w:val="28"/>
          <w:szCs w:val="28"/>
        </w:rPr>
      </w:pPr>
      <w:r w:rsidRPr="00DC3DDE">
        <w:rPr>
          <w:rFonts w:asciiTheme="majorBidi" w:hAnsiTheme="majorBidi" w:cstheme="majorBidi"/>
          <w:sz w:val="28"/>
          <w:szCs w:val="28"/>
          <w:rtl/>
        </w:rPr>
        <w:t xml:space="preserve">رغم أن </w:t>
      </w:r>
      <w:r w:rsidRPr="002D7391">
        <w:rPr>
          <w:rFonts w:asciiTheme="majorBidi" w:hAnsiTheme="majorBidi" w:cstheme="majorBidi"/>
          <w:sz w:val="28"/>
          <w:szCs w:val="28"/>
          <w:rtl/>
        </w:rPr>
        <w:t>قطاعي الفنادق والمطاعم ينتميان إلى منظومة واحدة هي صناعة الضيافة والخدمات الفندقية، إ</w:t>
      </w:r>
      <w:r w:rsidRPr="00DC3DDE">
        <w:rPr>
          <w:rFonts w:asciiTheme="majorBidi" w:hAnsiTheme="majorBidi" w:cstheme="majorBidi"/>
          <w:sz w:val="28"/>
          <w:szCs w:val="28"/>
          <w:rtl/>
        </w:rPr>
        <w:t xml:space="preserve">لا أن كلاً منهما يتمتع بخصائص تشغيلية وثقافية فريدة تُشكل طريقة تطبيق </w:t>
      </w:r>
      <w:r w:rsidRPr="00DC3DDE">
        <w:rPr>
          <w:rFonts w:asciiTheme="majorBidi" w:hAnsiTheme="majorBidi" w:cstheme="majorBidi"/>
          <w:b/>
          <w:bCs/>
          <w:sz w:val="28"/>
          <w:szCs w:val="28"/>
          <w:rtl/>
        </w:rPr>
        <w:t>أنظمة العمل عالية الأداء</w:t>
      </w:r>
      <w:r w:rsidR="008D46BA">
        <w:rPr>
          <w:rFonts w:asciiTheme="majorBidi" w:hAnsiTheme="majorBidi" w:cstheme="majorBidi" w:hint="cs"/>
          <w:b/>
          <w:bCs/>
          <w:sz w:val="28"/>
          <w:szCs w:val="28"/>
          <w:rtl/>
        </w:rPr>
        <w:t xml:space="preserve"> </w:t>
      </w:r>
      <w:r w:rsidRPr="00DC3DDE">
        <w:rPr>
          <w:rFonts w:asciiTheme="majorBidi" w:hAnsiTheme="majorBidi" w:cstheme="majorBidi"/>
          <w:b/>
          <w:bCs/>
          <w:sz w:val="28"/>
          <w:szCs w:val="28"/>
        </w:rPr>
        <w:t>(HPWS)</w:t>
      </w:r>
      <w:r w:rsidRPr="00DC3DDE">
        <w:rPr>
          <w:rFonts w:asciiTheme="majorBidi" w:hAnsiTheme="majorBidi" w:cstheme="majorBidi"/>
          <w:sz w:val="28"/>
          <w:szCs w:val="28"/>
          <w:rtl/>
        </w:rPr>
        <w:t xml:space="preserve">، وتؤثر على طبيعة ونمط </w:t>
      </w:r>
      <w:r w:rsidRPr="00DC3DDE">
        <w:rPr>
          <w:rFonts w:asciiTheme="majorBidi" w:hAnsiTheme="majorBidi" w:cstheme="majorBidi"/>
          <w:b/>
          <w:bCs/>
          <w:sz w:val="28"/>
          <w:szCs w:val="28"/>
          <w:rtl/>
        </w:rPr>
        <w:t>الأداء الإبداعي</w:t>
      </w:r>
      <w:r w:rsidRPr="00DC3DDE">
        <w:rPr>
          <w:rFonts w:asciiTheme="majorBidi" w:hAnsiTheme="majorBidi" w:cstheme="majorBidi"/>
          <w:sz w:val="28"/>
          <w:szCs w:val="28"/>
          <w:rtl/>
        </w:rPr>
        <w:t xml:space="preserve"> في كلٍ منهما</w:t>
      </w:r>
      <w:r w:rsidRPr="00DC3DDE">
        <w:rPr>
          <w:rFonts w:asciiTheme="majorBidi" w:hAnsiTheme="majorBidi" w:cstheme="majorBidi"/>
          <w:sz w:val="28"/>
          <w:szCs w:val="28"/>
        </w:rPr>
        <w:t>.</w:t>
      </w:r>
    </w:p>
    <w:p w14:paraId="1372AA2B" w14:textId="77777777" w:rsidR="002E6C18" w:rsidRPr="00DC3DDE" w:rsidRDefault="002E6C18" w:rsidP="002E6C18">
      <w:pPr>
        <w:bidi/>
        <w:rPr>
          <w:rFonts w:asciiTheme="majorBidi" w:hAnsiTheme="majorBidi" w:cstheme="majorBidi"/>
          <w:b/>
          <w:bCs/>
          <w:sz w:val="28"/>
          <w:szCs w:val="28"/>
        </w:rPr>
      </w:pPr>
      <w:r w:rsidRPr="00DC3DDE">
        <w:rPr>
          <w:rFonts w:asciiTheme="majorBidi" w:hAnsiTheme="majorBidi" w:cstheme="majorBidi"/>
          <w:b/>
          <w:bCs/>
          <w:sz w:val="28"/>
          <w:szCs w:val="28"/>
          <w:rtl/>
        </w:rPr>
        <w:t>أولاً</w:t>
      </w:r>
      <w:r w:rsidRPr="00DC3DDE">
        <w:rPr>
          <w:rFonts w:asciiTheme="majorBidi" w:hAnsiTheme="majorBidi" w:cstheme="majorBidi"/>
          <w:b/>
          <w:bCs/>
          <w:sz w:val="28"/>
          <w:szCs w:val="28"/>
        </w:rPr>
        <w:t xml:space="preserve">: </w:t>
      </w:r>
      <w:r w:rsidRPr="00DC3DDE">
        <w:rPr>
          <w:rFonts w:asciiTheme="majorBidi" w:hAnsiTheme="majorBidi" w:cstheme="majorBidi"/>
          <w:b/>
          <w:bCs/>
          <w:sz w:val="28"/>
          <w:szCs w:val="28"/>
          <w:rtl/>
        </w:rPr>
        <w:t>الفروقات التشغيلية</w:t>
      </w:r>
    </w:p>
    <w:p w14:paraId="30F70106" w14:textId="77777777" w:rsidR="002E6C18" w:rsidRPr="00DC3DDE" w:rsidRDefault="002E6C18" w:rsidP="002E6C18">
      <w:pPr>
        <w:numPr>
          <w:ilvl w:val="0"/>
          <w:numId w:val="25"/>
        </w:numPr>
        <w:bidi/>
        <w:rPr>
          <w:rFonts w:asciiTheme="majorBidi" w:hAnsiTheme="majorBidi" w:cstheme="majorBidi"/>
          <w:sz w:val="28"/>
          <w:szCs w:val="28"/>
        </w:rPr>
      </w:pPr>
      <w:r w:rsidRPr="00DC3DDE">
        <w:rPr>
          <w:rFonts w:asciiTheme="majorBidi" w:hAnsiTheme="majorBidi" w:cstheme="majorBidi"/>
          <w:b/>
          <w:bCs/>
          <w:sz w:val="28"/>
          <w:szCs w:val="28"/>
          <w:rtl/>
        </w:rPr>
        <w:t>نمط تقديم الخدمة</w:t>
      </w:r>
      <w:r w:rsidRPr="00DC3DDE">
        <w:rPr>
          <w:rFonts w:asciiTheme="majorBidi" w:hAnsiTheme="majorBidi" w:cstheme="majorBidi"/>
          <w:b/>
          <w:bCs/>
          <w:sz w:val="28"/>
          <w:szCs w:val="28"/>
        </w:rPr>
        <w:t>:</w:t>
      </w:r>
      <w:r w:rsidRPr="00DC3DDE">
        <w:rPr>
          <w:rFonts w:asciiTheme="majorBidi" w:hAnsiTheme="majorBidi" w:cstheme="majorBidi"/>
          <w:sz w:val="28"/>
          <w:szCs w:val="28"/>
        </w:rPr>
        <w:br/>
      </w:r>
      <w:r w:rsidRPr="00DC3DDE">
        <w:rPr>
          <w:rFonts w:asciiTheme="majorBidi" w:hAnsiTheme="majorBidi" w:cstheme="majorBidi"/>
          <w:sz w:val="28"/>
          <w:szCs w:val="28"/>
          <w:rtl/>
        </w:rPr>
        <w:t xml:space="preserve">في قطاع الفنادق، يتم تقديم الخدمة في إطار منظَّم وطويل الأمد نسبيًا، بدءًا من الحجز، إلى الاستقبال، </w:t>
      </w:r>
      <w:r w:rsidRPr="00DC3DDE">
        <w:rPr>
          <w:rFonts w:asciiTheme="majorBidi" w:hAnsiTheme="majorBidi" w:cstheme="majorBidi"/>
          <w:sz w:val="28"/>
          <w:szCs w:val="28"/>
          <w:rtl/>
        </w:rPr>
        <w:lastRenderedPageBreak/>
        <w:t xml:space="preserve">والإقامة، والخدمة المستمرة، بينما في قطاع المطاعم، تكون الخدمة </w:t>
      </w:r>
      <w:r w:rsidRPr="00DC3DDE">
        <w:rPr>
          <w:rFonts w:asciiTheme="majorBidi" w:hAnsiTheme="majorBidi" w:cstheme="majorBidi"/>
          <w:b/>
          <w:bCs/>
          <w:sz w:val="28"/>
          <w:szCs w:val="28"/>
          <w:rtl/>
        </w:rPr>
        <w:t>مباشرة وسريعة ومركزة في الزمن</w:t>
      </w:r>
      <w:r w:rsidRPr="00DC3DDE">
        <w:rPr>
          <w:rFonts w:asciiTheme="majorBidi" w:hAnsiTheme="majorBidi" w:cstheme="majorBidi"/>
          <w:sz w:val="28"/>
          <w:szCs w:val="28"/>
          <w:rtl/>
        </w:rPr>
        <w:t>، ما يفرض على الموظف تقديم استجابات إبداعية فورية وقصيرة الأمد</w:t>
      </w:r>
      <w:r w:rsidRPr="00DC3DDE">
        <w:rPr>
          <w:rFonts w:asciiTheme="majorBidi" w:hAnsiTheme="majorBidi" w:cstheme="majorBidi"/>
          <w:sz w:val="28"/>
          <w:szCs w:val="28"/>
        </w:rPr>
        <w:t>.</w:t>
      </w:r>
    </w:p>
    <w:p w14:paraId="0EEF0F03" w14:textId="1DDBA5DC" w:rsidR="002E6C18" w:rsidRPr="00DC3DDE" w:rsidRDefault="002E6C18" w:rsidP="002E6C18">
      <w:pPr>
        <w:numPr>
          <w:ilvl w:val="0"/>
          <w:numId w:val="25"/>
        </w:numPr>
        <w:bidi/>
        <w:rPr>
          <w:rFonts w:asciiTheme="majorBidi" w:hAnsiTheme="majorBidi" w:cstheme="majorBidi"/>
          <w:sz w:val="28"/>
          <w:szCs w:val="28"/>
        </w:rPr>
      </w:pPr>
      <w:r w:rsidRPr="00DC3DDE">
        <w:rPr>
          <w:rFonts w:asciiTheme="majorBidi" w:hAnsiTheme="majorBidi" w:cstheme="majorBidi"/>
          <w:b/>
          <w:bCs/>
          <w:sz w:val="28"/>
          <w:szCs w:val="28"/>
          <w:rtl/>
        </w:rPr>
        <w:t>هيكلية العمل</w:t>
      </w:r>
      <w:r w:rsidRPr="00DC3DDE">
        <w:rPr>
          <w:rFonts w:asciiTheme="majorBidi" w:hAnsiTheme="majorBidi" w:cstheme="majorBidi"/>
          <w:b/>
          <w:bCs/>
          <w:sz w:val="28"/>
          <w:szCs w:val="28"/>
        </w:rPr>
        <w:t>:</w:t>
      </w:r>
      <w:r w:rsidRPr="00DC3DDE">
        <w:rPr>
          <w:rFonts w:asciiTheme="majorBidi" w:hAnsiTheme="majorBidi" w:cstheme="majorBidi"/>
          <w:sz w:val="28"/>
          <w:szCs w:val="28"/>
        </w:rPr>
        <w:br/>
      </w:r>
      <w:r w:rsidRPr="00DC3DDE">
        <w:rPr>
          <w:rFonts w:asciiTheme="majorBidi" w:hAnsiTheme="majorBidi" w:cstheme="majorBidi"/>
          <w:sz w:val="28"/>
          <w:szCs w:val="28"/>
          <w:rtl/>
        </w:rPr>
        <w:t>الفنادق عادةً ما تُدار وفق هياكل تنظيمية أكثر تعقيدًا، تتضمن إدارات وظيفية واضحة (استقبال، خدمة غرف، أمن</w:t>
      </w:r>
      <w:r w:rsidRPr="002D7391">
        <w:rPr>
          <w:rFonts w:asciiTheme="majorBidi" w:hAnsiTheme="majorBidi" w:cstheme="majorBidi"/>
          <w:sz w:val="28"/>
          <w:szCs w:val="28"/>
          <w:rtl/>
        </w:rPr>
        <w:t>، علاقات عملاء، إلخ)، ما يجعل تطبيق</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فيها أكثر رسمية واستراتيجية. أما في المطاعم، فإن الهيكل عادةً يكون أقل بيروقراطية وأكثر مرونة، ما يسمح بتطبيق</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بشكل عملي وتجريبي، خاصة في سلاسل المطاعم</w:t>
      </w:r>
      <w:r w:rsidRPr="00DC3DDE">
        <w:rPr>
          <w:rFonts w:asciiTheme="majorBidi" w:hAnsiTheme="majorBidi" w:cstheme="majorBidi"/>
          <w:sz w:val="28"/>
          <w:szCs w:val="28"/>
          <w:rtl/>
        </w:rPr>
        <w:t xml:space="preserve"> الصغيرة أو ذات النمط العصري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&lt;EndNote&gt;&lt;Cite&gt;&lt;Author&gt;Boxall&lt;/Author&gt;&lt;Year&gt;2022&lt;/Year&gt;&lt;RecNum&gt;243&lt;/RecNum&gt;&lt;DisplayText&gt;(Boxall and Purcell, 2022)&lt;/DisplayText&gt;&lt;record&gt;&lt;rec-number&gt;243&lt;/rec-number&gt;&lt;foreign-keys&gt;&lt;key app="EN" db-id="t5vttv59or5xwbe2zdm5ewrxd905arrpawff" timestamp="1720715656"&gt;243&lt;/key&gt;&lt;/foreign-keys&gt;&lt;ref-type name="Book"&gt;6&lt;/ref-type&gt;&lt;contributors&gt;&lt;authors&gt;&lt;author&gt;Boxall, Peter&lt;/author&gt;&lt;author&gt;Purcell, John&lt;/author&gt;&lt;/authors&gt;&lt;/contributors&gt;&lt;titles&gt;&lt;title&gt;Strategy and human resource management&lt;/title&gt;&lt;/titles</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dates&gt;&lt;year&gt;2022&lt;/year&gt;&lt;/dates&gt;&lt;publisher&gt;Bloomsbury Publishing&lt;/publisher&gt;&lt;isbn&gt;1350309877&lt;/isbn&gt;&lt;urls&gt;&lt;/urls&gt;&lt;/record&gt;&lt;/Cite&gt;&lt;/EndNote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Boxall and Purcell, 2022</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041F92AD" w14:textId="77777777" w:rsidR="002E6C18" w:rsidRPr="002D7391" w:rsidRDefault="002E6C18" w:rsidP="002E6C18">
      <w:pPr>
        <w:numPr>
          <w:ilvl w:val="0"/>
          <w:numId w:val="25"/>
        </w:numPr>
        <w:bidi/>
        <w:rPr>
          <w:rFonts w:asciiTheme="majorBidi" w:hAnsiTheme="majorBidi" w:cstheme="majorBidi"/>
          <w:sz w:val="28"/>
          <w:szCs w:val="28"/>
        </w:rPr>
      </w:pPr>
      <w:r w:rsidRPr="00DC3DDE">
        <w:rPr>
          <w:rFonts w:asciiTheme="majorBidi" w:hAnsiTheme="majorBidi" w:cstheme="majorBidi"/>
          <w:b/>
          <w:bCs/>
          <w:sz w:val="28"/>
          <w:szCs w:val="28"/>
          <w:rtl/>
        </w:rPr>
        <w:t>التركيز على الخبرة مقابل المنتج</w:t>
      </w:r>
      <w:r w:rsidRPr="00DC3DDE">
        <w:rPr>
          <w:rFonts w:asciiTheme="majorBidi" w:hAnsiTheme="majorBidi" w:cstheme="majorBidi"/>
          <w:b/>
          <w:bCs/>
          <w:sz w:val="28"/>
          <w:szCs w:val="28"/>
        </w:rPr>
        <w:t>:</w:t>
      </w:r>
      <w:r w:rsidRPr="00DC3DDE">
        <w:rPr>
          <w:rFonts w:asciiTheme="majorBidi" w:hAnsiTheme="majorBidi" w:cstheme="majorBidi"/>
          <w:sz w:val="28"/>
          <w:szCs w:val="28"/>
        </w:rPr>
        <w:br/>
      </w:r>
      <w:r w:rsidRPr="002D7391">
        <w:rPr>
          <w:rFonts w:asciiTheme="majorBidi" w:hAnsiTheme="majorBidi" w:cstheme="majorBidi"/>
          <w:sz w:val="28"/>
          <w:szCs w:val="28"/>
          <w:rtl/>
        </w:rPr>
        <w:t>تركز الفنادق على خلق تجربة إقامة متكاملة تشمل أبعادًا متعددة (الراحة، الخصوصية، الأمان، جودة التعامل)، في حين تركز المطاعم على جودة المنتج الغذائي وتجربة التذوق والخدمة اللحظية، وهو ما يجعل نوع الابتكار والإبداع المطلوب يختلف جذريًا في كل قطاع</w:t>
      </w:r>
      <w:r w:rsidRPr="002D7391">
        <w:rPr>
          <w:rFonts w:asciiTheme="majorBidi" w:hAnsiTheme="majorBidi" w:cstheme="majorBidi"/>
          <w:sz w:val="28"/>
          <w:szCs w:val="28"/>
        </w:rPr>
        <w:t>.</w:t>
      </w:r>
    </w:p>
    <w:p w14:paraId="4A4AAD3F" w14:textId="77777777" w:rsidR="002E6C18" w:rsidRPr="00DC3DDE" w:rsidRDefault="002E6C18" w:rsidP="002E6C18">
      <w:pPr>
        <w:bidi/>
        <w:rPr>
          <w:rFonts w:asciiTheme="majorBidi" w:hAnsiTheme="majorBidi" w:cstheme="majorBidi"/>
          <w:b/>
          <w:bCs/>
          <w:sz w:val="28"/>
          <w:szCs w:val="28"/>
        </w:rPr>
      </w:pPr>
      <w:r w:rsidRPr="00DC3DDE">
        <w:rPr>
          <w:rFonts w:asciiTheme="majorBidi" w:hAnsiTheme="majorBidi" w:cstheme="majorBidi"/>
          <w:b/>
          <w:bCs/>
          <w:sz w:val="28"/>
          <w:szCs w:val="28"/>
          <w:rtl/>
        </w:rPr>
        <w:t>ثانيًا</w:t>
      </w:r>
      <w:r w:rsidRPr="00DC3DDE">
        <w:rPr>
          <w:rFonts w:asciiTheme="majorBidi" w:hAnsiTheme="majorBidi" w:cstheme="majorBidi"/>
          <w:b/>
          <w:bCs/>
          <w:sz w:val="28"/>
          <w:szCs w:val="28"/>
        </w:rPr>
        <w:t xml:space="preserve">: </w:t>
      </w:r>
      <w:r w:rsidRPr="00DC3DDE">
        <w:rPr>
          <w:rFonts w:asciiTheme="majorBidi" w:hAnsiTheme="majorBidi" w:cstheme="majorBidi"/>
          <w:b/>
          <w:bCs/>
          <w:sz w:val="28"/>
          <w:szCs w:val="28"/>
          <w:rtl/>
        </w:rPr>
        <w:t>الفروقات الثقافية</w:t>
      </w:r>
    </w:p>
    <w:p w14:paraId="2DE51EC8" w14:textId="77777777" w:rsidR="002E6C18" w:rsidRPr="00DC3DDE" w:rsidRDefault="002E6C18" w:rsidP="002E6C18">
      <w:pPr>
        <w:numPr>
          <w:ilvl w:val="0"/>
          <w:numId w:val="26"/>
        </w:numPr>
        <w:bidi/>
        <w:rPr>
          <w:rFonts w:asciiTheme="majorBidi" w:hAnsiTheme="majorBidi" w:cstheme="majorBidi"/>
          <w:sz w:val="28"/>
          <w:szCs w:val="28"/>
        </w:rPr>
      </w:pPr>
      <w:r w:rsidRPr="00DC3DDE">
        <w:rPr>
          <w:rFonts w:asciiTheme="majorBidi" w:hAnsiTheme="majorBidi" w:cstheme="majorBidi"/>
          <w:b/>
          <w:bCs/>
          <w:sz w:val="28"/>
          <w:szCs w:val="28"/>
          <w:rtl/>
        </w:rPr>
        <w:t>ثقافة العمل والتفاعل الداخلي</w:t>
      </w:r>
      <w:r w:rsidRPr="00DC3DDE">
        <w:rPr>
          <w:rFonts w:asciiTheme="majorBidi" w:hAnsiTheme="majorBidi" w:cstheme="majorBidi"/>
          <w:b/>
          <w:bCs/>
          <w:sz w:val="28"/>
          <w:szCs w:val="28"/>
        </w:rPr>
        <w:t>:</w:t>
      </w:r>
      <w:r w:rsidRPr="00DC3DDE">
        <w:rPr>
          <w:rFonts w:asciiTheme="majorBidi" w:hAnsiTheme="majorBidi" w:cstheme="majorBidi"/>
          <w:sz w:val="28"/>
          <w:szCs w:val="28"/>
        </w:rPr>
        <w:br/>
      </w:r>
      <w:r w:rsidRPr="00DC3DDE">
        <w:rPr>
          <w:rFonts w:asciiTheme="majorBidi" w:hAnsiTheme="majorBidi" w:cstheme="majorBidi"/>
          <w:sz w:val="28"/>
          <w:szCs w:val="28"/>
          <w:rtl/>
        </w:rPr>
        <w:t xml:space="preserve">الثقافة المؤسسية في الفنادق غالبًا ما تتسم بالرسمية والانضباط المهني، مع تركيز على البروتوكولات والخدمة الراقية، مما قد يُقيّد أحيانًا حرية المبادرة الفردية إلا إذا تم التمكين بشكل </w:t>
      </w:r>
      <w:r w:rsidRPr="002D7391">
        <w:rPr>
          <w:rFonts w:asciiTheme="majorBidi" w:hAnsiTheme="majorBidi" w:cstheme="majorBidi"/>
          <w:sz w:val="28"/>
          <w:szCs w:val="28"/>
          <w:rtl/>
        </w:rPr>
        <w:t>واضح. أما في المطاعم، خاصةً الحديثة أو المستقلة، فإن الثقافة تتسم غالبًا بـ المرونة، والعمل الجماعي، وتشجيع التفاعل المفتوح</w:t>
      </w:r>
      <w:r w:rsidRPr="00DC3DDE">
        <w:rPr>
          <w:rFonts w:asciiTheme="majorBidi" w:hAnsiTheme="majorBidi" w:cstheme="majorBidi"/>
          <w:sz w:val="28"/>
          <w:szCs w:val="28"/>
          <w:rtl/>
        </w:rPr>
        <w:t>، ما يخلق مساحة أوسع لتطبيق الممارسات الإبداعية بسرعة ودون حواجز بيروقراطية</w:t>
      </w:r>
      <w:r w:rsidRPr="00DC3DDE">
        <w:rPr>
          <w:rFonts w:asciiTheme="majorBidi" w:hAnsiTheme="majorBidi" w:cstheme="majorBidi"/>
          <w:sz w:val="28"/>
          <w:szCs w:val="28"/>
        </w:rPr>
        <w:t>.</w:t>
      </w:r>
    </w:p>
    <w:p w14:paraId="49DAB0C7" w14:textId="5D568A5D" w:rsidR="002E6C18" w:rsidRPr="00DC3DDE" w:rsidRDefault="002E6C18" w:rsidP="002E6C18">
      <w:pPr>
        <w:numPr>
          <w:ilvl w:val="0"/>
          <w:numId w:val="26"/>
        </w:numPr>
        <w:bidi/>
        <w:rPr>
          <w:rFonts w:asciiTheme="majorBidi" w:hAnsiTheme="majorBidi" w:cstheme="majorBidi"/>
          <w:sz w:val="28"/>
          <w:szCs w:val="28"/>
        </w:rPr>
      </w:pPr>
      <w:r w:rsidRPr="00DC3DDE">
        <w:rPr>
          <w:rFonts w:asciiTheme="majorBidi" w:hAnsiTheme="majorBidi" w:cstheme="majorBidi"/>
          <w:b/>
          <w:bCs/>
          <w:sz w:val="28"/>
          <w:szCs w:val="28"/>
          <w:rtl/>
        </w:rPr>
        <w:t>نوعية القوى العاملة</w:t>
      </w:r>
      <w:r w:rsidRPr="00DC3DDE">
        <w:rPr>
          <w:rFonts w:asciiTheme="majorBidi" w:hAnsiTheme="majorBidi" w:cstheme="majorBidi"/>
          <w:b/>
          <w:bCs/>
          <w:sz w:val="28"/>
          <w:szCs w:val="28"/>
        </w:rPr>
        <w:t>:</w:t>
      </w:r>
      <w:r w:rsidRPr="00DC3DDE">
        <w:rPr>
          <w:rFonts w:asciiTheme="majorBidi" w:hAnsiTheme="majorBidi" w:cstheme="majorBidi"/>
          <w:sz w:val="28"/>
          <w:szCs w:val="28"/>
        </w:rPr>
        <w:br/>
      </w:r>
      <w:r w:rsidRPr="00DC3DDE">
        <w:rPr>
          <w:rFonts w:asciiTheme="majorBidi" w:hAnsiTheme="majorBidi" w:cstheme="majorBidi"/>
          <w:sz w:val="28"/>
          <w:szCs w:val="28"/>
          <w:rtl/>
        </w:rPr>
        <w:t>يضم قطاع الفنادق في الغالب موظفين ذوي خلفيات مهنية أكثر استقرارًا وتدريبًا رسميًا، ما يُسهّل تطبيق نظم</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 xml:space="preserve">التي تتطلب استيعابًا لسياسات التدريب والمكافآت والتطوير. في المقابل، فإن قطاع المطاعم يعتمد </w:t>
      </w:r>
      <w:r w:rsidRPr="00611E7E">
        <w:rPr>
          <w:rFonts w:asciiTheme="majorBidi" w:hAnsiTheme="majorBidi" w:cstheme="majorBidi"/>
          <w:sz w:val="28"/>
          <w:szCs w:val="28"/>
          <w:rtl/>
        </w:rPr>
        <w:t>بدرجة أكبر على العمالة الشبابية أو المؤقتة، مما يستدعي تصميم</w:t>
      </w:r>
      <w:r w:rsidRPr="00611E7E">
        <w:rPr>
          <w:rFonts w:asciiTheme="majorBidi" w:hAnsiTheme="majorBidi" w:cstheme="majorBidi"/>
          <w:sz w:val="28"/>
          <w:szCs w:val="28"/>
        </w:rPr>
        <w:t xml:space="preserve"> HPWS </w:t>
      </w:r>
      <w:r w:rsidRPr="00611E7E">
        <w:rPr>
          <w:rFonts w:asciiTheme="majorBidi" w:hAnsiTheme="majorBidi" w:cstheme="majorBidi"/>
          <w:sz w:val="28"/>
          <w:szCs w:val="28"/>
          <w:rtl/>
        </w:rPr>
        <w:t>بأسلوب يتناسب مع معدلا</w:t>
      </w:r>
      <w:r w:rsidRPr="00DC3DDE">
        <w:rPr>
          <w:rFonts w:asciiTheme="majorBidi" w:hAnsiTheme="majorBidi" w:cstheme="majorBidi"/>
          <w:sz w:val="28"/>
          <w:szCs w:val="28"/>
          <w:rtl/>
        </w:rPr>
        <w:t xml:space="preserve">ت دوران العمل المرتفعة واحتياجات التعلم السريع والتحفيز اللحظي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DC3DDE">
        <w:rPr>
          <w:rFonts w:asciiTheme="majorBidi" w:hAnsiTheme="majorBidi" w:cstheme="majorBidi"/>
          <w:sz w:val="28"/>
          <w:szCs w:val="28"/>
          <w:rtl/>
        </w:rPr>
        <w:instrText>05</w:instrText>
      </w:r>
      <w:r w:rsidRPr="00DC3DDE">
        <w:rPr>
          <w:rFonts w:asciiTheme="majorBidi" w:hAnsiTheme="majorBidi" w:cstheme="majorBidi"/>
          <w:sz w:val="28"/>
          <w:szCs w:val="28"/>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DC3DDE">
        <w:rPr>
          <w:rFonts w:asciiTheme="majorBidi" w:hAnsiTheme="majorBidi" w:cstheme="majorBidi"/>
          <w:sz w:val="28"/>
          <w:szCs w:val="28"/>
          <w:rtl/>
        </w:rPr>
        <w:instrText>&gt;&lt;/</w:instrText>
      </w:r>
      <w:r w:rsidRPr="00DC3DDE">
        <w:rPr>
          <w:rFonts w:asciiTheme="majorBidi" w:hAnsiTheme="majorBidi" w:cstheme="majorBidi"/>
          <w:sz w:val="28"/>
          <w:szCs w:val="28"/>
        </w:rPr>
        <w:instrText>periodical&gt;&lt;pages&gt;102610&lt;/pages&gt;&lt;volume&gt;90&lt;/volume&gt;&lt;dates&gt;&lt;year&gt;2020&lt;/year&gt;&lt;/dates&gt;&lt;isbn&gt;0278-4319&lt;/isbn&gt;&lt;urls&gt;&lt;/urls&gt;&lt;/record&gt;&lt;/Cite&gt;&lt;/EndNote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Kloutsiniotis and Mihail, 2020</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65BC9F21" w14:textId="77777777" w:rsidR="002E6C18" w:rsidRPr="00DC3DDE" w:rsidRDefault="002E6C18" w:rsidP="002E6C18">
      <w:pPr>
        <w:bidi/>
        <w:rPr>
          <w:rFonts w:asciiTheme="majorBidi" w:hAnsiTheme="majorBidi" w:cstheme="majorBidi"/>
          <w:b/>
          <w:bCs/>
          <w:sz w:val="28"/>
          <w:szCs w:val="28"/>
        </w:rPr>
      </w:pPr>
      <w:r w:rsidRPr="00DC3DDE">
        <w:rPr>
          <w:rFonts w:asciiTheme="majorBidi" w:hAnsiTheme="majorBidi" w:cstheme="majorBidi"/>
          <w:b/>
          <w:bCs/>
          <w:sz w:val="28"/>
          <w:szCs w:val="28"/>
          <w:rtl/>
        </w:rPr>
        <w:t>ثالثًا</w:t>
      </w:r>
      <w:r w:rsidRPr="00DC3DDE">
        <w:rPr>
          <w:rFonts w:asciiTheme="majorBidi" w:hAnsiTheme="majorBidi" w:cstheme="majorBidi"/>
          <w:b/>
          <w:bCs/>
          <w:sz w:val="28"/>
          <w:szCs w:val="28"/>
        </w:rPr>
        <w:t xml:space="preserve">: </w:t>
      </w:r>
      <w:r w:rsidRPr="00DC3DDE">
        <w:rPr>
          <w:rFonts w:asciiTheme="majorBidi" w:hAnsiTheme="majorBidi" w:cstheme="majorBidi"/>
          <w:b/>
          <w:bCs/>
          <w:sz w:val="28"/>
          <w:szCs w:val="28"/>
          <w:rtl/>
        </w:rPr>
        <w:t>تأثير هذه الفروقات على العلاقة بين</w:t>
      </w:r>
      <w:r w:rsidRPr="00DC3DDE">
        <w:rPr>
          <w:rFonts w:asciiTheme="majorBidi" w:hAnsiTheme="majorBidi" w:cstheme="majorBidi"/>
          <w:b/>
          <w:bCs/>
          <w:sz w:val="28"/>
          <w:szCs w:val="28"/>
        </w:rPr>
        <w:t xml:space="preserve"> HPWS </w:t>
      </w:r>
      <w:r w:rsidRPr="00DC3DDE">
        <w:rPr>
          <w:rFonts w:asciiTheme="majorBidi" w:hAnsiTheme="majorBidi" w:cstheme="majorBidi"/>
          <w:b/>
          <w:bCs/>
          <w:sz w:val="28"/>
          <w:szCs w:val="28"/>
          <w:rtl/>
        </w:rPr>
        <w:t>والإبداع</w:t>
      </w:r>
    </w:p>
    <w:p w14:paraId="103190DB" w14:textId="77777777" w:rsidR="002E6C18" w:rsidRPr="002D7391" w:rsidRDefault="002E6C18" w:rsidP="00A0551C">
      <w:pPr>
        <w:bidi/>
        <w:jc w:val="both"/>
        <w:rPr>
          <w:rFonts w:asciiTheme="majorBidi" w:hAnsiTheme="majorBidi" w:cstheme="majorBidi"/>
          <w:sz w:val="28"/>
          <w:szCs w:val="28"/>
        </w:rPr>
      </w:pPr>
      <w:r w:rsidRPr="002D7391">
        <w:rPr>
          <w:rFonts w:asciiTheme="majorBidi" w:hAnsiTheme="majorBidi" w:cstheme="majorBidi"/>
          <w:sz w:val="28"/>
          <w:szCs w:val="28"/>
          <w:rtl/>
        </w:rPr>
        <w:t>تنعكس هذه الفروقات على العلاقة بين</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والأداء الإبداعي، حيث تظهر في قطاع الفنادق بشكل أكثر وضوحًا من خلال الإبداع البنيوي والمنهجي في تطوير العمليات والإجراءات وتجربة الضيف، بينما تتجلى في قطاع المطاعم عبر الإبداع اللحظي والخدمي المرتبط بسرعة الاستجابة، ومرونة التفاعل، وتخصيص الخدمة</w:t>
      </w:r>
      <w:r w:rsidRPr="002D7391">
        <w:rPr>
          <w:rFonts w:asciiTheme="majorBidi" w:hAnsiTheme="majorBidi" w:cstheme="majorBidi"/>
          <w:sz w:val="28"/>
          <w:szCs w:val="28"/>
        </w:rPr>
        <w:t>.</w:t>
      </w:r>
    </w:p>
    <w:p w14:paraId="588EC932" w14:textId="0FA402C4" w:rsidR="002E6C18" w:rsidRPr="002D7391" w:rsidRDefault="002E6C18" w:rsidP="00A0551C">
      <w:pPr>
        <w:bidi/>
        <w:jc w:val="both"/>
        <w:rPr>
          <w:rFonts w:asciiTheme="majorBidi" w:hAnsiTheme="majorBidi" w:cstheme="majorBidi"/>
          <w:sz w:val="28"/>
          <w:szCs w:val="28"/>
          <w:rtl/>
        </w:rPr>
      </w:pPr>
      <w:r w:rsidRPr="002D7391">
        <w:rPr>
          <w:rFonts w:asciiTheme="majorBidi" w:hAnsiTheme="majorBidi" w:cstheme="majorBidi"/>
          <w:sz w:val="28"/>
          <w:szCs w:val="28"/>
          <w:rtl/>
        </w:rPr>
        <w:lastRenderedPageBreak/>
        <w:t>بالتالي، فإن أي استراتيجية فعالة لتطبيق</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في هذين القطاعين يجب أن تأخذ في الحسبان هذه الفروقات، وتصمم الممارسات الإدارية والتدريبية والحوافز بما يتلاءم مع طبيعة العمل والسلوكيات الإبداعية المتوقعة في كل سياق. إن الفهم العميق لهذه الفروقات لا يُسهم فقط في تحسين أداء الموظفين، بل في تحقيق الأثر الكامل لأنظمة العمل عالية الأداء على الإبداع التنظيمي</w:t>
      </w:r>
      <w:r w:rsidRPr="002D7391">
        <w:rPr>
          <w:rFonts w:asciiTheme="majorBidi" w:hAnsiTheme="majorBidi" w:cstheme="majorBidi"/>
          <w:sz w:val="28"/>
          <w:szCs w:val="28"/>
        </w:rPr>
        <w:t>.</w:t>
      </w:r>
    </w:p>
    <w:p w14:paraId="4ACFCD79" w14:textId="77777777" w:rsidR="002E6C18" w:rsidRDefault="002E6C18" w:rsidP="00A0551C">
      <w:pPr>
        <w:bidi/>
        <w:jc w:val="both"/>
        <w:rPr>
          <w:rFonts w:asciiTheme="majorBidi" w:hAnsiTheme="majorBidi" w:cstheme="majorBidi"/>
          <w:sz w:val="28"/>
          <w:szCs w:val="28"/>
        </w:rPr>
      </w:pPr>
    </w:p>
    <w:p w14:paraId="76B2B232" w14:textId="77777777" w:rsidR="00812E2C" w:rsidRPr="00683321" w:rsidRDefault="00812E2C" w:rsidP="00812E2C">
      <w:pPr>
        <w:bidi/>
        <w:jc w:val="both"/>
        <w:rPr>
          <w:rFonts w:asciiTheme="majorBidi" w:hAnsiTheme="majorBidi" w:cstheme="majorBidi"/>
          <w:sz w:val="28"/>
          <w:szCs w:val="28"/>
        </w:rPr>
      </w:pPr>
    </w:p>
    <w:p w14:paraId="60C9DFB1" w14:textId="77777777" w:rsidR="00683321" w:rsidRPr="00683321" w:rsidRDefault="00683321" w:rsidP="00683321">
      <w:pPr>
        <w:bidi/>
        <w:rPr>
          <w:rFonts w:asciiTheme="majorBidi" w:hAnsiTheme="majorBidi" w:cstheme="majorBidi"/>
          <w:b/>
          <w:bCs/>
          <w:sz w:val="28"/>
          <w:szCs w:val="28"/>
        </w:rPr>
      </w:pPr>
      <w:r w:rsidRPr="00683321">
        <w:rPr>
          <w:rFonts w:asciiTheme="majorBidi" w:hAnsiTheme="majorBidi" w:cstheme="majorBidi"/>
          <w:b/>
          <w:bCs/>
          <w:sz w:val="28"/>
          <w:szCs w:val="28"/>
          <w:rtl/>
        </w:rPr>
        <w:t>ثانياً – الدراسات السابقة</w:t>
      </w:r>
    </w:p>
    <w:p w14:paraId="3B9777D2" w14:textId="6FD28397" w:rsidR="00683321" w:rsidRPr="00683321" w:rsidRDefault="0027264E" w:rsidP="00683321">
      <w:pPr>
        <w:bidi/>
        <w:rPr>
          <w:rFonts w:asciiTheme="majorBidi" w:hAnsiTheme="majorBidi" w:cstheme="majorBidi"/>
          <w:b/>
          <w:bCs/>
          <w:sz w:val="28"/>
          <w:szCs w:val="28"/>
        </w:rPr>
      </w:pPr>
      <w:r>
        <w:rPr>
          <w:rFonts w:asciiTheme="majorBidi" w:hAnsiTheme="majorBidi" w:cstheme="majorBidi" w:hint="cs"/>
          <w:b/>
          <w:bCs/>
          <w:sz w:val="28"/>
          <w:szCs w:val="28"/>
          <w:rtl/>
        </w:rPr>
        <w:t xml:space="preserve">2.3.1. </w:t>
      </w:r>
      <w:r w:rsidR="00683321" w:rsidRPr="00683321">
        <w:rPr>
          <w:rFonts w:asciiTheme="majorBidi" w:hAnsiTheme="majorBidi" w:cstheme="majorBidi"/>
          <w:b/>
          <w:bCs/>
          <w:sz w:val="28"/>
          <w:szCs w:val="28"/>
          <w:rtl/>
        </w:rPr>
        <w:t>الدراسات التي تناولت العلاقة بين</w:t>
      </w:r>
      <w:r w:rsidR="00683321" w:rsidRPr="00DC3DDE">
        <w:rPr>
          <w:rFonts w:asciiTheme="majorBidi" w:hAnsiTheme="majorBidi" w:cstheme="majorBidi"/>
          <w:b/>
          <w:bCs/>
          <w:sz w:val="28"/>
          <w:szCs w:val="28"/>
          <w:rtl/>
        </w:rPr>
        <w:t xml:space="preserve"> (المستقل)</w:t>
      </w:r>
      <w:r w:rsidR="00683321" w:rsidRPr="00683321">
        <w:rPr>
          <w:rFonts w:asciiTheme="majorBidi" w:hAnsiTheme="majorBidi" w:cstheme="majorBidi"/>
          <w:b/>
          <w:bCs/>
          <w:sz w:val="28"/>
          <w:szCs w:val="28"/>
          <w:rtl/>
        </w:rPr>
        <w:t xml:space="preserve"> أنظمة العمل عالية الأداء</w:t>
      </w:r>
      <w:r w:rsidR="00683321" w:rsidRPr="00683321">
        <w:rPr>
          <w:rFonts w:asciiTheme="majorBidi" w:hAnsiTheme="majorBidi" w:cstheme="majorBidi"/>
          <w:b/>
          <w:bCs/>
          <w:sz w:val="28"/>
          <w:szCs w:val="28"/>
        </w:rPr>
        <w:t xml:space="preserve"> (HPWS) </w:t>
      </w:r>
      <w:r w:rsidR="00683321" w:rsidRPr="00683321">
        <w:rPr>
          <w:rFonts w:asciiTheme="majorBidi" w:hAnsiTheme="majorBidi" w:cstheme="majorBidi"/>
          <w:b/>
          <w:bCs/>
          <w:sz w:val="28"/>
          <w:szCs w:val="28"/>
          <w:rtl/>
        </w:rPr>
        <w:t>و</w:t>
      </w:r>
      <w:r w:rsidR="00683321" w:rsidRPr="00DC3DDE">
        <w:rPr>
          <w:rFonts w:asciiTheme="majorBidi" w:hAnsiTheme="majorBidi" w:cstheme="majorBidi"/>
          <w:b/>
          <w:bCs/>
          <w:sz w:val="28"/>
          <w:szCs w:val="28"/>
          <w:rtl/>
        </w:rPr>
        <w:t xml:space="preserve"> (التابع) </w:t>
      </w:r>
      <w:r w:rsidR="00683321" w:rsidRPr="00683321">
        <w:rPr>
          <w:rFonts w:asciiTheme="majorBidi" w:hAnsiTheme="majorBidi" w:cstheme="majorBidi"/>
          <w:b/>
          <w:bCs/>
          <w:sz w:val="28"/>
          <w:szCs w:val="28"/>
          <w:rtl/>
        </w:rPr>
        <w:t>الإبداع الوظيفي</w:t>
      </w:r>
    </w:p>
    <w:p w14:paraId="496964D0" w14:textId="292ABFB9" w:rsidR="00FE592E" w:rsidRPr="00FE592E" w:rsidRDefault="00683321" w:rsidP="00A0551C">
      <w:pPr>
        <w:bidi/>
        <w:jc w:val="both"/>
        <w:rPr>
          <w:rFonts w:asciiTheme="majorBidi" w:hAnsiTheme="majorBidi" w:cstheme="majorBidi"/>
          <w:sz w:val="28"/>
          <w:szCs w:val="28"/>
          <w:rtl/>
        </w:rPr>
      </w:pPr>
      <w:r w:rsidRPr="00683321">
        <w:rPr>
          <w:rFonts w:asciiTheme="majorBidi" w:hAnsiTheme="majorBidi" w:cstheme="majorBidi"/>
          <w:sz w:val="28"/>
          <w:szCs w:val="28"/>
          <w:rtl/>
        </w:rPr>
        <w:t>أجرت عدة دراسات ميدانية تحليلًا لعلاقة أنظمة العمل عالية الأداء</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 xml:space="preserve">بالإبداع الوظيفي أو نتائج الابتكار داخل المؤسسات. </w:t>
      </w:r>
      <w:r w:rsidR="00FE592E" w:rsidRPr="00683321">
        <w:rPr>
          <w:rFonts w:asciiTheme="majorBidi" w:hAnsiTheme="majorBidi" w:cstheme="majorBidi"/>
          <w:sz w:val="28"/>
          <w:szCs w:val="28"/>
          <w:rtl/>
        </w:rPr>
        <w:t>بيّنت دراسة رضوان وعبد المنعم (2024) في بنوك مصر أن أثر</w:t>
      </w:r>
      <w:r w:rsidR="00FE592E" w:rsidRPr="00683321">
        <w:rPr>
          <w:rFonts w:asciiTheme="majorBidi" w:hAnsiTheme="majorBidi" w:cstheme="majorBidi"/>
          <w:sz w:val="28"/>
          <w:szCs w:val="28"/>
        </w:rPr>
        <w:t xml:space="preserve"> HPWS </w:t>
      </w:r>
      <w:r w:rsidR="00FE592E" w:rsidRPr="00683321">
        <w:rPr>
          <w:rFonts w:asciiTheme="majorBidi" w:hAnsiTheme="majorBidi" w:cstheme="majorBidi"/>
          <w:sz w:val="28"/>
          <w:szCs w:val="28"/>
          <w:rtl/>
        </w:rPr>
        <w:t>على الأداء التنظيمي يتحقق جزئيًا عبر تنمية رأس المال الفكري (المعرفة والمهارات المنظمة)، وهو عنصر أساسي لبيئة إبداعية؛ إذ وجدت الدراسة أن بعض أبعاد</w:t>
      </w:r>
      <w:r w:rsidR="00FE592E" w:rsidRPr="00683321">
        <w:rPr>
          <w:rFonts w:asciiTheme="majorBidi" w:hAnsiTheme="majorBidi" w:cstheme="majorBidi"/>
          <w:sz w:val="28"/>
          <w:szCs w:val="28"/>
        </w:rPr>
        <w:t xml:space="preserve"> HPWS – </w:t>
      </w:r>
      <w:r w:rsidR="00FE592E" w:rsidRPr="00683321">
        <w:rPr>
          <w:rFonts w:asciiTheme="majorBidi" w:hAnsiTheme="majorBidi" w:cstheme="majorBidi"/>
          <w:sz w:val="28"/>
          <w:szCs w:val="28"/>
          <w:rtl/>
        </w:rPr>
        <w:t>ولا سيما ممارسات التمكين والتحفيز – لها تأثيرات مباشرة وإيجابية على الأداء عبر تعزيز رأس المال الفكري المتوسط</w:t>
      </w:r>
      <w:r w:rsidR="00FE592E" w:rsidRPr="00DC3DDE">
        <w:rPr>
          <w:rFonts w:asciiTheme="majorBidi" w:hAnsiTheme="majorBidi" w:cstheme="majorBidi"/>
          <w:sz w:val="28"/>
          <w:szCs w:val="28"/>
          <w:rtl/>
        </w:rPr>
        <w:t xml:space="preserve"> </w:t>
      </w:r>
      <w:r w:rsidR="00FE592E" w:rsidRPr="00DC3DDE">
        <w:rPr>
          <w:rFonts w:asciiTheme="majorBidi" w:hAnsiTheme="majorBidi" w:cstheme="majorBidi"/>
          <w:sz w:val="28"/>
          <w:szCs w:val="28"/>
          <w:rtl/>
        </w:rPr>
        <w:fldChar w:fldCharType="begin"/>
      </w:r>
      <w:r w:rsidR="00FE592E" w:rsidRPr="00DC3DDE">
        <w:rPr>
          <w:rFonts w:asciiTheme="majorBidi" w:hAnsiTheme="majorBidi" w:cstheme="majorBidi"/>
          <w:sz w:val="28"/>
          <w:szCs w:val="28"/>
          <w:rtl/>
        </w:rPr>
        <w:instrText xml:space="preserve"> </w:instrText>
      </w:r>
      <w:r w:rsidR="00FE592E" w:rsidRPr="00DC3DDE">
        <w:rPr>
          <w:rFonts w:asciiTheme="majorBidi" w:hAnsiTheme="majorBidi" w:cstheme="majorBidi"/>
          <w:sz w:val="28"/>
          <w:szCs w:val="28"/>
        </w:rPr>
        <w:instrText>ADDIN EN.CITE &lt;EndNote&gt;&lt;Cite&gt;&lt;Author</w:instrText>
      </w:r>
      <w:r w:rsidR="00FE592E" w:rsidRPr="00DC3DDE">
        <w:rPr>
          <w:rFonts w:asciiTheme="majorBidi" w:hAnsiTheme="majorBidi" w:cstheme="majorBidi"/>
          <w:sz w:val="28"/>
          <w:szCs w:val="28"/>
          <w:rtl/>
        </w:rPr>
        <w:instrText>&gt;عبدالمنعم&lt;/</w:instrText>
      </w:r>
      <w:r w:rsidR="00FE592E" w:rsidRPr="00DC3DDE">
        <w:rPr>
          <w:rFonts w:asciiTheme="majorBidi" w:hAnsiTheme="majorBidi" w:cstheme="majorBidi"/>
          <w:sz w:val="28"/>
          <w:szCs w:val="28"/>
        </w:rPr>
        <w:instrText>Author&gt;&lt;Year&gt;2024&lt;/Year&gt;&lt;RecNum&gt;1372&lt;/RecNum&gt;&lt;DisplayText</w:instrText>
      </w:r>
      <w:r w:rsidR="00FE592E" w:rsidRPr="00DC3DDE">
        <w:rPr>
          <w:rFonts w:asciiTheme="majorBidi" w:hAnsiTheme="majorBidi" w:cstheme="majorBidi"/>
          <w:sz w:val="28"/>
          <w:szCs w:val="28"/>
          <w:rtl/>
        </w:rPr>
        <w:instrText xml:space="preserve">&gt;(عبدالمنعم </w:instrText>
      </w:r>
      <w:r w:rsidR="00FE592E" w:rsidRPr="00DC3DDE">
        <w:rPr>
          <w:rFonts w:asciiTheme="majorBidi" w:hAnsiTheme="majorBidi" w:cstheme="majorBidi"/>
          <w:sz w:val="28"/>
          <w:szCs w:val="28"/>
        </w:rPr>
        <w:instrText>et al., 2024</w:instrText>
      </w:r>
      <w:r w:rsidR="00FE592E" w:rsidRPr="00DC3DDE">
        <w:rPr>
          <w:rFonts w:asciiTheme="majorBidi" w:hAnsiTheme="majorBidi" w:cstheme="majorBidi"/>
          <w:sz w:val="28"/>
          <w:szCs w:val="28"/>
          <w:rtl/>
        </w:rPr>
        <w:instrText>)&lt;/</w:instrText>
      </w:r>
      <w:r w:rsidR="00FE592E" w:rsidRPr="00DC3DDE">
        <w:rPr>
          <w:rFonts w:asciiTheme="majorBidi" w:hAnsiTheme="majorBidi" w:cstheme="majorBidi"/>
          <w:sz w:val="28"/>
          <w:szCs w:val="28"/>
        </w:rPr>
        <w:instrText>DisplayText&gt;&lt;record&gt;&lt;rec-number&gt;1372&lt;/rec-number&gt;&lt;foreign-keys&gt;&lt;key app="EN" db-id="t5vttv59or5xwbe2zdm5ewrxd905arrpawff</w:instrText>
      </w:r>
      <w:r w:rsidR="00FE592E" w:rsidRPr="00DC3DDE">
        <w:rPr>
          <w:rFonts w:asciiTheme="majorBidi" w:hAnsiTheme="majorBidi" w:cstheme="majorBidi"/>
          <w:sz w:val="28"/>
          <w:szCs w:val="28"/>
          <w:rtl/>
        </w:rPr>
        <w:instrText xml:space="preserve">" </w:instrText>
      </w:r>
      <w:r w:rsidR="00FE592E" w:rsidRPr="00DC3DDE">
        <w:rPr>
          <w:rFonts w:asciiTheme="majorBidi" w:hAnsiTheme="majorBidi" w:cstheme="majorBidi"/>
          <w:sz w:val="28"/>
          <w:szCs w:val="28"/>
        </w:rPr>
        <w:instrText>timestamp="1730978488"&gt;1372&lt;/key&gt;&lt;/foreign-keys&gt;&lt;ref-type name="Journal Article"&gt;17&lt;/ref-type&gt;&lt;contributors&gt;&lt;authors&gt;&lt;author</w:instrText>
      </w:r>
      <w:r w:rsidR="00FE592E" w:rsidRPr="00DC3DDE">
        <w:rPr>
          <w:rFonts w:asciiTheme="majorBidi" w:hAnsiTheme="majorBidi" w:cstheme="majorBidi"/>
          <w:sz w:val="28"/>
          <w:szCs w:val="28"/>
          <w:rtl/>
        </w:rPr>
        <w:instrText>&gt;عبدالمنعم, مصطفى سيد خلف الله&lt;/</w:instrText>
      </w:r>
      <w:r w:rsidR="00FE592E" w:rsidRPr="00DC3DDE">
        <w:rPr>
          <w:rFonts w:asciiTheme="majorBidi" w:hAnsiTheme="majorBidi" w:cstheme="majorBidi"/>
          <w:sz w:val="28"/>
          <w:szCs w:val="28"/>
        </w:rPr>
        <w:instrText>author&gt;&lt;author</w:instrText>
      </w:r>
      <w:r w:rsidR="00FE592E" w:rsidRPr="00DC3DDE">
        <w:rPr>
          <w:rFonts w:asciiTheme="majorBidi" w:hAnsiTheme="majorBidi" w:cstheme="majorBidi"/>
          <w:sz w:val="28"/>
          <w:szCs w:val="28"/>
          <w:rtl/>
        </w:rPr>
        <w:instrText>&gt;مصطفى سيد خلف الله&lt;/</w:instrText>
      </w:r>
      <w:r w:rsidR="00FE592E" w:rsidRPr="00DC3DDE">
        <w:rPr>
          <w:rFonts w:asciiTheme="majorBidi" w:hAnsiTheme="majorBidi" w:cstheme="majorBidi"/>
          <w:sz w:val="28"/>
          <w:szCs w:val="28"/>
        </w:rPr>
        <w:instrText>author&gt;&lt;author</w:instrText>
      </w:r>
      <w:r w:rsidR="00FE592E" w:rsidRPr="00DC3DDE">
        <w:rPr>
          <w:rFonts w:asciiTheme="majorBidi" w:hAnsiTheme="majorBidi" w:cstheme="majorBidi"/>
          <w:sz w:val="28"/>
          <w:szCs w:val="28"/>
          <w:rtl/>
        </w:rPr>
        <w:instrText>&gt;رضوان&lt;/</w:instrText>
      </w:r>
      <w:r w:rsidR="00FE592E" w:rsidRPr="00DC3DDE">
        <w:rPr>
          <w:rFonts w:asciiTheme="majorBidi" w:hAnsiTheme="majorBidi" w:cstheme="majorBidi"/>
          <w:sz w:val="28"/>
          <w:szCs w:val="28"/>
        </w:rPr>
        <w:instrText>author&gt;&lt;author</w:instrText>
      </w:r>
      <w:r w:rsidR="00FE592E" w:rsidRPr="00DC3DDE">
        <w:rPr>
          <w:rFonts w:asciiTheme="majorBidi" w:hAnsiTheme="majorBidi" w:cstheme="majorBidi"/>
          <w:sz w:val="28"/>
          <w:szCs w:val="28"/>
          <w:rtl/>
        </w:rPr>
        <w:instrText>&gt;كوكب أحمد محمد&lt;/</w:instrText>
      </w:r>
      <w:r w:rsidR="00FE592E" w:rsidRPr="00DC3DDE">
        <w:rPr>
          <w:rFonts w:asciiTheme="majorBidi" w:hAnsiTheme="majorBidi" w:cstheme="majorBidi"/>
          <w:sz w:val="28"/>
          <w:szCs w:val="28"/>
        </w:rPr>
        <w:instrText>author&gt;&lt;/authors&gt;&lt;/contributors&gt;&lt;titles&gt;&lt;title</w:instrText>
      </w:r>
      <w:r w:rsidR="00FE592E" w:rsidRPr="00DC3DDE">
        <w:rPr>
          <w:rFonts w:asciiTheme="majorBidi" w:hAnsiTheme="majorBidi" w:cstheme="majorBidi"/>
          <w:sz w:val="28"/>
          <w:szCs w:val="28"/>
          <w:rtl/>
        </w:rPr>
        <w:instrText>&gt;تأثير ممارسات نظم العمل عالية الأداء على الأداء التنظيمي من خلال رأس المال الفكري كمتغير وسيط تداخلي: دراسة ميدانية مُطبقة على العاملين في قطاع البنوك بمدينة أسيوط&lt;/</w:instrText>
      </w:r>
      <w:r w:rsidR="00FE592E" w:rsidRPr="00DC3DDE">
        <w:rPr>
          <w:rFonts w:asciiTheme="majorBidi" w:hAnsiTheme="majorBidi" w:cstheme="majorBidi"/>
          <w:sz w:val="28"/>
          <w:szCs w:val="28"/>
        </w:rPr>
        <w:instrText>title&gt;&lt;secondary-title</w:instrText>
      </w:r>
      <w:r w:rsidR="00FE592E" w:rsidRPr="00DC3DDE">
        <w:rPr>
          <w:rFonts w:asciiTheme="majorBidi" w:hAnsiTheme="majorBidi" w:cstheme="majorBidi"/>
          <w:sz w:val="28"/>
          <w:szCs w:val="28"/>
          <w:rtl/>
        </w:rPr>
        <w:instrText>&gt;مجلة البحوث المالية والتجارية&lt;/</w:instrText>
      </w:r>
      <w:r w:rsidR="00FE592E" w:rsidRPr="00DC3DDE">
        <w:rPr>
          <w:rFonts w:asciiTheme="majorBidi" w:hAnsiTheme="majorBidi" w:cstheme="majorBidi"/>
          <w:sz w:val="28"/>
          <w:szCs w:val="28"/>
        </w:rPr>
        <w:instrText>secondary-title&gt;&lt;/titles&gt;&lt;periodical&gt;&lt;full-title</w:instrText>
      </w:r>
      <w:r w:rsidR="00FE592E" w:rsidRPr="00DC3DDE">
        <w:rPr>
          <w:rFonts w:asciiTheme="majorBidi" w:hAnsiTheme="majorBidi" w:cstheme="majorBidi"/>
          <w:sz w:val="28"/>
          <w:szCs w:val="28"/>
          <w:rtl/>
        </w:rPr>
        <w:instrText>&gt;مجلة البحوث المالية والتجارية&lt;/</w:instrText>
      </w:r>
      <w:r w:rsidR="00FE592E" w:rsidRPr="00DC3DDE">
        <w:rPr>
          <w:rFonts w:asciiTheme="majorBidi" w:hAnsiTheme="majorBidi" w:cstheme="majorBidi"/>
          <w:sz w:val="28"/>
          <w:szCs w:val="28"/>
        </w:rPr>
        <w:instrText>full-title&gt;&lt;/periodical&gt;&lt;pages&gt;842-941&lt;/pages&gt;&lt;volume&gt;25&lt;/volume&gt;&lt;number&gt;4&lt;/number&gt;&lt;dates&gt;&lt;year&gt;2024&lt;/year&gt;&lt;/dates&gt;&lt;isbn&gt;2090-5327&lt;/isbn&gt;&lt;urls&gt;&lt;/urls&gt;&lt;/record&gt;&lt;/Cite&gt;&lt;/EndNote</w:instrText>
      </w:r>
      <w:r w:rsidR="00FE592E" w:rsidRPr="00DC3DDE">
        <w:rPr>
          <w:rFonts w:asciiTheme="majorBidi" w:hAnsiTheme="majorBidi" w:cstheme="majorBidi"/>
          <w:sz w:val="28"/>
          <w:szCs w:val="28"/>
          <w:rtl/>
        </w:rPr>
        <w:instrText>&gt;</w:instrText>
      </w:r>
      <w:r w:rsidR="00FE592E" w:rsidRPr="00DC3DDE">
        <w:rPr>
          <w:rFonts w:asciiTheme="majorBidi" w:hAnsiTheme="majorBidi" w:cstheme="majorBidi"/>
          <w:sz w:val="28"/>
          <w:szCs w:val="28"/>
          <w:rtl/>
        </w:rPr>
        <w:fldChar w:fldCharType="separate"/>
      </w:r>
      <w:r w:rsidR="00FE592E" w:rsidRPr="00DC3DDE">
        <w:rPr>
          <w:rFonts w:asciiTheme="majorBidi" w:hAnsiTheme="majorBidi" w:cstheme="majorBidi"/>
          <w:noProof/>
          <w:sz w:val="28"/>
          <w:szCs w:val="28"/>
          <w:rtl/>
        </w:rPr>
        <w:t xml:space="preserve">(عبدالمنعم </w:t>
      </w:r>
      <w:r w:rsidR="00FE592E" w:rsidRPr="00DC3DDE">
        <w:rPr>
          <w:rFonts w:asciiTheme="majorBidi" w:hAnsiTheme="majorBidi" w:cstheme="majorBidi"/>
          <w:noProof/>
          <w:sz w:val="28"/>
          <w:szCs w:val="28"/>
        </w:rPr>
        <w:t>et al., 2024</w:t>
      </w:r>
      <w:r w:rsidR="00FE592E" w:rsidRPr="00DC3DDE">
        <w:rPr>
          <w:rFonts w:asciiTheme="majorBidi" w:hAnsiTheme="majorBidi" w:cstheme="majorBidi"/>
          <w:noProof/>
          <w:sz w:val="28"/>
          <w:szCs w:val="28"/>
          <w:rtl/>
        </w:rPr>
        <w:t>)</w:t>
      </w:r>
      <w:r w:rsidR="00FE592E" w:rsidRPr="00DC3DDE">
        <w:rPr>
          <w:rFonts w:asciiTheme="majorBidi" w:hAnsiTheme="majorBidi" w:cstheme="majorBidi"/>
          <w:sz w:val="28"/>
          <w:szCs w:val="28"/>
          <w:rtl/>
        </w:rPr>
        <w:fldChar w:fldCharType="end"/>
      </w:r>
      <w:r w:rsidR="00FE592E" w:rsidRPr="00DC3DDE">
        <w:rPr>
          <w:rFonts w:asciiTheme="majorBidi" w:hAnsiTheme="majorBidi" w:cstheme="majorBidi"/>
          <w:sz w:val="28"/>
          <w:szCs w:val="28"/>
          <w:rtl/>
        </w:rPr>
        <w:t xml:space="preserve">. </w:t>
      </w:r>
      <w:r w:rsidR="00FE592E" w:rsidRPr="00683321">
        <w:rPr>
          <w:rFonts w:asciiTheme="majorBidi" w:hAnsiTheme="majorBidi" w:cstheme="majorBidi"/>
          <w:sz w:val="28"/>
          <w:szCs w:val="28"/>
        </w:rPr>
        <w:t xml:space="preserve"> </w:t>
      </w:r>
      <w:r w:rsidR="00FE592E" w:rsidRPr="00683321">
        <w:rPr>
          <w:rFonts w:asciiTheme="majorBidi" w:hAnsiTheme="majorBidi" w:cstheme="majorBidi"/>
          <w:sz w:val="28"/>
          <w:szCs w:val="28"/>
          <w:rtl/>
        </w:rPr>
        <w:t>وبالمثل، كشفت دراسة الخالدي ونايف (2024) أن تطبيق</w:t>
      </w:r>
      <w:r w:rsidR="00FE592E" w:rsidRPr="00683321">
        <w:rPr>
          <w:rFonts w:asciiTheme="majorBidi" w:hAnsiTheme="majorBidi" w:cstheme="majorBidi"/>
          <w:sz w:val="28"/>
          <w:szCs w:val="28"/>
        </w:rPr>
        <w:t xml:space="preserve"> HPWS </w:t>
      </w:r>
      <w:r w:rsidR="00FE592E" w:rsidRPr="00683321">
        <w:rPr>
          <w:rFonts w:asciiTheme="majorBidi" w:hAnsiTheme="majorBidi" w:cstheme="majorBidi"/>
          <w:sz w:val="28"/>
          <w:szCs w:val="28"/>
          <w:rtl/>
        </w:rPr>
        <w:t>في جامعة كويتية يحسن مؤشرات التميز المؤسسي (كجودة العمل والالتزام والمرونة)، مع تباين في كيفية إدراك الأساتذة لهذه الأبعاد حسب خصائصهم الديموغرافية. ورغم أن هذه الدراسة لم تقيس الإبداع مباشرة، فإن المتغيرات التي درستها (مثل المرونة وجودة المخرجات) ترتبط ارتباطًا وثيقًا ببيئات العمل الإبداعية، خاصةً حين تكون نابعة عن نظم عمل قائمة على المشاركة والتنمية</w:t>
      </w:r>
      <w:r w:rsidR="00FE592E" w:rsidRPr="00683321">
        <w:rPr>
          <w:rFonts w:asciiTheme="majorBidi" w:hAnsiTheme="majorBidi" w:cstheme="majorBidi"/>
          <w:sz w:val="28"/>
          <w:szCs w:val="28"/>
        </w:rPr>
        <w:t xml:space="preserve"> </w:t>
      </w:r>
      <w:r w:rsidR="00FE592E" w:rsidRPr="00DC3DDE">
        <w:rPr>
          <w:rFonts w:asciiTheme="majorBidi" w:hAnsiTheme="majorBidi" w:cstheme="majorBidi"/>
          <w:sz w:val="28"/>
          <w:szCs w:val="28"/>
          <w:rtl/>
        </w:rPr>
        <w:t xml:space="preserve"> </w:t>
      </w:r>
      <w:r w:rsidR="00FE592E" w:rsidRPr="00DC3DDE">
        <w:rPr>
          <w:rFonts w:asciiTheme="majorBidi" w:hAnsiTheme="majorBidi" w:cstheme="majorBidi"/>
          <w:sz w:val="28"/>
          <w:szCs w:val="28"/>
          <w:rtl/>
        </w:rPr>
        <w:fldChar w:fldCharType="begin"/>
      </w:r>
      <w:r w:rsidR="00FE592E" w:rsidRPr="00DC3DDE">
        <w:rPr>
          <w:rFonts w:asciiTheme="majorBidi" w:hAnsiTheme="majorBidi" w:cstheme="majorBidi"/>
          <w:sz w:val="28"/>
          <w:szCs w:val="28"/>
          <w:rtl/>
        </w:rPr>
        <w:instrText xml:space="preserve"> </w:instrText>
      </w:r>
      <w:r w:rsidR="00FE592E" w:rsidRPr="00DC3DDE">
        <w:rPr>
          <w:rFonts w:asciiTheme="majorBidi" w:hAnsiTheme="majorBidi" w:cstheme="majorBidi"/>
          <w:sz w:val="28"/>
          <w:szCs w:val="28"/>
        </w:rPr>
        <w:instrText>ADDIN EN.CITE &lt;EndNote&gt;&lt;Cite&gt;&lt;Author</w:instrText>
      </w:r>
      <w:r w:rsidR="00FE592E" w:rsidRPr="00DC3DDE">
        <w:rPr>
          <w:rFonts w:asciiTheme="majorBidi" w:hAnsiTheme="majorBidi" w:cstheme="majorBidi"/>
          <w:sz w:val="28"/>
          <w:szCs w:val="28"/>
          <w:rtl/>
        </w:rPr>
        <w:instrText>&gt;الخالدي&lt;/</w:instrText>
      </w:r>
      <w:r w:rsidR="00FE592E" w:rsidRPr="00DC3DDE">
        <w:rPr>
          <w:rFonts w:asciiTheme="majorBidi" w:hAnsiTheme="majorBidi" w:cstheme="majorBidi"/>
          <w:sz w:val="28"/>
          <w:szCs w:val="28"/>
        </w:rPr>
        <w:instrText>Author&gt;&lt;Year&gt;2024&lt;/Year&gt;&lt;RecNum&gt;2357&lt;/RecNum&gt;&lt;DisplayText</w:instrText>
      </w:r>
      <w:r w:rsidR="00FE592E" w:rsidRPr="00DC3DDE">
        <w:rPr>
          <w:rFonts w:asciiTheme="majorBidi" w:hAnsiTheme="majorBidi" w:cstheme="majorBidi"/>
          <w:sz w:val="28"/>
          <w:szCs w:val="28"/>
          <w:rtl/>
        </w:rPr>
        <w:instrText xml:space="preserve">&gt;(الخالدي </w:instrText>
      </w:r>
      <w:r w:rsidR="00FE592E" w:rsidRPr="00DC3DDE">
        <w:rPr>
          <w:rFonts w:asciiTheme="majorBidi" w:hAnsiTheme="majorBidi" w:cstheme="majorBidi"/>
          <w:sz w:val="28"/>
          <w:szCs w:val="28"/>
        </w:rPr>
        <w:instrText>and</w:instrText>
      </w:r>
      <w:r w:rsidR="00FE592E" w:rsidRPr="00DC3DDE">
        <w:rPr>
          <w:rFonts w:asciiTheme="majorBidi" w:hAnsiTheme="majorBidi" w:cstheme="majorBidi"/>
          <w:sz w:val="28"/>
          <w:szCs w:val="28"/>
          <w:rtl/>
        </w:rPr>
        <w:instrText xml:space="preserve"> نايف, 2024)&lt;/</w:instrText>
      </w:r>
      <w:r w:rsidR="00FE592E" w:rsidRPr="00DC3DDE">
        <w:rPr>
          <w:rFonts w:asciiTheme="majorBidi" w:hAnsiTheme="majorBidi" w:cstheme="majorBidi"/>
          <w:sz w:val="28"/>
          <w:szCs w:val="28"/>
        </w:rPr>
        <w:instrText>DisplayText&gt;&lt;record&gt;&lt;rec-number&gt;2357&lt;/rec-number&gt;&lt;foreign-keys&gt;&lt;key app="EN" db-id="t5vttv59or5xwbe2zdm5ewrxd905arrpawff" timestamp="1744503231"&gt;2357&lt;/key&gt;&lt;/foreign-keys&gt;&lt;ref-type name="Journal Article"&gt;17&lt;/ref-type&gt;&lt;contributors&gt;&lt;authors&gt;&lt;author</w:instrText>
      </w:r>
      <w:r w:rsidR="00FE592E" w:rsidRPr="00DC3DDE">
        <w:rPr>
          <w:rFonts w:asciiTheme="majorBidi" w:hAnsiTheme="majorBidi" w:cstheme="majorBidi"/>
          <w:sz w:val="28"/>
          <w:szCs w:val="28"/>
          <w:rtl/>
        </w:rPr>
        <w:instrText>&gt;الخالدي&lt;/</w:instrText>
      </w:r>
      <w:r w:rsidR="00FE592E" w:rsidRPr="00DC3DDE">
        <w:rPr>
          <w:rFonts w:asciiTheme="majorBidi" w:hAnsiTheme="majorBidi" w:cstheme="majorBidi"/>
          <w:sz w:val="28"/>
          <w:szCs w:val="28"/>
        </w:rPr>
        <w:instrText>author&gt;&lt;author</w:instrText>
      </w:r>
      <w:r w:rsidR="00FE592E" w:rsidRPr="00DC3DDE">
        <w:rPr>
          <w:rFonts w:asciiTheme="majorBidi" w:hAnsiTheme="majorBidi" w:cstheme="majorBidi"/>
          <w:sz w:val="28"/>
          <w:szCs w:val="28"/>
          <w:rtl/>
        </w:rPr>
        <w:instrText>&gt;د. خالد سعد نايف&lt;/</w:instrText>
      </w:r>
      <w:r w:rsidR="00FE592E" w:rsidRPr="00DC3DDE">
        <w:rPr>
          <w:rFonts w:asciiTheme="majorBidi" w:hAnsiTheme="majorBidi" w:cstheme="majorBidi"/>
          <w:sz w:val="28"/>
          <w:szCs w:val="28"/>
        </w:rPr>
        <w:instrText>author&gt;&lt;/authors&gt;&lt;/contributors&gt;&lt;titles&gt;&lt;title</w:instrText>
      </w:r>
      <w:r w:rsidR="00FE592E" w:rsidRPr="00DC3DDE">
        <w:rPr>
          <w:rFonts w:asciiTheme="majorBidi" w:hAnsiTheme="majorBidi" w:cstheme="majorBidi"/>
          <w:sz w:val="28"/>
          <w:szCs w:val="28"/>
          <w:rtl/>
        </w:rPr>
        <w:instrText>&gt;دور نظم العمل عالية الأداء فى تعزيز التميز المؤسسى دراسة تطبيقية على أعضاء هيئة التدريس فى جامعة الكويت&lt;/</w:instrText>
      </w:r>
      <w:r w:rsidR="00FE592E" w:rsidRPr="00DC3DDE">
        <w:rPr>
          <w:rFonts w:asciiTheme="majorBidi" w:hAnsiTheme="majorBidi" w:cstheme="majorBidi"/>
          <w:sz w:val="28"/>
          <w:szCs w:val="28"/>
        </w:rPr>
        <w:instrText>title&gt;&lt;secondary-title</w:instrText>
      </w:r>
      <w:r w:rsidR="00FE592E" w:rsidRPr="00DC3DDE">
        <w:rPr>
          <w:rFonts w:asciiTheme="majorBidi" w:hAnsiTheme="majorBidi" w:cstheme="majorBidi"/>
          <w:sz w:val="28"/>
          <w:szCs w:val="28"/>
          <w:rtl/>
        </w:rPr>
        <w:instrText>&gt;المجلة العلمية للدراسات والبحوث المالية والإدارية</w:instrText>
      </w:r>
      <w:r w:rsidR="00FE592E" w:rsidRPr="00DC3DDE">
        <w:rPr>
          <w:rFonts w:asciiTheme="majorBidi" w:hAnsiTheme="majorBidi" w:cstheme="majorBidi"/>
          <w:sz w:val="28"/>
          <w:szCs w:val="28"/>
          <w:cs/>
        </w:rPr>
        <w:instrText>‎</w:instrText>
      </w:r>
      <w:r w:rsidR="00FE592E" w:rsidRPr="00DC3DDE">
        <w:rPr>
          <w:rFonts w:asciiTheme="majorBidi" w:hAnsiTheme="majorBidi" w:cstheme="majorBidi"/>
          <w:sz w:val="28"/>
          <w:szCs w:val="28"/>
        </w:rPr>
        <w:instrText>&lt;/secondary-title&gt;&lt;/titles&gt;&lt;periodical&gt;&lt;full-title</w:instrText>
      </w:r>
      <w:r w:rsidR="00FE592E" w:rsidRPr="00DC3DDE">
        <w:rPr>
          <w:rFonts w:asciiTheme="majorBidi" w:hAnsiTheme="majorBidi" w:cstheme="majorBidi"/>
          <w:sz w:val="28"/>
          <w:szCs w:val="28"/>
          <w:rtl/>
        </w:rPr>
        <w:instrText>&gt;المجلة العلمية للدراسات والبحوث المالية والإدارية</w:instrText>
      </w:r>
      <w:r w:rsidR="00FE592E" w:rsidRPr="00DC3DDE">
        <w:rPr>
          <w:rFonts w:asciiTheme="majorBidi" w:hAnsiTheme="majorBidi" w:cstheme="majorBidi"/>
          <w:sz w:val="28"/>
          <w:szCs w:val="28"/>
          <w:cs/>
        </w:rPr>
        <w:instrText>‎</w:instrText>
      </w:r>
      <w:r w:rsidR="00FE592E" w:rsidRPr="00DC3DDE">
        <w:rPr>
          <w:rFonts w:asciiTheme="majorBidi" w:hAnsiTheme="majorBidi" w:cstheme="majorBidi"/>
          <w:sz w:val="28"/>
          <w:szCs w:val="28"/>
        </w:rPr>
        <w:instrText>&lt;/full-title&gt;&lt;/periodical&gt;&lt;pages&gt;139-165&lt;/pages&gt;&lt;volume&gt;16&lt;/volume&gt;&lt;number&gt;1&lt;/number&gt;&lt;dates&gt;&lt;year&gt;2024&lt;/year&gt;&lt;/dates&gt;&lt;isbn&gt;2682-2113&lt;/isbn&gt;&lt;urls&gt;&lt;/urls&gt;&lt;/record&gt;&lt;/Cite&gt;&lt;/EndNote</w:instrText>
      </w:r>
      <w:r w:rsidR="00FE592E" w:rsidRPr="00DC3DDE">
        <w:rPr>
          <w:rFonts w:asciiTheme="majorBidi" w:hAnsiTheme="majorBidi" w:cstheme="majorBidi"/>
          <w:sz w:val="28"/>
          <w:szCs w:val="28"/>
          <w:rtl/>
        </w:rPr>
        <w:instrText>&gt;</w:instrText>
      </w:r>
      <w:r w:rsidR="00FE592E" w:rsidRPr="00DC3DDE">
        <w:rPr>
          <w:rFonts w:asciiTheme="majorBidi" w:hAnsiTheme="majorBidi" w:cstheme="majorBidi"/>
          <w:sz w:val="28"/>
          <w:szCs w:val="28"/>
          <w:rtl/>
        </w:rPr>
        <w:fldChar w:fldCharType="separate"/>
      </w:r>
      <w:r w:rsidR="00FE592E" w:rsidRPr="00DC3DDE">
        <w:rPr>
          <w:rFonts w:asciiTheme="majorBidi" w:hAnsiTheme="majorBidi" w:cstheme="majorBidi"/>
          <w:noProof/>
          <w:sz w:val="28"/>
          <w:szCs w:val="28"/>
          <w:rtl/>
        </w:rPr>
        <w:t xml:space="preserve">(الخالدي </w:t>
      </w:r>
      <w:r w:rsidR="00FE592E" w:rsidRPr="00DC3DDE">
        <w:rPr>
          <w:rFonts w:asciiTheme="majorBidi" w:hAnsiTheme="majorBidi" w:cstheme="majorBidi"/>
          <w:noProof/>
          <w:sz w:val="28"/>
          <w:szCs w:val="28"/>
        </w:rPr>
        <w:t>and</w:t>
      </w:r>
      <w:r w:rsidR="00FE592E" w:rsidRPr="00DC3DDE">
        <w:rPr>
          <w:rFonts w:asciiTheme="majorBidi" w:hAnsiTheme="majorBidi" w:cstheme="majorBidi"/>
          <w:noProof/>
          <w:sz w:val="28"/>
          <w:szCs w:val="28"/>
          <w:rtl/>
        </w:rPr>
        <w:t xml:space="preserve"> نايف, 2024)</w:t>
      </w:r>
      <w:r w:rsidR="00FE592E" w:rsidRPr="00DC3DDE">
        <w:rPr>
          <w:rFonts w:asciiTheme="majorBidi" w:hAnsiTheme="majorBidi" w:cstheme="majorBidi"/>
          <w:sz w:val="28"/>
          <w:szCs w:val="28"/>
          <w:rtl/>
        </w:rPr>
        <w:fldChar w:fldCharType="end"/>
      </w:r>
      <w:r w:rsidR="00FE592E" w:rsidRPr="00DC3DDE">
        <w:rPr>
          <w:rFonts w:asciiTheme="majorBidi" w:hAnsiTheme="majorBidi" w:cstheme="majorBidi"/>
          <w:sz w:val="28"/>
          <w:szCs w:val="28"/>
          <w:rtl/>
        </w:rPr>
        <w:t>.</w:t>
      </w:r>
      <w:r w:rsidR="00FE592E" w:rsidRPr="00683321">
        <w:rPr>
          <w:rFonts w:asciiTheme="majorBidi" w:hAnsiTheme="majorBidi" w:cstheme="majorBidi"/>
          <w:sz w:val="28"/>
          <w:szCs w:val="28"/>
        </w:rPr>
        <w:t xml:space="preserve"> </w:t>
      </w:r>
    </w:p>
    <w:p w14:paraId="0A58B5C6" w14:textId="79595873" w:rsidR="00683321" w:rsidRDefault="00683321" w:rsidP="00A0551C">
      <w:pPr>
        <w:bidi/>
        <w:jc w:val="both"/>
        <w:rPr>
          <w:rFonts w:asciiTheme="majorBidi" w:hAnsiTheme="majorBidi" w:cstheme="majorBidi"/>
          <w:sz w:val="28"/>
          <w:szCs w:val="28"/>
          <w:rtl/>
        </w:rPr>
      </w:pPr>
      <w:r w:rsidRPr="00683321">
        <w:rPr>
          <w:rFonts w:asciiTheme="majorBidi" w:hAnsiTheme="majorBidi" w:cstheme="majorBidi"/>
          <w:sz w:val="28"/>
          <w:szCs w:val="28"/>
          <w:rtl/>
        </w:rPr>
        <w:t>وفي الاتجاه نفسه، أشارت دراسات أخرى (على, 2022) إلى أن ممارسات المشاركة والتمكين – وهما مكونان أساسيان في</w:t>
      </w:r>
      <w:r w:rsidRPr="00683321">
        <w:rPr>
          <w:rFonts w:asciiTheme="majorBidi" w:hAnsiTheme="majorBidi" w:cstheme="majorBidi"/>
          <w:sz w:val="28"/>
          <w:szCs w:val="28"/>
        </w:rPr>
        <w:t xml:space="preserve"> HPWS –</w:t>
      </w:r>
      <w:r w:rsidR="00BC7C82" w:rsidRPr="00DC3DDE">
        <w:rPr>
          <w:rFonts w:asciiTheme="majorBidi" w:hAnsiTheme="majorBidi" w:cstheme="majorBidi"/>
          <w:sz w:val="28"/>
          <w:szCs w:val="28"/>
          <w:rtl/>
        </w:rPr>
        <w:t xml:space="preserve"> </w:t>
      </w:r>
      <w:r w:rsidRPr="00683321">
        <w:rPr>
          <w:rFonts w:asciiTheme="majorBidi" w:hAnsiTheme="majorBidi" w:cstheme="majorBidi"/>
          <w:sz w:val="28"/>
          <w:szCs w:val="28"/>
          <w:rtl/>
        </w:rPr>
        <w:t>تسهمان في تعزيز المبادرة الفردية والسلوك الابتكاري ضمن المؤسسات، وتعلي من قيم المواطنة التنظيمية والمرونة المؤسسية</w:t>
      </w:r>
      <w:r w:rsidR="00BC7C82" w:rsidRPr="00DC3DDE">
        <w:rPr>
          <w:rFonts w:asciiTheme="majorBidi" w:hAnsiTheme="majorBidi" w:cstheme="majorBidi"/>
          <w:sz w:val="28"/>
          <w:szCs w:val="28"/>
          <w:rtl/>
        </w:rPr>
        <w:t xml:space="preserve"> </w:t>
      </w:r>
      <w:r w:rsidR="00BC7C82" w:rsidRPr="00DC3DDE">
        <w:rPr>
          <w:rFonts w:asciiTheme="majorBidi" w:hAnsiTheme="majorBidi" w:cstheme="majorBidi"/>
          <w:sz w:val="28"/>
          <w:szCs w:val="28"/>
          <w:rtl/>
        </w:rPr>
        <w:fldChar w:fldCharType="begin"/>
      </w:r>
      <w:r w:rsidR="00BC7C82" w:rsidRPr="00DC3DDE">
        <w:rPr>
          <w:rFonts w:asciiTheme="majorBidi" w:hAnsiTheme="majorBidi" w:cstheme="majorBidi"/>
          <w:sz w:val="28"/>
          <w:szCs w:val="28"/>
          <w:rtl/>
        </w:rPr>
        <w:instrText xml:space="preserve"> </w:instrText>
      </w:r>
      <w:r w:rsidR="00BC7C82" w:rsidRPr="00DC3DDE">
        <w:rPr>
          <w:rFonts w:asciiTheme="majorBidi" w:hAnsiTheme="majorBidi" w:cstheme="majorBidi"/>
          <w:sz w:val="28"/>
          <w:szCs w:val="28"/>
        </w:rPr>
        <w:instrText>ADDIN EN.CITE &lt;EndNote&gt;&lt;Cite&gt;&lt;Author</w:instrText>
      </w:r>
      <w:r w:rsidR="00BC7C82" w:rsidRPr="00DC3DDE">
        <w:rPr>
          <w:rFonts w:asciiTheme="majorBidi" w:hAnsiTheme="majorBidi" w:cstheme="majorBidi"/>
          <w:sz w:val="28"/>
          <w:szCs w:val="28"/>
          <w:rtl/>
        </w:rPr>
        <w:instrText>&gt;على&lt;/</w:instrText>
      </w:r>
      <w:r w:rsidR="00BC7C82" w:rsidRPr="00DC3DDE">
        <w:rPr>
          <w:rFonts w:asciiTheme="majorBidi" w:hAnsiTheme="majorBidi" w:cstheme="majorBidi"/>
          <w:sz w:val="28"/>
          <w:szCs w:val="28"/>
        </w:rPr>
        <w:instrText>Author&gt;&lt;Year&gt;2022&lt;/Year&gt;&lt;RecNum&gt;2362&lt;/RecNum&gt;&lt;DisplayText</w:instrText>
      </w:r>
      <w:r w:rsidR="00BC7C82" w:rsidRPr="00DC3DDE">
        <w:rPr>
          <w:rFonts w:asciiTheme="majorBidi" w:hAnsiTheme="majorBidi" w:cstheme="majorBidi"/>
          <w:sz w:val="28"/>
          <w:szCs w:val="28"/>
          <w:rtl/>
        </w:rPr>
        <w:instrText>&gt;(على, 2022)&lt;/</w:instrText>
      </w:r>
      <w:r w:rsidR="00BC7C82" w:rsidRPr="00DC3DDE">
        <w:rPr>
          <w:rFonts w:asciiTheme="majorBidi" w:hAnsiTheme="majorBidi" w:cstheme="majorBidi"/>
          <w:sz w:val="28"/>
          <w:szCs w:val="28"/>
        </w:rPr>
        <w:instrText>DisplayText&gt;&lt;record&gt;&lt;rec-number&gt;2362&lt;/rec-number&gt;&lt;foreign-keys&gt;&lt;key app="EN" db-id="t5vttv59or5xwbe2zdm5ewrxd905arrpawff" timestamp="17445039</w:instrText>
      </w:r>
      <w:r w:rsidR="00BC7C82" w:rsidRPr="00DC3DDE">
        <w:rPr>
          <w:rFonts w:asciiTheme="majorBidi" w:hAnsiTheme="majorBidi" w:cstheme="majorBidi"/>
          <w:sz w:val="28"/>
          <w:szCs w:val="28"/>
          <w:rtl/>
        </w:rPr>
        <w:instrText>60"&gt;2362&lt;/</w:instrText>
      </w:r>
      <w:r w:rsidR="00BC7C82" w:rsidRPr="00DC3DDE">
        <w:rPr>
          <w:rFonts w:asciiTheme="majorBidi" w:hAnsiTheme="majorBidi" w:cstheme="majorBidi"/>
          <w:sz w:val="28"/>
          <w:szCs w:val="28"/>
        </w:rPr>
        <w:instrText>key&gt;&lt;/foreign-keys&gt;&lt;ref-type name="Journal Article"&gt;17&lt;/ref-type&gt;&lt;contributors&gt;&lt;authors&gt;&lt;author</w:instrText>
      </w:r>
      <w:r w:rsidR="00BC7C82" w:rsidRPr="00DC3DDE">
        <w:rPr>
          <w:rFonts w:asciiTheme="majorBidi" w:hAnsiTheme="majorBidi" w:cstheme="majorBidi"/>
          <w:sz w:val="28"/>
          <w:szCs w:val="28"/>
          <w:rtl/>
        </w:rPr>
        <w:instrText>&gt;السيد أبو الفتوح على&lt;/</w:instrText>
      </w:r>
      <w:r w:rsidR="00BC7C82" w:rsidRPr="00DC3DDE">
        <w:rPr>
          <w:rFonts w:asciiTheme="majorBidi" w:hAnsiTheme="majorBidi" w:cstheme="majorBidi"/>
          <w:sz w:val="28"/>
          <w:szCs w:val="28"/>
        </w:rPr>
        <w:instrText>author&gt;&lt;/authors&gt;&lt;/contributors&gt;&lt;titles&gt;&lt;title</w:instrText>
      </w:r>
      <w:r w:rsidR="00BC7C82" w:rsidRPr="00DC3DDE">
        <w:rPr>
          <w:rFonts w:asciiTheme="majorBidi" w:hAnsiTheme="majorBidi" w:cstheme="majorBidi"/>
          <w:sz w:val="28"/>
          <w:szCs w:val="28"/>
          <w:rtl/>
        </w:rPr>
        <w:instrText>&gt;أثر ممارسات مشارکة وتمکين العاملين على مستوى الأداء المؤسسي للمنظمات العامة&lt;/</w:instrText>
      </w:r>
      <w:r w:rsidR="00BC7C82" w:rsidRPr="00DC3DDE">
        <w:rPr>
          <w:rFonts w:asciiTheme="majorBidi" w:hAnsiTheme="majorBidi" w:cstheme="majorBidi"/>
          <w:sz w:val="28"/>
          <w:szCs w:val="28"/>
        </w:rPr>
        <w:instrText>title&gt;&lt;secondary-title</w:instrText>
      </w:r>
      <w:r w:rsidR="00BC7C82" w:rsidRPr="00DC3DDE">
        <w:rPr>
          <w:rFonts w:asciiTheme="majorBidi" w:hAnsiTheme="majorBidi" w:cstheme="majorBidi"/>
          <w:sz w:val="28"/>
          <w:szCs w:val="28"/>
          <w:rtl/>
        </w:rPr>
        <w:instrText>&gt;مجلة کلية الاقتصاد والعلوم السياسية&lt;/</w:instrText>
      </w:r>
      <w:r w:rsidR="00BC7C82" w:rsidRPr="00DC3DDE">
        <w:rPr>
          <w:rFonts w:asciiTheme="majorBidi" w:hAnsiTheme="majorBidi" w:cstheme="majorBidi"/>
          <w:sz w:val="28"/>
          <w:szCs w:val="28"/>
        </w:rPr>
        <w:instrText>secondary-title&gt;&lt;/titles&gt;&lt;periodical&gt;&lt;full-title</w:instrText>
      </w:r>
      <w:r w:rsidR="00BC7C82" w:rsidRPr="00DC3DDE">
        <w:rPr>
          <w:rFonts w:asciiTheme="majorBidi" w:hAnsiTheme="majorBidi" w:cstheme="majorBidi"/>
          <w:sz w:val="28"/>
          <w:szCs w:val="28"/>
          <w:rtl/>
        </w:rPr>
        <w:instrText>&gt;مجلة کلية الاقتصاد والعلوم السياسية&lt;/</w:instrText>
      </w:r>
      <w:r w:rsidR="00BC7C82" w:rsidRPr="00DC3DDE">
        <w:rPr>
          <w:rFonts w:asciiTheme="majorBidi" w:hAnsiTheme="majorBidi" w:cstheme="majorBidi"/>
          <w:sz w:val="28"/>
          <w:szCs w:val="28"/>
        </w:rPr>
        <w:instrText>full-title&gt;&lt;/periodical&gt;&lt;pages&gt;205-255&lt;/pages&gt;&lt;volume&gt;23&lt;/volume&gt;&lt;number&gt;1&lt;/number&gt;&lt;dates&gt;&lt;year&gt;2022&lt;/year&gt;&lt;/dates&gt;&lt;isbn&gt;2356-9166&lt;/isbn&gt;&lt;urls&gt;&lt;/urls&gt;&lt;/record&gt;&lt;/Cite&gt;&lt;/EndNote</w:instrText>
      </w:r>
      <w:r w:rsidR="00BC7C82" w:rsidRPr="00DC3DDE">
        <w:rPr>
          <w:rFonts w:asciiTheme="majorBidi" w:hAnsiTheme="majorBidi" w:cstheme="majorBidi"/>
          <w:sz w:val="28"/>
          <w:szCs w:val="28"/>
          <w:rtl/>
        </w:rPr>
        <w:instrText>&gt;</w:instrText>
      </w:r>
      <w:r w:rsidR="00BC7C82" w:rsidRPr="00DC3DDE">
        <w:rPr>
          <w:rFonts w:asciiTheme="majorBidi" w:hAnsiTheme="majorBidi" w:cstheme="majorBidi"/>
          <w:sz w:val="28"/>
          <w:szCs w:val="28"/>
          <w:rtl/>
        </w:rPr>
        <w:fldChar w:fldCharType="separate"/>
      </w:r>
      <w:r w:rsidR="00BC7C82" w:rsidRPr="00DC3DDE">
        <w:rPr>
          <w:rFonts w:asciiTheme="majorBidi" w:hAnsiTheme="majorBidi" w:cstheme="majorBidi"/>
          <w:noProof/>
          <w:sz w:val="28"/>
          <w:szCs w:val="28"/>
          <w:rtl/>
        </w:rPr>
        <w:t>(على, 2022)</w:t>
      </w:r>
      <w:r w:rsidR="00BC7C82" w:rsidRPr="00DC3DDE">
        <w:rPr>
          <w:rFonts w:asciiTheme="majorBidi" w:hAnsiTheme="majorBidi" w:cstheme="majorBidi"/>
          <w:sz w:val="28"/>
          <w:szCs w:val="28"/>
          <w:rtl/>
        </w:rPr>
        <w:fldChar w:fldCharType="end"/>
      </w:r>
      <w:r w:rsidRPr="00683321">
        <w:rPr>
          <w:rFonts w:asciiTheme="majorBidi" w:hAnsiTheme="majorBidi" w:cstheme="majorBidi"/>
          <w:sz w:val="28"/>
          <w:szCs w:val="28"/>
          <w:rtl/>
        </w:rPr>
        <w:t>. كما وفي سياق بيئات التعليم العالي كذلك، أبرزت دراسة مصطفى (2020) أن بعض ممارسات الموارد البشرية (خاصةً التدريب وتقييم الأداء) ترفع مستوى الإبداع والابتكار الإداري لدى العاملين بجامعة عين شمس، وأن التحفيز المعنوي والتقدير النفسي أثّر بقوة أكبر في دعم الإبداع مقارنة بالحوافز المادية</w:t>
      </w:r>
      <w:r w:rsidR="00BC7C82" w:rsidRPr="00DC3DDE">
        <w:rPr>
          <w:rFonts w:asciiTheme="majorBidi" w:hAnsiTheme="majorBidi" w:cstheme="majorBidi"/>
          <w:sz w:val="28"/>
          <w:szCs w:val="28"/>
          <w:rtl/>
        </w:rPr>
        <w:t xml:space="preserve"> </w:t>
      </w:r>
      <w:r w:rsidR="00BC7C82" w:rsidRPr="00DC3DDE">
        <w:rPr>
          <w:rFonts w:asciiTheme="majorBidi" w:hAnsiTheme="majorBidi" w:cstheme="majorBidi"/>
          <w:sz w:val="28"/>
          <w:szCs w:val="28"/>
          <w:rtl/>
        </w:rPr>
        <w:fldChar w:fldCharType="begin"/>
      </w:r>
      <w:r w:rsidR="00BC7C82" w:rsidRPr="00DC3DDE">
        <w:rPr>
          <w:rFonts w:asciiTheme="majorBidi" w:hAnsiTheme="majorBidi" w:cstheme="majorBidi"/>
          <w:sz w:val="28"/>
          <w:szCs w:val="28"/>
          <w:rtl/>
        </w:rPr>
        <w:instrText xml:space="preserve"> </w:instrText>
      </w:r>
      <w:r w:rsidR="00BC7C82" w:rsidRPr="00DC3DDE">
        <w:rPr>
          <w:rFonts w:asciiTheme="majorBidi" w:hAnsiTheme="majorBidi" w:cstheme="majorBidi"/>
          <w:sz w:val="28"/>
          <w:szCs w:val="28"/>
        </w:rPr>
        <w:instrText>ADDIN EN.CITE &lt;EndNote&gt;&lt;Cite&gt;&lt;Author</w:instrText>
      </w:r>
      <w:r w:rsidR="00BC7C82" w:rsidRPr="00DC3DDE">
        <w:rPr>
          <w:rFonts w:asciiTheme="majorBidi" w:hAnsiTheme="majorBidi" w:cstheme="majorBidi"/>
          <w:sz w:val="28"/>
          <w:szCs w:val="28"/>
          <w:rtl/>
        </w:rPr>
        <w:instrText>&gt;مصطفى&lt;/</w:instrText>
      </w:r>
      <w:r w:rsidR="00BC7C82" w:rsidRPr="00DC3DDE">
        <w:rPr>
          <w:rFonts w:asciiTheme="majorBidi" w:hAnsiTheme="majorBidi" w:cstheme="majorBidi"/>
          <w:sz w:val="28"/>
          <w:szCs w:val="28"/>
        </w:rPr>
        <w:instrText>Author&gt;&lt;Year&gt;2020&lt;/Year&gt;&lt;RecNum&gt;2358&lt;/RecNum&gt;&lt;DisplayText</w:instrText>
      </w:r>
      <w:r w:rsidR="00BC7C82" w:rsidRPr="00DC3DDE">
        <w:rPr>
          <w:rFonts w:asciiTheme="majorBidi" w:hAnsiTheme="majorBidi" w:cstheme="majorBidi"/>
          <w:sz w:val="28"/>
          <w:szCs w:val="28"/>
          <w:rtl/>
        </w:rPr>
        <w:instrText xml:space="preserve">&gt;(مصطفى </w:instrText>
      </w:r>
      <w:r w:rsidR="00BC7C82" w:rsidRPr="00DC3DDE">
        <w:rPr>
          <w:rFonts w:asciiTheme="majorBidi" w:hAnsiTheme="majorBidi" w:cstheme="majorBidi"/>
          <w:sz w:val="28"/>
          <w:szCs w:val="28"/>
        </w:rPr>
        <w:instrText>and</w:instrText>
      </w:r>
      <w:r w:rsidR="00BC7C82" w:rsidRPr="00DC3DDE">
        <w:rPr>
          <w:rFonts w:asciiTheme="majorBidi" w:hAnsiTheme="majorBidi" w:cstheme="majorBidi"/>
          <w:sz w:val="28"/>
          <w:szCs w:val="28"/>
          <w:rtl/>
        </w:rPr>
        <w:instrText xml:space="preserve"> أمل, 2020)&lt;/</w:instrText>
      </w:r>
      <w:r w:rsidR="00BC7C82" w:rsidRPr="00DC3DDE">
        <w:rPr>
          <w:rFonts w:asciiTheme="majorBidi" w:hAnsiTheme="majorBidi" w:cstheme="majorBidi"/>
          <w:sz w:val="28"/>
          <w:szCs w:val="28"/>
        </w:rPr>
        <w:instrText>DisplayText&gt;&lt;record&gt;&lt;rec-number&gt;2358&lt;/rec-number&gt;&lt;foreign-keys&gt;&lt;key app="EN" db-id="t5vttv59or5xwbe2zdm5ewrxd905arrpawff" timestamp="1744503345"&gt;2358&lt;/key&gt;&lt;/foreign-keys&gt;&lt;ref-type name="Journal Article"&gt;17&lt;/ref-type&gt;&lt;contributors&gt;&lt;authors&gt;&lt;author</w:instrText>
      </w:r>
      <w:r w:rsidR="00BC7C82" w:rsidRPr="00DC3DDE">
        <w:rPr>
          <w:rFonts w:asciiTheme="majorBidi" w:hAnsiTheme="majorBidi" w:cstheme="majorBidi"/>
          <w:sz w:val="28"/>
          <w:szCs w:val="28"/>
          <w:rtl/>
        </w:rPr>
        <w:instrText>&gt;محمد محمد مصطفى&lt;/</w:instrText>
      </w:r>
      <w:r w:rsidR="00BC7C82" w:rsidRPr="00DC3DDE">
        <w:rPr>
          <w:rFonts w:asciiTheme="majorBidi" w:hAnsiTheme="majorBidi" w:cstheme="majorBidi"/>
          <w:sz w:val="28"/>
          <w:szCs w:val="28"/>
        </w:rPr>
        <w:instrText>author&gt;&lt;author</w:instrText>
      </w:r>
      <w:r w:rsidR="00BC7C82" w:rsidRPr="00DC3DDE">
        <w:rPr>
          <w:rFonts w:asciiTheme="majorBidi" w:hAnsiTheme="majorBidi" w:cstheme="majorBidi"/>
          <w:sz w:val="28"/>
          <w:szCs w:val="28"/>
          <w:rtl/>
        </w:rPr>
        <w:instrText>&gt;أمل&lt;/</w:instrText>
      </w:r>
      <w:r w:rsidR="00BC7C82" w:rsidRPr="00DC3DDE">
        <w:rPr>
          <w:rFonts w:asciiTheme="majorBidi" w:hAnsiTheme="majorBidi" w:cstheme="majorBidi"/>
          <w:sz w:val="28"/>
          <w:szCs w:val="28"/>
        </w:rPr>
        <w:instrText>author&gt;&lt;/authors&gt;&lt;/contributors&gt;&lt;titles&gt;&lt;title</w:instrText>
      </w:r>
      <w:r w:rsidR="00BC7C82" w:rsidRPr="00DC3DDE">
        <w:rPr>
          <w:rFonts w:asciiTheme="majorBidi" w:hAnsiTheme="majorBidi" w:cstheme="majorBidi"/>
          <w:sz w:val="28"/>
          <w:szCs w:val="28"/>
          <w:rtl/>
        </w:rPr>
        <w:instrText xml:space="preserve">&gt;أثر استراتيجيات إدارة الموارد البشرية على دعم الإبداع والابتکار الإدارى لدى العاملين بالتطبيق على العاملين بجامعة عين شمس </w:instrText>
      </w:r>
      <w:r w:rsidR="00BC7C82" w:rsidRPr="00DC3DDE">
        <w:rPr>
          <w:rFonts w:asciiTheme="majorBidi" w:hAnsiTheme="majorBidi" w:cstheme="majorBidi"/>
          <w:sz w:val="28"/>
          <w:szCs w:val="28"/>
        </w:rPr>
        <w:instrText>The Effect of Human Resources Management Strategies on Supporting the Administration Creativity and Innovation of The Employees By Applying on Ain Shams University Employees&lt;/title&gt;&lt;secondary-title</w:instrText>
      </w:r>
      <w:r w:rsidR="00BC7C82" w:rsidRPr="00DC3DDE">
        <w:rPr>
          <w:rFonts w:asciiTheme="majorBidi" w:hAnsiTheme="majorBidi" w:cstheme="majorBidi"/>
          <w:sz w:val="28"/>
          <w:szCs w:val="28"/>
          <w:rtl/>
        </w:rPr>
        <w:instrText>&gt;مجلة بحوث الشرق الأوسط&lt;/</w:instrText>
      </w:r>
      <w:r w:rsidR="00BC7C82" w:rsidRPr="00DC3DDE">
        <w:rPr>
          <w:rFonts w:asciiTheme="majorBidi" w:hAnsiTheme="majorBidi" w:cstheme="majorBidi"/>
          <w:sz w:val="28"/>
          <w:szCs w:val="28"/>
        </w:rPr>
        <w:instrText>secondary-title&gt;&lt;/titles&gt;&lt;periodical&gt;&lt;full-title</w:instrText>
      </w:r>
      <w:r w:rsidR="00BC7C82" w:rsidRPr="00DC3DDE">
        <w:rPr>
          <w:rFonts w:asciiTheme="majorBidi" w:hAnsiTheme="majorBidi" w:cstheme="majorBidi"/>
          <w:sz w:val="28"/>
          <w:szCs w:val="28"/>
          <w:rtl/>
        </w:rPr>
        <w:instrText>&gt;مجلة بحوث الشرق الأوسط&lt;/</w:instrText>
      </w:r>
      <w:r w:rsidR="00BC7C82" w:rsidRPr="00DC3DDE">
        <w:rPr>
          <w:rFonts w:asciiTheme="majorBidi" w:hAnsiTheme="majorBidi" w:cstheme="majorBidi"/>
          <w:sz w:val="28"/>
          <w:szCs w:val="28"/>
        </w:rPr>
        <w:instrText>full-title&gt;&lt;/periodical&gt;&lt;pages&gt;37-96&lt;/pages&gt;&lt;volume&gt;8&lt;/volume&gt;&lt;number&gt;57&lt;/number&gt;&lt;dates&gt;&lt;year&gt;2020&lt;/year&gt;&lt;/dates&gt;&lt;isbn&gt;2536-9504&lt;/isbn&gt;&lt;urls&gt;&lt;/urls&gt;&lt;/record&gt;&lt;/Cite&gt;&lt;/EndNote</w:instrText>
      </w:r>
      <w:r w:rsidR="00BC7C82" w:rsidRPr="00DC3DDE">
        <w:rPr>
          <w:rFonts w:asciiTheme="majorBidi" w:hAnsiTheme="majorBidi" w:cstheme="majorBidi"/>
          <w:sz w:val="28"/>
          <w:szCs w:val="28"/>
          <w:rtl/>
        </w:rPr>
        <w:instrText>&gt;</w:instrText>
      </w:r>
      <w:r w:rsidR="00BC7C82" w:rsidRPr="00DC3DDE">
        <w:rPr>
          <w:rFonts w:asciiTheme="majorBidi" w:hAnsiTheme="majorBidi" w:cstheme="majorBidi"/>
          <w:sz w:val="28"/>
          <w:szCs w:val="28"/>
          <w:rtl/>
        </w:rPr>
        <w:fldChar w:fldCharType="separate"/>
      </w:r>
      <w:r w:rsidR="00BC7C82" w:rsidRPr="00DC3DDE">
        <w:rPr>
          <w:rFonts w:asciiTheme="majorBidi" w:hAnsiTheme="majorBidi" w:cstheme="majorBidi"/>
          <w:noProof/>
          <w:sz w:val="28"/>
          <w:szCs w:val="28"/>
          <w:rtl/>
        </w:rPr>
        <w:t xml:space="preserve">(مصطفى </w:t>
      </w:r>
      <w:r w:rsidR="00BC7C82" w:rsidRPr="00DC3DDE">
        <w:rPr>
          <w:rFonts w:asciiTheme="majorBidi" w:hAnsiTheme="majorBidi" w:cstheme="majorBidi"/>
          <w:noProof/>
          <w:sz w:val="28"/>
          <w:szCs w:val="28"/>
        </w:rPr>
        <w:t>and</w:t>
      </w:r>
      <w:r w:rsidR="00BC7C82" w:rsidRPr="00DC3DDE">
        <w:rPr>
          <w:rFonts w:asciiTheme="majorBidi" w:hAnsiTheme="majorBidi" w:cstheme="majorBidi"/>
          <w:noProof/>
          <w:sz w:val="28"/>
          <w:szCs w:val="28"/>
          <w:rtl/>
        </w:rPr>
        <w:t xml:space="preserve"> أمل, 2020)</w:t>
      </w:r>
      <w:r w:rsidR="00BC7C82" w:rsidRPr="00DC3DDE">
        <w:rPr>
          <w:rFonts w:asciiTheme="majorBidi" w:hAnsiTheme="majorBidi" w:cstheme="majorBidi"/>
          <w:sz w:val="28"/>
          <w:szCs w:val="28"/>
          <w:rtl/>
        </w:rPr>
        <w:fldChar w:fldCharType="end"/>
      </w:r>
      <w:r w:rsidR="00BC7C82" w:rsidRPr="00DC3DDE">
        <w:rPr>
          <w:rFonts w:asciiTheme="majorBidi" w:hAnsiTheme="majorBidi" w:cstheme="majorBidi"/>
          <w:sz w:val="28"/>
          <w:szCs w:val="28"/>
          <w:rtl/>
        </w:rPr>
        <w:t>.</w:t>
      </w:r>
    </w:p>
    <w:p w14:paraId="17918192" w14:textId="44248DC3" w:rsidR="00FE592E" w:rsidRDefault="00FE592E" w:rsidP="00A0551C">
      <w:pPr>
        <w:bidi/>
        <w:jc w:val="both"/>
        <w:rPr>
          <w:rFonts w:asciiTheme="majorBidi" w:hAnsiTheme="majorBidi" w:cstheme="majorBidi"/>
          <w:sz w:val="28"/>
          <w:szCs w:val="28"/>
          <w:rtl/>
        </w:rPr>
      </w:pPr>
      <w:r w:rsidRPr="00683321">
        <w:rPr>
          <w:rFonts w:asciiTheme="majorBidi" w:hAnsiTheme="majorBidi" w:cstheme="majorBidi"/>
          <w:sz w:val="28"/>
          <w:szCs w:val="28"/>
          <w:rtl/>
        </w:rPr>
        <w:t>وفي دراسة ميدانية أخرى بسياق الضيافة المصرية، وجد</w:t>
      </w:r>
      <w:r w:rsidRPr="00683321">
        <w:rPr>
          <w:rFonts w:asciiTheme="majorBidi" w:hAnsiTheme="majorBidi" w:cstheme="majorBidi"/>
          <w:sz w:val="28"/>
          <w:szCs w:val="28"/>
        </w:rPr>
        <w:t xml:space="preserve"> </w:t>
      </w:r>
      <w:proofErr w:type="spellStart"/>
      <w:r w:rsidRPr="00683321">
        <w:rPr>
          <w:rFonts w:asciiTheme="majorBidi" w:hAnsiTheme="majorBidi" w:cstheme="majorBidi"/>
          <w:sz w:val="28"/>
          <w:szCs w:val="28"/>
        </w:rPr>
        <w:t>Abotaleb</w:t>
      </w:r>
      <w:proofErr w:type="spellEnd"/>
      <w:r w:rsidRPr="00683321">
        <w:rPr>
          <w:rFonts w:asciiTheme="majorBidi" w:hAnsiTheme="majorBidi" w:cstheme="majorBidi"/>
          <w:sz w:val="28"/>
          <w:szCs w:val="28"/>
        </w:rPr>
        <w:t xml:space="preserve"> </w:t>
      </w:r>
      <w:r w:rsidRPr="00683321">
        <w:rPr>
          <w:rFonts w:asciiTheme="majorBidi" w:hAnsiTheme="majorBidi" w:cstheme="majorBidi"/>
          <w:sz w:val="28"/>
          <w:szCs w:val="28"/>
          <w:rtl/>
        </w:rPr>
        <w:t>و</w:t>
      </w:r>
      <w:proofErr w:type="spellStart"/>
      <w:r w:rsidRPr="00683321">
        <w:rPr>
          <w:rFonts w:asciiTheme="majorBidi" w:hAnsiTheme="majorBidi" w:cstheme="majorBidi"/>
          <w:sz w:val="28"/>
          <w:szCs w:val="28"/>
        </w:rPr>
        <w:t>Elnagar</w:t>
      </w:r>
      <w:proofErr w:type="spellEnd"/>
      <w:r w:rsidRPr="00683321">
        <w:rPr>
          <w:rFonts w:asciiTheme="majorBidi" w:hAnsiTheme="majorBidi" w:cstheme="majorBidi"/>
          <w:sz w:val="28"/>
          <w:szCs w:val="28"/>
        </w:rPr>
        <w:t xml:space="preserve"> (2022)</w:t>
      </w:r>
      <w:r w:rsidRPr="00DC3DDE">
        <w:rPr>
          <w:rFonts w:asciiTheme="majorBidi" w:hAnsiTheme="majorBidi" w:cstheme="majorBidi"/>
          <w:sz w:val="28"/>
          <w:szCs w:val="28"/>
          <w:rtl/>
        </w:rPr>
        <w:t xml:space="preserve"> </w:t>
      </w:r>
      <w:r w:rsidRPr="00683321">
        <w:rPr>
          <w:rFonts w:asciiTheme="majorBidi" w:hAnsiTheme="majorBidi" w:cstheme="majorBidi"/>
          <w:sz w:val="28"/>
          <w:szCs w:val="28"/>
          <w:rtl/>
        </w:rPr>
        <w:t>أن تطبيق ممارسات</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يعزز الازدواجية التنظيمية</w:t>
      </w:r>
      <w:r w:rsidRPr="00683321">
        <w:rPr>
          <w:rFonts w:asciiTheme="majorBidi" w:hAnsiTheme="majorBidi" w:cstheme="majorBidi"/>
          <w:sz w:val="28"/>
          <w:szCs w:val="28"/>
        </w:rPr>
        <w:t xml:space="preserve"> (ambidexterity) </w:t>
      </w:r>
      <w:r w:rsidRPr="00683321">
        <w:rPr>
          <w:rFonts w:asciiTheme="majorBidi" w:hAnsiTheme="majorBidi" w:cstheme="majorBidi"/>
          <w:sz w:val="28"/>
          <w:szCs w:val="28"/>
          <w:rtl/>
        </w:rPr>
        <w:t>داخل الفنادق، مما يدل على أن هذه النظم لا تزيد الكفاءة التشغيلية فحسب بل تقوّي أيضًا قدرة المؤسسات على الابتكار والتجديد – وهو ما يوازي أحد مكونات الأداء الإبداعي</w:t>
      </w:r>
      <w:r w:rsidRPr="00683321">
        <w:rPr>
          <w:rFonts w:asciiTheme="majorBidi" w:hAnsiTheme="majorBidi" w:cstheme="majorBidi"/>
          <w:sz w:val="28"/>
          <w:szCs w:val="28"/>
        </w:rPr>
        <w:t xml:space="preserve"> </w:t>
      </w:r>
      <w:r w:rsidRPr="00DC3DDE">
        <w:rPr>
          <w:rFonts w:asciiTheme="majorBidi" w:hAnsiTheme="majorBidi" w:cstheme="majorBidi"/>
          <w:sz w:val="28"/>
          <w:szCs w:val="28"/>
          <w:rtl/>
        </w:rPr>
        <w:t xml:space="preserve">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&lt;EndNote&gt;&lt;Cite&gt;&lt;Author&gt;Abotaleb&lt;/Author&gt;&lt;Year&gt;2022&lt;/Year&gt;&lt;RecNum&gt;2359&lt;/RecNum&gt;&lt;DisplayText&gt;(Abotaleb and Elnagar, 2022)&lt;/DisplayText&gt;&lt;record&gt;&lt;rec-number&gt;2359&lt;/rec-number&gt;&lt;foreign-keys&gt;&lt;key app="EN" db-id="t5vttv59or5xwbe2zdm5ewrxd905arrpawff" timestamp="1744503546"&gt;2359&lt;/key&gt;&lt;/foreign-keys&gt;&lt;ref-type name="Journal Article"&gt;17&lt;/ref-type&gt;&lt;contributors&gt;&lt;authors&gt;&lt;author&gt;Abotaleb, Siham A&lt;/author&gt;&lt;author&gt;Elnagar, Ahmed K&lt;/author&gt;&lt;/authors&gt;&lt;/contributors&gt;&lt;titles&gt;&lt;title&gt;Linking between high-performance work practices (HPWPs) and organizational ambidexterity: an empirical study&lt;/title&gt;&lt;secondary-title&gt;Journal of the Faculty of Tourism and Hotels-University of Sadat City&lt;/secondary-title&gt;&lt;/titles&gt;&lt;periodical&gt;&lt;full-title&gt;Journal of the Faculty of Tourism and Hotels-University of Sadat City&lt;/full-title&gt;&lt;/periodical&gt;&lt;volume&gt;6&lt;/volume&gt;&lt;number&gt;1/2&lt;/number&gt;&lt;dates&gt;&lt;year&gt;2022&lt;/year&gt;&lt;/dates&gt;&lt;urls&gt;&lt;/urls&gt;&lt;/record&gt;&lt;/Cite&gt;&lt;/EndNote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Abotaleb and Elnagar, 2022</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63155AA4" w14:textId="79D9875C" w:rsidR="00FE592E" w:rsidRPr="00683321" w:rsidRDefault="00FE592E" w:rsidP="00A0551C">
      <w:pPr>
        <w:bidi/>
        <w:jc w:val="both"/>
        <w:rPr>
          <w:rFonts w:asciiTheme="majorBidi" w:hAnsiTheme="majorBidi" w:cstheme="majorBidi"/>
          <w:sz w:val="28"/>
          <w:szCs w:val="28"/>
        </w:rPr>
      </w:pPr>
      <w:r w:rsidRPr="00683321">
        <w:rPr>
          <w:rFonts w:asciiTheme="majorBidi" w:hAnsiTheme="majorBidi" w:cstheme="majorBidi"/>
          <w:sz w:val="28"/>
          <w:szCs w:val="28"/>
        </w:rPr>
        <w:t xml:space="preserve"> </w:t>
      </w:r>
      <w:r w:rsidRPr="00683321">
        <w:rPr>
          <w:rFonts w:asciiTheme="majorBidi" w:hAnsiTheme="majorBidi" w:cstheme="majorBidi"/>
          <w:sz w:val="28"/>
          <w:szCs w:val="28"/>
          <w:rtl/>
        </w:rPr>
        <w:t xml:space="preserve">كما وجدت دراسة عابد وخليل وحامد (2021) في مصر أن أنظمة العمل عالية الأداء تؤثر إيجابيًا ومباشرًا على ما أسماه الباحثون “البراعة التنظيمية” (أو قدرة المؤسسة على التوازن بين الاستكشاف والابتكار من </w:t>
      </w:r>
      <w:r w:rsidRPr="00683321">
        <w:rPr>
          <w:rFonts w:asciiTheme="majorBidi" w:hAnsiTheme="majorBidi" w:cstheme="majorBidi"/>
          <w:sz w:val="28"/>
          <w:szCs w:val="28"/>
          <w:rtl/>
        </w:rPr>
        <w:lastRenderedPageBreak/>
        <w:t>جهة، والتحسين والكفاءة من جهة أخرى)، وقد أصبح هذا الأثر أقوى في وجود مستويات عالية من مرونة الموارد البشرية. استعانت هذه الدراسة بنموذج</w:t>
      </w:r>
      <w:r w:rsidRPr="00683321">
        <w:rPr>
          <w:rFonts w:asciiTheme="majorBidi" w:hAnsiTheme="majorBidi" w:cstheme="majorBidi"/>
          <w:sz w:val="28"/>
          <w:szCs w:val="28"/>
        </w:rPr>
        <w:t xml:space="preserve"> SEM (</w:t>
      </w:r>
      <w:r w:rsidRPr="00683321">
        <w:rPr>
          <w:rFonts w:asciiTheme="majorBidi" w:hAnsiTheme="majorBidi" w:cstheme="majorBidi"/>
          <w:sz w:val="28"/>
          <w:szCs w:val="28"/>
          <w:rtl/>
        </w:rPr>
        <w:t>عن طريق برنامج</w:t>
      </w:r>
      <w:r w:rsidRPr="00683321">
        <w:rPr>
          <w:rFonts w:asciiTheme="majorBidi" w:hAnsiTheme="majorBidi" w:cstheme="majorBidi"/>
          <w:sz w:val="28"/>
          <w:szCs w:val="28"/>
        </w:rPr>
        <w:t xml:space="preserve"> AMOS) </w:t>
      </w:r>
      <w:r w:rsidRPr="00683321">
        <w:rPr>
          <w:rFonts w:asciiTheme="majorBidi" w:hAnsiTheme="majorBidi" w:cstheme="majorBidi"/>
          <w:sz w:val="28"/>
          <w:szCs w:val="28"/>
          <w:rtl/>
        </w:rPr>
        <w:t>وحللت بيانات 378 موظفًا في شركات قطاع الصناعات الدوائية، معتمدةً في تفسيرها النظري على إطار القدرات الديناميكية</w:t>
      </w:r>
      <w:r w:rsidRPr="00683321">
        <w:rPr>
          <w:rFonts w:asciiTheme="majorBidi" w:hAnsiTheme="majorBidi" w:cstheme="majorBidi"/>
          <w:sz w:val="28"/>
          <w:szCs w:val="28"/>
        </w:rPr>
        <w:t xml:space="preserve"> Dynamic Capabilities</w:t>
      </w:r>
      <w:r>
        <w:rPr>
          <w:rFonts w:asciiTheme="majorBidi" w:hAnsiTheme="majorBidi" w:cstheme="majorBidi" w:hint="cs"/>
          <w:sz w:val="28"/>
          <w:szCs w:val="28"/>
          <w:rtl/>
        </w:rPr>
        <w:t>.</w:t>
      </w:r>
      <w:r w:rsidRPr="00683321">
        <w:rPr>
          <w:rFonts w:asciiTheme="majorBidi" w:hAnsiTheme="majorBidi" w:cstheme="majorBidi"/>
          <w:sz w:val="28"/>
          <w:szCs w:val="28"/>
        </w:rPr>
        <w:t xml:space="preserve"> </w:t>
      </w:r>
      <w:r w:rsidRPr="00683321">
        <w:rPr>
          <w:rFonts w:asciiTheme="majorBidi" w:hAnsiTheme="majorBidi" w:cstheme="majorBidi"/>
          <w:sz w:val="28"/>
          <w:szCs w:val="28"/>
          <w:rtl/>
        </w:rPr>
        <w:t>وخلص الباحثون إلى أن</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لا تدعم التميز والكفاءة التشغيلية فحسب، بل تعزز أيضًا قدرات الابتكار المؤسسي، خاصةً عندما تتكامل مع مقومات داخلية مرنة</w:t>
      </w:r>
      <w:r w:rsidRPr="00DC3DDE">
        <w:rPr>
          <w:rFonts w:asciiTheme="majorBidi" w:hAnsiTheme="majorBidi" w:cstheme="majorBidi"/>
          <w:sz w:val="28"/>
          <w:szCs w:val="28"/>
          <w:rtl/>
        </w:rPr>
        <w:t xml:space="preserve">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w:instrText>
      </w:r>
      <w:r w:rsidRPr="00DC3DDE">
        <w:rPr>
          <w:rFonts w:asciiTheme="majorBidi" w:hAnsiTheme="majorBidi" w:cstheme="majorBidi"/>
          <w:sz w:val="28"/>
          <w:szCs w:val="28"/>
          <w:rtl/>
        </w:rPr>
        <w:instrText>&gt;عادل&lt;/</w:instrText>
      </w:r>
      <w:r w:rsidRPr="00DC3DDE">
        <w:rPr>
          <w:rFonts w:asciiTheme="majorBidi" w:hAnsiTheme="majorBidi" w:cstheme="majorBidi"/>
          <w:sz w:val="28"/>
          <w:szCs w:val="28"/>
        </w:rPr>
        <w:instrText>Author&gt;&lt;Year&gt;2021&lt;/Year&gt;&lt;RecNum&gt;2350&lt;/RecNum&gt;&lt;DisplayText</w:instrText>
      </w:r>
      <w:r w:rsidRPr="00DC3DDE">
        <w:rPr>
          <w:rFonts w:asciiTheme="majorBidi" w:hAnsiTheme="majorBidi" w:cstheme="majorBidi"/>
          <w:sz w:val="28"/>
          <w:szCs w:val="28"/>
          <w:rtl/>
        </w:rPr>
        <w:instrText xml:space="preserve">&gt;(عادل </w:instrText>
      </w:r>
      <w:r w:rsidRPr="00DC3DDE">
        <w:rPr>
          <w:rFonts w:asciiTheme="majorBidi" w:hAnsiTheme="majorBidi" w:cstheme="majorBidi"/>
          <w:sz w:val="28"/>
          <w:szCs w:val="28"/>
        </w:rPr>
        <w:instrText>et al., 2021</w:instrText>
      </w:r>
      <w:r w:rsidRPr="00DC3DDE">
        <w:rPr>
          <w:rFonts w:asciiTheme="majorBidi" w:hAnsiTheme="majorBidi" w:cstheme="majorBidi"/>
          <w:sz w:val="28"/>
          <w:szCs w:val="28"/>
          <w:rtl/>
        </w:rPr>
        <w:instrText>)&lt;/</w:instrText>
      </w:r>
      <w:r w:rsidRPr="00DC3DDE">
        <w:rPr>
          <w:rFonts w:asciiTheme="majorBidi" w:hAnsiTheme="majorBidi" w:cstheme="majorBidi"/>
          <w:sz w:val="28"/>
          <w:szCs w:val="28"/>
        </w:rPr>
        <w:instrText>DisplayText&gt;&lt;record&gt;&lt;rec-number&gt;2350&lt;/rec-number&gt;&lt;foreign-keys&gt;&lt;key app="EN" db-id="t5vttv59or5xwbe2zdm5ewrxd905arrpawff" timestamp</w:instrText>
      </w:r>
      <w:r w:rsidRPr="00DC3DDE">
        <w:rPr>
          <w:rFonts w:asciiTheme="majorBidi" w:hAnsiTheme="majorBidi" w:cstheme="majorBidi"/>
          <w:sz w:val="28"/>
          <w:szCs w:val="28"/>
          <w:rtl/>
        </w:rPr>
        <w:instrText>="1744500591"&gt;2350&lt;/</w:instrText>
      </w:r>
      <w:r w:rsidRPr="00DC3DDE">
        <w:rPr>
          <w:rFonts w:asciiTheme="majorBidi" w:hAnsiTheme="majorBidi" w:cstheme="majorBidi"/>
          <w:sz w:val="28"/>
          <w:szCs w:val="28"/>
        </w:rPr>
        <w:instrText>key&gt;&lt;/foreign-keys&gt;&lt;ref-type name="Journal Article"&gt;17&lt;/ref-type&gt;&lt;contributors&gt;&lt;authors&gt;&lt;author</w:instrText>
      </w:r>
      <w:r w:rsidRPr="00DC3DDE">
        <w:rPr>
          <w:rFonts w:asciiTheme="majorBidi" w:hAnsiTheme="majorBidi" w:cstheme="majorBidi"/>
          <w:sz w:val="28"/>
          <w:szCs w:val="28"/>
          <w:rtl/>
        </w:rPr>
        <w:instrText>&gt;عادل&lt;/</w:instrText>
      </w:r>
      <w:r w:rsidRPr="00DC3DDE">
        <w:rPr>
          <w:rFonts w:asciiTheme="majorBidi" w:hAnsiTheme="majorBidi" w:cstheme="majorBidi"/>
          <w:sz w:val="28"/>
          <w:szCs w:val="28"/>
        </w:rPr>
        <w:instrText>author&gt;&lt;author</w:instrText>
      </w:r>
      <w:r w:rsidRPr="00DC3DDE">
        <w:rPr>
          <w:rFonts w:asciiTheme="majorBidi" w:hAnsiTheme="majorBidi" w:cstheme="majorBidi"/>
          <w:sz w:val="28"/>
          <w:szCs w:val="28"/>
          <w:rtl/>
        </w:rPr>
        <w:instrText>&gt;خليل&lt;/</w:instrText>
      </w:r>
      <w:r w:rsidRPr="00DC3DDE">
        <w:rPr>
          <w:rFonts w:asciiTheme="majorBidi" w:hAnsiTheme="majorBidi" w:cstheme="majorBidi"/>
          <w:sz w:val="28"/>
          <w:szCs w:val="28"/>
        </w:rPr>
        <w:instrText>author&gt;&lt;author</w:instrText>
      </w:r>
      <w:r w:rsidRPr="00DC3DDE">
        <w:rPr>
          <w:rFonts w:asciiTheme="majorBidi" w:hAnsiTheme="majorBidi" w:cstheme="majorBidi"/>
          <w:sz w:val="28"/>
          <w:szCs w:val="28"/>
          <w:rtl/>
        </w:rPr>
        <w:instrText>&gt;عابد&lt;/</w:instrText>
      </w:r>
      <w:r w:rsidRPr="00DC3DDE">
        <w:rPr>
          <w:rFonts w:asciiTheme="majorBidi" w:hAnsiTheme="majorBidi" w:cstheme="majorBidi"/>
          <w:sz w:val="28"/>
          <w:szCs w:val="28"/>
        </w:rPr>
        <w:instrText>author&gt;&lt;author</w:instrText>
      </w:r>
      <w:r w:rsidRPr="00DC3DDE">
        <w:rPr>
          <w:rFonts w:asciiTheme="majorBidi" w:hAnsiTheme="majorBidi" w:cstheme="majorBidi"/>
          <w:sz w:val="28"/>
          <w:szCs w:val="28"/>
          <w:rtl/>
        </w:rPr>
        <w:instrText>&gt;إيهاب&lt;/</w:instrText>
      </w:r>
      <w:r w:rsidRPr="00DC3DDE">
        <w:rPr>
          <w:rFonts w:asciiTheme="majorBidi" w:hAnsiTheme="majorBidi" w:cstheme="majorBidi"/>
          <w:sz w:val="28"/>
          <w:szCs w:val="28"/>
        </w:rPr>
        <w:instrText>author&gt;&lt;/authors&gt;&lt;/contributors&gt;&lt;titles&gt;&lt;title</w:instrText>
      </w:r>
      <w:r w:rsidRPr="00DC3DDE">
        <w:rPr>
          <w:rFonts w:asciiTheme="majorBidi" w:hAnsiTheme="majorBidi" w:cstheme="majorBidi"/>
          <w:sz w:val="28"/>
          <w:szCs w:val="28"/>
          <w:rtl/>
        </w:rPr>
        <w:instrText>&gt;توسيط تأثير نظم العمل عالية الأداء على البراعة التنظيمية في ظل توسيط مرونة الموارد البشرية: دراسة تطبيقية&lt;/</w:instrText>
      </w:r>
      <w:r w:rsidRPr="00DC3DDE">
        <w:rPr>
          <w:rFonts w:asciiTheme="majorBidi" w:hAnsiTheme="majorBidi" w:cstheme="majorBidi"/>
          <w:sz w:val="28"/>
          <w:szCs w:val="28"/>
        </w:rPr>
        <w:instrText>title&gt;&lt;secondary-title</w:instrText>
      </w:r>
      <w:r w:rsidRPr="00DC3DDE">
        <w:rPr>
          <w:rFonts w:asciiTheme="majorBidi" w:hAnsiTheme="majorBidi" w:cstheme="majorBidi"/>
          <w:sz w:val="28"/>
          <w:szCs w:val="28"/>
          <w:rtl/>
        </w:rPr>
        <w:instrText>&gt;المجلة العلمية للدراسات والبحوث المالية والتجارية&lt;/</w:instrText>
      </w:r>
      <w:r w:rsidRPr="00DC3DDE">
        <w:rPr>
          <w:rFonts w:asciiTheme="majorBidi" w:hAnsiTheme="majorBidi" w:cstheme="majorBidi"/>
          <w:sz w:val="28"/>
          <w:szCs w:val="28"/>
        </w:rPr>
        <w:instrText>secondary-title&gt;&lt;/titles&gt;&lt;periodical&gt;&lt;full-title</w:instrText>
      </w:r>
      <w:r w:rsidRPr="00DC3DDE">
        <w:rPr>
          <w:rFonts w:asciiTheme="majorBidi" w:hAnsiTheme="majorBidi" w:cstheme="majorBidi"/>
          <w:sz w:val="28"/>
          <w:szCs w:val="28"/>
          <w:rtl/>
        </w:rPr>
        <w:instrText>&gt;المجلة العلمية للدراسات والبحوث المالية والتجارية&lt;/</w:instrText>
      </w:r>
      <w:r w:rsidRPr="00DC3DDE">
        <w:rPr>
          <w:rFonts w:asciiTheme="majorBidi" w:hAnsiTheme="majorBidi" w:cstheme="majorBidi"/>
          <w:sz w:val="28"/>
          <w:szCs w:val="28"/>
        </w:rPr>
        <w:instrText>full-title&gt;&lt;/periodical&gt;&lt;pages&gt;347-391&lt;/pages&gt;&lt;volume&gt;2&lt;/volume&gt;&lt;number</w:instrText>
      </w:r>
      <w:r w:rsidRPr="00DC3DDE">
        <w:rPr>
          <w:rFonts w:asciiTheme="majorBidi" w:hAnsiTheme="majorBidi" w:cstheme="majorBidi"/>
          <w:sz w:val="28"/>
          <w:szCs w:val="28"/>
          <w:rtl/>
        </w:rPr>
        <w:instrText>&gt;العدد الأول-الجزء الثالث&lt;/</w:instrText>
      </w:r>
      <w:r w:rsidRPr="00DC3DDE">
        <w:rPr>
          <w:rFonts w:asciiTheme="majorBidi" w:hAnsiTheme="majorBidi" w:cstheme="majorBidi"/>
          <w:sz w:val="28"/>
          <w:szCs w:val="28"/>
        </w:rPr>
        <w:instrText>number&gt;&lt;dates&gt;&lt;year&gt;2021&lt;/year&gt;&lt;/dates&gt;&lt;isbn&gt;2682-3403&lt;/isbn&gt;&lt;urls&gt;&lt;/urls&gt;&lt;/record&gt;&lt;/Cite&gt;&lt;/EndNote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 xml:space="preserve">(عادل </w:t>
      </w:r>
      <w:r w:rsidRPr="00DC3DDE">
        <w:rPr>
          <w:rFonts w:asciiTheme="majorBidi" w:hAnsiTheme="majorBidi" w:cstheme="majorBidi"/>
          <w:noProof/>
          <w:sz w:val="28"/>
          <w:szCs w:val="28"/>
        </w:rPr>
        <w:t>et al., 2021</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45432A6E" w14:textId="77777777" w:rsidR="00FE592E" w:rsidRDefault="00FE592E" w:rsidP="00A0551C">
      <w:pPr>
        <w:bidi/>
        <w:jc w:val="both"/>
        <w:rPr>
          <w:rFonts w:asciiTheme="majorBidi" w:hAnsiTheme="majorBidi" w:cstheme="majorBidi"/>
          <w:sz w:val="28"/>
          <w:szCs w:val="28"/>
          <w:rtl/>
        </w:rPr>
      </w:pPr>
      <w:r w:rsidRPr="00683321">
        <w:rPr>
          <w:rFonts w:asciiTheme="majorBidi" w:hAnsiTheme="majorBidi" w:cstheme="majorBidi"/>
          <w:sz w:val="28"/>
          <w:szCs w:val="28"/>
          <w:rtl/>
        </w:rPr>
        <w:t>وعلى الرغم من اختلاف موضوع الدراسة، تشير نتائج خليل وآخرين (2021) في قطاع البنوك المصرية إلى أن</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تضيف إيجابًا كبيرًا إلى الالتزام التنظيمي لدى الموظفين، كما أن الثقة التنظيمية تعمل كوسيط جزئي يقوّي هذا التأثير. ورغم أن الدراسة لم تركز على “الإبداع الوظيفي” بشكل صريح، إلا أنها تؤيد ضمنيًا الفرضية القائلة بأن رفع مستوى الالتزام والثقة من خلال</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يهيئ مناخًا داعمًا للمبادرة والابتكار داخل المنظمة</w:t>
      </w:r>
      <w:r w:rsidRPr="00DC3DDE">
        <w:rPr>
          <w:rFonts w:asciiTheme="majorBidi" w:hAnsiTheme="majorBidi" w:cstheme="majorBidi"/>
          <w:sz w:val="28"/>
          <w:szCs w:val="28"/>
          <w:rtl/>
        </w:rPr>
        <w:t xml:space="preserve">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w:instrText>
      </w:r>
      <w:r w:rsidRPr="00DC3DDE">
        <w:rPr>
          <w:rFonts w:asciiTheme="majorBidi" w:hAnsiTheme="majorBidi" w:cstheme="majorBidi"/>
          <w:sz w:val="28"/>
          <w:szCs w:val="28"/>
          <w:rtl/>
        </w:rPr>
        <w:instrText>&gt;عادل&lt;/</w:instrText>
      </w:r>
      <w:r w:rsidRPr="00DC3DDE">
        <w:rPr>
          <w:rFonts w:asciiTheme="majorBidi" w:hAnsiTheme="majorBidi" w:cstheme="majorBidi"/>
          <w:sz w:val="28"/>
          <w:szCs w:val="28"/>
        </w:rPr>
        <w:instrText>Author&gt;&lt;Year&gt;2021&lt;/Year&gt;&lt;RecNum&gt;2350&lt;/RecNum&gt;&lt;DisplayText</w:instrText>
      </w:r>
      <w:r w:rsidRPr="00DC3DDE">
        <w:rPr>
          <w:rFonts w:asciiTheme="majorBidi" w:hAnsiTheme="majorBidi" w:cstheme="majorBidi"/>
          <w:sz w:val="28"/>
          <w:szCs w:val="28"/>
          <w:rtl/>
        </w:rPr>
        <w:instrText xml:space="preserve">&gt;(عادل </w:instrText>
      </w:r>
      <w:r w:rsidRPr="00DC3DDE">
        <w:rPr>
          <w:rFonts w:asciiTheme="majorBidi" w:hAnsiTheme="majorBidi" w:cstheme="majorBidi"/>
          <w:sz w:val="28"/>
          <w:szCs w:val="28"/>
        </w:rPr>
        <w:instrText>et al., 2021</w:instrText>
      </w:r>
      <w:r w:rsidRPr="00DC3DDE">
        <w:rPr>
          <w:rFonts w:asciiTheme="majorBidi" w:hAnsiTheme="majorBidi" w:cstheme="majorBidi"/>
          <w:sz w:val="28"/>
          <w:szCs w:val="28"/>
          <w:rtl/>
        </w:rPr>
        <w:instrText>)&lt;/</w:instrText>
      </w:r>
      <w:r w:rsidRPr="00DC3DDE">
        <w:rPr>
          <w:rFonts w:asciiTheme="majorBidi" w:hAnsiTheme="majorBidi" w:cstheme="majorBidi"/>
          <w:sz w:val="28"/>
          <w:szCs w:val="28"/>
        </w:rPr>
        <w:instrText>DisplayText&gt;&lt;record&gt;&lt;rec-number&gt;2350&lt;/rec-number&gt;&lt;foreign-keys&gt;&lt;key app="EN" db-id="t5vttv59or5xwbe2zdm5ewrxd905arrpawff" timestamp</w:instrText>
      </w:r>
      <w:r w:rsidRPr="00DC3DDE">
        <w:rPr>
          <w:rFonts w:asciiTheme="majorBidi" w:hAnsiTheme="majorBidi" w:cstheme="majorBidi"/>
          <w:sz w:val="28"/>
          <w:szCs w:val="28"/>
          <w:rtl/>
        </w:rPr>
        <w:instrText>="1744500591"&gt;2350&lt;/</w:instrText>
      </w:r>
      <w:r w:rsidRPr="00DC3DDE">
        <w:rPr>
          <w:rFonts w:asciiTheme="majorBidi" w:hAnsiTheme="majorBidi" w:cstheme="majorBidi"/>
          <w:sz w:val="28"/>
          <w:szCs w:val="28"/>
        </w:rPr>
        <w:instrText>key&gt;&lt;/foreign-keys&gt;&lt;ref-type name="Journal Article"&gt;17&lt;/ref-type&gt;&lt;contributors&gt;&lt;authors&gt;&lt;author</w:instrText>
      </w:r>
      <w:r w:rsidRPr="00DC3DDE">
        <w:rPr>
          <w:rFonts w:asciiTheme="majorBidi" w:hAnsiTheme="majorBidi" w:cstheme="majorBidi"/>
          <w:sz w:val="28"/>
          <w:szCs w:val="28"/>
          <w:rtl/>
        </w:rPr>
        <w:instrText>&gt;عادل&lt;/</w:instrText>
      </w:r>
      <w:r w:rsidRPr="00DC3DDE">
        <w:rPr>
          <w:rFonts w:asciiTheme="majorBidi" w:hAnsiTheme="majorBidi" w:cstheme="majorBidi"/>
          <w:sz w:val="28"/>
          <w:szCs w:val="28"/>
        </w:rPr>
        <w:instrText>author&gt;&lt;author</w:instrText>
      </w:r>
      <w:r w:rsidRPr="00DC3DDE">
        <w:rPr>
          <w:rFonts w:asciiTheme="majorBidi" w:hAnsiTheme="majorBidi" w:cstheme="majorBidi"/>
          <w:sz w:val="28"/>
          <w:szCs w:val="28"/>
          <w:rtl/>
        </w:rPr>
        <w:instrText>&gt;خليل&lt;/</w:instrText>
      </w:r>
      <w:r w:rsidRPr="00DC3DDE">
        <w:rPr>
          <w:rFonts w:asciiTheme="majorBidi" w:hAnsiTheme="majorBidi" w:cstheme="majorBidi"/>
          <w:sz w:val="28"/>
          <w:szCs w:val="28"/>
        </w:rPr>
        <w:instrText>author&gt;&lt;author</w:instrText>
      </w:r>
      <w:r w:rsidRPr="00DC3DDE">
        <w:rPr>
          <w:rFonts w:asciiTheme="majorBidi" w:hAnsiTheme="majorBidi" w:cstheme="majorBidi"/>
          <w:sz w:val="28"/>
          <w:szCs w:val="28"/>
          <w:rtl/>
        </w:rPr>
        <w:instrText>&gt;عابد&lt;/</w:instrText>
      </w:r>
      <w:r w:rsidRPr="00DC3DDE">
        <w:rPr>
          <w:rFonts w:asciiTheme="majorBidi" w:hAnsiTheme="majorBidi" w:cstheme="majorBidi"/>
          <w:sz w:val="28"/>
          <w:szCs w:val="28"/>
        </w:rPr>
        <w:instrText>author&gt;&lt;author</w:instrText>
      </w:r>
      <w:r w:rsidRPr="00DC3DDE">
        <w:rPr>
          <w:rFonts w:asciiTheme="majorBidi" w:hAnsiTheme="majorBidi" w:cstheme="majorBidi"/>
          <w:sz w:val="28"/>
          <w:szCs w:val="28"/>
          <w:rtl/>
        </w:rPr>
        <w:instrText>&gt;إيهاب&lt;/</w:instrText>
      </w:r>
      <w:r w:rsidRPr="00DC3DDE">
        <w:rPr>
          <w:rFonts w:asciiTheme="majorBidi" w:hAnsiTheme="majorBidi" w:cstheme="majorBidi"/>
          <w:sz w:val="28"/>
          <w:szCs w:val="28"/>
        </w:rPr>
        <w:instrText>author&gt;&lt;/authors&gt;&lt;/contributors&gt;&lt;titles&gt;&lt;title</w:instrText>
      </w:r>
      <w:r w:rsidRPr="00DC3DDE">
        <w:rPr>
          <w:rFonts w:asciiTheme="majorBidi" w:hAnsiTheme="majorBidi" w:cstheme="majorBidi"/>
          <w:sz w:val="28"/>
          <w:szCs w:val="28"/>
          <w:rtl/>
        </w:rPr>
        <w:instrText>&gt;توسيط تأثير نظم العمل عالية الأداء على البراعة التنظيمية في ظل توسيط مرونة الموارد البشرية: دراسة تطبيقية&lt;/</w:instrText>
      </w:r>
      <w:r w:rsidRPr="00DC3DDE">
        <w:rPr>
          <w:rFonts w:asciiTheme="majorBidi" w:hAnsiTheme="majorBidi" w:cstheme="majorBidi"/>
          <w:sz w:val="28"/>
          <w:szCs w:val="28"/>
        </w:rPr>
        <w:instrText>title&gt;&lt;secondary-title</w:instrText>
      </w:r>
      <w:r w:rsidRPr="00DC3DDE">
        <w:rPr>
          <w:rFonts w:asciiTheme="majorBidi" w:hAnsiTheme="majorBidi" w:cstheme="majorBidi"/>
          <w:sz w:val="28"/>
          <w:szCs w:val="28"/>
          <w:rtl/>
        </w:rPr>
        <w:instrText>&gt;المجلة العلمية للدراسات والبحوث المالية والتجارية&lt;/</w:instrText>
      </w:r>
      <w:r w:rsidRPr="00DC3DDE">
        <w:rPr>
          <w:rFonts w:asciiTheme="majorBidi" w:hAnsiTheme="majorBidi" w:cstheme="majorBidi"/>
          <w:sz w:val="28"/>
          <w:szCs w:val="28"/>
        </w:rPr>
        <w:instrText>secondary-title&gt;&lt;/titles&gt;&lt;periodical&gt;&lt;full-title</w:instrText>
      </w:r>
      <w:r w:rsidRPr="00DC3DDE">
        <w:rPr>
          <w:rFonts w:asciiTheme="majorBidi" w:hAnsiTheme="majorBidi" w:cstheme="majorBidi"/>
          <w:sz w:val="28"/>
          <w:szCs w:val="28"/>
          <w:rtl/>
        </w:rPr>
        <w:instrText>&gt;المجلة العلمية للدراسات والبحوث المالية والتجارية&lt;/</w:instrText>
      </w:r>
      <w:r w:rsidRPr="00DC3DDE">
        <w:rPr>
          <w:rFonts w:asciiTheme="majorBidi" w:hAnsiTheme="majorBidi" w:cstheme="majorBidi"/>
          <w:sz w:val="28"/>
          <w:szCs w:val="28"/>
        </w:rPr>
        <w:instrText>full-title&gt;&lt;/periodical&gt;&lt;pages&gt;347-391&lt;/pages&gt;&lt;volume&gt;2&lt;/volume&gt;&lt;number</w:instrText>
      </w:r>
      <w:r w:rsidRPr="00DC3DDE">
        <w:rPr>
          <w:rFonts w:asciiTheme="majorBidi" w:hAnsiTheme="majorBidi" w:cstheme="majorBidi"/>
          <w:sz w:val="28"/>
          <w:szCs w:val="28"/>
          <w:rtl/>
        </w:rPr>
        <w:instrText>&gt;العدد الأول-الجزء الثالث&lt;/</w:instrText>
      </w:r>
      <w:r w:rsidRPr="00DC3DDE">
        <w:rPr>
          <w:rFonts w:asciiTheme="majorBidi" w:hAnsiTheme="majorBidi" w:cstheme="majorBidi"/>
          <w:sz w:val="28"/>
          <w:szCs w:val="28"/>
        </w:rPr>
        <w:instrText>number&gt;&lt;dates&gt;&lt;year&gt;2021&lt;/year&gt;&lt;/dates&gt;&lt;isbn&gt;2682-3403&lt;/isbn&gt;&lt;urls&gt;&lt;/urls&gt;&lt;/record&gt;&lt;/Cite&gt;&lt;/EndNote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 xml:space="preserve">(عادل </w:t>
      </w:r>
      <w:r w:rsidRPr="00DC3DDE">
        <w:rPr>
          <w:rFonts w:asciiTheme="majorBidi" w:hAnsiTheme="majorBidi" w:cstheme="majorBidi"/>
          <w:noProof/>
          <w:sz w:val="28"/>
          <w:szCs w:val="28"/>
        </w:rPr>
        <w:t>et al., 2021</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1C722C2C" w14:textId="780D2CA3" w:rsidR="00FE592E" w:rsidRPr="00FE592E" w:rsidRDefault="00FE592E" w:rsidP="00A0551C">
      <w:pPr>
        <w:bidi/>
        <w:jc w:val="both"/>
        <w:rPr>
          <w:rFonts w:asciiTheme="majorBidi" w:hAnsiTheme="majorBidi" w:cstheme="majorBidi"/>
          <w:sz w:val="28"/>
          <w:szCs w:val="28"/>
        </w:rPr>
      </w:pPr>
      <w:r w:rsidRPr="00683321">
        <w:rPr>
          <w:rFonts w:asciiTheme="majorBidi" w:hAnsiTheme="majorBidi" w:cstheme="majorBidi"/>
          <w:sz w:val="28"/>
          <w:szCs w:val="28"/>
          <w:rtl/>
        </w:rPr>
        <w:t>وبالمثل، تناولت دراسة “دور نظم العمل عالية الأداء في بناء مرونة الموارد البشرية وأثرهما على سلوكيات العمل الابتكاري” التي أجراها عبد العزيز علي مرزوق ومحمد فوزي أمين البردان (2018) عينة من 220 موظفًا في شركات تقنية معلومات، مستخدمةً منهج تحليل المعادلات الهيكلية</w:t>
      </w:r>
      <w:r w:rsidRPr="00683321">
        <w:rPr>
          <w:rFonts w:asciiTheme="majorBidi" w:hAnsiTheme="majorBidi" w:cstheme="majorBidi"/>
          <w:sz w:val="28"/>
          <w:szCs w:val="28"/>
        </w:rPr>
        <w:t xml:space="preserve"> (SEM) </w:t>
      </w:r>
      <w:r w:rsidRPr="00683321">
        <w:rPr>
          <w:rFonts w:asciiTheme="majorBidi" w:hAnsiTheme="majorBidi" w:cstheme="majorBidi"/>
          <w:sz w:val="28"/>
          <w:szCs w:val="28"/>
          <w:rtl/>
        </w:rPr>
        <w:t>واختبارات الارتباط الداخلي. كشفت النتائج عن وجود تأثير معنوي مباشر وقوي لأنظمة العمل عالية الأداء على مرونة الموارد البشرية، حيث فسرت هذه النظم نحو 59% من تباين مرونة الموارد البشرية، كما أثبتت وجود تأثير مباشر إضافي لنظم العمل عالية الأداء على سلوكيات العمل الإبداعي (بلغ تفسيرها 25% من التباين)، في حين فسّرت مرونة الموارد البشرية بحد ذاتها نحو 27% من التباين في السلوك الإبداعي. وأكدت الدراسة أيضًا على أن مرونة الموارد البشرية تعمل كمتغير وسيط جزئي في العلاقة بين</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والإبداع الوظيفي، مما يعني أن استراتيجيات الموارد البشرية المتقدمة تعزز الإبداع ليس فقط مباشرة بل أيضًا عن طريق بناء بنى تنظيمية مرنة ومحفزة</w:t>
      </w:r>
      <w:r w:rsidRPr="00DC3DDE">
        <w:rPr>
          <w:rFonts w:asciiTheme="majorBidi" w:hAnsiTheme="majorBidi" w:cstheme="majorBidi"/>
          <w:sz w:val="28"/>
          <w:szCs w:val="28"/>
          <w:rtl/>
        </w:rPr>
        <w:t xml:space="preserve">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w:instrText>
      </w:r>
      <w:r w:rsidRPr="00DC3DDE">
        <w:rPr>
          <w:rFonts w:asciiTheme="majorBidi" w:hAnsiTheme="majorBidi" w:cstheme="majorBidi"/>
          <w:sz w:val="28"/>
          <w:szCs w:val="28"/>
          <w:rtl/>
        </w:rPr>
        <w:instrText>&gt;مرزوق&lt;/</w:instrText>
      </w:r>
      <w:r w:rsidRPr="00DC3DDE">
        <w:rPr>
          <w:rFonts w:asciiTheme="majorBidi" w:hAnsiTheme="majorBidi" w:cstheme="majorBidi"/>
          <w:sz w:val="28"/>
          <w:szCs w:val="28"/>
        </w:rPr>
        <w:instrText>Author&gt;&lt;Year&gt;2018&lt;/Year&gt;&lt;RecNum&gt;2349&lt;/RecNum&gt;&lt;DisplayText</w:instrText>
      </w:r>
      <w:r w:rsidRPr="00DC3DDE">
        <w:rPr>
          <w:rFonts w:asciiTheme="majorBidi" w:hAnsiTheme="majorBidi" w:cstheme="majorBidi"/>
          <w:sz w:val="28"/>
          <w:szCs w:val="28"/>
          <w:rtl/>
        </w:rPr>
        <w:instrText xml:space="preserve">&gt;(مرزوق </w:instrText>
      </w:r>
      <w:r w:rsidRPr="00DC3DDE">
        <w:rPr>
          <w:rFonts w:asciiTheme="majorBidi" w:hAnsiTheme="majorBidi" w:cstheme="majorBidi"/>
          <w:sz w:val="28"/>
          <w:szCs w:val="28"/>
        </w:rPr>
        <w:instrText>et al., 2018</w:instrText>
      </w:r>
      <w:r w:rsidRPr="00DC3DDE">
        <w:rPr>
          <w:rFonts w:asciiTheme="majorBidi" w:hAnsiTheme="majorBidi" w:cstheme="majorBidi"/>
          <w:sz w:val="28"/>
          <w:szCs w:val="28"/>
          <w:rtl/>
        </w:rPr>
        <w:instrText>)&lt;/</w:instrText>
      </w:r>
      <w:r w:rsidRPr="00DC3DDE">
        <w:rPr>
          <w:rFonts w:asciiTheme="majorBidi" w:hAnsiTheme="majorBidi" w:cstheme="majorBidi"/>
          <w:sz w:val="28"/>
          <w:szCs w:val="28"/>
        </w:rPr>
        <w:instrText>DisplayText&gt;&lt;record&gt;&lt;rec-number&gt;2349&lt;/rec-number&gt;&lt;foreign-keys&gt;&lt;key app="EN" db-id="t5vttv59or5xwbe2zdm5ewrxd905arrpawff" timestamp="1744500236"&gt;2349&lt;/key&gt;&lt;/foreign-keys&gt;&lt;ref-type name="Journal Article"&gt;17&lt;/ref-type&gt;&lt;contributors&gt;&lt;authors&gt;&lt;author</w:instrText>
      </w:r>
      <w:r w:rsidRPr="00DC3DDE">
        <w:rPr>
          <w:rFonts w:asciiTheme="majorBidi" w:hAnsiTheme="majorBidi" w:cstheme="majorBidi"/>
          <w:sz w:val="28"/>
          <w:szCs w:val="28"/>
          <w:rtl/>
        </w:rPr>
        <w:instrText>&gt;مرزوق&lt;/</w:instrText>
      </w:r>
      <w:r w:rsidRPr="00DC3DDE">
        <w:rPr>
          <w:rFonts w:asciiTheme="majorBidi" w:hAnsiTheme="majorBidi" w:cstheme="majorBidi"/>
          <w:sz w:val="28"/>
          <w:szCs w:val="28"/>
        </w:rPr>
        <w:instrText>author&gt;&lt;author</w:instrText>
      </w:r>
      <w:r w:rsidRPr="00DC3DDE">
        <w:rPr>
          <w:rFonts w:asciiTheme="majorBidi" w:hAnsiTheme="majorBidi" w:cstheme="majorBidi"/>
          <w:sz w:val="28"/>
          <w:szCs w:val="28"/>
          <w:rtl/>
        </w:rPr>
        <w:instrText>&gt;عبد العزيز على&lt;/</w:instrText>
      </w:r>
      <w:r w:rsidRPr="00DC3DDE">
        <w:rPr>
          <w:rFonts w:asciiTheme="majorBidi" w:hAnsiTheme="majorBidi" w:cstheme="majorBidi"/>
          <w:sz w:val="28"/>
          <w:szCs w:val="28"/>
        </w:rPr>
        <w:instrText>author&gt;&lt;author</w:instrText>
      </w:r>
      <w:r w:rsidRPr="00DC3DDE">
        <w:rPr>
          <w:rFonts w:asciiTheme="majorBidi" w:hAnsiTheme="majorBidi" w:cstheme="majorBidi"/>
          <w:sz w:val="28"/>
          <w:szCs w:val="28"/>
          <w:rtl/>
        </w:rPr>
        <w:instrText>&gt;البردان&lt;/</w:instrText>
      </w:r>
      <w:r w:rsidRPr="00DC3DDE">
        <w:rPr>
          <w:rFonts w:asciiTheme="majorBidi" w:hAnsiTheme="majorBidi" w:cstheme="majorBidi"/>
          <w:sz w:val="28"/>
          <w:szCs w:val="28"/>
        </w:rPr>
        <w:instrText>author&gt;&lt;author</w:instrText>
      </w:r>
      <w:r w:rsidRPr="00DC3DDE">
        <w:rPr>
          <w:rFonts w:asciiTheme="majorBidi" w:hAnsiTheme="majorBidi" w:cstheme="majorBidi"/>
          <w:sz w:val="28"/>
          <w:szCs w:val="28"/>
          <w:rtl/>
        </w:rPr>
        <w:instrText>&gt;محمد فوزى امين&lt;/</w:instrText>
      </w:r>
      <w:r w:rsidRPr="00DC3DDE">
        <w:rPr>
          <w:rFonts w:asciiTheme="majorBidi" w:hAnsiTheme="majorBidi" w:cstheme="majorBidi"/>
          <w:sz w:val="28"/>
          <w:szCs w:val="28"/>
        </w:rPr>
        <w:instrText>author&gt;&lt;/authors&gt;&lt;/contributors&gt;&lt;titles&gt;&lt;title</w:instrText>
      </w:r>
      <w:r w:rsidRPr="00DC3DDE">
        <w:rPr>
          <w:rFonts w:asciiTheme="majorBidi" w:hAnsiTheme="majorBidi" w:cstheme="majorBidi"/>
          <w:sz w:val="28"/>
          <w:szCs w:val="28"/>
          <w:rtl/>
        </w:rPr>
        <w:instrText>&gt;دور نظم العمل عالية الاداء فى بناء مرونة الموارد البشرية واثرهما عاى سلوکيات تلعمل الابتکارى دراسة تطبيقية على الشرکات العاملة بتکنولوجيا المعلومات والاتصالتت بالقرية الذکية&lt;/</w:instrText>
      </w:r>
      <w:r w:rsidRPr="00DC3DDE">
        <w:rPr>
          <w:rFonts w:asciiTheme="majorBidi" w:hAnsiTheme="majorBidi" w:cstheme="majorBidi"/>
          <w:sz w:val="28"/>
          <w:szCs w:val="28"/>
        </w:rPr>
        <w:instrText>title&gt;&lt;secondary-title</w:instrText>
      </w:r>
      <w:r w:rsidRPr="00DC3DDE">
        <w:rPr>
          <w:rFonts w:asciiTheme="majorBidi" w:hAnsiTheme="majorBidi" w:cstheme="majorBidi"/>
          <w:sz w:val="28"/>
          <w:szCs w:val="28"/>
          <w:rtl/>
        </w:rPr>
        <w:instrText>&gt;المجلة العلمية للبحوث التجارية (جامعة المنوفية)&lt;/</w:instrText>
      </w:r>
      <w:r w:rsidRPr="00DC3DDE">
        <w:rPr>
          <w:rFonts w:asciiTheme="majorBidi" w:hAnsiTheme="majorBidi" w:cstheme="majorBidi"/>
          <w:sz w:val="28"/>
          <w:szCs w:val="28"/>
        </w:rPr>
        <w:instrText>secondary-title&gt;&lt;/titles&gt;&lt;periodical&gt;&lt;full-title</w:instrText>
      </w:r>
      <w:r w:rsidRPr="00DC3DDE">
        <w:rPr>
          <w:rFonts w:asciiTheme="majorBidi" w:hAnsiTheme="majorBidi" w:cstheme="majorBidi"/>
          <w:sz w:val="28"/>
          <w:szCs w:val="28"/>
          <w:rtl/>
        </w:rPr>
        <w:instrText>&gt;المجلة العلمية للبحوث التجارية (جامعة المنوفية)&lt;/</w:instrText>
      </w:r>
      <w:r w:rsidRPr="00DC3DDE">
        <w:rPr>
          <w:rFonts w:asciiTheme="majorBidi" w:hAnsiTheme="majorBidi" w:cstheme="majorBidi"/>
          <w:sz w:val="28"/>
          <w:szCs w:val="28"/>
        </w:rPr>
        <w:instrText>full-title&gt;&lt;/periodical&gt;&lt;pages&gt;261-296&lt;/pages&gt;&lt;volume&gt;31&lt;/volume&gt;&lt;number&gt;3&lt;/number&gt;&lt;dates&gt;&lt;year&gt;2018&lt;/year&gt;&lt;/dates&gt;&lt;isbn&gt;2682-387X&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 xml:space="preserve">(مرزوق </w:t>
      </w:r>
      <w:r w:rsidRPr="00DC3DDE">
        <w:rPr>
          <w:rFonts w:asciiTheme="majorBidi" w:hAnsiTheme="majorBidi" w:cstheme="majorBidi"/>
          <w:noProof/>
          <w:sz w:val="28"/>
          <w:szCs w:val="28"/>
        </w:rPr>
        <w:t>et al., 2018</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0842359D" w14:textId="63BECD5E" w:rsidR="00683321" w:rsidRDefault="00683321" w:rsidP="00A0551C">
      <w:pPr>
        <w:bidi/>
        <w:jc w:val="both"/>
        <w:rPr>
          <w:rFonts w:asciiTheme="majorBidi" w:hAnsiTheme="majorBidi" w:cstheme="majorBidi"/>
          <w:sz w:val="28"/>
          <w:szCs w:val="28"/>
          <w:rtl/>
        </w:rPr>
      </w:pPr>
      <w:r w:rsidRPr="00683321">
        <w:rPr>
          <w:rFonts w:asciiTheme="majorBidi" w:hAnsiTheme="majorBidi" w:cstheme="majorBidi"/>
          <w:sz w:val="28"/>
          <w:szCs w:val="28"/>
          <w:rtl/>
        </w:rPr>
        <w:t>وكانت هناك أيضًا دراسات أكدت أهمية العوامل التكميلية في تعزيز أثر</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على الإبداع. ففي دراسة أجرتها</w:t>
      </w:r>
      <w:r w:rsidRPr="00683321">
        <w:rPr>
          <w:rFonts w:asciiTheme="majorBidi" w:hAnsiTheme="majorBidi" w:cstheme="majorBidi"/>
          <w:sz w:val="28"/>
          <w:szCs w:val="28"/>
        </w:rPr>
        <w:t xml:space="preserve"> Shin </w:t>
      </w:r>
      <w:r w:rsidRPr="00683321">
        <w:rPr>
          <w:rFonts w:asciiTheme="majorBidi" w:hAnsiTheme="majorBidi" w:cstheme="majorBidi"/>
          <w:sz w:val="28"/>
          <w:szCs w:val="28"/>
          <w:rtl/>
        </w:rPr>
        <w:t>و</w:t>
      </w:r>
      <w:r w:rsidRPr="00683321">
        <w:rPr>
          <w:rFonts w:asciiTheme="majorBidi" w:hAnsiTheme="majorBidi" w:cstheme="majorBidi"/>
          <w:sz w:val="28"/>
          <w:szCs w:val="28"/>
        </w:rPr>
        <w:t xml:space="preserve">Konrad (2017) </w:t>
      </w:r>
      <w:r w:rsidR="00BC7C82" w:rsidRPr="00DC3DDE">
        <w:rPr>
          <w:rFonts w:asciiTheme="majorBidi" w:hAnsiTheme="majorBidi" w:cstheme="majorBidi"/>
          <w:sz w:val="28"/>
          <w:szCs w:val="28"/>
          <w:rtl/>
        </w:rPr>
        <w:t xml:space="preserve"> </w:t>
      </w:r>
      <w:r w:rsidRPr="00683321">
        <w:rPr>
          <w:rFonts w:asciiTheme="majorBidi" w:hAnsiTheme="majorBidi" w:cstheme="majorBidi"/>
          <w:sz w:val="28"/>
          <w:szCs w:val="28"/>
          <w:rtl/>
        </w:rPr>
        <w:t>وجدت أن تأثير</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على الأداء الإبداعي يظهر بقوة فقط في السياقات التي تتسم بوجود قيادة داعمة وبيئة ثقة نفسية، أي أن البيئة التنظيمية والثقافة الإدارية تساعد في “حضانة” أثر ممارسات</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على سلوكيات الإبداع</w:t>
      </w:r>
      <w:r w:rsidR="00BC7C82" w:rsidRPr="00DC3DDE">
        <w:rPr>
          <w:rFonts w:asciiTheme="majorBidi" w:hAnsiTheme="majorBidi" w:cstheme="majorBidi"/>
          <w:sz w:val="28"/>
          <w:szCs w:val="28"/>
          <w:rtl/>
        </w:rPr>
        <w:t xml:space="preserve"> </w:t>
      </w:r>
      <w:r w:rsidR="00BC7C82" w:rsidRPr="00DC3DDE">
        <w:rPr>
          <w:rFonts w:asciiTheme="majorBidi" w:hAnsiTheme="majorBidi" w:cstheme="majorBidi"/>
          <w:sz w:val="28"/>
          <w:szCs w:val="28"/>
          <w:rtl/>
        </w:rPr>
        <w:fldChar w:fldCharType="begin"/>
      </w:r>
      <w:r w:rsidR="00BC7C82" w:rsidRPr="00DC3DDE">
        <w:rPr>
          <w:rFonts w:asciiTheme="majorBidi" w:hAnsiTheme="majorBidi" w:cstheme="majorBidi"/>
          <w:sz w:val="28"/>
          <w:szCs w:val="28"/>
          <w:rtl/>
        </w:rPr>
        <w:instrText xml:space="preserve"> </w:instrText>
      </w:r>
      <w:r w:rsidR="00BC7C82" w:rsidRPr="00DC3DDE">
        <w:rPr>
          <w:rFonts w:asciiTheme="majorBidi" w:hAnsiTheme="majorBidi" w:cstheme="majorBidi"/>
          <w:sz w:val="28"/>
          <w:szCs w:val="28"/>
        </w:rPr>
        <w:instrText>ADDIN EN.CITE &lt;EndNote&gt;&lt;Cite&gt;&lt;Author&gt;Shin&lt;/Author&gt;&lt;Year&gt;2017&lt;/Year&gt;&lt;RecNum&gt;2346&lt;/RecNum&gt;&lt;DisplayText&gt;(Shin and Konrad, 2017)&lt;/DisplayText&gt;&lt;record&gt;&lt;rec-number&gt;2346&lt;/rec-number&gt;&lt;foreign-keys&gt;&lt;key app="EN" db-id="t5vttv59or5xwbe2zdm5ewrxd905arrpawff" timestamp="1744499132"&gt;2346&lt;/key&gt;&lt;/foreign-keys&gt;&lt;ref-type name="Journal Article"&gt;17&lt;/ref-type&gt;&lt;contributors&gt;&lt;authors&gt;&lt;author&gt;Shin, Duckjung&lt;/author&gt;&lt;author&gt;Konrad, Alison M&lt;/author&gt;&lt;/authors&gt;&lt;/contributors&gt;&lt;titles&gt;&lt;title&gt;Causality between high-performance work</w:instrText>
      </w:r>
      <w:r w:rsidR="00BC7C82" w:rsidRPr="00DC3DDE">
        <w:rPr>
          <w:rFonts w:asciiTheme="majorBidi" w:hAnsiTheme="majorBidi" w:cstheme="majorBidi"/>
          <w:sz w:val="28"/>
          <w:szCs w:val="28"/>
          <w:rtl/>
        </w:rPr>
        <w:instrText xml:space="preserve"> </w:instrText>
      </w:r>
      <w:r w:rsidR="00BC7C82" w:rsidRPr="00DC3DDE">
        <w:rPr>
          <w:rFonts w:asciiTheme="majorBidi" w:hAnsiTheme="majorBidi" w:cstheme="majorBidi"/>
          <w:sz w:val="28"/>
          <w:szCs w:val="28"/>
        </w:rPr>
        <w:instrText>systems and organizational performance&lt;/title&gt;&lt;secondary-title&gt;Journal of management&lt;/secondary-title&gt;&lt;/titles&gt;&lt;periodical&gt;&lt;full-title&gt;Journal of management&lt;/full-title&gt;&lt;/periodical&gt;&lt;pages&gt;973-997&lt;/pages&gt;&lt;volume&gt;43&lt;/volume&gt;&lt;number&gt;4&lt;/number&gt;&lt;dates&gt;&lt;year&gt;2</w:instrText>
      </w:r>
      <w:r w:rsidR="00BC7C82" w:rsidRPr="00DC3DDE">
        <w:rPr>
          <w:rFonts w:asciiTheme="majorBidi" w:hAnsiTheme="majorBidi" w:cstheme="majorBidi"/>
          <w:sz w:val="28"/>
          <w:szCs w:val="28"/>
          <w:rtl/>
        </w:rPr>
        <w:instrText>017&lt;/</w:instrText>
      </w:r>
      <w:r w:rsidR="00BC7C82" w:rsidRPr="00DC3DDE">
        <w:rPr>
          <w:rFonts w:asciiTheme="majorBidi" w:hAnsiTheme="majorBidi" w:cstheme="majorBidi"/>
          <w:sz w:val="28"/>
          <w:szCs w:val="28"/>
        </w:rPr>
        <w:instrText>year&gt;&lt;/dates&gt;&lt;isbn&gt;0149-2063&lt;/isbn&gt;&lt;urls&gt;&lt;/urls&gt;&lt;/record&gt;&lt;/Cite&gt;&lt;/EndNote</w:instrText>
      </w:r>
      <w:r w:rsidR="00BC7C82" w:rsidRPr="00DC3DDE">
        <w:rPr>
          <w:rFonts w:asciiTheme="majorBidi" w:hAnsiTheme="majorBidi" w:cstheme="majorBidi"/>
          <w:sz w:val="28"/>
          <w:szCs w:val="28"/>
          <w:rtl/>
        </w:rPr>
        <w:instrText>&gt;</w:instrText>
      </w:r>
      <w:r w:rsidR="00BC7C82" w:rsidRPr="00DC3DDE">
        <w:rPr>
          <w:rFonts w:asciiTheme="majorBidi" w:hAnsiTheme="majorBidi" w:cstheme="majorBidi"/>
          <w:sz w:val="28"/>
          <w:szCs w:val="28"/>
          <w:rtl/>
        </w:rPr>
        <w:fldChar w:fldCharType="separate"/>
      </w:r>
      <w:r w:rsidR="00BC7C82" w:rsidRPr="00DC3DDE">
        <w:rPr>
          <w:rFonts w:asciiTheme="majorBidi" w:hAnsiTheme="majorBidi" w:cstheme="majorBidi"/>
          <w:noProof/>
          <w:sz w:val="28"/>
          <w:szCs w:val="28"/>
          <w:rtl/>
        </w:rPr>
        <w:t>(</w:t>
      </w:r>
      <w:r w:rsidR="00BC7C82" w:rsidRPr="00DC3DDE">
        <w:rPr>
          <w:rFonts w:asciiTheme="majorBidi" w:hAnsiTheme="majorBidi" w:cstheme="majorBidi"/>
          <w:noProof/>
          <w:sz w:val="28"/>
          <w:szCs w:val="28"/>
        </w:rPr>
        <w:t>Shin and Konrad, 2017</w:t>
      </w:r>
      <w:r w:rsidR="00BC7C82" w:rsidRPr="00DC3DDE">
        <w:rPr>
          <w:rFonts w:asciiTheme="majorBidi" w:hAnsiTheme="majorBidi" w:cstheme="majorBidi"/>
          <w:noProof/>
          <w:sz w:val="28"/>
          <w:szCs w:val="28"/>
          <w:rtl/>
        </w:rPr>
        <w:t>)</w:t>
      </w:r>
      <w:r w:rsidR="00BC7C82" w:rsidRPr="00DC3DDE">
        <w:rPr>
          <w:rFonts w:asciiTheme="majorBidi" w:hAnsiTheme="majorBidi" w:cstheme="majorBidi"/>
          <w:sz w:val="28"/>
          <w:szCs w:val="28"/>
          <w:rtl/>
        </w:rPr>
        <w:fldChar w:fldCharType="end"/>
      </w:r>
      <w:r w:rsidRPr="00683321">
        <w:rPr>
          <w:rFonts w:asciiTheme="majorBidi" w:hAnsiTheme="majorBidi" w:cstheme="majorBidi"/>
          <w:sz w:val="28"/>
          <w:szCs w:val="28"/>
          <w:rtl/>
        </w:rPr>
        <w:t xml:space="preserve">. </w:t>
      </w:r>
      <w:r w:rsidR="0009186A" w:rsidRPr="00DC3DDE">
        <w:rPr>
          <w:rFonts w:asciiTheme="majorBidi" w:hAnsiTheme="majorBidi" w:cstheme="majorBidi"/>
          <w:sz w:val="28"/>
          <w:szCs w:val="28"/>
          <w:rtl/>
        </w:rPr>
        <w:t xml:space="preserve"> </w:t>
      </w:r>
      <w:r w:rsidRPr="00683321">
        <w:rPr>
          <w:rFonts w:asciiTheme="majorBidi" w:hAnsiTheme="majorBidi" w:cstheme="majorBidi"/>
          <w:sz w:val="28"/>
          <w:szCs w:val="28"/>
          <w:rtl/>
        </w:rPr>
        <w:t>أما في السياق الأسيوي، فقد بينت دراسة</w:t>
      </w:r>
      <w:r w:rsidRPr="00683321">
        <w:rPr>
          <w:rFonts w:asciiTheme="majorBidi" w:hAnsiTheme="majorBidi" w:cstheme="majorBidi"/>
          <w:sz w:val="28"/>
          <w:szCs w:val="28"/>
        </w:rPr>
        <w:t xml:space="preserve"> Chuang </w:t>
      </w:r>
      <w:r w:rsidRPr="00683321">
        <w:rPr>
          <w:rFonts w:asciiTheme="majorBidi" w:hAnsiTheme="majorBidi" w:cstheme="majorBidi"/>
          <w:sz w:val="28"/>
          <w:szCs w:val="28"/>
          <w:rtl/>
        </w:rPr>
        <w:t>وآخرين (2016) في قطاع الفنادق أن</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ترفع الأداء الإبداعي الوظيفي بشكل ملموس، من خلال تعزيز شعور الموظفين بقيمة دورهم وتوفير العدالة والشفافية في التقدير والمكافآت، وتمكينهم من التعبير عن الأفكار؛ وكانت ممارسات</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المتكاملة مرتبطة بنموذج واضح يربط بين الأداء والإبداع</w:t>
      </w:r>
      <w:r w:rsidR="0009186A" w:rsidRPr="00DC3DDE">
        <w:rPr>
          <w:rFonts w:asciiTheme="majorBidi" w:hAnsiTheme="majorBidi" w:cstheme="majorBidi"/>
          <w:sz w:val="28"/>
          <w:szCs w:val="28"/>
          <w:rtl/>
        </w:rPr>
        <w:t xml:space="preserve"> </w:t>
      </w:r>
      <w:r w:rsidR="0009186A" w:rsidRPr="00DC3DDE">
        <w:rPr>
          <w:rFonts w:asciiTheme="majorBidi" w:hAnsiTheme="majorBidi" w:cstheme="majorBidi"/>
          <w:sz w:val="28"/>
          <w:szCs w:val="28"/>
          <w:rtl/>
        </w:rPr>
        <w:fldChar w:fldCharType="begin"/>
      </w:r>
      <w:r w:rsidR="0009186A" w:rsidRPr="00DC3DDE">
        <w:rPr>
          <w:rFonts w:asciiTheme="majorBidi" w:hAnsiTheme="majorBidi" w:cstheme="majorBidi"/>
          <w:sz w:val="28"/>
          <w:szCs w:val="28"/>
          <w:rtl/>
        </w:rPr>
        <w:instrText xml:space="preserve"> </w:instrText>
      </w:r>
      <w:r w:rsidR="0009186A" w:rsidRPr="00DC3DDE">
        <w:rPr>
          <w:rFonts w:asciiTheme="majorBidi" w:hAnsiTheme="majorBidi" w:cstheme="majorBidi"/>
          <w:sz w:val="28"/>
          <w:szCs w:val="28"/>
        </w:rPr>
        <w:instrText>ADDIN EN.CITE &lt;EndNote&gt;&lt;Cite&gt;&lt;Author&gt;Chuang&lt;/Author&gt;&lt;Year&gt;2016&lt;/Year&gt;&lt;RecNum&gt;2347&lt;/RecNum&gt;&lt;DisplayText&gt;(Chuang et al., 2016)&lt;/DisplayText&gt;&lt;record&gt;&lt;rec-number&gt;2347&lt;/rec-number&gt;&lt;foreign-keys&gt;&lt;key app="EN" db-id="t5vttv59or5xwbe2zdm5ewrxd905arrpawff" timestamp="1744499529"&gt;2347&lt;/key&gt;&lt;/foreign-keys&gt;&lt;ref-type name="Journal Article"&gt;17&lt;/ref-type&gt;&lt;contributors&gt;&lt;authors&gt;&lt;author&gt;Chuang, Chih-Hsun&lt;/author&gt;&lt;author&gt;Jackson, Susan E&lt;/author&gt;&lt;author&gt;Jiang, Yuan&lt;/author&gt;&lt;/authors&gt;&lt;/contributors&gt;&lt;titles&gt;&lt;title&gt;Can knowledge-intensive teamwork be managed? Examining the roles of HRM systems, leadership, and tacit knowledge&lt;/title&gt;&lt;secondary-title&gt;Journal of management&lt;/secondary-title&gt;&lt;/titles&gt;&lt;periodical&gt;&lt;full-title&gt;Journal of management&lt;/full-title&gt;&lt;/periodical&gt;&lt;pages&gt;5</w:instrText>
      </w:r>
      <w:r w:rsidR="0009186A" w:rsidRPr="00DC3DDE">
        <w:rPr>
          <w:rFonts w:asciiTheme="majorBidi" w:hAnsiTheme="majorBidi" w:cstheme="majorBidi"/>
          <w:sz w:val="28"/>
          <w:szCs w:val="28"/>
          <w:rtl/>
        </w:rPr>
        <w:instrText>24-554&lt;/</w:instrText>
      </w:r>
      <w:r w:rsidR="0009186A" w:rsidRPr="00DC3DDE">
        <w:rPr>
          <w:rFonts w:asciiTheme="majorBidi" w:hAnsiTheme="majorBidi" w:cstheme="majorBidi"/>
          <w:sz w:val="28"/>
          <w:szCs w:val="28"/>
        </w:rPr>
        <w:instrText>pages&gt;&lt;volume&gt;42&lt;/volume&gt;&lt;number&gt;2&lt;/number&gt;&lt;dates&gt;&lt;year&gt;2016&lt;/year&gt;&lt;/dates&gt;&lt;isbn&gt;0149-2063&lt;/isbn&gt;&lt;urls&gt;&lt;/urls&gt;&lt;/record&gt;&lt;/Cite&gt;&lt;/EndNote</w:instrText>
      </w:r>
      <w:r w:rsidR="0009186A" w:rsidRPr="00DC3DDE">
        <w:rPr>
          <w:rFonts w:asciiTheme="majorBidi" w:hAnsiTheme="majorBidi" w:cstheme="majorBidi"/>
          <w:sz w:val="28"/>
          <w:szCs w:val="28"/>
          <w:rtl/>
        </w:rPr>
        <w:instrText>&gt;</w:instrText>
      </w:r>
      <w:r w:rsidR="0009186A" w:rsidRPr="00DC3DDE">
        <w:rPr>
          <w:rFonts w:asciiTheme="majorBidi" w:hAnsiTheme="majorBidi" w:cstheme="majorBidi"/>
          <w:sz w:val="28"/>
          <w:szCs w:val="28"/>
          <w:rtl/>
        </w:rPr>
        <w:fldChar w:fldCharType="separate"/>
      </w:r>
      <w:r w:rsidR="0009186A" w:rsidRPr="00DC3DDE">
        <w:rPr>
          <w:rFonts w:asciiTheme="majorBidi" w:hAnsiTheme="majorBidi" w:cstheme="majorBidi"/>
          <w:noProof/>
          <w:sz w:val="28"/>
          <w:szCs w:val="28"/>
          <w:rtl/>
        </w:rPr>
        <w:t>(</w:t>
      </w:r>
      <w:r w:rsidR="0009186A" w:rsidRPr="00DC3DDE">
        <w:rPr>
          <w:rFonts w:asciiTheme="majorBidi" w:hAnsiTheme="majorBidi" w:cstheme="majorBidi"/>
          <w:noProof/>
          <w:sz w:val="28"/>
          <w:szCs w:val="28"/>
        </w:rPr>
        <w:t>Chuang et al., 2016</w:t>
      </w:r>
      <w:r w:rsidR="0009186A" w:rsidRPr="00DC3DDE">
        <w:rPr>
          <w:rFonts w:asciiTheme="majorBidi" w:hAnsiTheme="majorBidi" w:cstheme="majorBidi"/>
          <w:noProof/>
          <w:sz w:val="28"/>
          <w:szCs w:val="28"/>
          <w:rtl/>
        </w:rPr>
        <w:t>)</w:t>
      </w:r>
      <w:r w:rsidR="0009186A" w:rsidRPr="00DC3DDE">
        <w:rPr>
          <w:rFonts w:asciiTheme="majorBidi" w:hAnsiTheme="majorBidi" w:cstheme="majorBidi"/>
          <w:sz w:val="28"/>
          <w:szCs w:val="28"/>
          <w:rtl/>
        </w:rPr>
        <w:fldChar w:fldCharType="end"/>
      </w:r>
      <w:r w:rsidR="0009186A" w:rsidRPr="00DC3DDE">
        <w:rPr>
          <w:rFonts w:asciiTheme="majorBidi" w:hAnsiTheme="majorBidi" w:cstheme="majorBidi"/>
          <w:sz w:val="28"/>
          <w:szCs w:val="28"/>
          <w:rtl/>
        </w:rPr>
        <w:t>.</w:t>
      </w:r>
    </w:p>
    <w:p w14:paraId="1D8ABA38" w14:textId="68BF1BCF" w:rsidR="00FE592E" w:rsidRPr="00683321" w:rsidRDefault="00FE592E" w:rsidP="00A0551C">
      <w:pPr>
        <w:bidi/>
        <w:jc w:val="both"/>
        <w:rPr>
          <w:rFonts w:asciiTheme="majorBidi" w:hAnsiTheme="majorBidi" w:cstheme="majorBidi"/>
          <w:sz w:val="28"/>
          <w:szCs w:val="28"/>
        </w:rPr>
      </w:pPr>
      <w:r w:rsidRPr="00683321">
        <w:rPr>
          <w:rFonts w:asciiTheme="majorBidi" w:hAnsiTheme="majorBidi" w:cstheme="majorBidi"/>
          <w:sz w:val="28"/>
          <w:szCs w:val="28"/>
          <w:rtl/>
        </w:rPr>
        <w:t>فقد أظهرت دراسة</w:t>
      </w:r>
      <w:r w:rsidRPr="00683321">
        <w:rPr>
          <w:rFonts w:asciiTheme="majorBidi" w:hAnsiTheme="majorBidi" w:cstheme="majorBidi"/>
          <w:sz w:val="28"/>
          <w:szCs w:val="28"/>
        </w:rPr>
        <w:t xml:space="preserve"> Messersmith </w:t>
      </w:r>
      <w:r w:rsidRPr="00683321">
        <w:rPr>
          <w:rFonts w:asciiTheme="majorBidi" w:hAnsiTheme="majorBidi" w:cstheme="majorBidi"/>
          <w:sz w:val="28"/>
          <w:szCs w:val="28"/>
          <w:rtl/>
        </w:rPr>
        <w:t>و</w:t>
      </w:r>
      <w:r w:rsidRPr="00683321">
        <w:rPr>
          <w:rFonts w:asciiTheme="majorBidi" w:hAnsiTheme="majorBidi" w:cstheme="majorBidi"/>
          <w:sz w:val="28"/>
          <w:szCs w:val="28"/>
        </w:rPr>
        <w:t xml:space="preserve">Guthrie </w:t>
      </w:r>
      <w:r w:rsidRPr="00DC3DDE">
        <w:rPr>
          <w:rFonts w:asciiTheme="majorBidi" w:hAnsiTheme="majorBidi" w:cstheme="majorBidi"/>
          <w:sz w:val="28"/>
          <w:szCs w:val="28"/>
        </w:rPr>
        <w:t>2010</w:t>
      </w:r>
      <w:r w:rsidRPr="00DC3DDE">
        <w:rPr>
          <w:rFonts w:asciiTheme="majorBidi" w:hAnsiTheme="majorBidi" w:cstheme="majorBidi"/>
          <w:sz w:val="28"/>
          <w:szCs w:val="28"/>
          <w:rtl/>
        </w:rPr>
        <w:t xml:space="preserve"> أن</w:t>
      </w:r>
      <w:r w:rsidRPr="00683321">
        <w:rPr>
          <w:rFonts w:asciiTheme="majorBidi" w:hAnsiTheme="majorBidi" w:cstheme="majorBidi"/>
          <w:sz w:val="28"/>
          <w:szCs w:val="28"/>
          <w:rtl/>
        </w:rPr>
        <w:t xml:space="preserve"> تطبيق ممارسات</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في شركات ناشئة أمريكية يسهم في تعزيز الابتكار التنظيمي عن طريق تحسين ديناميكيات الفريق ونقل المعرفة وبناء الثقة بين الأفراد، مما يبيّن أن أثر</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على الإبداع ليس مقصورًا على أداء الفرد فحسب بل يمتد إلى المستوى الجماع</w:t>
      </w:r>
      <w:r w:rsidRPr="00DC3DDE">
        <w:rPr>
          <w:rFonts w:asciiTheme="majorBidi" w:hAnsiTheme="majorBidi" w:cstheme="majorBidi"/>
          <w:sz w:val="28"/>
          <w:szCs w:val="28"/>
          <w:rtl/>
        </w:rPr>
        <w:t xml:space="preserve">ي </w:t>
      </w:r>
      <w:r w:rsidRPr="00DC3DDE">
        <w:rPr>
          <w:rFonts w:asciiTheme="majorBidi" w:hAnsiTheme="majorBidi" w:cstheme="majorBidi"/>
          <w:sz w:val="28"/>
          <w:szCs w:val="28"/>
          <w:rtl/>
        </w:rPr>
        <w:fldChar w:fldCharType="begin"/>
      </w:r>
      <w:r w:rsidRPr="00DC3DDE">
        <w:rPr>
          <w:rFonts w:asciiTheme="majorBidi" w:hAnsiTheme="majorBidi" w:cstheme="majorBidi"/>
          <w:sz w:val="28"/>
          <w:szCs w:val="28"/>
          <w:rtl/>
        </w:rPr>
        <w:instrText xml:space="preserve"> </w:instrText>
      </w:r>
      <w:r w:rsidRPr="00DC3DDE">
        <w:rPr>
          <w:rFonts w:asciiTheme="majorBidi" w:hAnsiTheme="majorBidi" w:cstheme="majorBidi"/>
          <w:sz w:val="28"/>
          <w:szCs w:val="28"/>
        </w:rPr>
        <w:instrText>ADDIN EN.CITE &lt;EndNote&gt;&lt;Cite&gt;&lt;Author&gt;Messersmith&lt;/Author&gt;&lt;Year&gt;2010&lt;/Year&gt;&lt;RecNum&gt;2325&lt;/RecNum&gt;&lt;DisplayText&gt;(Messersmith and Guthrie, 2010)&lt;/DisplayText&gt;&lt;record&gt;&lt;rec-number&gt;2325&lt;/rec-number&gt;&lt;foreign-keys&gt;&lt;key app="EN" db-id="t5vttv59or5xwbe2zdm5ewrxd905arrpawff" timestamp="1744398106"&gt;2325&lt;/key&gt;&lt;/foreign-keys&gt;&lt;ref-type name="Journal Article"&gt;17&lt;/ref-type&gt;&lt;contributors&gt;&lt;authors&gt;&lt;author&gt;Messersmith, Jake G&lt;/author&gt;&lt;author&gt;Guthrie, James P&lt;/author&gt;&lt;/authors&gt;&lt;/contributors&gt;&lt;titles&gt;&lt;title&gt;High performance work systems in emergent organizations: Implications for firm performance&lt;/title&gt;&lt;secondary-title&gt;Human Resource Management: Published in Cooperation with the School of Business Administration, The University of Michigan and in alliance with the Society of Human Resources Management&lt;/secondary-title&gt;&lt;/titles&gt;&lt;periodical&gt;&lt;full-title&gt;Human Resource Management: Published in Cooperation with the School of Business Administration, The University of Michigan and in alliance with the Society of Human Resources Management&lt;/full-title&gt;&lt;/periodical&gt;&lt;pages&gt;241-264&lt;/pages&gt;&lt;volume&gt;49&lt;/volume&gt;&lt;number&gt;2&lt;/number&gt;&lt;dates&gt;&lt;year&gt;2010&lt;/year&gt;&lt;/dates&gt;&lt;isbn&gt;0090-4848&lt;/isbn&gt;&lt;urls&gt;&lt;/urls&gt;&lt;/record&gt;&lt;/Cite&gt;&lt;/EndNote</w:instrText>
      </w:r>
      <w:r w:rsidRPr="00DC3DDE">
        <w:rPr>
          <w:rFonts w:asciiTheme="majorBidi" w:hAnsiTheme="majorBidi" w:cstheme="majorBidi"/>
          <w:sz w:val="28"/>
          <w:szCs w:val="28"/>
          <w:rtl/>
        </w:rPr>
        <w:instrText>&gt;</w:instrText>
      </w:r>
      <w:r w:rsidRPr="00DC3DDE">
        <w:rPr>
          <w:rFonts w:asciiTheme="majorBidi" w:hAnsiTheme="majorBidi" w:cstheme="majorBidi"/>
          <w:sz w:val="28"/>
          <w:szCs w:val="28"/>
          <w:rtl/>
        </w:rPr>
        <w:fldChar w:fldCharType="separate"/>
      </w:r>
      <w:r w:rsidRPr="00DC3DDE">
        <w:rPr>
          <w:rFonts w:asciiTheme="majorBidi" w:hAnsiTheme="majorBidi" w:cstheme="majorBidi"/>
          <w:noProof/>
          <w:sz w:val="28"/>
          <w:szCs w:val="28"/>
          <w:rtl/>
        </w:rPr>
        <w:t>(</w:t>
      </w:r>
      <w:r w:rsidRPr="00DC3DDE">
        <w:rPr>
          <w:rFonts w:asciiTheme="majorBidi" w:hAnsiTheme="majorBidi" w:cstheme="majorBidi"/>
          <w:noProof/>
          <w:sz w:val="28"/>
          <w:szCs w:val="28"/>
        </w:rPr>
        <w:t>Messersmith and Guthrie, 2010</w:t>
      </w:r>
      <w:r w:rsidRPr="00DC3DDE">
        <w:rPr>
          <w:rFonts w:asciiTheme="majorBidi" w:hAnsiTheme="majorBidi" w:cstheme="majorBidi"/>
          <w:noProof/>
          <w:sz w:val="28"/>
          <w:szCs w:val="28"/>
          <w:rtl/>
        </w:rPr>
        <w:t>)</w:t>
      </w:r>
      <w:r w:rsidRPr="00DC3DDE">
        <w:rPr>
          <w:rFonts w:asciiTheme="majorBidi" w:hAnsiTheme="majorBidi" w:cstheme="majorBidi"/>
          <w:sz w:val="28"/>
          <w:szCs w:val="28"/>
          <w:rtl/>
        </w:rPr>
        <w:fldChar w:fldCharType="end"/>
      </w:r>
      <w:r w:rsidRPr="00DC3DDE">
        <w:rPr>
          <w:rFonts w:asciiTheme="majorBidi" w:hAnsiTheme="majorBidi" w:cstheme="majorBidi"/>
          <w:sz w:val="28"/>
          <w:szCs w:val="28"/>
          <w:rtl/>
        </w:rPr>
        <w:t>.</w:t>
      </w:r>
    </w:p>
    <w:p w14:paraId="43ED233F" w14:textId="23DECE32" w:rsidR="007575D7" w:rsidRPr="00DC3DDE" w:rsidRDefault="00683321" w:rsidP="00A0551C">
      <w:pPr>
        <w:bidi/>
        <w:jc w:val="both"/>
        <w:rPr>
          <w:rFonts w:asciiTheme="majorBidi" w:hAnsiTheme="majorBidi" w:cstheme="majorBidi"/>
          <w:sz w:val="28"/>
          <w:szCs w:val="28"/>
          <w:rtl/>
        </w:rPr>
      </w:pPr>
      <w:r w:rsidRPr="00683321">
        <w:rPr>
          <w:rFonts w:asciiTheme="majorBidi" w:hAnsiTheme="majorBidi" w:cstheme="majorBidi"/>
          <w:sz w:val="28"/>
          <w:szCs w:val="28"/>
          <w:rtl/>
        </w:rPr>
        <w:lastRenderedPageBreak/>
        <w:t>تجمع نتائج هذه الدراسات على أن أنظمة العمل عالية الأداء تلعب دورًا إيجابيًا في تهيئة مناخ داعم للإبداع؛ إذ يساهم تبني ممارسات مثل الانتقاء التوظيفي، والتدريب المكثف، والتحفيز النفسي، والمشاركة في اتخاذ القرار في رفع القدرات المعرفية والدافعية والفرص أمام الموظفين للإبداع. بيد أن هذه الدراسات تختلف من حيث السياقات الوظيفية والمنهجيات والأدوات؛ فقد طُبِّقت في بيئات ثقافية وتنظيمية متنوعة (منظمات ربحية وغير ربحية، وأطر أكاديمية وحكومية) واستخدمت مقاربات كمية وصفية ونمذجة معادلات وهيكلية</w:t>
      </w:r>
      <w:r w:rsidRPr="00683321">
        <w:rPr>
          <w:rFonts w:asciiTheme="majorBidi" w:hAnsiTheme="majorBidi" w:cstheme="majorBidi"/>
          <w:sz w:val="28"/>
          <w:szCs w:val="28"/>
        </w:rPr>
        <w:t xml:space="preserve"> (SEM) </w:t>
      </w:r>
      <w:r w:rsidRPr="00683321">
        <w:rPr>
          <w:rFonts w:asciiTheme="majorBidi" w:hAnsiTheme="majorBidi" w:cstheme="majorBidi"/>
          <w:sz w:val="28"/>
          <w:szCs w:val="28"/>
          <w:rtl/>
        </w:rPr>
        <w:t>بشكل أساسي، مع اعتماد نماذج تفسيرية مثل نظرية</w:t>
      </w:r>
      <w:r w:rsidRPr="00683321">
        <w:rPr>
          <w:rFonts w:asciiTheme="majorBidi" w:hAnsiTheme="majorBidi" w:cstheme="majorBidi"/>
          <w:sz w:val="28"/>
          <w:szCs w:val="28"/>
        </w:rPr>
        <w:t xml:space="preserve"> AMO </w:t>
      </w:r>
      <w:r w:rsidRPr="00683321">
        <w:rPr>
          <w:rFonts w:asciiTheme="majorBidi" w:hAnsiTheme="majorBidi" w:cstheme="majorBidi"/>
          <w:sz w:val="28"/>
          <w:szCs w:val="28"/>
          <w:rtl/>
        </w:rPr>
        <w:t>أو القدرة–الدافعية–الفرصة ونظرية الموارد الديناميكية. كما تنوعت المتغيرات الوسيطة والدافعة المدروسة من دراسة إلى أخرى (رأس المال الفكري، المرونة التنظيمية، الثقة، القيادة، إلخ). ومن ثم، فإن أوجه التشابه تكمن في النتيجة العامة – إذ تدعم جميعها الفكرة القائلة بأن</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تعزز نتائج الابتكار – في حين تظهر الاختلافات في تفاصيل التطبيق والتحليل. وتبرز الفجوة البحثية التي تعالجها هذه الدراسة الحالية في ندرة الأبحاث التي تربط مباشرة بين</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والإبداع الوظيفي في بيئات الخدمة، وخصوصًا في السياقات العربية؛ فمع أن هذه الدراسات أكدت أهمية</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في تعزيز عناصر بيئية مساندة للإبداع، إلا أن العلاقة المباشرة بين ممارسات الموارد البشرية عالية الأداء والإبداع الوظيفي بقيت ضعيفة الضبط في الأدبيات العربية، دون دراسات مقارنة منهجية بين قطاعات ضيافة فرعية (كالفنادق والمطاعم) ضمن بيئة عمل عربية. لذا، تسعى دراستنا إلى سد هذه الفجوة من خلال اختبار هذا التأثير المباشر في قطاعي الفنادق والمطاعم السعودي، مع الأخذ في الاعتبار دور الثقافة التنظيمية كآلية تفسر تفاعل</w:t>
      </w:r>
      <w:r w:rsidRPr="00683321">
        <w:rPr>
          <w:rFonts w:asciiTheme="majorBidi" w:hAnsiTheme="majorBidi" w:cstheme="majorBidi"/>
          <w:sz w:val="28"/>
          <w:szCs w:val="28"/>
        </w:rPr>
        <w:t xml:space="preserve"> HPWS </w:t>
      </w:r>
      <w:r w:rsidRPr="00683321">
        <w:rPr>
          <w:rFonts w:asciiTheme="majorBidi" w:hAnsiTheme="majorBidi" w:cstheme="majorBidi"/>
          <w:sz w:val="28"/>
          <w:szCs w:val="28"/>
          <w:rtl/>
        </w:rPr>
        <w:t>مع السياق الداخلي لخلق نتائج إبداعية مستدامة</w:t>
      </w:r>
      <w:r w:rsidRPr="00683321">
        <w:rPr>
          <w:rFonts w:asciiTheme="majorBidi" w:hAnsiTheme="majorBidi" w:cstheme="majorBidi"/>
          <w:sz w:val="28"/>
          <w:szCs w:val="28"/>
        </w:rPr>
        <w:t>.</w:t>
      </w:r>
    </w:p>
    <w:p w14:paraId="632E430D" w14:textId="539CCE6A" w:rsidR="00683321" w:rsidRPr="00DC3DDE" w:rsidRDefault="00AF6289" w:rsidP="00683321">
      <w:pPr>
        <w:bidi/>
        <w:rPr>
          <w:rFonts w:asciiTheme="majorBidi" w:hAnsiTheme="majorBidi" w:cstheme="majorBidi"/>
          <w:b/>
          <w:bCs/>
          <w:sz w:val="28"/>
          <w:szCs w:val="28"/>
          <w:rtl/>
        </w:rPr>
      </w:pPr>
      <w:r w:rsidRPr="00DC3DDE">
        <w:rPr>
          <w:rFonts w:asciiTheme="majorBidi" w:hAnsiTheme="majorBidi" w:cstheme="majorBidi"/>
          <w:b/>
          <w:bCs/>
          <w:sz w:val="28"/>
          <w:szCs w:val="28"/>
          <w:rtl/>
        </w:rPr>
        <w:t>2.3.2.</w:t>
      </w:r>
      <w:r w:rsidR="00683321" w:rsidRPr="00DC3DDE">
        <w:rPr>
          <w:rFonts w:asciiTheme="majorBidi" w:hAnsiTheme="majorBidi" w:cstheme="majorBidi"/>
          <w:b/>
          <w:bCs/>
          <w:sz w:val="28"/>
          <w:szCs w:val="28"/>
          <w:rtl/>
        </w:rPr>
        <w:t xml:space="preserve"> العلاقة بين المتغير المستقل</w:t>
      </w:r>
      <w:r w:rsidR="00683321" w:rsidRPr="00DC3DDE">
        <w:rPr>
          <w:rFonts w:asciiTheme="majorBidi" w:hAnsiTheme="majorBidi" w:cstheme="majorBidi"/>
          <w:b/>
          <w:bCs/>
          <w:sz w:val="28"/>
          <w:szCs w:val="28"/>
        </w:rPr>
        <w:t xml:space="preserve"> </w:t>
      </w:r>
      <w:r w:rsidR="00683321" w:rsidRPr="00DC3DDE">
        <w:rPr>
          <w:rFonts w:asciiTheme="majorBidi" w:hAnsiTheme="majorBidi" w:cstheme="majorBidi"/>
          <w:b/>
          <w:bCs/>
          <w:sz w:val="28"/>
          <w:szCs w:val="28"/>
          <w:rtl/>
        </w:rPr>
        <w:t>(أنظمة العمل عالية الأداء</w:t>
      </w:r>
      <w:r w:rsidR="003A5C90">
        <w:rPr>
          <w:rFonts w:asciiTheme="majorBidi" w:hAnsiTheme="majorBidi" w:cstheme="majorBidi" w:hint="cs"/>
          <w:b/>
          <w:bCs/>
          <w:sz w:val="28"/>
          <w:szCs w:val="28"/>
          <w:rtl/>
        </w:rPr>
        <w:t xml:space="preserve"> </w:t>
      </w:r>
      <w:r w:rsidR="00683321" w:rsidRPr="00DC3DDE">
        <w:rPr>
          <w:rFonts w:asciiTheme="majorBidi" w:hAnsiTheme="majorBidi" w:cstheme="majorBidi"/>
          <w:b/>
          <w:bCs/>
          <w:sz w:val="28"/>
          <w:szCs w:val="28"/>
        </w:rPr>
        <w:t>HPWS</w:t>
      </w:r>
      <w:r w:rsidR="00683321" w:rsidRPr="00DC3DDE">
        <w:rPr>
          <w:rFonts w:asciiTheme="majorBidi" w:hAnsiTheme="majorBidi" w:cstheme="majorBidi"/>
          <w:b/>
          <w:bCs/>
          <w:sz w:val="28"/>
          <w:szCs w:val="28"/>
          <w:rtl/>
        </w:rPr>
        <w:t>)</w:t>
      </w:r>
      <w:r w:rsidR="00683321" w:rsidRPr="00DC3DDE">
        <w:rPr>
          <w:rFonts w:asciiTheme="majorBidi" w:hAnsiTheme="majorBidi" w:cstheme="majorBidi"/>
          <w:b/>
          <w:bCs/>
          <w:sz w:val="28"/>
          <w:szCs w:val="28"/>
        </w:rPr>
        <w:t xml:space="preserve"> </w:t>
      </w:r>
      <w:r w:rsidR="00683321" w:rsidRPr="00DC3DDE">
        <w:rPr>
          <w:rFonts w:asciiTheme="majorBidi" w:hAnsiTheme="majorBidi" w:cstheme="majorBidi"/>
          <w:b/>
          <w:bCs/>
          <w:sz w:val="28"/>
          <w:szCs w:val="28"/>
          <w:rtl/>
        </w:rPr>
        <w:t>والمتغير الوسيط (الثقافة التنظيمية)</w:t>
      </w:r>
    </w:p>
    <w:p w14:paraId="003942E0" w14:textId="77777777" w:rsidR="00E424B4" w:rsidRPr="002D7391" w:rsidRDefault="00AF6289" w:rsidP="00BE5045">
      <w:pPr>
        <w:bidi/>
        <w:jc w:val="both"/>
        <w:rPr>
          <w:rFonts w:asciiTheme="majorBidi" w:hAnsiTheme="majorBidi" w:cstheme="majorBidi"/>
          <w:sz w:val="28"/>
          <w:szCs w:val="28"/>
          <w:rtl/>
        </w:rPr>
      </w:pPr>
      <w:r w:rsidRPr="002D7391">
        <w:rPr>
          <w:rFonts w:asciiTheme="majorBidi" w:hAnsiTheme="majorBidi" w:cstheme="majorBidi"/>
          <w:sz w:val="28"/>
          <w:szCs w:val="28"/>
          <w:rtl/>
        </w:rPr>
        <w:t>دلت الأدبيات السابقة على الترابط الوثيق بين أنظمة العمل عالية الأداء</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 xml:space="preserve">والثقافة </w:t>
      </w:r>
      <w:proofErr w:type="gramStart"/>
      <w:r w:rsidRPr="002D7391">
        <w:rPr>
          <w:rFonts w:asciiTheme="majorBidi" w:hAnsiTheme="majorBidi" w:cstheme="majorBidi"/>
          <w:sz w:val="28"/>
          <w:szCs w:val="28"/>
          <w:rtl/>
        </w:rPr>
        <w:t xml:space="preserve">التنظيمية، </w:t>
      </w:r>
      <w:r w:rsidR="00E424B4" w:rsidRPr="002D7391">
        <w:rPr>
          <w:rFonts w:asciiTheme="majorBidi" w:hAnsiTheme="majorBidi" w:cstheme="majorBidi"/>
          <w:sz w:val="28"/>
          <w:szCs w:val="28"/>
          <w:rtl/>
        </w:rPr>
        <w:t xml:space="preserve"> في</w:t>
      </w:r>
      <w:proofErr w:type="gramEnd"/>
      <w:r w:rsidR="00E424B4" w:rsidRPr="002D7391">
        <w:rPr>
          <w:rFonts w:asciiTheme="majorBidi" w:hAnsiTheme="majorBidi" w:cstheme="majorBidi"/>
          <w:sz w:val="28"/>
          <w:szCs w:val="28"/>
          <w:rtl/>
        </w:rPr>
        <w:t xml:space="preserve"> دراسة ميدانية أكثر حداثة، استخدم </w:t>
      </w:r>
      <w:r w:rsidR="00E424B4" w:rsidRPr="002D7391">
        <w:rPr>
          <w:rFonts w:asciiTheme="majorBidi" w:hAnsiTheme="majorBidi" w:cstheme="majorBidi"/>
          <w:sz w:val="28"/>
          <w:szCs w:val="28"/>
        </w:rPr>
        <w:t xml:space="preserve">Wang </w:t>
      </w:r>
      <w:r w:rsidR="00E424B4" w:rsidRPr="002D7391">
        <w:rPr>
          <w:rFonts w:asciiTheme="majorBidi" w:hAnsiTheme="majorBidi" w:cstheme="majorBidi"/>
          <w:sz w:val="28"/>
          <w:szCs w:val="28"/>
          <w:rtl/>
        </w:rPr>
        <w:t>وآخرون</w:t>
      </w:r>
      <w:r w:rsidR="00E424B4" w:rsidRPr="002D7391">
        <w:rPr>
          <w:rFonts w:asciiTheme="majorBidi" w:hAnsiTheme="majorBidi" w:cstheme="majorBidi"/>
          <w:sz w:val="28"/>
          <w:szCs w:val="28"/>
        </w:rPr>
        <w:t xml:space="preserve"> (2024) </w:t>
      </w:r>
      <w:r w:rsidR="00E424B4" w:rsidRPr="002D7391">
        <w:rPr>
          <w:rFonts w:asciiTheme="majorBidi" w:hAnsiTheme="majorBidi" w:cstheme="majorBidi"/>
          <w:sz w:val="28"/>
          <w:szCs w:val="28"/>
          <w:rtl/>
        </w:rPr>
        <w:t xml:space="preserve">في بحثهم </w:t>
      </w:r>
      <w:r w:rsidR="00E424B4" w:rsidRPr="002D7391">
        <w:rPr>
          <w:rFonts w:asciiTheme="majorBidi" w:hAnsiTheme="majorBidi" w:cstheme="majorBidi"/>
          <w:i/>
          <w:iCs/>
          <w:sz w:val="28"/>
          <w:szCs w:val="28"/>
          <w:rtl/>
        </w:rPr>
        <w:t>"</w:t>
      </w:r>
      <w:r w:rsidR="00E424B4" w:rsidRPr="002D7391">
        <w:rPr>
          <w:rFonts w:asciiTheme="majorBidi" w:hAnsiTheme="majorBidi" w:cstheme="majorBidi"/>
          <w:i/>
          <w:iCs/>
          <w:sz w:val="28"/>
          <w:szCs w:val="28"/>
        </w:rPr>
        <w:t>The Effect of a High-Performance Work System on Organizational Innovation Performance…</w:t>
      </w:r>
      <w:r w:rsidR="00E424B4" w:rsidRPr="002D7391">
        <w:rPr>
          <w:rFonts w:asciiTheme="majorBidi" w:hAnsiTheme="majorBidi" w:cstheme="majorBidi"/>
          <w:i/>
          <w:iCs/>
          <w:sz w:val="28"/>
          <w:szCs w:val="28"/>
          <w:rtl/>
        </w:rPr>
        <w:t>"</w:t>
      </w:r>
      <w:r w:rsidR="00E424B4" w:rsidRPr="002D7391">
        <w:rPr>
          <w:rFonts w:asciiTheme="majorBidi" w:hAnsiTheme="majorBidi" w:cstheme="majorBidi"/>
          <w:sz w:val="28"/>
          <w:szCs w:val="28"/>
        </w:rPr>
        <w:t xml:space="preserve"> </w:t>
      </w:r>
      <w:r w:rsidR="00E424B4" w:rsidRPr="002D7391">
        <w:rPr>
          <w:rFonts w:asciiTheme="majorBidi" w:hAnsiTheme="majorBidi" w:cstheme="majorBidi"/>
          <w:sz w:val="28"/>
          <w:szCs w:val="28"/>
          <w:rtl/>
        </w:rPr>
        <w:t xml:space="preserve">منهجية </w:t>
      </w:r>
      <w:proofErr w:type="spellStart"/>
      <w:r w:rsidR="00E424B4" w:rsidRPr="002D7391">
        <w:rPr>
          <w:rFonts w:asciiTheme="majorBidi" w:hAnsiTheme="majorBidi" w:cstheme="majorBidi"/>
          <w:sz w:val="28"/>
          <w:szCs w:val="28"/>
          <w:rtl/>
        </w:rPr>
        <w:t>استبيانية</w:t>
      </w:r>
      <w:proofErr w:type="spellEnd"/>
      <w:r w:rsidR="00E424B4" w:rsidRPr="002D7391">
        <w:rPr>
          <w:rFonts w:asciiTheme="majorBidi" w:hAnsiTheme="majorBidi" w:cstheme="majorBidi"/>
          <w:sz w:val="28"/>
          <w:szCs w:val="28"/>
          <w:rtl/>
        </w:rPr>
        <w:t xml:space="preserve"> شملت 309 موظفًا صينيًّا من مؤسسات مختلفة. أكد فريق البحث أن المؤسسات التي تطبق حزمة متمكنة من ممارسات</w:t>
      </w:r>
      <w:r w:rsidR="00E424B4" w:rsidRPr="002D7391">
        <w:rPr>
          <w:rFonts w:asciiTheme="majorBidi" w:hAnsiTheme="majorBidi" w:cstheme="majorBidi"/>
          <w:sz w:val="28"/>
          <w:szCs w:val="28"/>
        </w:rPr>
        <w:t xml:space="preserve"> HPWS </w:t>
      </w:r>
      <w:r w:rsidR="00E424B4" w:rsidRPr="002D7391">
        <w:rPr>
          <w:rFonts w:asciiTheme="majorBidi" w:hAnsiTheme="majorBidi" w:cstheme="majorBidi"/>
          <w:sz w:val="28"/>
          <w:szCs w:val="28"/>
          <w:rtl/>
        </w:rPr>
        <w:t xml:space="preserve">(كالتدريب المكثف، والمشاركة الواسعة، والأنظمة التحفيزية القائمة على الأداء) تنجح في تكوين “ثقافة تنظيمية قوية” بين الموظفين </w:t>
      </w:r>
      <w:r w:rsidR="00E424B4" w:rsidRPr="002D7391">
        <w:rPr>
          <w:rFonts w:asciiTheme="majorBidi" w:hAnsiTheme="majorBidi" w:cstheme="majorBidi"/>
          <w:sz w:val="28"/>
          <w:szCs w:val="28"/>
          <w:rtl/>
        </w:rPr>
        <w:fldChar w:fldCharType="begin"/>
      </w:r>
      <w:r w:rsidR="00E424B4" w:rsidRPr="002D7391">
        <w:rPr>
          <w:rFonts w:asciiTheme="majorBidi" w:hAnsiTheme="majorBidi" w:cstheme="majorBidi"/>
          <w:sz w:val="28"/>
          <w:szCs w:val="28"/>
          <w:rtl/>
        </w:rPr>
        <w:instrText xml:space="preserve"> </w:instrText>
      </w:r>
      <w:r w:rsidR="00E424B4" w:rsidRPr="002D7391">
        <w:rPr>
          <w:rFonts w:asciiTheme="majorBidi" w:hAnsiTheme="majorBidi" w:cstheme="majorBidi"/>
          <w:sz w:val="28"/>
          <w:szCs w:val="28"/>
        </w:rPr>
        <w:instrText>ADDIN EN.CITE &lt;EndNote&gt;&lt;Cite&gt;&lt;Author&gt;Wang&lt;/Author&gt;&lt;Year&gt;2024&lt;/Year&gt;&lt;RecNum&gt;3023&lt;/RecNum&gt;&lt;DisplayText&gt;(Wang et al., 2024)&lt;/DisplayText&gt;&lt;record&gt;&lt;rec-number&gt;3023&lt;/rec-number&gt;&lt;foreign-keys&gt;&lt;key app="EN" db-id="t5vttv59or5xwbe2zdm5ewrxd905arrpawff" timestamp</w:instrText>
      </w:r>
      <w:r w:rsidR="00E424B4" w:rsidRPr="002D7391">
        <w:rPr>
          <w:rFonts w:asciiTheme="majorBidi" w:hAnsiTheme="majorBidi" w:cstheme="majorBidi"/>
          <w:sz w:val="28"/>
          <w:szCs w:val="28"/>
          <w:rtl/>
        </w:rPr>
        <w:instrText>="1754662993"&gt;3023&lt;/</w:instrText>
      </w:r>
      <w:r w:rsidR="00E424B4" w:rsidRPr="002D7391">
        <w:rPr>
          <w:rFonts w:asciiTheme="majorBidi" w:hAnsiTheme="majorBidi" w:cstheme="majorBidi"/>
          <w:sz w:val="28"/>
          <w:szCs w:val="28"/>
        </w:rPr>
        <w:instrText>key&gt;&lt;/foreign-keys&gt;&lt;ref-type name="Journal Article"&gt;17&lt;/ref-type&gt;&lt;contributors&gt;&lt;authors&gt;&lt;author&gt;Wang, Yu&lt;/author&gt;&lt;author&gt;Zhu, Lingfeng&lt;/author&gt;&lt;author&gt;Jin, Xiu&lt;/author&gt;&lt;/authors&gt;&lt;/contributors&gt;&lt;titles&gt;&lt;title&gt;The effect of a high-performance work system on organizational innovation performance: The mediating effect of employees’ intrinsic motivation and the moderating effect of person–organization fit&lt;/title&gt;&lt;secondary-title&gt;Systems&lt;/secondary-title&gt;&lt;/titles&gt;&lt;periodical&gt;&lt;full-title&gt;Systems&lt;/full-title&gt;&lt;/periodical&gt;&lt;pages&gt;230&lt;/pages&gt;&lt;volume&gt;12&lt;/volume&gt;&lt;number&gt;7&lt;/number&gt;&lt;dates&gt;&lt;year&gt;2024&lt;/year&gt;&lt;/dates&gt;&lt;isbn&gt;2079-8954&lt;/isbn&gt;&lt;urls&gt;&lt;/urls&gt;&lt;/record&gt;&lt;/Cite&gt;&lt;/EndNote</w:instrText>
      </w:r>
      <w:r w:rsidR="00E424B4" w:rsidRPr="002D7391">
        <w:rPr>
          <w:rFonts w:asciiTheme="majorBidi" w:hAnsiTheme="majorBidi" w:cstheme="majorBidi"/>
          <w:sz w:val="28"/>
          <w:szCs w:val="28"/>
          <w:rtl/>
        </w:rPr>
        <w:instrText>&gt;</w:instrText>
      </w:r>
      <w:r w:rsidR="00E424B4" w:rsidRPr="002D7391">
        <w:rPr>
          <w:rFonts w:asciiTheme="majorBidi" w:hAnsiTheme="majorBidi" w:cstheme="majorBidi"/>
          <w:sz w:val="28"/>
          <w:szCs w:val="28"/>
          <w:rtl/>
        </w:rPr>
        <w:fldChar w:fldCharType="separate"/>
      </w:r>
      <w:r w:rsidR="00E424B4" w:rsidRPr="002D7391">
        <w:rPr>
          <w:rFonts w:asciiTheme="majorBidi" w:hAnsiTheme="majorBidi" w:cstheme="majorBidi"/>
          <w:noProof/>
          <w:sz w:val="28"/>
          <w:szCs w:val="28"/>
          <w:rtl/>
        </w:rPr>
        <w:t>(</w:t>
      </w:r>
      <w:r w:rsidR="00E424B4" w:rsidRPr="002D7391">
        <w:rPr>
          <w:rFonts w:asciiTheme="majorBidi" w:hAnsiTheme="majorBidi" w:cstheme="majorBidi"/>
          <w:noProof/>
          <w:sz w:val="28"/>
          <w:szCs w:val="28"/>
        </w:rPr>
        <w:t>Wang et al., 2024</w:t>
      </w:r>
      <w:r w:rsidR="00E424B4" w:rsidRPr="002D7391">
        <w:rPr>
          <w:rFonts w:asciiTheme="majorBidi" w:hAnsiTheme="majorBidi" w:cstheme="majorBidi"/>
          <w:noProof/>
          <w:sz w:val="28"/>
          <w:szCs w:val="28"/>
          <w:rtl/>
        </w:rPr>
        <w:t>)</w:t>
      </w:r>
      <w:r w:rsidR="00E424B4" w:rsidRPr="002D7391">
        <w:rPr>
          <w:rFonts w:asciiTheme="majorBidi" w:hAnsiTheme="majorBidi" w:cstheme="majorBidi"/>
          <w:sz w:val="28"/>
          <w:szCs w:val="28"/>
          <w:rtl/>
        </w:rPr>
        <w:fldChar w:fldCharType="end"/>
      </w:r>
      <w:r w:rsidR="00E424B4" w:rsidRPr="002D7391">
        <w:rPr>
          <w:rFonts w:asciiTheme="majorBidi" w:hAnsiTheme="majorBidi" w:cstheme="majorBidi"/>
          <w:sz w:val="28"/>
          <w:szCs w:val="28"/>
          <w:rtl/>
        </w:rPr>
        <w:t>.</w:t>
      </w:r>
    </w:p>
    <w:p w14:paraId="3A041DC3" w14:textId="4CE69543" w:rsidR="00DE5DDE" w:rsidRPr="002D7391" w:rsidRDefault="00AF6289" w:rsidP="00BE5045">
      <w:pPr>
        <w:bidi/>
        <w:jc w:val="both"/>
        <w:rPr>
          <w:rFonts w:asciiTheme="majorBidi" w:hAnsiTheme="majorBidi" w:cstheme="majorBidi"/>
          <w:sz w:val="28"/>
          <w:szCs w:val="28"/>
          <w:rtl/>
        </w:rPr>
      </w:pPr>
      <w:r w:rsidRPr="002D7391">
        <w:rPr>
          <w:rFonts w:asciiTheme="majorBidi" w:hAnsiTheme="majorBidi" w:cstheme="majorBidi"/>
          <w:sz w:val="28"/>
          <w:szCs w:val="28"/>
          <w:rtl/>
        </w:rPr>
        <w:t xml:space="preserve">ففي دراسة مبكرة، أجرى </w:t>
      </w:r>
      <w:r w:rsidRPr="002D7391">
        <w:rPr>
          <w:rFonts w:asciiTheme="majorBidi" w:hAnsiTheme="majorBidi" w:cstheme="majorBidi"/>
          <w:sz w:val="28"/>
          <w:szCs w:val="28"/>
        </w:rPr>
        <w:t xml:space="preserve">Den Hartog </w:t>
      </w:r>
      <w:r w:rsidRPr="002D7391">
        <w:rPr>
          <w:rFonts w:asciiTheme="majorBidi" w:hAnsiTheme="majorBidi" w:cstheme="majorBidi"/>
          <w:sz w:val="28"/>
          <w:szCs w:val="28"/>
          <w:rtl/>
        </w:rPr>
        <w:t>و</w:t>
      </w:r>
      <w:r w:rsidRPr="002D7391">
        <w:rPr>
          <w:rFonts w:asciiTheme="majorBidi" w:hAnsiTheme="majorBidi" w:cstheme="majorBidi"/>
          <w:sz w:val="28"/>
          <w:szCs w:val="28"/>
        </w:rPr>
        <w:t xml:space="preserve">Verburg </w:t>
      </w:r>
      <w:r w:rsidR="00DE5DDE" w:rsidRPr="002D7391">
        <w:rPr>
          <w:rFonts w:asciiTheme="majorBidi" w:hAnsiTheme="majorBidi" w:cstheme="majorBidi"/>
          <w:sz w:val="28"/>
          <w:szCs w:val="28"/>
          <w:rtl/>
        </w:rPr>
        <w:t xml:space="preserve"> </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t xml:space="preserve">بحثًا ميدانيًا شمل 175 منظمة هولندية (اعتمدت استبيانات مديري الموارد البشرية والرؤساء التنفيذيين) تحت عنوان </w:t>
      </w:r>
      <w:r w:rsidR="00DE5DDE" w:rsidRPr="002D7391">
        <w:rPr>
          <w:rFonts w:asciiTheme="majorBidi" w:hAnsiTheme="majorBidi" w:cstheme="majorBidi"/>
          <w:i/>
          <w:iCs/>
          <w:sz w:val="28"/>
          <w:szCs w:val="28"/>
          <w:rtl/>
        </w:rPr>
        <w:t>"</w:t>
      </w:r>
      <w:r w:rsidRPr="002D7391">
        <w:rPr>
          <w:rFonts w:asciiTheme="majorBidi" w:hAnsiTheme="majorBidi" w:cstheme="majorBidi"/>
          <w:i/>
          <w:iCs/>
          <w:sz w:val="28"/>
          <w:szCs w:val="28"/>
        </w:rPr>
        <w:t xml:space="preserve">High performance work systems, </w:t>
      </w:r>
      <w:proofErr w:type="spellStart"/>
      <w:r w:rsidRPr="002D7391">
        <w:rPr>
          <w:rFonts w:asciiTheme="majorBidi" w:hAnsiTheme="majorBidi" w:cstheme="majorBidi"/>
          <w:i/>
          <w:iCs/>
          <w:sz w:val="28"/>
          <w:szCs w:val="28"/>
        </w:rPr>
        <w:t>organisational</w:t>
      </w:r>
      <w:proofErr w:type="spellEnd"/>
      <w:r w:rsidRPr="002D7391">
        <w:rPr>
          <w:rFonts w:asciiTheme="majorBidi" w:hAnsiTheme="majorBidi" w:cstheme="majorBidi"/>
          <w:i/>
          <w:iCs/>
          <w:sz w:val="28"/>
          <w:szCs w:val="28"/>
        </w:rPr>
        <w:t xml:space="preserve"> culture and firm effectiveness</w:t>
      </w:r>
      <w:r w:rsidR="00DE5DDE" w:rsidRPr="002D7391">
        <w:rPr>
          <w:rFonts w:asciiTheme="majorBidi" w:hAnsiTheme="majorBidi" w:cstheme="majorBidi"/>
          <w:i/>
          <w:iCs/>
          <w:sz w:val="28"/>
          <w:szCs w:val="28"/>
          <w:rtl/>
        </w:rPr>
        <w:t xml:space="preserve">". </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t>أظهرت هذه الدراسة أن تطبيق نظم عمل عالية الأداء له أثر إيجابي كبير على أداء المؤسسة، وأن هناك علاقة ارتباطية إيجابية بين ممارسات</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وأبعاد الثقافة التنظيمية الثلاث</w:t>
      </w:r>
      <w:r w:rsidR="006D0201" w:rsidRPr="002D7391">
        <w:rPr>
          <w:rFonts w:asciiTheme="majorBidi" w:hAnsiTheme="majorBidi" w:cstheme="majorBidi"/>
          <w:sz w:val="28"/>
          <w:szCs w:val="28"/>
          <w:rtl/>
        </w:rPr>
        <w:t xml:space="preserve"> </w:t>
      </w:r>
      <w:r w:rsidR="006D0201" w:rsidRPr="002D7391">
        <w:rPr>
          <w:rFonts w:asciiTheme="majorBidi" w:hAnsiTheme="majorBidi" w:cstheme="majorBidi"/>
          <w:sz w:val="28"/>
          <w:szCs w:val="28"/>
          <w:rtl/>
        </w:rPr>
        <w:fldChar w:fldCharType="begin"/>
      </w:r>
      <w:r w:rsidR="006D0201" w:rsidRPr="002D7391">
        <w:rPr>
          <w:rFonts w:asciiTheme="majorBidi" w:hAnsiTheme="majorBidi" w:cstheme="majorBidi"/>
          <w:sz w:val="28"/>
          <w:szCs w:val="28"/>
          <w:rtl/>
        </w:rPr>
        <w:instrText xml:space="preserve"> </w:instrText>
      </w:r>
      <w:r w:rsidR="006D0201" w:rsidRPr="002D7391">
        <w:rPr>
          <w:rFonts w:asciiTheme="majorBidi" w:hAnsiTheme="majorBidi" w:cstheme="majorBidi"/>
          <w:sz w:val="28"/>
          <w:szCs w:val="28"/>
        </w:rPr>
        <w:instrText>ADDIN EN.CITE &lt;EndNote&gt;&lt;Cite&gt;&lt;Author&gt;Den Hartog&lt;/Author&gt;&lt;Year&gt;2004&lt;/Year&gt;&lt;RecNum&gt;3025&lt;/RecNum&gt;&lt;DisplayText&gt;(Den Hartog and Verburg, 2004)&lt;/DisplayText&gt;&lt;record&gt;&lt;rec-number&gt;3025&lt;/rec-number&gt;&lt;foreign-keys&gt;&lt;key app="EN" db-id="t5vttv59or5xwbe2zdm5ewrxd905arrpawff" timestamp="1754663154"&gt;3025&lt;/key&gt;&lt;/foreign-keys&gt;&lt;ref-type name="Journal Article"&gt;17&lt;/ref-type&gt;&lt;contributors&gt;&lt;authors&gt;&lt;author&gt;Den Hartog, Deanne N&lt;/author&gt;&lt;author&gt;Verburg, Robert M&lt;/author&gt;&lt;/authors&gt;&lt;/contributors&gt;&lt;titles&gt;&lt;title&gt;High performance work systems, organisational culture and firm effectiveness&lt;/title&gt;&lt;secondary-title&gt;Human Resource Management Journal&lt;/secondary-title&gt;&lt;/titles&gt;&lt;periodical&gt;&lt;full-title&gt;Human resource management journal&lt;/full-title&gt;&lt;/periodical&gt;&lt;pages&gt;55-78&lt;/pages&gt;&lt;volume&gt;14</w:instrText>
      </w:r>
      <w:r w:rsidR="006D0201" w:rsidRPr="002D7391">
        <w:rPr>
          <w:rFonts w:asciiTheme="majorBidi" w:hAnsiTheme="majorBidi" w:cstheme="majorBidi"/>
          <w:sz w:val="28"/>
          <w:szCs w:val="28"/>
          <w:rtl/>
        </w:rPr>
        <w:instrText>&lt;/</w:instrText>
      </w:r>
      <w:r w:rsidR="006D0201" w:rsidRPr="002D7391">
        <w:rPr>
          <w:rFonts w:asciiTheme="majorBidi" w:hAnsiTheme="majorBidi" w:cstheme="majorBidi"/>
          <w:sz w:val="28"/>
          <w:szCs w:val="28"/>
        </w:rPr>
        <w:instrText>volume&gt;&lt;number&gt;1&lt;/number&gt;&lt;dates&gt;&lt;year&gt;2004&lt;/year&gt;&lt;/dates&gt;&lt;isbn&gt;0954-5395&lt;/isbn&gt;&lt;urls&gt;&lt;/urls&gt;&lt;/record&gt;&lt;/Cite&gt;&lt;/EndNote</w:instrText>
      </w:r>
      <w:r w:rsidR="006D0201" w:rsidRPr="002D7391">
        <w:rPr>
          <w:rFonts w:asciiTheme="majorBidi" w:hAnsiTheme="majorBidi" w:cstheme="majorBidi"/>
          <w:sz w:val="28"/>
          <w:szCs w:val="28"/>
          <w:rtl/>
        </w:rPr>
        <w:instrText>&gt;</w:instrText>
      </w:r>
      <w:r w:rsidR="006D0201" w:rsidRPr="002D7391">
        <w:rPr>
          <w:rFonts w:asciiTheme="majorBidi" w:hAnsiTheme="majorBidi" w:cstheme="majorBidi"/>
          <w:sz w:val="28"/>
          <w:szCs w:val="28"/>
          <w:rtl/>
        </w:rPr>
        <w:fldChar w:fldCharType="separate"/>
      </w:r>
      <w:r w:rsidR="006D0201" w:rsidRPr="002D7391">
        <w:rPr>
          <w:rFonts w:asciiTheme="majorBidi" w:hAnsiTheme="majorBidi" w:cstheme="majorBidi"/>
          <w:noProof/>
          <w:sz w:val="28"/>
          <w:szCs w:val="28"/>
          <w:rtl/>
        </w:rPr>
        <w:t>(</w:t>
      </w:r>
      <w:r w:rsidR="006D0201" w:rsidRPr="002D7391">
        <w:rPr>
          <w:rFonts w:asciiTheme="majorBidi" w:hAnsiTheme="majorBidi" w:cstheme="majorBidi"/>
          <w:noProof/>
          <w:sz w:val="28"/>
          <w:szCs w:val="28"/>
        </w:rPr>
        <w:t>Den Hartog and Verburg, 2004</w:t>
      </w:r>
      <w:r w:rsidR="006D0201" w:rsidRPr="002D7391">
        <w:rPr>
          <w:rFonts w:asciiTheme="majorBidi" w:hAnsiTheme="majorBidi" w:cstheme="majorBidi"/>
          <w:noProof/>
          <w:sz w:val="28"/>
          <w:szCs w:val="28"/>
          <w:rtl/>
        </w:rPr>
        <w:t>)</w:t>
      </w:r>
      <w:r w:rsidR="006D0201" w:rsidRPr="002D7391">
        <w:rPr>
          <w:rFonts w:asciiTheme="majorBidi" w:hAnsiTheme="majorBidi" w:cstheme="majorBidi"/>
          <w:sz w:val="28"/>
          <w:szCs w:val="28"/>
          <w:rtl/>
        </w:rPr>
        <w:fldChar w:fldCharType="end"/>
      </w:r>
      <w:r w:rsidR="006D0201" w:rsidRPr="002D7391">
        <w:rPr>
          <w:rFonts w:asciiTheme="majorBidi" w:hAnsiTheme="majorBidi" w:cstheme="majorBidi"/>
          <w:sz w:val="28"/>
          <w:szCs w:val="28"/>
          <w:rtl/>
        </w:rPr>
        <w:t xml:space="preserve">. </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t>وقد لاحظ الباحثان أن دمج ممارسات مثل التدريب والتمكين والمكافآت المرتبطة بالأداء ضمن ثقافة تنظيمية تعتمد على الثقة والابتكار يعزز فعالية هذه النظم.</w:t>
      </w:r>
    </w:p>
    <w:p w14:paraId="594AB9D0" w14:textId="03CF77F2" w:rsidR="00DE5DDE" w:rsidRPr="00DC3DDE" w:rsidRDefault="00AF6289" w:rsidP="00BE5045">
      <w:pPr>
        <w:bidi/>
        <w:jc w:val="both"/>
        <w:rPr>
          <w:rFonts w:asciiTheme="majorBidi" w:hAnsiTheme="majorBidi" w:cstheme="majorBidi"/>
          <w:sz w:val="28"/>
          <w:szCs w:val="28"/>
          <w:rtl/>
        </w:rPr>
      </w:pPr>
      <w:r w:rsidRPr="002D7391">
        <w:rPr>
          <w:rFonts w:asciiTheme="majorBidi" w:hAnsiTheme="majorBidi" w:cstheme="majorBidi"/>
          <w:sz w:val="28"/>
          <w:szCs w:val="28"/>
          <w:rtl/>
        </w:rPr>
        <w:t xml:space="preserve"> بالمثل، أجرى </w:t>
      </w:r>
      <w:r w:rsidRPr="002D7391">
        <w:rPr>
          <w:rFonts w:asciiTheme="majorBidi" w:hAnsiTheme="majorBidi" w:cstheme="majorBidi"/>
          <w:sz w:val="28"/>
          <w:szCs w:val="28"/>
        </w:rPr>
        <w:t>Lau</w:t>
      </w:r>
      <w:r w:rsidR="00E424B4" w:rsidRPr="002D7391">
        <w:rPr>
          <w:rFonts w:asciiTheme="majorBidi" w:hAnsiTheme="majorBidi" w:cstheme="majorBidi" w:hint="cs"/>
          <w:sz w:val="28"/>
          <w:szCs w:val="28"/>
          <w:rtl/>
        </w:rPr>
        <w:t xml:space="preserve"> </w:t>
      </w:r>
      <w:r w:rsidRPr="002D7391">
        <w:rPr>
          <w:rFonts w:asciiTheme="majorBidi" w:hAnsiTheme="majorBidi" w:cstheme="majorBidi"/>
          <w:sz w:val="28"/>
          <w:szCs w:val="28"/>
          <w:rtl/>
        </w:rPr>
        <w:t>و</w:t>
      </w:r>
      <w:r w:rsidRPr="002D7391">
        <w:rPr>
          <w:rFonts w:asciiTheme="majorBidi" w:hAnsiTheme="majorBidi" w:cstheme="majorBidi"/>
          <w:sz w:val="28"/>
          <w:szCs w:val="28"/>
        </w:rPr>
        <w:t>Ngo</w:t>
      </w:r>
      <w:r w:rsidR="00E424B4" w:rsidRPr="002D7391">
        <w:rPr>
          <w:rFonts w:asciiTheme="majorBidi" w:hAnsiTheme="majorBidi" w:cstheme="majorBidi" w:hint="cs"/>
          <w:sz w:val="28"/>
          <w:szCs w:val="28"/>
          <w:rtl/>
        </w:rPr>
        <w:t xml:space="preserve"> </w:t>
      </w:r>
      <w:r w:rsidRPr="002D7391">
        <w:rPr>
          <w:rFonts w:asciiTheme="majorBidi" w:hAnsiTheme="majorBidi" w:cstheme="majorBidi"/>
          <w:sz w:val="28"/>
          <w:szCs w:val="28"/>
        </w:rPr>
        <w:t>(2004)</w:t>
      </w:r>
      <w:r w:rsidR="00E424B4" w:rsidRPr="002D7391">
        <w:rPr>
          <w:rFonts w:asciiTheme="majorBidi" w:hAnsiTheme="majorBidi" w:cstheme="majorBidi" w:hint="cs"/>
          <w:sz w:val="28"/>
          <w:szCs w:val="28"/>
          <w:rtl/>
        </w:rPr>
        <w:t xml:space="preserve"> </w:t>
      </w:r>
      <w:r w:rsidRPr="002D7391">
        <w:rPr>
          <w:rFonts w:asciiTheme="majorBidi" w:hAnsiTheme="majorBidi" w:cstheme="majorBidi"/>
          <w:sz w:val="28"/>
          <w:szCs w:val="28"/>
          <w:rtl/>
        </w:rPr>
        <w:t xml:space="preserve">في دراسة بعنوان </w:t>
      </w:r>
      <w:r w:rsidR="00DE5DDE" w:rsidRPr="002D7391">
        <w:rPr>
          <w:rFonts w:asciiTheme="majorBidi" w:hAnsiTheme="majorBidi" w:cstheme="majorBidi"/>
          <w:sz w:val="28"/>
          <w:szCs w:val="28"/>
          <w:rtl/>
        </w:rPr>
        <w:t>"</w:t>
      </w:r>
      <w:r w:rsidR="00DE5DDE" w:rsidRPr="002D7391">
        <w:rPr>
          <w:rFonts w:asciiTheme="majorBidi" w:hAnsiTheme="majorBidi" w:cstheme="majorBidi"/>
          <w:i/>
          <w:iCs/>
          <w:sz w:val="28"/>
          <w:szCs w:val="28"/>
          <w:rtl/>
        </w:rPr>
        <w:t xml:space="preserve"> </w:t>
      </w:r>
      <w:r w:rsidRPr="002D7391">
        <w:rPr>
          <w:rFonts w:asciiTheme="majorBidi" w:hAnsiTheme="majorBidi" w:cstheme="majorBidi"/>
          <w:i/>
          <w:iCs/>
          <w:sz w:val="28"/>
          <w:szCs w:val="28"/>
        </w:rPr>
        <w:t>The HR system, organizational culture, and product innovation</w:t>
      </w:r>
      <w:r w:rsidR="00DE5DDE" w:rsidRPr="002D7391">
        <w:rPr>
          <w:rFonts w:asciiTheme="majorBidi" w:hAnsiTheme="majorBidi" w:cstheme="majorBidi"/>
          <w:i/>
          <w:iCs/>
          <w:sz w:val="28"/>
          <w:szCs w:val="28"/>
          <w:rtl/>
        </w:rPr>
        <w:t xml:space="preserve">" </w:t>
      </w:r>
      <w:r w:rsidRPr="002D7391">
        <w:rPr>
          <w:rFonts w:asciiTheme="majorBidi" w:hAnsiTheme="majorBidi" w:cstheme="majorBidi"/>
          <w:sz w:val="28"/>
          <w:szCs w:val="28"/>
          <w:rtl/>
        </w:rPr>
        <w:t xml:space="preserve">مسحًا شمل 332 شركة في هونغ كونغ باستخدام استبانة تحليلية. كشفت النتائج </w:t>
      </w:r>
      <w:r w:rsidRPr="002D7391">
        <w:rPr>
          <w:rFonts w:asciiTheme="majorBidi" w:hAnsiTheme="majorBidi" w:cstheme="majorBidi"/>
          <w:sz w:val="28"/>
          <w:szCs w:val="28"/>
          <w:rtl/>
        </w:rPr>
        <w:lastRenderedPageBreak/>
        <w:t>أن الثقافة التنظيمية ذات الطابع التنموي (أو الابتكاري) كانت حلقة الوصل الأساسية التي تفسر العلاقة بين نظام الموارد البشرية</w:t>
      </w:r>
      <w:r w:rsidRPr="00AF6289">
        <w:rPr>
          <w:rFonts w:asciiTheme="majorBidi" w:hAnsiTheme="majorBidi" w:cstheme="majorBidi"/>
          <w:sz w:val="28"/>
          <w:szCs w:val="28"/>
          <w:rtl/>
        </w:rPr>
        <w:t xml:space="preserve"> الموجه نحو الابتكار</w:t>
      </w:r>
      <w:r w:rsidRPr="00AF6289">
        <w:rPr>
          <w:rFonts w:asciiTheme="majorBidi" w:hAnsiTheme="majorBidi" w:cstheme="majorBidi"/>
          <w:sz w:val="28"/>
          <w:szCs w:val="28"/>
        </w:rPr>
        <w:t xml:space="preserve"> </w:t>
      </w:r>
      <w:r w:rsidR="00E424B4">
        <w:rPr>
          <w:rFonts w:asciiTheme="majorBidi" w:hAnsiTheme="majorBidi" w:cstheme="majorBidi" w:hint="cs"/>
          <w:sz w:val="28"/>
          <w:szCs w:val="28"/>
          <w:rtl/>
        </w:rPr>
        <w:t>(</w:t>
      </w:r>
      <w:r w:rsidRPr="00AF6289">
        <w:rPr>
          <w:rFonts w:asciiTheme="majorBidi" w:hAnsiTheme="majorBidi" w:cstheme="majorBidi"/>
          <w:sz w:val="28"/>
          <w:szCs w:val="28"/>
          <w:rtl/>
        </w:rPr>
        <w:t>وهو شكل من أشكال</w:t>
      </w:r>
      <w:r w:rsidR="00E424B4">
        <w:rPr>
          <w:rFonts w:asciiTheme="majorBidi" w:hAnsiTheme="majorBidi" w:cstheme="majorBidi" w:hint="cs"/>
          <w:sz w:val="28"/>
          <w:szCs w:val="28"/>
          <w:rtl/>
        </w:rPr>
        <w:t xml:space="preserve"> </w:t>
      </w:r>
      <w:r w:rsidRPr="00AF6289">
        <w:rPr>
          <w:rFonts w:asciiTheme="majorBidi" w:hAnsiTheme="majorBidi" w:cstheme="majorBidi"/>
          <w:sz w:val="28"/>
          <w:szCs w:val="28"/>
        </w:rPr>
        <w:t>HPWS</w:t>
      </w:r>
      <w:r w:rsidR="00E424B4">
        <w:rPr>
          <w:rFonts w:asciiTheme="majorBidi" w:hAnsiTheme="majorBidi" w:cstheme="majorBidi" w:hint="cs"/>
          <w:sz w:val="28"/>
          <w:szCs w:val="28"/>
          <w:rtl/>
        </w:rPr>
        <w:t>)</w:t>
      </w:r>
      <w:r w:rsidRPr="00AF6289">
        <w:rPr>
          <w:rFonts w:asciiTheme="majorBidi" w:hAnsiTheme="majorBidi" w:cstheme="majorBidi"/>
          <w:sz w:val="28"/>
          <w:szCs w:val="28"/>
        </w:rPr>
        <w:t xml:space="preserve"> </w:t>
      </w:r>
      <w:r w:rsidRPr="00AF6289">
        <w:rPr>
          <w:rFonts w:asciiTheme="majorBidi" w:hAnsiTheme="majorBidi" w:cstheme="majorBidi"/>
          <w:sz w:val="28"/>
          <w:szCs w:val="28"/>
          <w:rtl/>
        </w:rPr>
        <w:t>ونتائج الابتكار في المنتجات. وبعبارة أخرى، وجدت الدراسة أن الثقافة التنظيمية تعمل كمتغير وسيط كامل</w:t>
      </w:r>
      <w:r w:rsidRPr="00AF6289">
        <w:rPr>
          <w:rFonts w:asciiTheme="majorBidi" w:hAnsiTheme="majorBidi" w:cstheme="majorBidi"/>
          <w:sz w:val="28"/>
          <w:szCs w:val="28"/>
        </w:rPr>
        <w:t xml:space="preserve"> (mediator) </w:t>
      </w:r>
      <w:r w:rsidRPr="00AF6289">
        <w:rPr>
          <w:rFonts w:asciiTheme="majorBidi" w:hAnsiTheme="majorBidi" w:cstheme="majorBidi"/>
          <w:sz w:val="28"/>
          <w:szCs w:val="28"/>
          <w:rtl/>
        </w:rPr>
        <w:t>بين ممارسات</w:t>
      </w:r>
      <w:r w:rsidRPr="00AF6289">
        <w:rPr>
          <w:rFonts w:asciiTheme="majorBidi" w:hAnsiTheme="majorBidi" w:cstheme="majorBidi"/>
          <w:sz w:val="28"/>
          <w:szCs w:val="28"/>
        </w:rPr>
        <w:t xml:space="preserve"> HPWS </w:t>
      </w:r>
      <w:r w:rsidRPr="00AF6289">
        <w:rPr>
          <w:rFonts w:asciiTheme="majorBidi" w:hAnsiTheme="majorBidi" w:cstheme="majorBidi"/>
          <w:sz w:val="28"/>
          <w:szCs w:val="28"/>
          <w:rtl/>
        </w:rPr>
        <w:t>ونجاح الابتكار المنتج</w:t>
      </w:r>
      <w:r w:rsidR="006D0201" w:rsidRPr="00DC3DDE">
        <w:rPr>
          <w:rFonts w:asciiTheme="majorBidi" w:hAnsiTheme="majorBidi" w:cstheme="majorBidi"/>
          <w:sz w:val="28"/>
          <w:szCs w:val="28"/>
          <w:rtl/>
        </w:rPr>
        <w:t xml:space="preserve"> </w:t>
      </w:r>
      <w:r w:rsidR="006D0201" w:rsidRPr="00DC3DDE">
        <w:rPr>
          <w:rFonts w:asciiTheme="majorBidi" w:hAnsiTheme="majorBidi" w:cstheme="majorBidi"/>
          <w:sz w:val="28"/>
          <w:szCs w:val="28"/>
          <w:rtl/>
        </w:rPr>
        <w:fldChar w:fldCharType="begin"/>
      </w:r>
      <w:r w:rsidR="006D0201" w:rsidRPr="00DC3DDE">
        <w:rPr>
          <w:rFonts w:asciiTheme="majorBidi" w:hAnsiTheme="majorBidi" w:cstheme="majorBidi"/>
          <w:sz w:val="28"/>
          <w:szCs w:val="28"/>
          <w:rtl/>
        </w:rPr>
        <w:instrText xml:space="preserve"> </w:instrText>
      </w:r>
      <w:r w:rsidR="006D0201" w:rsidRPr="00DC3DDE">
        <w:rPr>
          <w:rFonts w:asciiTheme="majorBidi" w:hAnsiTheme="majorBidi" w:cstheme="majorBidi"/>
          <w:sz w:val="28"/>
          <w:szCs w:val="28"/>
        </w:rPr>
        <w:instrText>ADDIN EN.CITE &lt;EndNote&gt;&lt;Cite&gt;&lt;Author&gt;Lau&lt;/Author&gt;&lt;Year&gt;2004&lt;/Year&gt;&lt;RecNum&gt;3024&lt;/RecNum&gt;&lt;DisplayText&gt;(Lau and Ngo, 2004)&lt;/DisplayText&gt;&lt;record&gt;&lt;rec-number&gt;3024&lt;/rec-number&gt;&lt;foreign-keys&gt;&lt;key app="EN" db-id="t5vttv59or5xwbe2zdm5ewrxd905arrpawff" timestamp</w:instrText>
      </w:r>
      <w:r w:rsidR="006D0201" w:rsidRPr="00DC3DDE">
        <w:rPr>
          <w:rFonts w:asciiTheme="majorBidi" w:hAnsiTheme="majorBidi" w:cstheme="majorBidi"/>
          <w:sz w:val="28"/>
          <w:szCs w:val="28"/>
          <w:rtl/>
        </w:rPr>
        <w:instrText>="1754663081"&gt;3024&lt;/</w:instrText>
      </w:r>
      <w:r w:rsidR="006D0201" w:rsidRPr="00DC3DDE">
        <w:rPr>
          <w:rFonts w:asciiTheme="majorBidi" w:hAnsiTheme="majorBidi" w:cstheme="majorBidi"/>
          <w:sz w:val="28"/>
          <w:szCs w:val="28"/>
        </w:rPr>
        <w:instrText>key&gt;&lt;/foreign-keys&gt;&lt;ref-type name="Journal Article"&gt;17&lt;/ref-type&gt;&lt;contributors&gt;&lt;authors&gt;&lt;author&gt;Lau, Chung‐Ming&lt;/author&gt;&lt;author&gt;Ngo, Hang‐Yue&lt;/author&gt;&lt;/authors&gt;&lt;/contributors&gt;&lt;titles&gt;&lt;title&gt;The HR system, organizational culture, and product innovation&lt;/title&gt;&lt;secondary-title&gt;International business review&lt;/secondary-title&gt;&lt;/titles&gt;&lt;periodical&gt;&lt;full-title&gt;International business review&lt;/full-title&gt;&lt;/periodical&gt;&lt;pages&gt;685-703&lt;/pages&gt;&lt;volume&gt;13&lt;/volume&gt;&lt;number&gt;6&lt;/number&gt;&lt;dates&gt;&lt;year&gt;2004&lt;/year&gt;&lt;/dates&gt;&lt;isbn&gt;0969-5931&lt;/isbn&gt;&lt;urls&gt;&lt;/urls&gt;&lt;/record&gt;&lt;/Cite&gt;&lt;/EndNote</w:instrText>
      </w:r>
      <w:r w:rsidR="006D0201" w:rsidRPr="00DC3DDE">
        <w:rPr>
          <w:rFonts w:asciiTheme="majorBidi" w:hAnsiTheme="majorBidi" w:cstheme="majorBidi"/>
          <w:sz w:val="28"/>
          <w:szCs w:val="28"/>
          <w:rtl/>
        </w:rPr>
        <w:instrText>&gt;</w:instrText>
      </w:r>
      <w:r w:rsidR="006D0201" w:rsidRPr="00DC3DDE">
        <w:rPr>
          <w:rFonts w:asciiTheme="majorBidi" w:hAnsiTheme="majorBidi" w:cstheme="majorBidi"/>
          <w:sz w:val="28"/>
          <w:szCs w:val="28"/>
          <w:rtl/>
        </w:rPr>
        <w:fldChar w:fldCharType="separate"/>
      </w:r>
      <w:r w:rsidR="006D0201" w:rsidRPr="00DC3DDE">
        <w:rPr>
          <w:rFonts w:asciiTheme="majorBidi" w:hAnsiTheme="majorBidi" w:cstheme="majorBidi"/>
          <w:noProof/>
          <w:sz w:val="28"/>
          <w:szCs w:val="28"/>
          <w:rtl/>
        </w:rPr>
        <w:t>(</w:t>
      </w:r>
      <w:r w:rsidR="006D0201" w:rsidRPr="00DC3DDE">
        <w:rPr>
          <w:rFonts w:asciiTheme="majorBidi" w:hAnsiTheme="majorBidi" w:cstheme="majorBidi"/>
          <w:noProof/>
          <w:sz w:val="28"/>
          <w:szCs w:val="28"/>
        </w:rPr>
        <w:t>Lau and Ngo, 2004</w:t>
      </w:r>
      <w:r w:rsidR="006D0201" w:rsidRPr="00DC3DDE">
        <w:rPr>
          <w:rFonts w:asciiTheme="majorBidi" w:hAnsiTheme="majorBidi" w:cstheme="majorBidi"/>
          <w:noProof/>
          <w:sz w:val="28"/>
          <w:szCs w:val="28"/>
          <w:rtl/>
        </w:rPr>
        <w:t>)</w:t>
      </w:r>
      <w:r w:rsidR="006D0201" w:rsidRPr="00DC3DDE">
        <w:rPr>
          <w:rFonts w:asciiTheme="majorBidi" w:hAnsiTheme="majorBidi" w:cstheme="majorBidi"/>
          <w:sz w:val="28"/>
          <w:szCs w:val="28"/>
          <w:rtl/>
        </w:rPr>
        <w:fldChar w:fldCharType="end"/>
      </w:r>
      <w:r w:rsidR="006D0201" w:rsidRPr="00DC3DDE">
        <w:rPr>
          <w:rFonts w:asciiTheme="majorBidi" w:hAnsiTheme="majorBidi" w:cstheme="majorBidi"/>
          <w:sz w:val="28"/>
          <w:szCs w:val="28"/>
          <w:rtl/>
        </w:rPr>
        <w:t>.</w:t>
      </w:r>
    </w:p>
    <w:p w14:paraId="283D1887" w14:textId="75D8618A" w:rsidR="00AF6289" w:rsidRPr="00AF6289" w:rsidRDefault="00AF6289" w:rsidP="00BE5045">
      <w:pPr>
        <w:bidi/>
        <w:jc w:val="both"/>
        <w:rPr>
          <w:rFonts w:asciiTheme="majorBidi" w:hAnsiTheme="majorBidi" w:cstheme="majorBidi"/>
          <w:sz w:val="28"/>
          <w:szCs w:val="28"/>
        </w:rPr>
      </w:pPr>
      <w:r w:rsidRPr="00AF6289">
        <w:rPr>
          <w:rFonts w:asciiTheme="majorBidi" w:hAnsiTheme="majorBidi" w:cstheme="majorBidi"/>
          <w:sz w:val="28"/>
          <w:szCs w:val="28"/>
        </w:rPr>
        <w:t xml:space="preserve"> </w:t>
      </w:r>
      <w:r w:rsidRPr="00AF6289">
        <w:rPr>
          <w:rFonts w:asciiTheme="majorBidi" w:hAnsiTheme="majorBidi" w:cstheme="majorBidi"/>
          <w:sz w:val="28"/>
          <w:szCs w:val="28"/>
          <w:rtl/>
        </w:rPr>
        <w:t>وعلى الرغم من اختلاف عناوين هذه الدراسات ومجالات تطبيقها، فكل منها يشير إلى أهمية الثقافة كآلية تعزز أثر</w:t>
      </w:r>
      <w:r w:rsidRPr="00AF6289">
        <w:rPr>
          <w:rFonts w:asciiTheme="majorBidi" w:hAnsiTheme="majorBidi" w:cstheme="majorBidi"/>
          <w:sz w:val="28"/>
          <w:szCs w:val="28"/>
        </w:rPr>
        <w:t xml:space="preserve"> HPWS</w:t>
      </w:r>
      <w:r w:rsidR="00DE5DDE" w:rsidRPr="00DC3DDE">
        <w:rPr>
          <w:rFonts w:asciiTheme="majorBidi" w:hAnsiTheme="majorBidi" w:cstheme="majorBidi"/>
          <w:sz w:val="28"/>
          <w:szCs w:val="28"/>
          <w:rtl/>
        </w:rPr>
        <w:t>.</w:t>
      </w:r>
    </w:p>
    <w:p w14:paraId="2605D67A" w14:textId="427CA4DF" w:rsidR="00DE5DDE" w:rsidRPr="00AF6289" w:rsidRDefault="00AF6289" w:rsidP="00BE5045">
      <w:pPr>
        <w:bidi/>
        <w:jc w:val="both"/>
        <w:rPr>
          <w:rFonts w:asciiTheme="majorBidi" w:hAnsiTheme="majorBidi" w:cstheme="majorBidi"/>
          <w:sz w:val="28"/>
          <w:szCs w:val="28"/>
        </w:rPr>
      </w:pPr>
      <w:r w:rsidRPr="00AF6289">
        <w:rPr>
          <w:rFonts w:asciiTheme="majorBidi" w:hAnsiTheme="majorBidi" w:cstheme="majorBidi"/>
          <w:sz w:val="28"/>
          <w:szCs w:val="28"/>
          <w:rtl/>
        </w:rPr>
        <w:t>في المجمل، تتفق هذه الدراسات على أن الثقافة التنظيمية الداعمة تعد شرطًا مساعدًا لنجاح نظم العمل عالية الأداء في تحسين نتائج المنظمة، ولكنها تختلف في السياق والمنهج والنتائج المقاسة؛ فدراسة</w:t>
      </w:r>
      <w:r w:rsidRPr="00AF6289">
        <w:rPr>
          <w:rFonts w:asciiTheme="majorBidi" w:hAnsiTheme="majorBidi" w:cstheme="majorBidi"/>
          <w:sz w:val="28"/>
          <w:szCs w:val="28"/>
        </w:rPr>
        <w:t xml:space="preserve"> Den Hartog </w:t>
      </w:r>
      <w:r w:rsidRPr="00AF6289">
        <w:rPr>
          <w:rFonts w:asciiTheme="majorBidi" w:hAnsiTheme="majorBidi" w:cstheme="majorBidi"/>
          <w:sz w:val="28"/>
          <w:szCs w:val="28"/>
          <w:rtl/>
        </w:rPr>
        <w:t>و</w:t>
      </w:r>
      <w:r w:rsidRPr="00AF6289">
        <w:rPr>
          <w:rFonts w:asciiTheme="majorBidi" w:hAnsiTheme="majorBidi" w:cstheme="majorBidi"/>
          <w:sz w:val="28"/>
          <w:szCs w:val="28"/>
        </w:rPr>
        <w:t>Verburg (2004</w:t>
      </w:r>
      <w:proofErr w:type="gramStart"/>
      <w:r w:rsidRPr="00AF6289">
        <w:rPr>
          <w:rFonts w:asciiTheme="majorBidi" w:hAnsiTheme="majorBidi" w:cstheme="majorBidi"/>
          <w:sz w:val="28"/>
          <w:szCs w:val="28"/>
        </w:rPr>
        <w:t xml:space="preserve">) </w:t>
      </w:r>
      <w:r w:rsidR="00DE5DDE" w:rsidRPr="00DC3DDE">
        <w:rPr>
          <w:rFonts w:asciiTheme="majorBidi" w:hAnsiTheme="majorBidi" w:cstheme="majorBidi"/>
          <w:sz w:val="28"/>
          <w:szCs w:val="28"/>
          <w:rtl/>
        </w:rPr>
        <w:t xml:space="preserve"> </w:t>
      </w:r>
      <w:r w:rsidRPr="00AF6289">
        <w:rPr>
          <w:rFonts w:asciiTheme="majorBidi" w:hAnsiTheme="majorBidi" w:cstheme="majorBidi"/>
          <w:sz w:val="28"/>
          <w:szCs w:val="28"/>
          <w:rtl/>
        </w:rPr>
        <w:t>ركزت</w:t>
      </w:r>
      <w:proofErr w:type="gramEnd"/>
      <w:r w:rsidRPr="00AF6289">
        <w:rPr>
          <w:rFonts w:asciiTheme="majorBidi" w:hAnsiTheme="majorBidi" w:cstheme="majorBidi"/>
          <w:sz w:val="28"/>
          <w:szCs w:val="28"/>
          <w:rtl/>
        </w:rPr>
        <w:t xml:space="preserve"> على الأداء التنظيمي الشامل في مؤسسات غربية، بينما درس</w:t>
      </w:r>
      <w:r w:rsidRPr="00AF6289">
        <w:rPr>
          <w:rFonts w:asciiTheme="majorBidi" w:hAnsiTheme="majorBidi" w:cstheme="majorBidi"/>
          <w:sz w:val="28"/>
          <w:szCs w:val="28"/>
        </w:rPr>
        <w:t xml:space="preserve"> Lau </w:t>
      </w:r>
      <w:r w:rsidRPr="00AF6289">
        <w:rPr>
          <w:rFonts w:asciiTheme="majorBidi" w:hAnsiTheme="majorBidi" w:cstheme="majorBidi"/>
          <w:sz w:val="28"/>
          <w:szCs w:val="28"/>
          <w:rtl/>
        </w:rPr>
        <w:t>و</w:t>
      </w:r>
      <w:r w:rsidRPr="00AF6289">
        <w:rPr>
          <w:rFonts w:asciiTheme="majorBidi" w:hAnsiTheme="majorBidi" w:cstheme="majorBidi"/>
          <w:sz w:val="28"/>
          <w:szCs w:val="28"/>
        </w:rPr>
        <w:t>Ngo (2004</w:t>
      </w:r>
      <w:proofErr w:type="gramStart"/>
      <w:r w:rsidR="00DE5DDE" w:rsidRPr="00DC3DDE">
        <w:rPr>
          <w:rFonts w:asciiTheme="majorBidi" w:hAnsiTheme="majorBidi" w:cstheme="majorBidi"/>
          <w:sz w:val="28"/>
          <w:szCs w:val="28"/>
        </w:rPr>
        <w:t>)</w:t>
      </w:r>
      <w:r w:rsidR="00DE5DDE" w:rsidRPr="00DC3DDE">
        <w:rPr>
          <w:rFonts w:asciiTheme="majorBidi" w:hAnsiTheme="majorBidi" w:cstheme="majorBidi"/>
          <w:sz w:val="28"/>
          <w:szCs w:val="28"/>
          <w:rtl/>
        </w:rPr>
        <w:t xml:space="preserve"> </w:t>
      </w:r>
      <w:r w:rsidRPr="00AF6289">
        <w:rPr>
          <w:rFonts w:asciiTheme="majorBidi" w:hAnsiTheme="majorBidi" w:cstheme="majorBidi"/>
          <w:sz w:val="28"/>
          <w:szCs w:val="28"/>
        </w:rPr>
        <w:t xml:space="preserve"> </w:t>
      </w:r>
      <w:r w:rsidRPr="00AF6289">
        <w:rPr>
          <w:rFonts w:asciiTheme="majorBidi" w:hAnsiTheme="majorBidi" w:cstheme="majorBidi"/>
          <w:sz w:val="28"/>
          <w:szCs w:val="28"/>
          <w:rtl/>
        </w:rPr>
        <w:t>تأثير</w:t>
      </w:r>
      <w:proofErr w:type="gramEnd"/>
      <w:r w:rsidRPr="00AF6289">
        <w:rPr>
          <w:rFonts w:asciiTheme="majorBidi" w:hAnsiTheme="majorBidi" w:cstheme="majorBidi"/>
          <w:sz w:val="28"/>
          <w:szCs w:val="28"/>
        </w:rPr>
        <w:t xml:space="preserve"> HPWS </w:t>
      </w:r>
      <w:r w:rsidRPr="00AF6289">
        <w:rPr>
          <w:rFonts w:asciiTheme="majorBidi" w:hAnsiTheme="majorBidi" w:cstheme="majorBidi"/>
          <w:sz w:val="28"/>
          <w:szCs w:val="28"/>
          <w:rtl/>
        </w:rPr>
        <w:t>على ابتكار المنتجات مع اعتبار الثقافة المتطورة وسيطًا، في حين استهدف</w:t>
      </w:r>
      <w:r w:rsidRPr="00AF6289">
        <w:rPr>
          <w:rFonts w:asciiTheme="majorBidi" w:hAnsiTheme="majorBidi" w:cstheme="majorBidi"/>
          <w:sz w:val="28"/>
          <w:szCs w:val="28"/>
        </w:rPr>
        <w:t xml:space="preserve"> Wang et al. (2024) </w:t>
      </w:r>
      <w:r w:rsidRPr="00AF6289">
        <w:rPr>
          <w:rFonts w:asciiTheme="majorBidi" w:hAnsiTheme="majorBidi" w:cstheme="majorBidi"/>
          <w:sz w:val="28"/>
          <w:szCs w:val="28"/>
          <w:rtl/>
        </w:rPr>
        <w:t>العلاقة بين</w:t>
      </w:r>
      <w:r w:rsidRPr="00AF6289">
        <w:rPr>
          <w:rFonts w:asciiTheme="majorBidi" w:hAnsiTheme="majorBidi" w:cstheme="majorBidi"/>
          <w:sz w:val="28"/>
          <w:szCs w:val="28"/>
        </w:rPr>
        <w:t xml:space="preserve"> HPWS </w:t>
      </w:r>
      <w:r w:rsidRPr="00AF6289">
        <w:rPr>
          <w:rFonts w:asciiTheme="majorBidi" w:hAnsiTheme="majorBidi" w:cstheme="majorBidi"/>
          <w:sz w:val="28"/>
          <w:szCs w:val="28"/>
          <w:rtl/>
        </w:rPr>
        <w:t>والأداء الابتكاري في سياق صيني، معززة بمنهج كمي حديث. وتبرز هذه الدراسات فروقًا في العينة والمنهج (مسوحات ميدانية، وتحليل إحصائي) ونوعية النتائج (أداء عام مقابل ابتكار). غير أن معظمها لا يتناول الخصوصية الثقافية للبيئات العربية أو السياقات الخدمية كثيفة التفاعل. لذا، تظهر فجوة بحثية تتمثل في ندرة الدراسات الميدانية التي تفحص الدور الوسيط للثقافة التنظيمية بين</w:t>
      </w:r>
      <w:r w:rsidRPr="00AF6289">
        <w:rPr>
          <w:rFonts w:asciiTheme="majorBidi" w:hAnsiTheme="majorBidi" w:cstheme="majorBidi"/>
          <w:sz w:val="28"/>
          <w:szCs w:val="28"/>
        </w:rPr>
        <w:t xml:space="preserve"> HPWS </w:t>
      </w:r>
      <w:r w:rsidRPr="00AF6289">
        <w:rPr>
          <w:rFonts w:asciiTheme="majorBidi" w:hAnsiTheme="majorBidi" w:cstheme="majorBidi"/>
          <w:sz w:val="28"/>
          <w:szCs w:val="28"/>
          <w:rtl/>
        </w:rPr>
        <w:t>والأداء الإبداعي في مؤسسات الضيافة العربية، مما تبرز الحاجة لدراسة حالية تسد هذه الفجوة</w:t>
      </w:r>
      <w:r w:rsidRPr="00AF6289">
        <w:rPr>
          <w:rFonts w:asciiTheme="majorBidi" w:hAnsiTheme="majorBidi" w:cstheme="majorBidi"/>
          <w:sz w:val="28"/>
          <w:szCs w:val="28"/>
        </w:rPr>
        <w:t>.</w:t>
      </w:r>
    </w:p>
    <w:p w14:paraId="4BB37541" w14:textId="44ACEB19" w:rsidR="00683321" w:rsidRPr="00DC3DDE" w:rsidRDefault="00AF6289" w:rsidP="00AF6289">
      <w:pPr>
        <w:bidi/>
        <w:rPr>
          <w:rFonts w:asciiTheme="majorBidi" w:hAnsiTheme="majorBidi" w:cstheme="majorBidi"/>
          <w:b/>
          <w:bCs/>
          <w:sz w:val="28"/>
          <w:szCs w:val="28"/>
          <w:rtl/>
        </w:rPr>
      </w:pPr>
      <w:r w:rsidRPr="00DC3DDE">
        <w:rPr>
          <w:rFonts w:asciiTheme="majorBidi" w:hAnsiTheme="majorBidi" w:cstheme="majorBidi"/>
          <w:b/>
          <w:bCs/>
          <w:sz w:val="28"/>
          <w:szCs w:val="28"/>
          <w:rtl/>
        </w:rPr>
        <w:t>2.3.3. الدراسات حول العلاقة بين الثقافة التنظيمية والإبداع الوظيفي</w:t>
      </w:r>
    </w:p>
    <w:p w14:paraId="170041E5" w14:textId="0CAE9C86" w:rsidR="00970FC6" w:rsidRPr="002D7391" w:rsidRDefault="00970FC6" w:rsidP="00BE5045">
      <w:pPr>
        <w:bidi/>
        <w:jc w:val="both"/>
        <w:rPr>
          <w:rFonts w:asciiTheme="majorBidi" w:hAnsiTheme="majorBidi" w:cstheme="majorBidi"/>
          <w:sz w:val="28"/>
          <w:szCs w:val="28"/>
          <w:rtl/>
        </w:rPr>
      </w:pPr>
      <w:r w:rsidRPr="002D7391">
        <w:rPr>
          <w:rFonts w:asciiTheme="majorBidi" w:hAnsiTheme="majorBidi" w:cstheme="majorBidi"/>
          <w:sz w:val="28"/>
          <w:szCs w:val="28"/>
          <w:rtl/>
        </w:rPr>
        <w:t xml:space="preserve">في سياق مماثل، أجرى </w:t>
      </w:r>
      <w:proofErr w:type="spellStart"/>
      <w:r w:rsidRPr="002D7391">
        <w:rPr>
          <w:rFonts w:asciiTheme="majorBidi" w:hAnsiTheme="majorBidi" w:cstheme="majorBidi"/>
          <w:sz w:val="28"/>
          <w:szCs w:val="28"/>
          <w:rtl/>
        </w:rPr>
        <w:t>ماكومبي</w:t>
      </w:r>
      <w:proofErr w:type="spellEnd"/>
      <w:r w:rsidRPr="002D7391">
        <w:rPr>
          <w:rFonts w:asciiTheme="majorBidi" w:hAnsiTheme="majorBidi" w:cstheme="majorBidi"/>
          <w:sz w:val="28"/>
          <w:szCs w:val="28"/>
          <w:rtl/>
        </w:rPr>
        <w:t xml:space="preserve"> (2022) دراسة استطلاعية على عينة من الأكاديميين في جامعات زيمبابوي بهدف قياس أثر الثقافة التنظيمية على الإبداع الوظيفي</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&lt;EndNote&gt;&lt;Cite&gt;&lt;Author&gt;Makumbe&lt;/Author&gt;&lt;Year&gt;2022&lt;/Year&gt;&lt;RecNum&gt;3021&lt;/RecNum&gt;&lt;DisplayText&gt;(Makumbe, 2022)&lt;/DisplayText&gt;&lt;record&gt;&lt;rec-number&gt;3021&lt;/rec-number&gt;&lt;foreign-keys&gt;&lt;key app="EN" db-id="t5vttv59or5xwbe2zdm5ewrxd905arrpawff" timestamp</w:instrText>
      </w:r>
      <w:r w:rsidRPr="002D7391">
        <w:rPr>
          <w:rFonts w:asciiTheme="majorBidi" w:hAnsiTheme="majorBidi" w:cstheme="majorBidi"/>
          <w:sz w:val="28"/>
          <w:szCs w:val="28"/>
          <w:rtl/>
        </w:rPr>
        <w:instrText>="1754662539"&gt;3021&lt;/</w:instrText>
      </w:r>
      <w:r w:rsidRPr="002D7391">
        <w:rPr>
          <w:rFonts w:asciiTheme="majorBidi" w:hAnsiTheme="majorBidi" w:cstheme="majorBidi"/>
          <w:sz w:val="28"/>
          <w:szCs w:val="28"/>
        </w:rPr>
        <w:instrText>key&gt;&lt;/foreign-keys&gt;&lt;ref-type name="Journal Article"&gt;17&lt;/ref-type&gt;&lt;contributors&gt;&lt;authors&gt;&lt;author&gt;Makumbe, William&lt;/author&gt;&lt;/authors&gt;&lt;/contributors&gt;&lt;titles&gt;&lt;title&gt;The impact of organizational culture on employee creativity amongst Zimbabwean academics&lt;/title&gt;&lt;secondary-title&gt;African Journal of Science, Technology, Innovation and Development&lt;/secondary-title&gt;&lt;/titles&gt;&lt;periodical&gt;&lt;full-title&gt;African Journal of Science, Technology, Innovation and Development&lt;/full-title&gt;&lt;/periodical&gt;&lt;pages&gt;52</w:instrText>
      </w:r>
      <w:r w:rsidRPr="002D7391">
        <w:rPr>
          <w:rFonts w:asciiTheme="majorBidi" w:hAnsiTheme="majorBidi" w:cstheme="majorBidi"/>
          <w:sz w:val="28"/>
          <w:szCs w:val="28"/>
          <w:rtl/>
        </w:rPr>
        <w:instrText>3-531&lt;/</w:instrText>
      </w:r>
      <w:r w:rsidRPr="002D7391">
        <w:rPr>
          <w:rFonts w:asciiTheme="majorBidi" w:hAnsiTheme="majorBidi" w:cstheme="majorBidi"/>
          <w:sz w:val="28"/>
          <w:szCs w:val="28"/>
        </w:rPr>
        <w:instrText>pages&gt;&lt;volume&gt;14&lt;/volume&gt;&lt;number&gt;2&lt;/number&gt;&lt;dates&gt;&lt;year&gt;2022&lt;/year&gt;&lt;/dates&gt;&lt;isbn&gt;2042-1338&lt;/isbn&gt;&lt;urls&gt;&lt;/urls&gt;&lt;/record&gt;&lt;/Cite&gt;&lt;/EndNote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Makumbe, 2022</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2D7391">
        <w:rPr>
          <w:rFonts w:asciiTheme="majorBidi" w:hAnsiTheme="majorBidi" w:cstheme="majorBidi"/>
          <w:sz w:val="28"/>
          <w:szCs w:val="28"/>
          <w:rtl/>
        </w:rPr>
        <w:t>.</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t xml:space="preserve">استخدمت الدراسة استبيانًا شاملاً وحللت البيانات باستعمال نمذجة المعادلات الهيكلية </w:t>
      </w:r>
      <w:r w:rsidRPr="002D7391">
        <w:rPr>
          <w:rFonts w:asciiTheme="majorBidi" w:hAnsiTheme="majorBidi" w:cstheme="majorBidi"/>
          <w:sz w:val="28"/>
          <w:szCs w:val="28"/>
        </w:rPr>
        <w:t>(SEM)</w:t>
      </w:r>
      <w:r w:rsidRPr="002D7391">
        <w:rPr>
          <w:rFonts w:asciiTheme="majorBidi" w:hAnsiTheme="majorBidi" w:cstheme="majorBidi"/>
          <w:sz w:val="28"/>
          <w:szCs w:val="28"/>
          <w:rtl/>
        </w:rPr>
        <w:t xml:space="preserve">، ووجدت أن ثقافة العمل الجماعي والتعلم والتجديد التنظيمي ترتبط إيجابيًا بالإبداع الوظيفي، في حين أن الثقافة البيروقراطية/الهرمية تعوق الإبداع. فقد بينت النتائج أن أنماط الثقافة التنظيمية الجماعية والتطويرية والمرتكزة على السوق (المنطق الربحي) كان لها تأثير إيجابي دال على مستوى الإبداع الوظيفي، بينما أظهرت الثقافة الهرمية تأثيرًا سلبيًا عليه </w:t>
      </w:r>
      <w:r w:rsidRPr="002D7391">
        <w:rPr>
          <w:rFonts w:asciiTheme="majorBidi" w:hAnsiTheme="majorBidi" w:cstheme="majorBidi"/>
          <w:sz w:val="28"/>
          <w:szCs w:val="28"/>
          <w:rtl/>
        </w:rPr>
        <w:fldChar w:fldCharType="begin"/>
      </w:r>
      <w:r w:rsidRPr="002D7391">
        <w:rPr>
          <w:rFonts w:asciiTheme="majorBidi" w:hAnsiTheme="majorBidi" w:cstheme="majorBidi"/>
          <w:sz w:val="28"/>
          <w:szCs w:val="28"/>
          <w:rtl/>
        </w:rPr>
        <w:instrText xml:space="preserve"> </w:instrText>
      </w:r>
      <w:r w:rsidRPr="002D7391">
        <w:rPr>
          <w:rFonts w:asciiTheme="majorBidi" w:hAnsiTheme="majorBidi" w:cstheme="majorBidi"/>
          <w:sz w:val="28"/>
          <w:szCs w:val="28"/>
        </w:rPr>
        <w:instrText>ADDIN EN.CITE &lt;EndNote&gt;&lt;Cite&gt;&lt;Author&gt;Makumbe&lt;/Author&gt;&lt;Year&gt;2022&lt;/Year&gt;&lt;RecNum&gt;3021&lt;/RecNum&gt;&lt;DisplayText&gt;(Makumbe, 2022)&lt;/DisplayText&gt;&lt;record&gt;&lt;rec-number&gt;3021&lt;/rec-number&gt;&lt;foreign-keys&gt;&lt;key app="EN" db-id="t5vttv59or5xwbe2zdm5ewrxd905arrpawff" timestamp</w:instrText>
      </w:r>
      <w:r w:rsidRPr="002D7391">
        <w:rPr>
          <w:rFonts w:asciiTheme="majorBidi" w:hAnsiTheme="majorBidi" w:cstheme="majorBidi"/>
          <w:sz w:val="28"/>
          <w:szCs w:val="28"/>
          <w:rtl/>
        </w:rPr>
        <w:instrText>="1754662539"&gt;3021&lt;/</w:instrText>
      </w:r>
      <w:r w:rsidRPr="002D7391">
        <w:rPr>
          <w:rFonts w:asciiTheme="majorBidi" w:hAnsiTheme="majorBidi" w:cstheme="majorBidi"/>
          <w:sz w:val="28"/>
          <w:szCs w:val="28"/>
        </w:rPr>
        <w:instrText>key&gt;&lt;/foreign-keys&gt;&lt;ref-type name="Journal Article"&gt;17&lt;/ref-type&gt;&lt;contributors&gt;&lt;authors&gt;&lt;author&gt;Makumbe, William&lt;/author&gt;&lt;/authors&gt;&lt;/contributors&gt;&lt;titles&gt;&lt;title&gt;The impact of organizational culture on employee creativity amongst Zimbabwean academics&lt;/title&gt;&lt;secondary-title&gt;African Journal of Science, Technology, Innovation and Development&lt;/secondary-title&gt;&lt;/titles&gt;&lt;periodical&gt;&lt;full-title&gt;African Journal of Science, Technology, Innovation and Development&lt;/full-title&gt;&lt;/periodical&gt;&lt;pages&gt;52</w:instrText>
      </w:r>
      <w:r w:rsidRPr="002D7391">
        <w:rPr>
          <w:rFonts w:asciiTheme="majorBidi" w:hAnsiTheme="majorBidi" w:cstheme="majorBidi"/>
          <w:sz w:val="28"/>
          <w:szCs w:val="28"/>
          <w:rtl/>
        </w:rPr>
        <w:instrText>3-531&lt;/</w:instrText>
      </w:r>
      <w:r w:rsidRPr="002D7391">
        <w:rPr>
          <w:rFonts w:asciiTheme="majorBidi" w:hAnsiTheme="majorBidi" w:cstheme="majorBidi"/>
          <w:sz w:val="28"/>
          <w:szCs w:val="28"/>
        </w:rPr>
        <w:instrText>pages&gt;&lt;volume&gt;14&lt;/volume&gt;&lt;number&gt;2&lt;/number&gt;&lt;dates&gt;&lt;year&gt;2022&lt;/year&gt;&lt;/dates&gt;&lt;isbn&gt;2042-1338&lt;/isbn&gt;&lt;urls&gt;&lt;/urls&gt;&lt;/record&gt;&lt;/Cite&gt;&lt;/EndNote</w:instrText>
      </w:r>
      <w:r w:rsidRPr="002D7391">
        <w:rPr>
          <w:rFonts w:asciiTheme="majorBidi" w:hAnsiTheme="majorBidi" w:cstheme="majorBidi"/>
          <w:sz w:val="28"/>
          <w:szCs w:val="28"/>
          <w:rtl/>
        </w:rPr>
        <w:instrText>&gt;</w:instrText>
      </w:r>
      <w:r w:rsidRPr="002D7391">
        <w:rPr>
          <w:rFonts w:asciiTheme="majorBidi" w:hAnsiTheme="majorBidi" w:cstheme="majorBidi"/>
          <w:sz w:val="28"/>
          <w:szCs w:val="28"/>
          <w:rtl/>
        </w:rPr>
        <w:fldChar w:fldCharType="separate"/>
      </w:r>
      <w:r w:rsidRPr="002D7391">
        <w:rPr>
          <w:rFonts w:asciiTheme="majorBidi" w:hAnsiTheme="majorBidi" w:cstheme="majorBidi"/>
          <w:noProof/>
          <w:sz w:val="28"/>
          <w:szCs w:val="28"/>
          <w:rtl/>
        </w:rPr>
        <w:t>(</w:t>
      </w:r>
      <w:r w:rsidRPr="002D7391">
        <w:rPr>
          <w:rFonts w:asciiTheme="majorBidi" w:hAnsiTheme="majorBidi" w:cstheme="majorBidi"/>
          <w:noProof/>
          <w:sz w:val="28"/>
          <w:szCs w:val="28"/>
        </w:rPr>
        <w:t>Makumbe, 2022</w:t>
      </w:r>
      <w:r w:rsidRPr="002D7391">
        <w:rPr>
          <w:rFonts w:asciiTheme="majorBidi" w:hAnsiTheme="majorBidi" w:cstheme="majorBidi"/>
          <w:noProof/>
          <w:sz w:val="28"/>
          <w:szCs w:val="28"/>
          <w:rtl/>
        </w:rPr>
        <w:t>)</w:t>
      </w:r>
      <w:r w:rsidRPr="002D7391">
        <w:rPr>
          <w:rFonts w:asciiTheme="majorBidi" w:hAnsiTheme="majorBidi" w:cstheme="majorBidi"/>
          <w:sz w:val="28"/>
          <w:szCs w:val="28"/>
          <w:rtl/>
        </w:rPr>
        <w:fldChar w:fldCharType="end"/>
      </w:r>
      <w:r w:rsidRPr="002D7391">
        <w:rPr>
          <w:rFonts w:asciiTheme="majorBidi" w:hAnsiTheme="majorBidi" w:cstheme="majorBidi"/>
          <w:sz w:val="28"/>
          <w:szCs w:val="28"/>
          <w:rtl/>
        </w:rPr>
        <w:t>.</w:t>
      </w:r>
      <w:r w:rsidRPr="00AF6289">
        <w:rPr>
          <w:rFonts w:asciiTheme="majorBidi" w:hAnsiTheme="majorBidi" w:cstheme="majorBidi"/>
          <w:sz w:val="28"/>
          <w:szCs w:val="28"/>
        </w:rPr>
        <w:br/>
      </w:r>
      <w:r w:rsidRPr="00AF6289">
        <w:rPr>
          <w:rFonts w:asciiTheme="majorBidi" w:hAnsiTheme="majorBidi" w:cstheme="majorBidi"/>
          <w:sz w:val="28"/>
          <w:szCs w:val="28"/>
          <w:rtl/>
        </w:rPr>
        <w:t xml:space="preserve">تضيف هذه الدراسات إلى الأدبيات المحلية التي أظهرت بدورها أهمية الثقافة التنظيمية في دعم الإبداع الوظيفي. فمثلًا، </w:t>
      </w:r>
      <w:r w:rsidRPr="002D7391">
        <w:rPr>
          <w:rFonts w:asciiTheme="majorBidi" w:hAnsiTheme="majorBidi" w:cstheme="majorBidi"/>
          <w:sz w:val="28"/>
          <w:szCs w:val="28"/>
          <w:rtl/>
        </w:rPr>
        <w:t>سلطت دراسات أخرى</w:t>
      </w:r>
      <w:r w:rsidRPr="002D7391">
        <w:rPr>
          <w:rFonts w:asciiTheme="majorBidi" w:hAnsiTheme="majorBidi" w:cstheme="majorBidi"/>
          <w:sz w:val="28"/>
          <w:szCs w:val="28"/>
          <w:rtl/>
          <w:lang w:bidi="ar-EG"/>
        </w:rPr>
        <w:t xml:space="preserve"> </w:t>
      </w:r>
      <w:r w:rsidRPr="002D7391">
        <w:rPr>
          <w:rFonts w:asciiTheme="majorBidi" w:hAnsiTheme="majorBidi" w:cstheme="majorBidi"/>
          <w:sz w:val="28"/>
          <w:szCs w:val="28"/>
          <w:rtl/>
        </w:rPr>
        <w:t>الضوء على أن بيئة العمل التي تتبنى قيم التمكين والمرونة والثقة تساهم في رفع معدلات السلوكيات الابتكارية لدى الموظفين. ورغم تنوع السياقات (شركات متناهية الصغر إلى مؤسسات أكاديمية)، اتفقت النتائج على أن الثقافة التنظيمية الداعمة للابتكار تؤدي إلى تعزيز الإبداع الوظيفي، فيما تحد الثقافة التقليدية المقيدة من إبداعات الأفراد</w:t>
      </w:r>
      <w:r w:rsidRPr="002D7391">
        <w:rPr>
          <w:rFonts w:asciiTheme="majorBidi" w:hAnsiTheme="majorBidi" w:cstheme="majorBidi"/>
          <w:sz w:val="28"/>
          <w:szCs w:val="28"/>
        </w:rPr>
        <w:t>.</w:t>
      </w:r>
    </w:p>
    <w:p w14:paraId="544040DD" w14:textId="1AED2710" w:rsidR="00AF6289" w:rsidRPr="00AF6289" w:rsidRDefault="00AF6289" w:rsidP="00970FC6">
      <w:pPr>
        <w:bidi/>
        <w:rPr>
          <w:rFonts w:asciiTheme="majorBidi" w:hAnsiTheme="majorBidi" w:cstheme="majorBidi"/>
          <w:sz w:val="28"/>
          <w:szCs w:val="28"/>
        </w:rPr>
      </w:pPr>
      <w:r w:rsidRPr="002D7391">
        <w:rPr>
          <w:rFonts w:asciiTheme="majorBidi" w:hAnsiTheme="majorBidi" w:cstheme="majorBidi"/>
          <w:sz w:val="28"/>
          <w:szCs w:val="28"/>
          <w:rtl/>
        </w:rPr>
        <w:t>أشارت دراسة علي طه وآخرون (2016) التي أجريت في سلوفاكيا إلى وجود ارتباطات إيجابية قوية بين عناصر الثقافة التنظيمية ومستوى الإبداع الوظيفي لدى العاملين</w:t>
      </w:r>
      <w:r w:rsidR="006D0201" w:rsidRPr="002D7391">
        <w:rPr>
          <w:rFonts w:asciiTheme="majorBidi" w:hAnsiTheme="majorBidi" w:cstheme="majorBidi"/>
          <w:sz w:val="28"/>
          <w:szCs w:val="28"/>
          <w:rtl/>
        </w:rPr>
        <w:t xml:space="preserve"> </w:t>
      </w:r>
      <w:r w:rsidR="006D0201" w:rsidRPr="002D7391">
        <w:rPr>
          <w:rFonts w:asciiTheme="majorBidi" w:hAnsiTheme="majorBidi" w:cstheme="majorBidi"/>
          <w:sz w:val="28"/>
          <w:szCs w:val="28"/>
          <w:rtl/>
        </w:rPr>
        <w:fldChar w:fldCharType="begin"/>
      </w:r>
      <w:r w:rsidR="006D0201" w:rsidRPr="002D7391">
        <w:rPr>
          <w:rFonts w:asciiTheme="majorBidi" w:hAnsiTheme="majorBidi" w:cstheme="majorBidi"/>
          <w:sz w:val="28"/>
          <w:szCs w:val="28"/>
          <w:rtl/>
        </w:rPr>
        <w:instrText xml:space="preserve"> </w:instrText>
      </w:r>
      <w:r w:rsidR="006D0201" w:rsidRPr="002D7391">
        <w:rPr>
          <w:rFonts w:asciiTheme="majorBidi" w:hAnsiTheme="majorBidi" w:cstheme="majorBidi"/>
          <w:sz w:val="28"/>
          <w:szCs w:val="28"/>
        </w:rPr>
        <w:instrText>ADDIN EN.CITE &lt;EndNote&gt;&lt;Cite&gt;&lt;Author&gt;Ali Taha&lt;/Author&gt;&lt;Year&gt;2016&lt;/Year&gt;&lt;RecNum&gt;3022&lt;/RecNum&gt;&lt;DisplayText&gt;(Ali Taha et al., 2016)&lt;/DisplayText&gt;&lt;record&gt;&lt;rec-number&gt;3022&lt;/rec-number&gt;&lt;foreign-keys&gt;&lt;key app="EN" db-id="t5vttv59or5xwbe2zdm5ewrxd905arrpawff" timestamp="1754662774"&gt;3022&lt;/key&gt;&lt;/foreign-keys&gt;&lt;ref-type name="Journal Article"&gt;17&lt;/ref-type&gt;&lt;contributors&gt;&lt;authors&gt;&lt;author&gt;Ali Taha, Viktoria&lt;/author&gt;&lt;author&gt;Sirkova, Michaela&lt;/author&gt;&lt;author&gt;Ferencova, Martina&lt;/author&gt;&lt;/authors&gt;&lt;/contributors&gt;&lt;titles&gt;&lt;title&gt;The impact of organizational culture on creativity and innovation&lt;/title&gt;&lt;secondary-title&gt;Polish journal of management studies&lt;/secondary-title&gt;&lt;/titles&gt;&lt;periodical&gt;&lt;full-title&gt;Polish journal of management studies&lt;/full-title&gt;&lt;/periodical&gt;&lt;volume&gt;14</w:instrText>
      </w:r>
      <w:r w:rsidR="006D0201" w:rsidRPr="002D7391">
        <w:rPr>
          <w:rFonts w:asciiTheme="majorBidi" w:hAnsiTheme="majorBidi" w:cstheme="majorBidi"/>
          <w:sz w:val="28"/>
          <w:szCs w:val="28"/>
          <w:rtl/>
        </w:rPr>
        <w:instrText>&lt;/</w:instrText>
      </w:r>
      <w:r w:rsidR="006D0201" w:rsidRPr="002D7391">
        <w:rPr>
          <w:rFonts w:asciiTheme="majorBidi" w:hAnsiTheme="majorBidi" w:cstheme="majorBidi"/>
          <w:sz w:val="28"/>
          <w:szCs w:val="28"/>
        </w:rPr>
        <w:instrText>volume&gt;&lt;dates&gt;&lt;year&gt;2016&lt;/year&gt;&lt;/dates&gt;&lt;isbn&gt;2081-7452&lt;/isbn&gt;&lt;urls&gt;&lt;/urls&gt;&lt;/record&gt;&lt;/Cite&gt;&lt;/EndNote</w:instrText>
      </w:r>
      <w:r w:rsidR="006D0201" w:rsidRPr="002D7391">
        <w:rPr>
          <w:rFonts w:asciiTheme="majorBidi" w:hAnsiTheme="majorBidi" w:cstheme="majorBidi"/>
          <w:sz w:val="28"/>
          <w:szCs w:val="28"/>
          <w:rtl/>
        </w:rPr>
        <w:instrText>&gt;</w:instrText>
      </w:r>
      <w:r w:rsidR="006D0201" w:rsidRPr="002D7391">
        <w:rPr>
          <w:rFonts w:asciiTheme="majorBidi" w:hAnsiTheme="majorBidi" w:cstheme="majorBidi"/>
          <w:sz w:val="28"/>
          <w:szCs w:val="28"/>
          <w:rtl/>
        </w:rPr>
        <w:fldChar w:fldCharType="separate"/>
      </w:r>
      <w:r w:rsidR="006D0201" w:rsidRPr="002D7391">
        <w:rPr>
          <w:rFonts w:asciiTheme="majorBidi" w:hAnsiTheme="majorBidi" w:cstheme="majorBidi"/>
          <w:noProof/>
          <w:sz w:val="28"/>
          <w:szCs w:val="28"/>
          <w:rtl/>
        </w:rPr>
        <w:t>(</w:t>
      </w:r>
      <w:r w:rsidR="006D0201" w:rsidRPr="002D7391">
        <w:rPr>
          <w:rFonts w:asciiTheme="majorBidi" w:hAnsiTheme="majorBidi" w:cstheme="majorBidi"/>
          <w:noProof/>
          <w:sz w:val="28"/>
          <w:szCs w:val="28"/>
        </w:rPr>
        <w:t>Ali Taha et al., 2016</w:t>
      </w:r>
      <w:r w:rsidR="006D0201" w:rsidRPr="002D7391">
        <w:rPr>
          <w:rFonts w:asciiTheme="majorBidi" w:hAnsiTheme="majorBidi" w:cstheme="majorBidi"/>
          <w:noProof/>
          <w:sz w:val="28"/>
          <w:szCs w:val="28"/>
          <w:rtl/>
        </w:rPr>
        <w:t>)</w:t>
      </w:r>
      <w:r w:rsidR="006D0201" w:rsidRPr="002D7391">
        <w:rPr>
          <w:rFonts w:asciiTheme="majorBidi" w:hAnsiTheme="majorBidi" w:cstheme="majorBidi"/>
          <w:sz w:val="28"/>
          <w:szCs w:val="28"/>
          <w:rtl/>
        </w:rPr>
        <w:fldChar w:fldCharType="end"/>
      </w:r>
      <w:r w:rsidR="006D0201" w:rsidRPr="002D7391">
        <w:rPr>
          <w:rFonts w:asciiTheme="majorBidi" w:hAnsiTheme="majorBidi" w:cstheme="majorBidi"/>
          <w:sz w:val="28"/>
          <w:szCs w:val="28"/>
          <w:rtl/>
        </w:rPr>
        <w:t xml:space="preserve">. </w:t>
      </w:r>
      <w:r w:rsidRPr="002D7391">
        <w:rPr>
          <w:rFonts w:asciiTheme="majorBidi" w:hAnsiTheme="majorBidi" w:cstheme="majorBidi"/>
          <w:sz w:val="28"/>
          <w:szCs w:val="28"/>
          <w:rtl/>
        </w:rPr>
        <w:t xml:space="preserve">اعتمدت الدراسة منهجية استقصائية باستخدام استبيانات موجهة لعدد من المؤسسات، وكشفت أن العوامل الثقافية الداعمة – مثل الشعور بالأمان النفسي في بيئة العمل – ترتبط ارتباطًا وثيقًا برغبة الموظفين في توليد أفكار </w:t>
      </w:r>
      <w:r w:rsidRPr="002D7391">
        <w:rPr>
          <w:rFonts w:asciiTheme="majorBidi" w:hAnsiTheme="majorBidi" w:cstheme="majorBidi"/>
          <w:sz w:val="28"/>
          <w:szCs w:val="28"/>
          <w:rtl/>
        </w:rPr>
        <w:lastRenderedPageBreak/>
        <w:t>جديدة. فوجدت الدراسة أن الشعور بالأمان النفسي في مكان العمل كان المتغير الأشد ارتباطًا مع استعداد الأفراد لإبداع الأفكار الجديدة، كما تبين أن العلاقات الشخصية الثقة بين الموظفين تزيد من قدراتهم الإبداعية على المستوى الفردي</w:t>
      </w:r>
      <w:r w:rsidR="006D0201" w:rsidRPr="002D7391">
        <w:rPr>
          <w:rFonts w:asciiTheme="majorBidi" w:hAnsiTheme="majorBidi" w:cstheme="majorBidi"/>
          <w:sz w:val="28"/>
          <w:szCs w:val="28"/>
          <w:rtl/>
        </w:rPr>
        <w:t xml:space="preserve"> </w:t>
      </w:r>
      <w:r w:rsidR="006D0201" w:rsidRPr="002D7391">
        <w:rPr>
          <w:rFonts w:asciiTheme="majorBidi" w:hAnsiTheme="majorBidi" w:cstheme="majorBidi"/>
          <w:sz w:val="28"/>
          <w:szCs w:val="28"/>
          <w:rtl/>
        </w:rPr>
        <w:fldChar w:fldCharType="begin"/>
      </w:r>
      <w:r w:rsidR="006D0201" w:rsidRPr="002D7391">
        <w:rPr>
          <w:rFonts w:asciiTheme="majorBidi" w:hAnsiTheme="majorBidi" w:cstheme="majorBidi"/>
          <w:sz w:val="28"/>
          <w:szCs w:val="28"/>
          <w:rtl/>
        </w:rPr>
        <w:instrText xml:space="preserve"> </w:instrText>
      </w:r>
      <w:r w:rsidR="006D0201" w:rsidRPr="002D7391">
        <w:rPr>
          <w:rFonts w:asciiTheme="majorBidi" w:hAnsiTheme="majorBidi" w:cstheme="majorBidi"/>
          <w:sz w:val="28"/>
          <w:szCs w:val="28"/>
        </w:rPr>
        <w:instrText>ADDIN EN.CITE &lt;EndNote&gt;&lt;Cite&gt;&lt;Author&gt;Ali Taha&lt;/Author&gt;&lt;Year&gt;2016&lt;/Year&gt;&lt;RecNum&gt;3022&lt;/RecNum&gt;&lt;DisplayText&gt;(Ali Taha et al., 2016)&lt;/DisplayText&gt;&lt;record&gt;&lt;rec-number&gt;3022&lt;/rec-number&gt;&lt;foreign-keys&gt;&lt;key app="EN" db-id="t5vttv59or5xwbe2zdm5ewrxd905arrpawff" timestamp="1754662774"&gt;3022&lt;/key&gt;&lt;/foreign-keys&gt;&lt;ref-type name="Journal Article"&gt;17&lt;/ref-type&gt;&lt;contributors&gt;&lt;authors&gt;&lt;author&gt;Ali Taha, Viktoria&lt;/author&gt;&lt;author&gt;Sirkova, Michaela&lt;/author&gt;&lt;author&gt;Ferencova, Martina&lt;/author&gt;&lt;/authors&gt;&lt;/contributors&gt;&lt;titles&gt;&lt;title&gt;The impact of organizational culture on creativity and innovation&lt;/title&gt;&lt;secondary-title&gt;Polish journal of management studies&lt;/secondary-title&gt;&lt;/titles&gt;&lt;periodical&gt;&lt;full-title&gt;Polish journal of management studies&lt;/full-title&gt;&lt;/periodical&gt;&lt;volume&gt;14</w:instrText>
      </w:r>
      <w:r w:rsidR="006D0201" w:rsidRPr="002D7391">
        <w:rPr>
          <w:rFonts w:asciiTheme="majorBidi" w:hAnsiTheme="majorBidi" w:cstheme="majorBidi"/>
          <w:sz w:val="28"/>
          <w:szCs w:val="28"/>
          <w:rtl/>
        </w:rPr>
        <w:instrText>&lt;/</w:instrText>
      </w:r>
      <w:r w:rsidR="006D0201" w:rsidRPr="002D7391">
        <w:rPr>
          <w:rFonts w:asciiTheme="majorBidi" w:hAnsiTheme="majorBidi" w:cstheme="majorBidi"/>
          <w:sz w:val="28"/>
          <w:szCs w:val="28"/>
        </w:rPr>
        <w:instrText>volume&gt;&lt;dates&gt;&lt;year&gt;2016&lt;/year&gt;&lt;/dates&gt;&lt;isbn&gt;2081-7452&lt;/isbn&gt;&lt;urls&gt;&lt;/urls&gt;&lt;/record&gt;&lt;/Cite&gt;&lt;/EndNote</w:instrText>
      </w:r>
      <w:r w:rsidR="006D0201" w:rsidRPr="002D7391">
        <w:rPr>
          <w:rFonts w:asciiTheme="majorBidi" w:hAnsiTheme="majorBidi" w:cstheme="majorBidi"/>
          <w:sz w:val="28"/>
          <w:szCs w:val="28"/>
          <w:rtl/>
        </w:rPr>
        <w:instrText>&gt;</w:instrText>
      </w:r>
      <w:r w:rsidR="006D0201" w:rsidRPr="002D7391">
        <w:rPr>
          <w:rFonts w:asciiTheme="majorBidi" w:hAnsiTheme="majorBidi" w:cstheme="majorBidi"/>
          <w:sz w:val="28"/>
          <w:szCs w:val="28"/>
          <w:rtl/>
        </w:rPr>
        <w:fldChar w:fldCharType="separate"/>
      </w:r>
      <w:r w:rsidR="006D0201" w:rsidRPr="002D7391">
        <w:rPr>
          <w:rFonts w:asciiTheme="majorBidi" w:hAnsiTheme="majorBidi" w:cstheme="majorBidi"/>
          <w:noProof/>
          <w:sz w:val="28"/>
          <w:szCs w:val="28"/>
          <w:rtl/>
        </w:rPr>
        <w:t>(</w:t>
      </w:r>
      <w:r w:rsidR="006D0201" w:rsidRPr="002D7391">
        <w:rPr>
          <w:rFonts w:asciiTheme="majorBidi" w:hAnsiTheme="majorBidi" w:cstheme="majorBidi"/>
          <w:noProof/>
          <w:sz w:val="28"/>
          <w:szCs w:val="28"/>
        </w:rPr>
        <w:t>Ali Taha et al., 2016</w:t>
      </w:r>
      <w:r w:rsidR="006D0201" w:rsidRPr="002D7391">
        <w:rPr>
          <w:rFonts w:asciiTheme="majorBidi" w:hAnsiTheme="majorBidi" w:cstheme="majorBidi"/>
          <w:noProof/>
          <w:sz w:val="28"/>
          <w:szCs w:val="28"/>
          <w:rtl/>
        </w:rPr>
        <w:t>)</w:t>
      </w:r>
      <w:r w:rsidR="006D0201" w:rsidRPr="002D7391">
        <w:rPr>
          <w:rFonts w:asciiTheme="majorBidi" w:hAnsiTheme="majorBidi" w:cstheme="majorBidi"/>
          <w:sz w:val="28"/>
          <w:szCs w:val="28"/>
          <w:rtl/>
        </w:rPr>
        <w:fldChar w:fldCharType="end"/>
      </w:r>
      <w:r w:rsidR="006D0201" w:rsidRPr="002D7391">
        <w:rPr>
          <w:rFonts w:asciiTheme="majorBidi" w:hAnsiTheme="majorBidi" w:cstheme="majorBidi"/>
          <w:sz w:val="28"/>
          <w:szCs w:val="28"/>
          <w:rtl/>
        </w:rPr>
        <w:t>.</w:t>
      </w:r>
      <w:r w:rsidRPr="00AF6289">
        <w:rPr>
          <w:rFonts w:asciiTheme="majorBidi" w:hAnsiTheme="majorBidi" w:cstheme="majorBidi"/>
          <w:sz w:val="28"/>
          <w:szCs w:val="28"/>
        </w:rPr>
        <w:br/>
      </w:r>
      <w:r w:rsidRPr="00AF6289">
        <w:rPr>
          <w:rFonts w:asciiTheme="majorBidi" w:hAnsiTheme="majorBidi" w:cstheme="majorBidi"/>
          <w:b/>
          <w:bCs/>
          <w:sz w:val="28"/>
          <w:szCs w:val="28"/>
          <w:rtl/>
        </w:rPr>
        <w:t>التعليق المقارن</w:t>
      </w:r>
      <w:r w:rsidRPr="00AF6289">
        <w:rPr>
          <w:rFonts w:asciiTheme="majorBidi" w:hAnsiTheme="majorBidi" w:cstheme="majorBidi"/>
          <w:b/>
          <w:bCs/>
          <w:sz w:val="28"/>
          <w:szCs w:val="28"/>
        </w:rPr>
        <w:t>:</w:t>
      </w:r>
      <w:r w:rsidRPr="00AF6289">
        <w:rPr>
          <w:rFonts w:asciiTheme="majorBidi" w:hAnsiTheme="majorBidi" w:cstheme="majorBidi"/>
          <w:sz w:val="28"/>
          <w:szCs w:val="28"/>
        </w:rPr>
        <w:t xml:space="preserve"> </w:t>
      </w:r>
      <w:r w:rsidRPr="00AF6289">
        <w:rPr>
          <w:rFonts w:asciiTheme="majorBidi" w:hAnsiTheme="majorBidi" w:cstheme="majorBidi"/>
          <w:sz w:val="28"/>
          <w:szCs w:val="28"/>
          <w:rtl/>
        </w:rPr>
        <w:t xml:space="preserve">تتفق دراسات محور الثقافة التنظيمية والإبداع على أن العوامل الثقافية الداخلية (كالشعور بالأمان والدعم الاجتماعي) تعزز ميل الموظفين للإبداع، مقابل تأثير معاكس لثقافة بيروقراطية جامدة. تختلف هذه الدراسات في السياقات والمناهج؛ فبينما ركزت علي طه وآخرون على مؤسسات سلوفاكية عامة، درس </w:t>
      </w:r>
      <w:proofErr w:type="spellStart"/>
      <w:r w:rsidRPr="00AF6289">
        <w:rPr>
          <w:rFonts w:asciiTheme="majorBidi" w:hAnsiTheme="majorBidi" w:cstheme="majorBidi"/>
          <w:sz w:val="28"/>
          <w:szCs w:val="28"/>
          <w:rtl/>
        </w:rPr>
        <w:t>ماكومبي</w:t>
      </w:r>
      <w:proofErr w:type="spellEnd"/>
      <w:r w:rsidRPr="00AF6289">
        <w:rPr>
          <w:rFonts w:asciiTheme="majorBidi" w:hAnsiTheme="majorBidi" w:cstheme="majorBidi"/>
          <w:sz w:val="28"/>
          <w:szCs w:val="28"/>
          <w:rtl/>
        </w:rPr>
        <w:t xml:space="preserve"> بيئة جامعية في زيمبابوي، مما يدل على عمومية تأثير الثقافة عبر بيئات مختلفة. ورغم هذه </w:t>
      </w:r>
      <w:proofErr w:type="spellStart"/>
      <w:r w:rsidRPr="00AF6289">
        <w:rPr>
          <w:rFonts w:asciiTheme="majorBidi" w:hAnsiTheme="majorBidi" w:cstheme="majorBidi"/>
          <w:sz w:val="28"/>
          <w:szCs w:val="28"/>
          <w:rtl/>
        </w:rPr>
        <w:t>الاتساقات</w:t>
      </w:r>
      <w:proofErr w:type="spellEnd"/>
      <w:r w:rsidRPr="00AF6289">
        <w:rPr>
          <w:rFonts w:asciiTheme="majorBidi" w:hAnsiTheme="majorBidi" w:cstheme="majorBidi"/>
          <w:sz w:val="28"/>
          <w:szCs w:val="28"/>
          <w:rtl/>
        </w:rPr>
        <w:t>، تبقى فجوات معرفية قائمة: فالكثير من الأدبيات المحلية لا زالت تفتقر إلى دراسات تجريبية قادرة على قياس الأثر المقارن لأنماط ثقافية متنوعة ضمن القطاعين العام والخاص (خصوصًا في البيئة العربية والخدمية)، مما تسعى إليه الدراسة الحالية بمعالجة الثقافة التنظيمية كمتغير وسيط ضمن بيئة الضيافة</w:t>
      </w:r>
      <w:r w:rsidRPr="00AF6289">
        <w:rPr>
          <w:rFonts w:asciiTheme="majorBidi" w:hAnsiTheme="majorBidi" w:cstheme="majorBidi"/>
          <w:sz w:val="28"/>
          <w:szCs w:val="28"/>
        </w:rPr>
        <w:t>.</w:t>
      </w:r>
    </w:p>
    <w:p w14:paraId="400539FF" w14:textId="1ECE2062" w:rsidR="00AF6289" w:rsidRPr="00AF6289" w:rsidRDefault="00AF6289" w:rsidP="00AF6289">
      <w:pPr>
        <w:bidi/>
        <w:rPr>
          <w:rFonts w:asciiTheme="majorBidi" w:hAnsiTheme="majorBidi" w:cstheme="majorBidi"/>
          <w:b/>
          <w:bCs/>
          <w:sz w:val="28"/>
          <w:szCs w:val="28"/>
        </w:rPr>
      </w:pPr>
      <w:r w:rsidRPr="00DC3DDE">
        <w:rPr>
          <w:rFonts w:asciiTheme="majorBidi" w:hAnsiTheme="majorBidi" w:cstheme="majorBidi"/>
          <w:b/>
          <w:bCs/>
          <w:sz w:val="28"/>
          <w:szCs w:val="28"/>
          <w:rtl/>
        </w:rPr>
        <w:t xml:space="preserve">2.3.4. </w:t>
      </w:r>
      <w:r w:rsidRPr="00AF6289">
        <w:rPr>
          <w:rFonts w:asciiTheme="majorBidi" w:hAnsiTheme="majorBidi" w:cstheme="majorBidi"/>
          <w:b/>
          <w:bCs/>
          <w:sz w:val="28"/>
          <w:szCs w:val="28"/>
          <w:rtl/>
        </w:rPr>
        <w:t>الدراسات التي دمجت أنظمة العمل عالية الأداء والثقافة التنظيمية والإبداع الوظيفي</w:t>
      </w:r>
    </w:p>
    <w:p w14:paraId="4C3AE914" w14:textId="32ECE675" w:rsidR="00D42BB2" w:rsidRPr="002D7391" w:rsidRDefault="00AF6289" w:rsidP="00BE5045">
      <w:pPr>
        <w:bidi/>
        <w:jc w:val="both"/>
        <w:rPr>
          <w:rFonts w:asciiTheme="majorBidi" w:hAnsiTheme="majorBidi" w:cstheme="majorBidi"/>
          <w:sz w:val="28"/>
          <w:szCs w:val="28"/>
        </w:rPr>
      </w:pPr>
      <w:r w:rsidRPr="002D7391">
        <w:rPr>
          <w:rFonts w:asciiTheme="majorBidi" w:hAnsiTheme="majorBidi" w:cstheme="majorBidi"/>
          <w:sz w:val="28"/>
          <w:szCs w:val="28"/>
          <w:rtl/>
        </w:rPr>
        <w:t>طرحت دراسات عديدة علاقة تكاملية بين «أنظمة العمل عالية الأداء» و«الثقافة التنظيمية» في تشكيل الإبداع الوظيفي. على سبيل المثال،</w:t>
      </w:r>
      <w:r w:rsidR="00D42BB2" w:rsidRPr="002D7391">
        <w:rPr>
          <w:rFonts w:asciiTheme="majorBidi" w:hAnsiTheme="majorBidi" w:cstheme="majorBidi" w:hint="cs"/>
          <w:sz w:val="28"/>
          <w:szCs w:val="28"/>
          <w:rtl/>
        </w:rPr>
        <w:t xml:space="preserve"> </w:t>
      </w:r>
      <w:r w:rsidR="00D42BB2" w:rsidRPr="002D7391">
        <w:rPr>
          <w:rFonts w:asciiTheme="majorBidi" w:hAnsiTheme="majorBidi" w:cstheme="majorBidi"/>
          <w:sz w:val="28"/>
          <w:szCs w:val="28"/>
          <w:rtl/>
        </w:rPr>
        <w:t xml:space="preserve">بينت دراسة ميدانية لـ </w:t>
      </w:r>
      <w:proofErr w:type="spellStart"/>
      <w:r w:rsidR="00D42BB2" w:rsidRPr="002D7391">
        <w:rPr>
          <w:rFonts w:asciiTheme="majorBidi" w:hAnsiTheme="majorBidi" w:cstheme="majorBidi"/>
          <w:sz w:val="28"/>
          <w:szCs w:val="28"/>
          <w:rtl/>
        </w:rPr>
        <w:t>جيوتي</w:t>
      </w:r>
      <w:proofErr w:type="spellEnd"/>
      <w:r w:rsidR="00D42BB2" w:rsidRPr="002D7391">
        <w:rPr>
          <w:rFonts w:asciiTheme="majorBidi" w:hAnsiTheme="majorBidi" w:cstheme="majorBidi"/>
          <w:sz w:val="28"/>
          <w:szCs w:val="28"/>
          <w:rtl/>
        </w:rPr>
        <w:t xml:space="preserve"> وراني (2017) أن الثقافة التنظيمية التشاركية تعزّز ترجمة ممارسات</w:t>
      </w:r>
      <w:r w:rsidR="00D42BB2" w:rsidRPr="002D7391">
        <w:rPr>
          <w:rFonts w:asciiTheme="majorBidi" w:hAnsiTheme="majorBidi" w:cstheme="majorBidi"/>
          <w:sz w:val="28"/>
          <w:szCs w:val="28"/>
        </w:rPr>
        <w:t xml:space="preserve"> HPWS– </w:t>
      </w:r>
      <w:r w:rsidR="00D42BB2" w:rsidRPr="002D7391">
        <w:rPr>
          <w:rFonts w:asciiTheme="majorBidi" w:hAnsiTheme="majorBidi" w:cstheme="majorBidi"/>
          <w:sz w:val="28"/>
          <w:szCs w:val="28"/>
          <w:rtl/>
        </w:rPr>
        <w:t xml:space="preserve">كالتدريب والمشاركة وتحفيز الأداء – إلى مخرجات إبداعية فعلية. استخدمت هذه الدراسات استبيانات موجهة وعينات ميدانية، وأكدت أن الاتساق القيمي بين الممارسات الإدارية والثقافة المؤسسية عامل حاسم: فحين تكون الممارسات الإدارية متسقة مع قيم الثقة والتمكين السائدة، يزداد التزام الموظفين بالمبادرة والابتكار </w:t>
      </w:r>
      <w:r w:rsidR="00D42BB2" w:rsidRPr="002D7391">
        <w:rPr>
          <w:rFonts w:asciiTheme="majorBidi" w:hAnsiTheme="majorBidi" w:cstheme="majorBidi"/>
          <w:sz w:val="28"/>
          <w:szCs w:val="28"/>
          <w:rtl/>
        </w:rPr>
        <w:fldChar w:fldCharType="begin"/>
      </w:r>
      <w:r w:rsidR="00D42BB2" w:rsidRPr="002D7391">
        <w:rPr>
          <w:rFonts w:asciiTheme="majorBidi" w:hAnsiTheme="majorBidi" w:cstheme="majorBidi"/>
          <w:sz w:val="28"/>
          <w:szCs w:val="28"/>
          <w:rtl/>
        </w:rPr>
        <w:instrText xml:space="preserve"> </w:instrText>
      </w:r>
      <w:r w:rsidR="00D42BB2" w:rsidRPr="002D7391">
        <w:rPr>
          <w:rFonts w:asciiTheme="majorBidi" w:hAnsiTheme="majorBidi" w:cstheme="majorBidi"/>
          <w:sz w:val="28"/>
          <w:szCs w:val="28"/>
        </w:rPr>
        <w:instrText>ADDIN EN.CITE &lt;EndNote&gt;&lt;Cite&gt;&lt;Author&gt;Jyoti&lt;/Author&gt;&lt;Year&gt;2017&lt;/Year&gt;&lt;RecNum&gt;2776&lt;/RecNum&gt;&lt;DisplayText&gt;(Jyoti and Rani, 2017)&lt;/DisplayText&gt;&lt;record&gt;&lt;rec-number&gt;2776&lt;/rec-number&gt;&lt;foreign-keys&gt;&lt;key app="EN" db-id="t5vttv59or5xwbe2zdm5ewrxd905arrpawff" timestamp="1748383328"&gt;2776&lt;/key&gt;&lt;/foreign-keys&gt;&lt;ref-type name="Journal Article"&gt;17&lt;/ref-type&gt;&lt;contributors&gt;&lt;authors&gt;&lt;author&gt;Jyoti, Jeevan&lt;/author&gt;&lt;author&gt;Rani, Asha&lt;/author&gt;&lt;/authors&gt;&lt;/contributors&gt;&lt;titles&gt;&lt;title&gt;High performance work system and organisational</w:instrText>
      </w:r>
      <w:r w:rsidR="00D42BB2" w:rsidRPr="002D7391">
        <w:rPr>
          <w:rFonts w:asciiTheme="majorBidi" w:hAnsiTheme="majorBidi" w:cstheme="majorBidi"/>
          <w:sz w:val="28"/>
          <w:szCs w:val="28"/>
          <w:rtl/>
        </w:rPr>
        <w:instrText xml:space="preserve"> </w:instrText>
      </w:r>
      <w:r w:rsidR="00D42BB2" w:rsidRPr="002D7391">
        <w:rPr>
          <w:rFonts w:asciiTheme="majorBidi" w:hAnsiTheme="majorBidi" w:cstheme="majorBidi"/>
          <w:sz w:val="28"/>
          <w:szCs w:val="28"/>
        </w:rPr>
        <w:instrText>performance: Role of knowledge management&lt;/title&gt;&lt;secondary-title&gt;Personnel Review&lt;/secondary-title&gt;&lt;/titles&gt;&lt;periodical&gt;&lt;full-title&gt;Personnel Review&lt;/full-title&gt;&lt;/periodical&gt;&lt;pages&gt;1770-1795&lt;/pages&gt;&lt;volume&gt;46&lt;/volume&gt;&lt;number&gt;8&lt;/number&gt;&lt;dates&gt;&lt;year&gt;2017</w:instrText>
      </w:r>
      <w:r w:rsidR="00D42BB2" w:rsidRPr="002D7391">
        <w:rPr>
          <w:rFonts w:asciiTheme="majorBidi" w:hAnsiTheme="majorBidi" w:cstheme="majorBidi"/>
          <w:sz w:val="28"/>
          <w:szCs w:val="28"/>
          <w:rtl/>
        </w:rPr>
        <w:instrText>&lt;/</w:instrText>
      </w:r>
      <w:r w:rsidR="00D42BB2" w:rsidRPr="002D7391">
        <w:rPr>
          <w:rFonts w:asciiTheme="majorBidi" w:hAnsiTheme="majorBidi" w:cstheme="majorBidi"/>
          <w:sz w:val="28"/>
          <w:szCs w:val="28"/>
        </w:rPr>
        <w:instrText>year&gt;&lt;/dates&gt;&lt;isbn&gt;0048-3486&lt;/isbn&gt;&lt;urls&gt;&lt;/urls&gt;&lt;/record&gt;&lt;/Cite&gt;&lt;/EndNote</w:instrText>
      </w:r>
      <w:r w:rsidR="00D42BB2" w:rsidRPr="002D7391">
        <w:rPr>
          <w:rFonts w:asciiTheme="majorBidi" w:hAnsiTheme="majorBidi" w:cstheme="majorBidi"/>
          <w:sz w:val="28"/>
          <w:szCs w:val="28"/>
          <w:rtl/>
        </w:rPr>
        <w:instrText>&gt;</w:instrText>
      </w:r>
      <w:r w:rsidR="00D42BB2" w:rsidRPr="002D7391">
        <w:rPr>
          <w:rFonts w:asciiTheme="majorBidi" w:hAnsiTheme="majorBidi" w:cstheme="majorBidi"/>
          <w:sz w:val="28"/>
          <w:szCs w:val="28"/>
          <w:rtl/>
        </w:rPr>
        <w:fldChar w:fldCharType="separate"/>
      </w:r>
      <w:r w:rsidR="00D42BB2" w:rsidRPr="002D7391">
        <w:rPr>
          <w:rFonts w:asciiTheme="majorBidi" w:hAnsiTheme="majorBidi" w:cstheme="majorBidi"/>
          <w:noProof/>
          <w:sz w:val="28"/>
          <w:szCs w:val="28"/>
          <w:rtl/>
        </w:rPr>
        <w:t>(</w:t>
      </w:r>
      <w:r w:rsidR="00D42BB2" w:rsidRPr="002D7391">
        <w:rPr>
          <w:rFonts w:asciiTheme="majorBidi" w:hAnsiTheme="majorBidi" w:cstheme="majorBidi"/>
          <w:noProof/>
          <w:sz w:val="28"/>
          <w:szCs w:val="28"/>
        </w:rPr>
        <w:t>Jyoti and Rani, 2017</w:t>
      </w:r>
      <w:r w:rsidR="00D42BB2" w:rsidRPr="002D7391">
        <w:rPr>
          <w:rFonts w:asciiTheme="majorBidi" w:hAnsiTheme="majorBidi" w:cstheme="majorBidi"/>
          <w:noProof/>
          <w:sz w:val="28"/>
          <w:szCs w:val="28"/>
          <w:rtl/>
        </w:rPr>
        <w:t>)</w:t>
      </w:r>
      <w:r w:rsidR="00D42BB2" w:rsidRPr="002D7391">
        <w:rPr>
          <w:rFonts w:asciiTheme="majorBidi" w:hAnsiTheme="majorBidi" w:cstheme="majorBidi"/>
          <w:sz w:val="28"/>
          <w:szCs w:val="28"/>
          <w:rtl/>
        </w:rPr>
        <w:fldChar w:fldCharType="end"/>
      </w:r>
      <w:r w:rsidR="00D42BB2" w:rsidRPr="002D7391">
        <w:rPr>
          <w:rFonts w:asciiTheme="majorBidi" w:hAnsiTheme="majorBidi" w:cstheme="majorBidi"/>
          <w:sz w:val="28"/>
          <w:szCs w:val="28"/>
        </w:rPr>
        <w:t>.</w:t>
      </w:r>
    </w:p>
    <w:p w14:paraId="10E24099" w14:textId="28E42BE9" w:rsidR="00D42BB2" w:rsidRPr="002D7391" w:rsidRDefault="00D42BB2" w:rsidP="00BE5045">
      <w:pPr>
        <w:bidi/>
        <w:jc w:val="both"/>
        <w:rPr>
          <w:rFonts w:asciiTheme="majorBidi" w:hAnsiTheme="majorBidi" w:cstheme="majorBidi"/>
          <w:sz w:val="28"/>
          <w:szCs w:val="28"/>
          <w:rtl/>
        </w:rPr>
      </w:pPr>
      <w:r w:rsidRPr="002D7391">
        <w:rPr>
          <w:rFonts w:asciiTheme="majorBidi" w:hAnsiTheme="majorBidi" w:cstheme="majorBidi"/>
          <w:sz w:val="28"/>
          <w:szCs w:val="28"/>
          <w:rtl/>
        </w:rPr>
        <w:t>وفي سياق آسيوي مماثل، وجد نجو وآخرون (2018) أن الثقافة التنظيمية تلعب دورًا وسيطًا يعزز الأثر الإيجابي لأنظمة العمل عالية الأداء على الإبداع الوظيفي، من خلال ترسيخ قيم الاستقلالية والدعم الجماعي بين الموظفين. تستخدم هذه الدراسات مناهج كمية (استبيانات ونمذجة معادلات هيكلية) لتحقيق النتائج، وأكدت أن الثقافة التنظيمية الوسيطة تعزز قدرة الممارسات الاستراتيجية على تحفيز الأفكار الإبداعية</w:t>
      </w:r>
      <w:r w:rsidRPr="002D7391">
        <w:rPr>
          <w:rFonts w:asciiTheme="majorBidi" w:hAnsiTheme="majorBidi" w:cstheme="majorBidi"/>
          <w:sz w:val="28"/>
          <w:szCs w:val="28"/>
        </w:rPr>
        <w:t>.</w:t>
      </w:r>
    </w:p>
    <w:p w14:paraId="3EFDB3AC" w14:textId="7DE8E218" w:rsidR="00D42BB2" w:rsidRPr="002D7391" w:rsidRDefault="00D42BB2" w:rsidP="00BE5045">
      <w:pPr>
        <w:bidi/>
        <w:jc w:val="both"/>
        <w:rPr>
          <w:rFonts w:asciiTheme="majorBidi" w:hAnsiTheme="majorBidi" w:cstheme="majorBidi"/>
          <w:sz w:val="28"/>
          <w:szCs w:val="28"/>
          <w:rtl/>
        </w:rPr>
      </w:pPr>
      <w:r w:rsidRPr="002D7391">
        <w:rPr>
          <w:rFonts w:asciiTheme="majorBidi" w:hAnsiTheme="majorBidi" w:cstheme="majorBidi"/>
          <w:sz w:val="28"/>
          <w:szCs w:val="28"/>
          <w:rtl/>
        </w:rPr>
        <w:t>تدعم نتائج سابقة هذا الاتجاه. فأكد تشوهان (2016) أن التأثير الإيجابي لـ</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على الإبداع الوظيفي يشتد في المنظمات ذات الثقافة الداعمة للابتكار، ويتلاشى في البيئات البيروقراطية والمنغلقة على التغيير</w:t>
      </w:r>
      <w:r w:rsidRPr="002D7391">
        <w:rPr>
          <w:rFonts w:asciiTheme="majorBidi" w:hAnsiTheme="majorBidi" w:cstheme="majorBidi"/>
          <w:sz w:val="28"/>
          <w:szCs w:val="28"/>
          <w:rtl/>
          <w:lang w:bidi="ar-EG"/>
        </w:rPr>
        <w:t xml:space="preserve"> </w:t>
      </w:r>
      <w:r w:rsidRPr="002D7391">
        <w:rPr>
          <w:rFonts w:asciiTheme="majorBidi" w:hAnsiTheme="majorBidi" w:cstheme="majorBidi"/>
          <w:sz w:val="28"/>
          <w:szCs w:val="28"/>
          <w:rtl/>
          <w:lang w:bidi="ar-EG"/>
        </w:rPr>
        <w:fldChar w:fldCharType="begin"/>
      </w:r>
      <w:r w:rsidRPr="002D7391">
        <w:rPr>
          <w:rFonts w:asciiTheme="majorBidi" w:hAnsiTheme="majorBidi" w:cstheme="majorBidi"/>
          <w:sz w:val="28"/>
          <w:szCs w:val="28"/>
          <w:rtl/>
          <w:lang w:bidi="ar-EG"/>
        </w:rPr>
        <w:instrText xml:space="preserve"> </w:instrText>
      </w:r>
      <w:r w:rsidRPr="002D7391">
        <w:rPr>
          <w:rFonts w:asciiTheme="majorBidi" w:hAnsiTheme="majorBidi" w:cstheme="majorBidi"/>
          <w:sz w:val="28"/>
          <w:szCs w:val="28"/>
          <w:lang w:bidi="ar-EG"/>
        </w:rPr>
        <w:instrText>ADDIN EN.CITE &lt;EndNote&gt;&lt;Cite&gt;&lt;Author&gt;Chowhan&lt;/Author&gt;&lt;Year&gt;2016&lt;/Year&gt;&lt;RecNum&gt;2775&lt;/RecNum&gt;&lt;DisplayText&gt;(Chowhan, 2016)&lt;/DisplayText&gt;&lt;record&gt;&lt;rec-number&gt;2775&lt;/rec-number&gt;&lt;foreign-keys&gt;&lt;key app="EN" db-id="t5vttv59or5xwbe2zdm5ewrxd905arrpawff" timestamp</w:instrText>
      </w:r>
      <w:r w:rsidRPr="002D7391">
        <w:rPr>
          <w:rFonts w:asciiTheme="majorBidi" w:hAnsiTheme="majorBidi" w:cstheme="majorBidi"/>
          <w:sz w:val="28"/>
          <w:szCs w:val="28"/>
          <w:rtl/>
          <w:lang w:bidi="ar-EG"/>
        </w:rPr>
        <w:instrText>="1748383191"&gt;2775&lt;/</w:instrText>
      </w:r>
      <w:r w:rsidRPr="002D7391">
        <w:rPr>
          <w:rFonts w:asciiTheme="majorBidi" w:hAnsiTheme="majorBidi" w:cstheme="majorBidi"/>
          <w:sz w:val="28"/>
          <w:szCs w:val="28"/>
          <w:lang w:bidi="ar-EG"/>
        </w:rPr>
        <w:instrText>key&gt;&lt;/foreign-keys&gt;&lt;ref-type name="Journal Article"&gt;17&lt;/ref-type&gt;&lt;contributors&gt;&lt;authors&gt;&lt;author&gt;Chowhan, James&lt;/author&gt;&lt;/authors&gt;&lt;/contributors&gt;&lt;titles&gt;&lt;title&gt;Unpacking the black box: understanding the relationship between strategy, HRM</w:instrText>
      </w:r>
      <w:r w:rsidRPr="002D7391">
        <w:rPr>
          <w:rFonts w:asciiTheme="majorBidi" w:hAnsiTheme="majorBidi" w:cstheme="majorBidi"/>
          <w:sz w:val="28"/>
          <w:szCs w:val="28"/>
          <w:rtl/>
          <w:lang w:bidi="ar-EG"/>
        </w:rPr>
        <w:instrText xml:space="preserve"> </w:instrText>
      </w:r>
      <w:r w:rsidRPr="002D7391">
        <w:rPr>
          <w:rFonts w:asciiTheme="majorBidi" w:hAnsiTheme="majorBidi" w:cstheme="majorBidi"/>
          <w:sz w:val="28"/>
          <w:szCs w:val="28"/>
          <w:lang w:bidi="ar-EG"/>
        </w:rPr>
        <w:instrText>practices, innovation and organizational performance&lt;/title&gt;&lt;secondary-title&gt;Human Resource Management Journal&lt;/secondary-title&gt;&lt;/titles&gt;&lt;periodical&gt;&lt;full-title&gt;Human resource management journal&lt;/full-title&gt;&lt;/periodical&gt;&lt;pages&gt;112-133&lt;/pages&gt;&lt;volume&gt;26&lt;/volume&gt;&lt;number&gt;2&lt;/number&gt;&lt;dates&gt;&lt;year&gt;2016&lt;/year&gt;&lt;/dates&gt;&lt;isbn&gt;0954-5395&lt;/isbn&gt;&lt;urls&gt;&lt;/urls&gt;&lt;/record&gt;&lt;/Cite&gt;&lt;/EndNote</w:instrText>
      </w:r>
      <w:r w:rsidRPr="002D7391">
        <w:rPr>
          <w:rFonts w:asciiTheme="majorBidi" w:hAnsiTheme="majorBidi" w:cstheme="majorBidi"/>
          <w:sz w:val="28"/>
          <w:szCs w:val="28"/>
          <w:rtl/>
          <w:lang w:bidi="ar-EG"/>
        </w:rPr>
        <w:instrText>&gt;</w:instrText>
      </w:r>
      <w:r w:rsidRPr="002D7391">
        <w:rPr>
          <w:rFonts w:asciiTheme="majorBidi" w:hAnsiTheme="majorBidi" w:cstheme="majorBidi"/>
          <w:sz w:val="28"/>
          <w:szCs w:val="28"/>
          <w:rtl/>
          <w:lang w:bidi="ar-EG"/>
        </w:rPr>
        <w:fldChar w:fldCharType="separate"/>
      </w:r>
      <w:r w:rsidRPr="002D7391">
        <w:rPr>
          <w:rFonts w:asciiTheme="majorBidi" w:hAnsiTheme="majorBidi" w:cstheme="majorBidi"/>
          <w:noProof/>
          <w:sz w:val="28"/>
          <w:szCs w:val="28"/>
          <w:rtl/>
          <w:lang w:bidi="ar-EG"/>
        </w:rPr>
        <w:t>(</w:t>
      </w:r>
      <w:r w:rsidRPr="002D7391">
        <w:rPr>
          <w:rFonts w:asciiTheme="majorBidi" w:hAnsiTheme="majorBidi" w:cstheme="majorBidi"/>
          <w:noProof/>
          <w:sz w:val="28"/>
          <w:szCs w:val="28"/>
          <w:lang w:bidi="ar-EG"/>
        </w:rPr>
        <w:t>Chowhan, 2016</w:t>
      </w:r>
      <w:r w:rsidRPr="002D7391">
        <w:rPr>
          <w:rFonts w:asciiTheme="majorBidi" w:hAnsiTheme="majorBidi" w:cstheme="majorBidi"/>
          <w:noProof/>
          <w:sz w:val="28"/>
          <w:szCs w:val="28"/>
          <w:rtl/>
          <w:lang w:bidi="ar-EG"/>
        </w:rPr>
        <w:t>)</w:t>
      </w:r>
      <w:r w:rsidRPr="002D7391">
        <w:rPr>
          <w:rFonts w:asciiTheme="majorBidi" w:hAnsiTheme="majorBidi" w:cstheme="majorBidi"/>
          <w:sz w:val="28"/>
          <w:szCs w:val="28"/>
          <w:rtl/>
          <w:lang w:bidi="ar-EG"/>
        </w:rPr>
        <w:fldChar w:fldCharType="end"/>
      </w:r>
      <w:r w:rsidRPr="002D7391">
        <w:rPr>
          <w:rFonts w:asciiTheme="majorBidi" w:hAnsiTheme="majorBidi" w:cstheme="majorBidi"/>
          <w:sz w:val="28"/>
          <w:szCs w:val="28"/>
          <w:rtl/>
        </w:rPr>
        <w:t xml:space="preserve">. </w:t>
      </w:r>
    </w:p>
    <w:p w14:paraId="10B00D5C" w14:textId="4551E9AD" w:rsidR="00D42BB2" w:rsidRPr="002D7391" w:rsidRDefault="00D42BB2" w:rsidP="00BE5045">
      <w:pPr>
        <w:bidi/>
        <w:jc w:val="both"/>
        <w:rPr>
          <w:rFonts w:asciiTheme="majorBidi" w:hAnsiTheme="majorBidi" w:cstheme="majorBidi"/>
          <w:sz w:val="28"/>
          <w:szCs w:val="28"/>
          <w:rtl/>
        </w:rPr>
      </w:pPr>
      <w:r w:rsidRPr="002D7391">
        <w:rPr>
          <w:rFonts w:asciiTheme="majorBidi" w:hAnsiTheme="majorBidi" w:cstheme="majorBidi"/>
          <w:sz w:val="28"/>
          <w:szCs w:val="28"/>
          <w:rtl/>
        </w:rPr>
        <w:t xml:space="preserve">وبالمثل، </w:t>
      </w:r>
      <w:r w:rsidR="00AF6289" w:rsidRPr="002D7391">
        <w:rPr>
          <w:rFonts w:asciiTheme="majorBidi" w:hAnsiTheme="majorBidi" w:cstheme="majorBidi"/>
          <w:sz w:val="28"/>
          <w:szCs w:val="28"/>
          <w:rtl/>
        </w:rPr>
        <w:t xml:space="preserve"> ذكر تشانغ وتشين (2011) في دراستهم أن أثر تطبيق ممارسات</w:t>
      </w:r>
      <w:r w:rsidR="00AF6289" w:rsidRPr="002D7391">
        <w:rPr>
          <w:rFonts w:asciiTheme="majorBidi" w:hAnsiTheme="majorBidi" w:cstheme="majorBidi"/>
          <w:sz w:val="28"/>
          <w:szCs w:val="28"/>
        </w:rPr>
        <w:t xml:space="preserve"> HPWS </w:t>
      </w:r>
      <w:r w:rsidR="00AF6289" w:rsidRPr="002D7391">
        <w:rPr>
          <w:rFonts w:asciiTheme="majorBidi" w:hAnsiTheme="majorBidi" w:cstheme="majorBidi"/>
          <w:sz w:val="28"/>
          <w:szCs w:val="28"/>
          <w:rtl/>
        </w:rPr>
        <w:t>على الإبداع الوظيفي يزداد قوة في المنظمات التي تتمتع بثقافة تنظيمية تشجع على المرونة والتعلم</w:t>
      </w:r>
      <w:r w:rsidR="00351787" w:rsidRPr="002D7391">
        <w:rPr>
          <w:rFonts w:asciiTheme="majorBidi" w:hAnsiTheme="majorBidi" w:cstheme="majorBidi"/>
          <w:sz w:val="28"/>
          <w:szCs w:val="28"/>
          <w:rtl/>
        </w:rPr>
        <w:t xml:space="preserve"> </w:t>
      </w:r>
      <w:r w:rsidR="00351787" w:rsidRPr="002D7391">
        <w:rPr>
          <w:rFonts w:asciiTheme="majorBidi" w:hAnsiTheme="majorBidi" w:cstheme="majorBidi"/>
          <w:sz w:val="28"/>
          <w:szCs w:val="28"/>
          <w:rtl/>
        </w:rPr>
        <w:fldChar w:fldCharType="begin"/>
      </w:r>
      <w:r w:rsidR="00351787" w:rsidRPr="002D7391">
        <w:rPr>
          <w:rFonts w:asciiTheme="majorBidi" w:hAnsiTheme="majorBidi" w:cstheme="majorBidi"/>
          <w:sz w:val="28"/>
          <w:szCs w:val="28"/>
          <w:rtl/>
        </w:rPr>
        <w:instrText xml:space="preserve"> </w:instrText>
      </w:r>
      <w:r w:rsidR="00351787" w:rsidRPr="002D7391">
        <w:rPr>
          <w:rFonts w:asciiTheme="majorBidi" w:hAnsiTheme="majorBidi" w:cstheme="majorBidi"/>
          <w:sz w:val="28"/>
          <w:szCs w:val="28"/>
        </w:rPr>
        <w:instrText>ADDIN EN.CITE &lt;EndNote&gt;&lt;Cite&gt;&lt;Author&gt;Chang&lt;/Author&gt;&lt;Year&gt;2011&lt;/Year&gt;&lt;RecNum&gt;2784&lt;/RecNum&gt;&lt;DisplayText&gt;(Chang and Chen, 2011)&lt;/DisplayText&gt;&lt;record&gt;&lt;rec-number&gt;2784&lt;/rec-number&gt;&lt;foreign-keys&gt;&lt;key app="EN" db-id="t5vttv59or5xwbe2zdm5ewrxd905arrpawff" timestamp="1748387384"&gt;2784&lt;/key&gt;&lt;/foreign-keys&gt;&lt;ref-type name="Journal Article"&gt;17&lt;/ref-type&gt;&lt;contributors&gt;&lt;authors&gt;&lt;author&gt;Chang, Po-Chien&lt;/author&gt;&lt;author&gt;Chen, Shyh-Jer&lt;/author&gt;&lt;/authors&gt;&lt;/contributors&gt;&lt;titles&gt;&lt;title&gt;Crossing the level of employee&amp;apos;s performance: HPWS, affective commitment, human capital, and employee job performance in professional service organizations&lt;/title&gt;&lt;secondary-title&gt;The international journal of human resource management&lt;/secondary-title&gt;&lt;/titles&gt;&lt;periodical&gt;&lt;full-title&gt;The international journal of human resource management&lt;/full-title&gt;&lt;/periodical&gt;&lt;pages&gt;883-901&lt;/pages&gt;&lt;volume&gt;22&lt;/volume&gt;&lt;number&gt;04&lt;/number&gt;&lt;dates&gt;&lt;year&gt;2011&lt;/year&gt;&lt;/dates&gt;&lt;isbn&gt;0958-5192&lt;/isbn&gt;&lt;urls&gt;&lt;/urls&gt;&lt;/record&gt;&lt;/Cite&gt;&lt;/EndNote</w:instrText>
      </w:r>
      <w:r w:rsidR="00351787" w:rsidRPr="002D7391">
        <w:rPr>
          <w:rFonts w:asciiTheme="majorBidi" w:hAnsiTheme="majorBidi" w:cstheme="majorBidi"/>
          <w:sz w:val="28"/>
          <w:szCs w:val="28"/>
          <w:rtl/>
        </w:rPr>
        <w:instrText>&gt;</w:instrText>
      </w:r>
      <w:r w:rsidR="00351787" w:rsidRPr="002D7391">
        <w:rPr>
          <w:rFonts w:asciiTheme="majorBidi" w:hAnsiTheme="majorBidi" w:cstheme="majorBidi"/>
          <w:sz w:val="28"/>
          <w:szCs w:val="28"/>
          <w:rtl/>
        </w:rPr>
        <w:fldChar w:fldCharType="separate"/>
      </w:r>
      <w:r w:rsidR="00351787" w:rsidRPr="002D7391">
        <w:rPr>
          <w:rFonts w:asciiTheme="majorBidi" w:hAnsiTheme="majorBidi" w:cstheme="majorBidi"/>
          <w:noProof/>
          <w:sz w:val="28"/>
          <w:szCs w:val="28"/>
          <w:rtl/>
        </w:rPr>
        <w:t>(</w:t>
      </w:r>
      <w:r w:rsidR="00351787" w:rsidRPr="002D7391">
        <w:rPr>
          <w:rFonts w:asciiTheme="majorBidi" w:hAnsiTheme="majorBidi" w:cstheme="majorBidi"/>
          <w:noProof/>
          <w:sz w:val="28"/>
          <w:szCs w:val="28"/>
        </w:rPr>
        <w:t>Chang and Chen, 2011</w:t>
      </w:r>
      <w:r w:rsidR="00351787" w:rsidRPr="002D7391">
        <w:rPr>
          <w:rFonts w:asciiTheme="majorBidi" w:hAnsiTheme="majorBidi" w:cstheme="majorBidi"/>
          <w:noProof/>
          <w:sz w:val="28"/>
          <w:szCs w:val="28"/>
          <w:rtl/>
        </w:rPr>
        <w:t>)</w:t>
      </w:r>
      <w:r w:rsidR="00351787" w:rsidRPr="002D7391">
        <w:rPr>
          <w:rFonts w:asciiTheme="majorBidi" w:hAnsiTheme="majorBidi" w:cstheme="majorBidi"/>
          <w:sz w:val="28"/>
          <w:szCs w:val="28"/>
          <w:rtl/>
        </w:rPr>
        <w:fldChar w:fldCharType="end"/>
      </w:r>
      <w:r w:rsidR="00351787" w:rsidRPr="002D7391">
        <w:rPr>
          <w:rFonts w:asciiTheme="majorBidi" w:hAnsiTheme="majorBidi" w:cstheme="majorBidi"/>
          <w:sz w:val="28"/>
          <w:szCs w:val="28"/>
          <w:rtl/>
        </w:rPr>
        <w:t xml:space="preserve">. </w:t>
      </w:r>
      <w:r w:rsidR="00AF6289" w:rsidRPr="002D7391">
        <w:rPr>
          <w:rFonts w:asciiTheme="majorBidi" w:hAnsiTheme="majorBidi" w:cstheme="majorBidi"/>
          <w:sz w:val="28"/>
          <w:szCs w:val="28"/>
          <w:rtl/>
        </w:rPr>
        <w:t xml:space="preserve">استندت هذه الدراسة المنهجية الاستقصائية وتحليل النماذج الإحصائية، فتوصلت إلى أن ممارسات الموارد البشرية الاستراتيجية تُترجم إلى سلوكيات مبتكرة بشكل أكثر فعالية عندما تتوافق مع ثقافة مؤسسية تمكينية وتكافئ التجريب. </w:t>
      </w:r>
    </w:p>
    <w:p w14:paraId="3EF4294B" w14:textId="478BCB46" w:rsidR="00AF6289" w:rsidRDefault="00AF6289" w:rsidP="00BE5045">
      <w:pPr>
        <w:bidi/>
        <w:jc w:val="both"/>
        <w:rPr>
          <w:rFonts w:asciiTheme="majorBidi" w:hAnsiTheme="majorBidi" w:cstheme="majorBidi"/>
          <w:sz w:val="28"/>
          <w:szCs w:val="28"/>
          <w:rtl/>
        </w:rPr>
      </w:pPr>
      <w:r w:rsidRPr="002D7391">
        <w:rPr>
          <w:rFonts w:asciiTheme="majorBidi" w:hAnsiTheme="majorBidi" w:cstheme="majorBidi"/>
          <w:sz w:val="28"/>
          <w:szCs w:val="28"/>
          <w:rtl/>
        </w:rPr>
        <w:t>التعليق المقارن</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t>تشير الدراسات المجمعة إلى اتفاق على أن الثقافة التنظيمية تمثل وسيطًا حاسمًا في العلاقة الثلاثية بين</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والإبداع الوظيفي؛ فكلما كانت الثقافة أكثر تمكينًا ودعمًا للتجديد، كلما كان أثر</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 xml:space="preserve">على الإبداع أعظم. رغم ذلك، تختلف هذه الدراسات في منهجيتها والسياقات التي أجريت فيها: بعضها (مثل </w:t>
      </w:r>
      <w:r w:rsidRPr="002D7391">
        <w:rPr>
          <w:rFonts w:asciiTheme="majorBidi" w:hAnsiTheme="majorBidi" w:cstheme="majorBidi"/>
          <w:sz w:val="28"/>
          <w:szCs w:val="28"/>
          <w:rtl/>
        </w:rPr>
        <w:lastRenderedPageBreak/>
        <w:t xml:space="preserve">تشانغ وتشين، نجو وآخرون) ركز على بيئات آسيوية عامة، في حين استخدمت دراسات أخرى عينات ميدانية محدودة في منظمات خدمية أو تعليمية. كما لم تتناول سوى قلة منها تباينات القطاعات (فندقية، تعليمية، حكومية) وقدرة الثقافة على شرح الاختلافات. ومن ثم، تبرز الحاجة إلى سد هذه الفجوة البحثية عبر دراسات مقارنة في قطاعات الضيافة العربية: تستهدف الدراسة الحالية استكشاف كيفية </w:t>
      </w:r>
      <w:proofErr w:type="spellStart"/>
      <w:r w:rsidRPr="002D7391">
        <w:rPr>
          <w:rFonts w:asciiTheme="majorBidi" w:hAnsiTheme="majorBidi" w:cstheme="majorBidi"/>
          <w:sz w:val="28"/>
          <w:szCs w:val="28"/>
          <w:rtl/>
        </w:rPr>
        <w:t>تآثر</w:t>
      </w:r>
      <w:proofErr w:type="spellEnd"/>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مع الثقافة التنظيمية في تحفيز الإبداع الوظيفي داخل الفنادق والمطاعم السعودية، حيث قد تؤدي خصوصية البيئة الثقافية إلى تباينات</w:t>
      </w:r>
      <w:r w:rsidRPr="00AF6289">
        <w:rPr>
          <w:rFonts w:asciiTheme="majorBidi" w:hAnsiTheme="majorBidi" w:cstheme="majorBidi"/>
          <w:sz w:val="28"/>
          <w:szCs w:val="28"/>
          <w:rtl/>
        </w:rPr>
        <w:t xml:space="preserve"> عن النتائج السابقة، ومن هنا تأتي أهميتها البحثية</w:t>
      </w:r>
      <w:r w:rsidRPr="00AF6289">
        <w:rPr>
          <w:rFonts w:asciiTheme="majorBidi" w:hAnsiTheme="majorBidi" w:cstheme="majorBidi"/>
          <w:sz w:val="28"/>
          <w:szCs w:val="28"/>
        </w:rPr>
        <w:t>.</w:t>
      </w:r>
    </w:p>
    <w:p w14:paraId="5313C41C" w14:textId="77777777" w:rsidR="003A5C90" w:rsidRPr="00AF6289" w:rsidRDefault="003A5C90" w:rsidP="003A5C90">
      <w:pPr>
        <w:bidi/>
        <w:jc w:val="both"/>
        <w:rPr>
          <w:rFonts w:asciiTheme="majorBidi" w:hAnsiTheme="majorBidi" w:cstheme="majorBidi"/>
          <w:sz w:val="28"/>
          <w:szCs w:val="28"/>
        </w:rPr>
      </w:pPr>
    </w:p>
    <w:p w14:paraId="1EA5D8EE" w14:textId="77777777" w:rsidR="00DC3DDE" w:rsidRPr="00DC3DDE" w:rsidRDefault="00DC3DDE" w:rsidP="00DC3DDE">
      <w:pPr>
        <w:bidi/>
        <w:rPr>
          <w:rFonts w:asciiTheme="majorBidi" w:hAnsiTheme="majorBidi" w:cstheme="majorBidi"/>
          <w:b/>
          <w:bCs/>
          <w:sz w:val="28"/>
          <w:szCs w:val="28"/>
        </w:rPr>
      </w:pPr>
      <w:r w:rsidRPr="00DC3DDE">
        <w:rPr>
          <w:rFonts w:asciiTheme="majorBidi" w:hAnsiTheme="majorBidi" w:cstheme="majorBidi"/>
          <w:b/>
          <w:bCs/>
          <w:sz w:val="28"/>
          <w:szCs w:val="28"/>
          <w:rtl/>
        </w:rPr>
        <w:t>خاتمة الفصل الثاني</w:t>
      </w:r>
    </w:p>
    <w:p w14:paraId="5B7FF45B" w14:textId="77777777" w:rsidR="00DC3DDE" w:rsidRPr="00DC3DDE" w:rsidRDefault="00DC3DDE" w:rsidP="00BE5045">
      <w:pPr>
        <w:bidi/>
        <w:jc w:val="both"/>
        <w:rPr>
          <w:rFonts w:asciiTheme="majorBidi" w:hAnsiTheme="majorBidi" w:cstheme="majorBidi"/>
          <w:sz w:val="28"/>
          <w:szCs w:val="28"/>
        </w:rPr>
      </w:pPr>
      <w:r w:rsidRPr="002D7391">
        <w:rPr>
          <w:rFonts w:asciiTheme="majorBidi" w:hAnsiTheme="majorBidi" w:cstheme="majorBidi"/>
          <w:sz w:val="28"/>
          <w:szCs w:val="28"/>
          <w:rtl/>
        </w:rPr>
        <w:t>تناول هذا الفصل الإطار النظري والدراسات السابقة ذات الصلة بموضوع البحث، والذي يتمثل في دراسة أثر أنظمة العمل عالية الأداء</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على الأداء الإبداعي لدى العاملين في قطاعي الفنادق والمطاعم</w:t>
      </w:r>
      <w:r w:rsidRPr="002D7391">
        <w:rPr>
          <w:rFonts w:asciiTheme="majorBidi" w:hAnsiTheme="majorBidi" w:cstheme="majorBidi"/>
          <w:sz w:val="28"/>
          <w:szCs w:val="28"/>
        </w:rPr>
        <w:t xml:space="preserve">. </w:t>
      </w:r>
      <w:r w:rsidRPr="002D7391">
        <w:rPr>
          <w:rFonts w:asciiTheme="majorBidi" w:hAnsiTheme="majorBidi" w:cstheme="majorBidi"/>
          <w:sz w:val="28"/>
          <w:szCs w:val="28"/>
          <w:rtl/>
        </w:rPr>
        <w:t>وقد تم في بداية الفصل تقديم تعريف شامل لأنظمة العمل عالية الأداء، وتوضيح مكوناتها وأبعادها المختلفة، مثل التوظيف الانتقائي، التدريب والتطوير، نظم المكافآت، المشاركة في اتخاذ القرار، والتمكين الوظيفي، إضافة إلى</w:t>
      </w:r>
      <w:r w:rsidRPr="00DC3DDE">
        <w:rPr>
          <w:rFonts w:asciiTheme="majorBidi" w:hAnsiTheme="majorBidi" w:cstheme="majorBidi"/>
          <w:sz w:val="28"/>
          <w:szCs w:val="28"/>
          <w:rtl/>
        </w:rPr>
        <w:t xml:space="preserve"> ربطها بنماذج نظرية معتمدة مثل نموذج القدرة–الدافعية–الفرصة </w:t>
      </w:r>
      <w:r w:rsidRPr="00DC3DDE">
        <w:rPr>
          <w:rFonts w:asciiTheme="majorBidi" w:hAnsiTheme="majorBidi" w:cstheme="majorBidi"/>
          <w:sz w:val="28"/>
          <w:szCs w:val="28"/>
        </w:rPr>
        <w:t>(AMO)</w:t>
      </w:r>
      <w:r w:rsidRPr="00DC3DDE">
        <w:rPr>
          <w:rFonts w:asciiTheme="majorBidi" w:hAnsiTheme="majorBidi" w:cstheme="majorBidi"/>
          <w:sz w:val="28"/>
          <w:szCs w:val="28"/>
          <w:rtl/>
        </w:rPr>
        <w:t>.</w:t>
      </w:r>
      <w:r w:rsidRPr="00DC3DDE">
        <w:rPr>
          <w:rFonts w:asciiTheme="majorBidi" w:hAnsiTheme="majorBidi" w:cstheme="majorBidi"/>
          <w:sz w:val="28"/>
          <w:szCs w:val="28"/>
        </w:rPr>
        <w:t xml:space="preserve"> </w:t>
      </w:r>
      <w:r w:rsidRPr="00DC3DDE">
        <w:rPr>
          <w:rFonts w:asciiTheme="majorBidi" w:hAnsiTheme="majorBidi" w:cstheme="majorBidi"/>
          <w:sz w:val="28"/>
          <w:szCs w:val="28"/>
          <w:rtl/>
        </w:rPr>
        <w:t>كما تم استعراض مفهوم الأداء الإبداعي ومكوناته، والعوامل التي تؤثر فيه، خاصة في السياقات الخدمية</w:t>
      </w:r>
      <w:r w:rsidRPr="00DC3DDE">
        <w:rPr>
          <w:rFonts w:asciiTheme="majorBidi" w:hAnsiTheme="majorBidi" w:cstheme="majorBidi"/>
          <w:sz w:val="28"/>
          <w:szCs w:val="28"/>
        </w:rPr>
        <w:t>.</w:t>
      </w:r>
    </w:p>
    <w:p w14:paraId="56CE355A" w14:textId="77777777" w:rsidR="00DC3DDE" w:rsidRPr="00DC3DDE" w:rsidRDefault="00DC3DDE" w:rsidP="00BE5045">
      <w:pPr>
        <w:bidi/>
        <w:jc w:val="both"/>
        <w:rPr>
          <w:rFonts w:asciiTheme="majorBidi" w:hAnsiTheme="majorBidi" w:cstheme="majorBidi"/>
          <w:sz w:val="28"/>
          <w:szCs w:val="28"/>
        </w:rPr>
      </w:pPr>
      <w:r w:rsidRPr="00DC3DDE">
        <w:rPr>
          <w:rFonts w:asciiTheme="majorBidi" w:hAnsiTheme="majorBidi" w:cstheme="majorBidi"/>
          <w:sz w:val="28"/>
          <w:szCs w:val="28"/>
          <w:rtl/>
        </w:rPr>
        <w:t>انتقل الفصل بعد ذلك إلى استعراض الأدبيات والدراسات السابقة، حيث تم تصنيفها إلى أربع مجموعات رئيسية: دراسات تناولت</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بشكل عام، ودراسات ركزت على</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في قطاع الضيافة، ودراسات اهتمت بالأداء الإبداعي، وأخرى دمجت بين</w:t>
      </w:r>
      <w:r w:rsidRPr="00DC3DDE">
        <w:rPr>
          <w:rFonts w:asciiTheme="majorBidi" w:hAnsiTheme="majorBidi" w:cstheme="majorBidi"/>
          <w:sz w:val="28"/>
          <w:szCs w:val="28"/>
        </w:rPr>
        <w:t xml:space="preserve"> HPWS </w:t>
      </w:r>
      <w:r w:rsidRPr="00DC3DDE">
        <w:rPr>
          <w:rFonts w:asciiTheme="majorBidi" w:hAnsiTheme="majorBidi" w:cstheme="majorBidi"/>
          <w:sz w:val="28"/>
          <w:szCs w:val="28"/>
          <w:rtl/>
        </w:rPr>
        <w:t xml:space="preserve">والأداء الإبداعي. وقد كشفت هذه </w:t>
      </w:r>
      <w:r w:rsidRPr="002D7391">
        <w:rPr>
          <w:rFonts w:asciiTheme="majorBidi" w:hAnsiTheme="majorBidi" w:cstheme="majorBidi"/>
          <w:sz w:val="28"/>
          <w:szCs w:val="28"/>
          <w:rtl/>
        </w:rPr>
        <w:t>الدراسات عن وجود اتفاق عام حول فعالية</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في تحسين الأداء المؤسسي وتوفير مناخ داعم للإبداع،</w:t>
      </w:r>
      <w:r w:rsidRPr="00DC3DDE">
        <w:rPr>
          <w:rFonts w:asciiTheme="majorBidi" w:hAnsiTheme="majorBidi" w:cstheme="majorBidi"/>
          <w:sz w:val="28"/>
          <w:szCs w:val="28"/>
          <w:rtl/>
        </w:rPr>
        <w:t xml:space="preserve"> مع وجود اختلافات في السياق والمنهجيات والنتائج، خصوصًا بين البيئات الغربية والعربية</w:t>
      </w:r>
      <w:r w:rsidRPr="00DC3DDE">
        <w:rPr>
          <w:rFonts w:asciiTheme="majorBidi" w:hAnsiTheme="majorBidi" w:cstheme="majorBidi"/>
          <w:sz w:val="28"/>
          <w:szCs w:val="28"/>
        </w:rPr>
        <w:t>.</w:t>
      </w:r>
    </w:p>
    <w:p w14:paraId="3FE1A5EC" w14:textId="77777777" w:rsidR="00DC3DDE" w:rsidRPr="002D7391" w:rsidRDefault="00DC3DDE" w:rsidP="00BE5045">
      <w:pPr>
        <w:bidi/>
        <w:jc w:val="both"/>
        <w:rPr>
          <w:rFonts w:asciiTheme="majorBidi" w:hAnsiTheme="majorBidi" w:cstheme="majorBidi"/>
          <w:sz w:val="28"/>
          <w:szCs w:val="28"/>
        </w:rPr>
      </w:pPr>
      <w:r w:rsidRPr="00DC3DDE">
        <w:rPr>
          <w:rFonts w:asciiTheme="majorBidi" w:hAnsiTheme="majorBidi" w:cstheme="majorBidi"/>
          <w:sz w:val="28"/>
          <w:szCs w:val="28"/>
          <w:rtl/>
        </w:rPr>
        <w:t xml:space="preserve">وفي القسم الأخير من هذا الفصل، تم </w:t>
      </w:r>
      <w:r w:rsidRPr="002D7391">
        <w:rPr>
          <w:rFonts w:asciiTheme="majorBidi" w:hAnsiTheme="majorBidi" w:cstheme="majorBidi"/>
          <w:sz w:val="28"/>
          <w:szCs w:val="28"/>
          <w:rtl/>
        </w:rPr>
        <w:t>استعراض أوجه الاتفاق والاختلاف بين الدراسات السابقة من حيث المقاربات المنهجية، الأدوات المستخدمة، وطبيعة النتائج، مما ساعد على تحديد الفجوات البحثية التي تسعى الدراسة الحالية إلى معالجتها. وأبرز هذه الفجوات غياب الدراسات المقارنة بين الفنادق والمطاعم، وقلة الأبحاث في السياق السعودي، وضعف الربط المباشر بين</w:t>
      </w:r>
      <w:r w:rsidRPr="002D7391">
        <w:rPr>
          <w:rFonts w:asciiTheme="majorBidi" w:hAnsiTheme="majorBidi" w:cstheme="majorBidi"/>
          <w:sz w:val="28"/>
          <w:szCs w:val="28"/>
        </w:rPr>
        <w:t xml:space="preserve"> HPWS </w:t>
      </w:r>
      <w:r w:rsidRPr="002D7391">
        <w:rPr>
          <w:rFonts w:asciiTheme="majorBidi" w:hAnsiTheme="majorBidi" w:cstheme="majorBidi"/>
          <w:sz w:val="28"/>
          <w:szCs w:val="28"/>
          <w:rtl/>
        </w:rPr>
        <w:t>والأداء الإبداعي كمحصلة نهائية</w:t>
      </w:r>
      <w:r w:rsidRPr="002D7391">
        <w:rPr>
          <w:rFonts w:asciiTheme="majorBidi" w:hAnsiTheme="majorBidi" w:cstheme="majorBidi"/>
          <w:sz w:val="28"/>
          <w:szCs w:val="28"/>
        </w:rPr>
        <w:t>.</w:t>
      </w:r>
    </w:p>
    <w:p w14:paraId="4EA71B9C" w14:textId="77777777" w:rsidR="00DC3DDE" w:rsidRPr="00DC3DDE" w:rsidRDefault="00DC3DDE" w:rsidP="00BE5045">
      <w:pPr>
        <w:bidi/>
        <w:jc w:val="both"/>
        <w:rPr>
          <w:rFonts w:asciiTheme="majorBidi" w:hAnsiTheme="majorBidi" w:cstheme="majorBidi"/>
          <w:sz w:val="28"/>
          <w:szCs w:val="28"/>
        </w:rPr>
      </w:pPr>
      <w:r w:rsidRPr="002D7391">
        <w:rPr>
          <w:rFonts w:asciiTheme="majorBidi" w:hAnsiTheme="majorBidi" w:cstheme="majorBidi"/>
          <w:sz w:val="28"/>
          <w:szCs w:val="28"/>
          <w:rtl/>
        </w:rPr>
        <w:t>وبذلك يُمهد هذا الفصل الطريق نحو الفصل الثالث الذي سيتناول الإطار المنهجي للدراسة، والذي يتضمن تصميم البحث، منهجية جمع البيانات، أدوات القياس، مجتمع وعينة الدرا</w:t>
      </w:r>
      <w:r w:rsidRPr="00DC3DDE">
        <w:rPr>
          <w:rFonts w:asciiTheme="majorBidi" w:hAnsiTheme="majorBidi" w:cstheme="majorBidi"/>
          <w:sz w:val="28"/>
          <w:szCs w:val="28"/>
          <w:rtl/>
        </w:rPr>
        <w:t>سة، والأساليب الإحصائية المستخدمة في تحليل العلاقة بين المتغيرات المدروسة</w:t>
      </w:r>
      <w:r w:rsidRPr="00DC3DDE">
        <w:rPr>
          <w:rFonts w:asciiTheme="majorBidi" w:hAnsiTheme="majorBidi" w:cstheme="majorBidi"/>
          <w:sz w:val="28"/>
          <w:szCs w:val="28"/>
        </w:rPr>
        <w:t>.</w:t>
      </w:r>
    </w:p>
    <w:p w14:paraId="7BDB1772" w14:textId="77777777" w:rsidR="00DC3DDE" w:rsidRDefault="00DC3DDE" w:rsidP="00BE5045">
      <w:pPr>
        <w:bidi/>
        <w:jc w:val="both"/>
        <w:rPr>
          <w:rFonts w:asciiTheme="majorBidi" w:hAnsiTheme="majorBidi" w:cstheme="majorBidi"/>
          <w:sz w:val="28"/>
          <w:szCs w:val="28"/>
          <w:rtl/>
        </w:rPr>
      </w:pPr>
    </w:p>
    <w:p w14:paraId="5A64013C" w14:textId="77777777" w:rsidR="00D42BB2" w:rsidRDefault="00D42BB2" w:rsidP="00BE5045">
      <w:pPr>
        <w:bidi/>
        <w:jc w:val="both"/>
        <w:rPr>
          <w:rFonts w:asciiTheme="majorBidi" w:hAnsiTheme="majorBidi" w:cstheme="majorBidi"/>
          <w:sz w:val="28"/>
          <w:szCs w:val="28"/>
          <w:rtl/>
        </w:rPr>
      </w:pPr>
    </w:p>
    <w:p w14:paraId="1B3F2419" w14:textId="77777777" w:rsidR="00DE731D" w:rsidRDefault="00DE731D" w:rsidP="00812E2C">
      <w:pPr>
        <w:bidi/>
        <w:rPr>
          <w:rFonts w:asciiTheme="majorBidi" w:hAnsiTheme="majorBidi" w:cstheme="majorBidi"/>
          <w:sz w:val="28"/>
          <w:szCs w:val="28"/>
          <w:rtl/>
        </w:rPr>
      </w:pPr>
    </w:p>
    <w:p w14:paraId="48896ADC" w14:textId="77777777" w:rsidR="004675F9" w:rsidRPr="002D7391" w:rsidRDefault="004675F9" w:rsidP="004675F9">
      <w:pPr>
        <w:bidi/>
        <w:rPr>
          <w:sz w:val="36"/>
          <w:szCs w:val="36"/>
          <w:rtl/>
        </w:rPr>
      </w:pPr>
    </w:p>
    <w:p w14:paraId="7CB8410B" w14:textId="3833F458" w:rsidR="00DE731D" w:rsidRPr="002D7391" w:rsidRDefault="00DE731D" w:rsidP="00F806C7">
      <w:pPr>
        <w:bidi/>
        <w:jc w:val="center"/>
        <w:rPr>
          <w:sz w:val="36"/>
          <w:szCs w:val="36"/>
          <w:rtl/>
        </w:rPr>
      </w:pPr>
      <w:r w:rsidRPr="002D7391">
        <w:rPr>
          <w:rFonts w:hint="cs"/>
          <w:sz w:val="36"/>
          <w:szCs w:val="36"/>
          <w:rtl/>
        </w:rPr>
        <w:lastRenderedPageBreak/>
        <w:t>الفصل الثالث</w:t>
      </w:r>
      <w:r w:rsidR="00445A00">
        <w:rPr>
          <w:rFonts w:hint="cs"/>
          <w:sz w:val="36"/>
          <w:szCs w:val="36"/>
          <w:rtl/>
        </w:rPr>
        <w:t>:</w:t>
      </w:r>
      <w:r w:rsidR="00F806C7">
        <w:rPr>
          <w:rFonts w:hint="cs"/>
          <w:sz w:val="36"/>
          <w:szCs w:val="36"/>
          <w:rtl/>
        </w:rPr>
        <w:t xml:space="preserve"> </w:t>
      </w:r>
      <w:r w:rsidR="00445A00" w:rsidRPr="00445A00">
        <w:rPr>
          <w:rFonts w:ascii="-webkit-standard" w:hAnsi="-webkit-standard" w:cs="Arial" w:hint="cs"/>
          <w:color w:val="000000"/>
          <w:sz w:val="36"/>
          <w:szCs w:val="36"/>
          <w:rtl/>
          <w:lang w:bidi="ar-EG"/>
        </w:rPr>
        <w:t>منهج</w:t>
      </w:r>
      <w:r w:rsidR="00445A00" w:rsidRPr="00445A00">
        <w:rPr>
          <w:rFonts w:ascii="-webkit-standard" w:hAnsi="-webkit-standard" w:cs="Arial"/>
          <w:color w:val="000000"/>
          <w:sz w:val="36"/>
          <w:szCs w:val="36"/>
          <w:rtl/>
          <w:lang w:bidi="ar-EG"/>
        </w:rPr>
        <w:t xml:space="preserve"> </w:t>
      </w:r>
      <w:r w:rsidR="00445A00" w:rsidRPr="00445A00">
        <w:rPr>
          <w:rFonts w:ascii="-webkit-standard" w:hAnsi="-webkit-standard" w:cs="Arial" w:hint="cs"/>
          <w:color w:val="000000"/>
          <w:sz w:val="36"/>
          <w:szCs w:val="36"/>
          <w:rtl/>
          <w:lang w:bidi="ar-EG"/>
        </w:rPr>
        <w:t>الدراسة</w:t>
      </w:r>
      <w:r w:rsidR="00445A00" w:rsidRPr="00445A00">
        <w:rPr>
          <w:rFonts w:ascii="-webkit-standard" w:hAnsi="-webkit-standard" w:cs="Arial"/>
          <w:color w:val="000000"/>
          <w:sz w:val="36"/>
          <w:szCs w:val="36"/>
          <w:rtl/>
          <w:lang w:bidi="ar-EG"/>
        </w:rPr>
        <w:t xml:space="preserve"> </w:t>
      </w:r>
      <w:r w:rsidR="00445A00" w:rsidRPr="00445A00">
        <w:rPr>
          <w:rFonts w:ascii="-webkit-standard" w:hAnsi="-webkit-standard" w:cs="Arial" w:hint="cs"/>
          <w:color w:val="000000"/>
          <w:sz w:val="36"/>
          <w:szCs w:val="36"/>
          <w:rtl/>
          <w:lang w:bidi="ar-EG"/>
        </w:rPr>
        <w:t>وتصميمه</w:t>
      </w:r>
      <w:r w:rsidR="00445A00">
        <w:rPr>
          <w:rFonts w:ascii="-webkit-standard" w:hAnsi="-webkit-standard" w:cs="Arial" w:hint="cs"/>
          <w:color w:val="000000"/>
          <w:sz w:val="36"/>
          <w:szCs w:val="36"/>
          <w:rtl/>
          <w:lang w:bidi="ar-EG"/>
        </w:rPr>
        <w:t xml:space="preserve">ا </w:t>
      </w:r>
    </w:p>
    <w:p w14:paraId="2CCDE731" w14:textId="77777777" w:rsidR="00DE731D" w:rsidRPr="00F806C7" w:rsidRDefault="00DE731D" w:rsidP="00F806C7">
      <w:pPr>
        <w:bidi/>
        <w:rPr>
          <w:rFonts w:ascii="Times New Roman" w:hAnsi="Times New Roman" w:cs="Times New Roman"/>
          <w:sz w:val="28"/>
          <w:szCs w:val="28"/>
          <w:rtl/>
        </w:rPr>
      </w:pPr>
    </w:p>
    <w:p w14:paraId="27D35351" w14:textId="77777777" w:rsidR="00DE731D" w:rsidRPr="00611E7E" w:rsidRDefault="00DE731D" w:rsidP="00DE731D">
      <w:pPr>
        <w:bidi/>
        <w:rPr>
          <w:rFonts w:ascii="Times New Roman" w:hAnsi="Times New Roman" w:cs="Times New Roman"/>
          <w:sz w:val="28"/>
          <w:szCs w:val="28"/>
        </w:rPr>
      </w:pPr>
      <w:r w:rsidRPr="00F806C7">
        <w:rPr>
          <w:rFonts w:ascii="Times New Roman" w:hAnsi="Times New Roman" w:cs="Times New Roman"/>
          <w:b/>
          <w:bCs/>
          <w:sz w:val="28"/>
          <w:szCs w:val="28"/>
          <w:rtl/>
        </w:rPr>
        <w:t>3.1. مقدمة</w:t>
      </w:r>
    </w:p>
    <w:p w14:paraId="713012A7" w14:textId="0667C2F4" w:rsidR="00DE731D" w:rsidRPr="00611E7E" w:rsidRDefault="00DE731D" w:rsidP="00DE731D">
      <w:pPr>
        <w:bidi/>
        <w:rPr>
          <w:rFonts w:ascii="Times New Roman" w:hAnsi="Times New Roman" w:cs="Times New Roman"/>
          <w:sz w:val="28"/>
          <w:szCs w:val="28"/>
        </w:rPr>
      </w:pPr>
      <w:r w:rsidRPr="00611E7E">
        <w:rPr>
          <w:rFonts w:ascii="Times New Roman" w:hAnsi="Times New Roman" w:cs="Times New Roman"/>
          <w:sz w:val="28"/>
          <w:szCs w:val="28"/>
          <w:rtl/>
        </w:rPr>
        <w:t>يُعَد هذا الفصل الركيزة المنهجية للدراسة، إذ يوضح الإطار الذي تم من خلاله تصميم البحث وتنفيذه وتحليل بياناته وكما تبرز أهمية هذا الفصل في كونه يحدد بدقة المسار العلمي الذي استند إليه الباحث في فحص العلاقة بين أنظمة العمل عالية الأداء</w:t>
      </w:r>
      <w:r w:rsidR="003A5C90" w:rsidRPr="00611E7E">
        <w:rPr>
          <w:rFonts w:ascii="Times New Roman" w:hAnsi="Times New Roman" w:cs="Times New Roman" w:hint="cs"/>
          <w:sz w:val="28"/>
          <w:szCs w:val="28"/>
          <w:rtl/>
        </w:rPr>
        <w:t xml:space="preserve"> </w:t>
      </w:r>
      <w:r w:rsidRPr="00611E7E">
        <w:rPr>
          <w:rFonts w:ascii="Times New Roman" w:hAnsi="Times New Roman" w:cs="Times New Roman"/>
          <w:sz w:val="28"/>
          <w:szCs w:val="28"/>
        </w:rPr>
        <w:t>(High-Performance Work Systems – HPWS)</w:t>
      </w:r>
      <w:r w:rsidRPr="00611E7E">
        <w:rPr>
          <w:rFonts w:ascii="Times New Roman" w:hAnsi="Times New Roman" w:cs="Times New Roman"/>
          <w:sz w:val="28"/>
          <w:szCs w:val="28"/>
          <w:rtl/>
        </w:rPr>
        <w:t xml:space="preserve"> والأداء الإبداعي للعاملين في قطاعي الفنادق والمطاعم بالمملكة العربية السعودية</w:t>
      </w:r>
      <w:r w:rsidRPr="00611E7E">
        <w:rPr>
          <w:rFonts w:ascii="Times New Roman" w:hAnsi="Times New Roman" w:cs="Times New Roman"/>
          <w:sz w:val="28"/>
          <w:szCs w:val="28"/>
        </w:rPr>
        <w:t>.</w:t>
      </w:r>
      <w:r w:rsidRPr="00611E7E">
        <w:rPr>
          <w:rFonts w:ascii="Times New Roman" w:hAnsi="Times New Roman" w:cs="Times New Roman"/>
          <w:sz w:val="28"/>
          <w:szCs w:val="28"/>
          <w:rtl/>
        </w:rPr>
        <w:t xml:space="preserve"> ويُعد تحديد المنهجية خطوة جوهرية في أي بحث علمي، لأنها تمثل الجسر الذي يربط بين الإطارين النظري والتطبيقي، وتضمن أن تكون النتائج النهائية صادرة عن إجراءات منهجية منضبطة وقابلة للتحقق </w:t>
      </w:r>
      <w:r w:rsidRPr="00611E7E">
        <w:rPr>
          <w:rFonts w:ascii="Times New Roman" w:hAnsi="Times New Roman" w:cs="Times New Roman"/>
          <w:sz w:val="28"/>
          <w:szCs w:val="28"/>
          <w:rtl/>
        </w:rPr>
        <w:fldChar w:fldCharType="begin"/>
      </w:r>
      <w:r w:rsidRPr="00611E7E">
        <w:rPr>
          <w:rFonts w:ascii="Times New Roman" w:hAnsi="Times New Roman" w:cs="Times New Roman"/>
          <w:sz w:val="28"/>
          <w:szCs w:val="28"/>
          <w:rtl/>
        </w:rPr>
        <w:instrText xml:space="preserve"> </w:instrText>
      </w:r>
      <w:r w:rsidRPr="00611E7E">
        <w:rPr>
          <w:rFonts w:ascii="Times New Roman" w:hAnsi="Times New Roman" w:cs="Times New Roman"/>
          <w:sz w:val="28"/>
          <w:szCs w:val="28"/>
        </w:rPr>
        <w:instrText>ADDIN EN.CITE &lt;EndNote&gt;&lt;Cite&gt;&lt;Author&gt;Creswell&lt;/Author&gt;&lt;Year&gt;2017&lt;/Year&gt;&lt;RecNum&gt;1336&lt;/RecNum&gt;&lt;DisplayText&gt;(Creswell and Creswell, 2017)&lt;/DisplayText&gt;&lt;record&gt;&lt;rec-number&gt;1336&lt;/rec-number&gt;&lt;foreign-keys&gt;&lt;key app="EN" db-id="t5vttv59or5xwbe2zdm5ewrxd905arrpawff" timestamp="1730758965"&gt;1336&lt;/key&gt;&lt;/foreign-keys&gt;&lt;ref-type name="Book"&gt;6&lt;/ref-type&gt;&lt;contributors&gt;&lt;authors&gt;&lt;author&gt;Creswell, John W&lt;/author&gt;&lt;author&gt;Creswell, J David&lt;/author&gt;&lt;/authors&gt;&lt;/contributors&gt;&lt;titles&gt;&lt;title&gt;Research design: Qualitative, quantitative, and mixed methods approaches&lt;/title&gt;&lt;/titles&gt;&lt;dates&gt;&lt;year&gt;2017&lt;/year&gt;&lt;/dates&gt;&lt;publisher&gt;Sage publications&lt;/publisher&gt;&lt;isbn&gt;1506386717&lt;/isbn&gt;&lt;urls&gt;&lt;/urls&gt;&lt;/record&gt;&lt;/Cite&gt;&lt;/EndNote</w:instrText>
      </w:r>
      <w:r w:rsidRPr="00611E7E">
        <w:rPr>
          <w:rFonts w:ascii="Times New Roman" w:hAnsi="Times New Roman" w:cs="Times New Roman"/>
          <w:sz w:val="28"/>
          <w:szCs w:val="28"/>
          <w:rtl/>
        </w:rPr>
        <w:instrText>&gt;</w:instrText>
      </w:r>
      <w:r w:rsidRPr="00611E7E">
        <w:rPr>
          <w:rFonts w:ascii="Times New Roman" w:hAnsi="Times New Roman" w:cs="Times New Roman"/>
          <w:sz w:val="28"/>
          <w:szCs w:val="28"/>
          <w:rtl/>
        </w:rPr>
        <w:fldChar w:fldCharType="separate"/>
      </w:r>
      <w:r w:rsidRPr="00611E7E">
        <w:rPr>
          <w:rFonts w:ascii="Times New Roman" w:hAnsi="Times New Roman" w:cs="Times New Roman"/>
          <w:noProof/>
          <w:sz w:val="28"/>
          <w:szCs w:val="28"/>
          <w:rtl/>
        </w:rPr>
        <w:t>(</w:t>
      </w:r>
      <w:r w:rsidRPr="00611E7E">
        <w:rPr>
          <w:rFonts w:ascii="Times New Roman" w:hAnsi="Times New Roman" w:cs="Times New Roman"/>
          <w:noProof/>
          <w:sz w:val="28"/>
          <w:szCs w:val="28"/>
        </w:rPr>
        <w:t>Creswell and Creswell, 2017</w:t>
      </w:r>
      <w:r w:rsidRPr="00611E7E">
        <w:rPr>
          <w:rFonts w:ascii="Times New Roman" w:hAnsi="Times New Roman" w:cs="Times New Roman"/>
          <w:noProof/>
          <w:sz w:val="28"/>
          <w:szCs w:val="28"/>
          <w:rtl/>
        </w:rPr>
        <w:t>)</w:t>
      </w:r>
      <w:r w:rsidRPr="00611E7E">
        <w:rPr>
          <w:rFonts w:ascii="Times New Roman" w:hAnsi="Times New Roman" w:cs="Times New Roman"/>
          <w:sz w:val="28"/>
          <w:szCs w:val="28"/>
          <w:rtl/>
        </w:rPr>
        <w:fldChar w:fldCharType="end"/>
      </w:r>
      <w:r w:rsidRPr="00611E7E">
        <w:rPr>
          <w:rFonts w:ascii="Times New Roman" w:hAnsi="Times New Roman" w:cs="Times New Roman"/>
          <w:sz w:val="28"/>
          <w:szCs w:val="28"/>
          <w:rtl/>
        </w:rPr>
        <w:t>.</w:t>
      </w:r>
    </w:p>
    <w:p w14:paraId="5C4894C4" w14:textId="448FCF6F" w:rsidR="00DE731D" w:rsidRPr="00F806C7" w:rsidRDefault="00DE731D" w:rsidP="00DE731D">
      <w:pPr>
        <w:bidi/>
        <w:rPr>
          <w:rFonts w:ascii="Times New Roman" w:hAnsi="Times New Roman" w:cs="Times New Roman"/>
          <w:sz w:val="28"/>
          <w:szCs w:val="28"/>
          <w:rtl/>
          <w:lang w:bidi="ar-EG"/>
        </w:rPr>
      </w:pPr>
      <w:r w:rsidRPr="00F806C7">
        <w:rPr>
          <w:rFonts w:ascii="Times New Roman" w:hAnsi="Times New Roman" w:cs="Times New Roman"/>
          <w:sz w:val="28"/>
          <w:szCs w:val="28"/>
          <w:rtl/>
        </w:rPr>
        <w:t>يركز هذا الفصل على عرض تصميم البحث وأدواته وإجراءاته بالتفصيل، موضحًا الأساليب الكمية والنوعية المستخدمة، وطرق جمع البيانات وتحليلها، بما يتيح فهماً معمقًا لطبيعة العلاقات بين المتغيرات الثلاثة الرئيسة للدراسة</w:t>
      </w:r>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 xml:space="preserve">أنظمة العمل عالية الأداء بوصفها المتغير المستقل، والثقافة التنظيمية كمتغير وسيط، والأداء الإبداعي بوصفه المتغير التابع. كما يُبرز الفصل الأسس العلمية التي تم الاستناد إليها في اختيار </w:t>
      </w:r>
      <w:r w:rsidR="00B1622B">
        <w:rPr>
          <w:rFonts w:ascii="Times New Roman" w:hAnsi="Times New Roman" w:cs="Times New Roman" w:hint="cs"/>
          <w:sz w:val="28"/>
          <w:szCs w:val="28"/>
          <w:rtl/>
        </w:rPr>
        <w:t>التصميم</w:t>
      </w:r>
      <w:r w:rsidRPr="00F806C7">
        <w:rPr>
          <w:rFonts w:ascii="Times New Roman" w:hAnsi="Times New Roman" w:cs="Times New Roman"/>
          <w:sz w:val="28"/>
          <w:szCs w:val="28"/>
          <w:rtl/>
        </w:rPr>
        <w:t xml:space="preserve"> </w:t>
      </w:r>
      <w:r w:rsidR="00CC17A5">
        <w:rPr>
          <w:rFonts w:ascii="Times New Roman" w:hAnsi="Times New Roman" w:cs="Times New Roman" w:hint="cs"/>
          <w:sz w:val="28"/>
          <w:szCs w:val="28"/>
          <w:rtl/>
        </w:rPr>
        <w:t>الكمي</w:t>
      </w:r>
      <w:r w:rsidRPr="00F806C7">
        <w:rPr>
          <w:rFonts w:ascii="Times New Roman" w:hAnsi="Times New Roman" w:cs="Times New Roman"/>
          <w:sz w:val="28"/>
          <w:szCs w:val="28"/>
          <w:rtl/>
        </w:rPr>
        <w:t>، والذي جرى تبنيه استنادًا إلى الحاجة إلى الجمع بين الدقة الإحصائية في تحليل العلاقات الكمية، والعمق التفسيري في فهم المعاني والسياقات التنظيمية التي تحيط بها تلك العلاقات</w:t>
      </w:r>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&lt;EndNote&gt;&lt;Cite&gt;&lt;Author&gt;Tashakkori&lt;/Author&gt;&lt;Year&gt;2010&lt;/Year&gt;&lt;RecNum&gt;3095&lt;/RecNum&gt;&lt;DisplayText&gt;(Tashakkori and Teddlie, 2010, Johnson et al., 2007)&lt;/DisplayText&gt;&lt;record&gt;&lt;rec-number&gt;3095&lt;/rec-number&gt;&lt;foreign-keys&gt;&lt;key app="EN" db-id="t5vttv59or5xwbe2zdm5ewrxd905arrpawff" timestamp="1760187746"&gt;3095&lt;/key&gt;&lt;/foreign-keys&gt;&lt;ref-type name="Book"&gt;6&lt;/ref-type&gt;&lt;contributors&gt;&lt;authors&gt;&lt;author&gt;Tashakkori, Abbas&lt;/author&gt;&lt;author&gt;Teddlie, Charles&lt;/author&gt;&lt;/authors&gt;&lt;/contributors&gt;&lt;titles&gt;&lt;title&gt;Sage handbook</w:instrText>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of mixed methods in social &amp;amp; behavioral research&lt;/title&gt;&lt;/titles&gt;&lt;dates&gt;&lt;year&gt;2010&lt;/year&gt;&lt;/dates&gt;&lt;publisher&gt;sage&lt;/publisher&gt;&lt;isbn&gt;1412972663&lt;/isbn&gt;&lt;urls&gt;&lt;/urls&gt;&lt;/record&gt;&lt;/Cite&gt;&lt;Cite&gt;&lt;Author&gt;Johnson&lt;/Author&gt;&lt;Year&gt;2007&lt;/Year&gt;&lt;RecNum&gt;3096&lt;/RecNum&gt;&lt;record</w:instrText>
      </w:r>
      <w:r w:rsidRPr="00F806C7">
        <w:rPr>
          <w:rFonts w:ascii="Times New Roman" w:hAnsi="Times New Roman" w:cs="Times New Roman"/>
          <w:sz w:val="28"/>
          <w:szCs w:val="28"/>
          <w:rtl/>
        </w:rPr>
        <w:instrText>&gt;&lt;</w:instrText>
      </w:r>
      <w:r w:rsidRPr="00F806C7">
        <w:rPr>
          <w:rFonts w:ascii="Times New Roman" w:hAnsi="Times New Roman" w:cs="Times New Roman"/>
          <w:sz w:val="28"/>
          <w:szCs w:val="28"/>
        </w:rPr>
        <w:instrText>rec-number&gt;3096&lt;/rec-number&gt;&lt;foreign-keys&gt;&lt;key app="EN" db-id="t5vttv59or5xwbe2zdm5ewrxd905arrpawff" timestamp="1760187789"&gt;3096&lt;/key&gt;&lt;/foreign-keys&gt;&lt;ref-type name="Journal Article"&gt;17&lt;/ref-type&gt;&lt;contributors&gt;&lt;authors&gt;&lt;author&gt;Johnson, R Burke&lt;/author&gt;&lt;author&gt;Onwuegbuzie, Anthony J&lt;/author&gt;&lt;author&gt;Turner, Lisa A&lt;/author&gt;&lt;/authors&gt;&lt;/contributors&gt;&lt;titles&gt;&lt;title&gt;Toward a definition of mixed methods research&lt;/title&gt;&lt;secondary-title&gt;Journal of mixed methods research&lt;/secondary-title&gt;&lt;/titles&gt;&lt;periodical&gt;&lt;full</w:instrText>
      </w:r>
      <w:r w:rsidRPr="00F806C7">
        <w:rPr>
          <w:rFonts w:ascii="Times New Roman" w:hAnsi="Times New Roman" w:cs="Times New Roman"/>
          <w:sz w:val="28"/>
          <w:szCs w:val="28"/>
          <w:rtl/>
        </w:rPr>
        <w:instrText>-</w:instrText>
      </w:r>
      <w:r w:rsidRPr="00F806C7">
        <w:rPr>
          <w:rFonts w:ascii="Times New Roman" w:hAnsi="Times New Roman" w:cs="Times New Roman"/>
          <w:sz w:val="28"/>
          <w:szCs w:val="28"/>
        </w:rPr>
        <w:instrText>title&gt;Journal of mixed methods research&lt;/full-title&gt;&lt;/periodical&gt;&lt;pages&gt;112-133&lt;/pages&gt;&lt;volume&gt;1&lt;/volume&gt;&lt;number&gt;2&lt;/number&gt;&lt;dates&gt;&lt;year&gt;2007&lt;/year&gt;&lt;/dates&gt;&lt;isbn&gt;1558-6898&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Tashakkori and Teddlie, 2010, Johnson et al., 2007</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Pr>
        <w:t>.</w:t>
      </w:r>
    </w:p>
    <w:p w14:paraId="67800608"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تنبع أهمية الفصل الثالث كذلك من دوره في ضمان الموثوقية والصلاحية العلمية للدراسة، إذ يعرض بدقة إجراءات التحقق من صدق وثبات أدوات القياس، ويبين مبررات اختيار مجتمع الدراسة، وحجم العينة، وأساليب المعالجة الإحصائية. إن وضوح الخطوات المنهجية يجعل النتائج أكثر مصداقية، ويسمح بإعادة تطبيق الدراسة في بيئات مشابهة أو مقارنة نتائجها بنتائج دراسات أخرى في سياقات مختلفة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&lt;EndNote&gt;&lt;Cite&gt;&lt;Author&gt;Bryman&lt;/Author&gt;&lt;Year&gt;2016&lt;/Year&gt;&lt;RecNum&gt;270&lt;/RecNum&gt;&lt;DisplayText&gt;(Bryman, 2016)&lt;/DisplayText&gt;&lt;record&gt;&lt;rec-number&gt;270&lt;/rec-number&gt;&lt;foreign-keys&gt;&lt;key app="EN" db-id="t5vttv59or5xwbe2zdm5ewrxd905arrpawff" timestamp="1721</w:instrText>
      </w:r>
      <w:r w:rsidRPr="00F806C7">
        <w:rPr>
          <w:rFonts w:ascii="Times New Roman" w:hAnsi="Times New Roman" w:cs="Times New Roman"/>
          <w:sz w:val="28"/>
          <w:szCs w:val="28"/>
          <w:rtl/>
        </w:rPr>
        <w:instrText>072739"&gt;270&lt;/</w:instrText>
      </w:r>
      <w:r w:rsidRPr="00F806C7">
        <w:rPr>
          <w:rFonts w:ascii="Times New Roman" w:hAnsi="Times New Roman" w:cs="Times New Roman"/>
          <w:sz w:val="28"/>
          <w:szCs w:val="28"/>
        </w:rPr>
        <w:instrText>key&gt;&lt;/foreign-keys&gt;&lt;ref-type name="Book"&gt;6&lt;/ref-type&gt;&lt;contributors&gt;&lt;authors&gt;&lt;author&gt;Bryman, Alan&lt;/author&gt;&lt;/authors&gt;&lt;/contributors&gt;&lt;titles&gt;&lt;title&gt;Social research methods&lt;/title&gt;&lt;/titles&gt;&lt;dates&gt;&lt;year&gt;2016&lt;/year&gt;&lt;/dates&gt;&lt;publisher&gt;Oxford university press&lt;/publisher&gt;&lt;isbn&gt;0199689458&lt;/isbn&gt;&lt;urls&gt;&lt;/urls&gt;&lt;/record&gt;&lt;/Cite&gt;&lt;/EndNote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Bryman, 2016</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p>
    <w:p w14:paraId="35745126"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كما يُسهم هذا الفصل في تحقيق أحد الأهداف الرئيسة للدراسة والمتمثل في بناء إطار منهجي متكامل لفهم الكيفية التي يمكن من خلالها لأنظمة العمل عالية الأداء أن تعزز الأداء الإبداعي في بيئات العمل الخدمية، لاسيما في قطاعي الضيافة والمطاعم اللذين يشهدان تطورًا متسارعًا في المملكة العربية السعودية في ظل رؤية 2030 التي تؤكد على التميز في رأس المال البشري والابتكار التنظيمي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&lt;EndNote&gt;&lt;Cite&gt;&lt;Author&gt;Arabia&lt;/Author&gt;&lt;Year&gt;2016&lt;/Year&gt;&lt;RecNum&gt;515&lt;/RecNum&gt;&lt;DisplayText&gt;(Arabia, 2016)&lt;/DisplayText&gt;&lt;record&gt;&lt;rec-number&gt;515&lt;/rec-number&gt;&lt;foreign-keys&gt;&lt;key app="EN" db-id="t5vttv59or5xwbe2zdm5ewrxd905arrpawff" timestamp="1722</w:instrText>
      </w:r>
      <w:r w:rsidRPr="00F806C7">
        <w:rPr>
          <w:rFonts w:ascii="Times New Roman" w:hAnsi="Times New Roman" w:cs="Times New Roman"/>
          <w:sz w:val="28"/>
          <w:szCs w:val="28"/>
          <w:rtl/>
        </w:rPr>
        <w:instrText>610128"&gt;515&lt;/</w:instrText>
      </w:r>
      <w:r w:rsidRPr="00F806C7">
        <w:rPr>
          <w:rFonts w:ascii="Times New Roman" w:hAnsi="Times New Roman" w:cs="Times New Roman"/>
          <w:sz w:val="28"/>
          <w:szCs w:val="28"/>
        </w:rPr>
        <w:instrText>key&gt;&lt;/foreign-keys&gt;&lt;ref-type name="Web Page"&gt;12&lt;/ref-type&gt;&lt;contributors&gt;&lt;authors&gt;&lt;author&gt;Kingdom of Saudi Arabia&lt;/author&gt;&lt;/authors&gt;&lt;/contributors&gt;&lt;titles&gt;&lt;title&gt;Vision 2030. Kingdom of Saudi Arabia.&lt;/title&gt;&lt;/titles&gt;&lt;dates&gt;&lt;year&gt;2016&lt;/year&gt;&lt;/dates&gt;&lt;urls&gt;&lt;related-urls&gt;&lt;url&gt;https://www.vision2030.gov.sa/en&lt;/url&gt;&lt;/related-urls&gt;&lt;/urls&gt;&lt;/record&gt;&lt;/Cite&gt;&lt;/EndNote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Arabia, 2016</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 xml:space="preserve">. </w:t>
      </w:r>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ومن هذا المنطلق، يشكل هذا الفصل الأساس العلمي الذي تستند إليه التحليلات اللاحقة، إذ يترجم المفاهيم النظرية إلى أدوات قياس ومؤشرات كمية ونوعية تمكّن من اختبار الفرضيات والوصول إلى نتائج دقيقة تسهم في إثراء الأدبيات العلمية في مجال إدارة الموارد البشرية والإبداع التنظيمي</w:t>
      </w:r>
      <w:r w:rsidRPr="00F806C7">
        <w:rPr>
          <w:rFonts w:ascii="Times New Roman" w:hAnsi="Times New Roman" w:cs="Times New Roman"/>
          <w:sz w:val="28"/>
          <w:szCs w:val="28"/>
        </w:rPr>
        <w:t>.</w:t>
      </w:r>
    </w:p>
    <w:p w14:paraId="4A59FC64" w14:textId="77777777" w:rsidR="00DE731D" w:rsidRPr="00F806C7" w:rsidRDefault="00DE731D" w:rsidP="00DE731D">
      <w:pPr>
        <w:bidi/>
        <w:rPr>
          <w:rFonts w:ascii="Times New Roman" w:hAnsi="Times New Roman" w:cs="Times New Roman"/>
          <w:sz w:val="28"/>
          <w:szCs w:val="28"/>
          <w:rtl/>
        </w:rPr>
      </w:pPr>
      <w:r w:rsidRPr="00F806C7">
        <w:rPr>
          <w:rFonts w:ascii="Times New Roman" w:hAnsi="Times New Roman" w:cs="Times New Roman"/>
          <w:sz w:val="28"/>
          <w:szCs w:val="28"/>
          <w:rtl/>
        </w:rPr>
        <w:t xml:space="preserve">ويهدف هذا الفصل إلى بيان كيف صُمّمت الدراسة، وكيف جُمعت البيانات، وكيف عولجت وتحُللت للوصول إلى إجابات دقيقة عن أسئلة البحث. وسيتم في الأجزاء التالية عرض تصميم البحث، ومجتمع الدراسة، </w:t>
      </w:r>
      <w:r w:rsidRPr="00F806C7">
        <w:rPr>
          <w:rFonts w:ascii="Times New Roman" w:hAnsi="Times New Roman" w:cs="Times New Roman"/>
          <w:sz w:val="28"/>
          <w:szCs w:val="28"/>
          <w:rtl/>
        </w:rPr>
        <w:lastRenderedPageBreak/>
        <w:t>والعينة، وأدوات جمع البيانات، وطرق التحقق من صدقها وثباتها، وكذلك منهجية تحليل البيانات والأسس الأخلاقية التي التزم بها الباحث لضمان نزاهة الإجراءات وموضوعيتها</w:t>
      </w:r>
      <w:r w:rsidRPr="00F806C7">
        <w:rPr>
          <w:rFonts w:ascii="Times New Roman" w:hAnsi="Times New Roman" w:cs="Times New Roman"/>
          <w:sz w:val="28"/>
          <w:szCs w:val="28"/>
        </w:rPr>
        <w:t>.</w:t>
      </w:r>
    </w:p>
    <w:p w14:paraId="3FB53849" w14:textId="77777777" w:rsidR="00DE731D" w:rsidRPr="00F806C7" w:rsidRDefault="00DE731D" w:rsidP="00DE731D">
      <w:pPr>
        <w:bidi/>
        <w:rPr>
          <w:rFonts w:ascii="Times New Roman" w:hAnsi="Times New Roman" w:cs="Times New Roman"/>
          <w:sz w:val="28"/>
          <w:szCs w:val="28"/>
          <w:rtl/>
        </w:rPr>
      </w:pPr>
    </w:p>
    <w:p w14:paraId="263D1B78" w14:textId="1B4A0E73" w:rsidR="00DE731D" w:rsidRPr="004675F9" w:rsidRDefault="00DE731D" w:rsidP="00DE731D">
      <w:pPr>
        <w:bidi/>
        <w:rPr>
          <w:rFonts w:ascii="Times New Roman" w:hAnsi="Times New Roman" w:cs="Times New Roman"/>
          <w:b/>
          <w:bCs/>
          <w:sz w:val="28"/>
          <w:szCs w:val="28"/>
        </w:rPr>
      </w:pPr>
      <w:r w:rsidRPr="004675F9">
        <w:rPr>
          <w:rFonts w:ascii="Times New Roman" w:hAnsi="Times New Roman" w:cs="Times New Roman"/>
          <w:b/>
          <w:bCs/>
          <w:sz w:val="28"/>
          <w:szCs w:val="28"/>
          <w:rtl/>
        </w:rPr>
        <w:t xml:space="preserve">3.2. </w:t>
      </w:r>
      <w:r w:rsidRPr="004675F9">
        <w:rPr>
          <w:rFonts w:ascii="Times New Roman" w:hAnsi="Times New Roman" w:cs="Times New Roman"/>
          <w:b/>
          <w:bCs/>
          <w:sz w:val="28"/>
          <w:szCs w:val="28"/>
        </w:rPr>
        <w:t xml:space="preserve"> </w:t>
      </w:r>
      <w:r w:rsidR="00F630B8" w:rsidRPr="004675F9">
        <w:rPr>
          <w:rFonts w:ascii="Times New Roman" w:hAnsi="Times New Roman" w:cs="Times New Roman" w:hint="cs"/>
          <w:b/>
          <w:bCs/>
          <w:sz w:val="28"/>
          <w:szCs w:val="28"/>
          <w:rtl/>
        </w:rPr>
        <w:t>المنهجية</w:t>
      </w:r>
    </w:p>
    <w:p w14:paraId="115380FF" w14:textId="13E3365D" w:rsidR="00DE731D" w:rsidRPr="004675F9" w:rsidRDefault="00DE731D" w:rsidP="00DE731D">
      <w:pPr>
        <w:bidi/>
        <w:rPr>
          <w:rFonts w:ascii="Times New Roman" w:hAnsi="Times New Roman" w:cs="Times New Roman"/>
          <w:sz w:val="28"/>
          <w:szCs w:val="28"/>
        </w:rPr>
      </w:pPr>
      <w:r w:rsidRPr="004675F9">
        <w:rPr>
          <w:rFonts w:ascii="Times New Roman" w:hAnsi="Times New Roman" w:cs="Times New Roman"/>
          <w:sz w:val="28"/>
          <w:szCs w:val="28"/>
          <w:rtl/>
        </w:rPr>
        <w:t>يُعد اختيار التصميم البحثي خطوة حاسمة في أي دراسة علمية، إذ يحدد البنية المنهجية التي يتم من خلالها جمع البيانات وتحليلها وتفسيرها بطريقة تضمن تحقيق أهداف البحث والتحقق من فرضياته</w:t>
      </w:r>
      <w:r w:rsidRPr="004675F9">
        <w:rPr>
          <w:rFonts w:ascii="Times New Roman" w:hAnsi="Times New Roman" w:cs="Times New Roman"/>
          <w:sz w:val="28"/>
          <w:szCs w:val="28"/>
        </w:rPr>
        <w:t xml:space="preserve"> (Creswell &amp; Creswell, 2018)</w:t>
      </w:r>
      <w:r w:rsidR="005566EC" w:rsidRPr="004675F9">
        <w:rPr>
          <w:rFonts w:ascii="Times New Roman" w:hAnsi="Times New Roman" w:cs="Times New Roman" w:hint="cs"/>
          <w:sz w:val="28"/>
          <w:szCs w:val="28"/>
          <w:rtl/>
        </w:rPr>
        <w:t xml:space="preserve">. </w:t>
      </w:r>
      <w:r w:rsidRPr="004675F9">
        <w:rPr>
          <w:rFonts w:ascii="Times New Roman" w:hAnsi="Times New Roman" w:cs="Times New Roman"/>
          <w:sz w:val="28"/>
          <w:szCs w:val="28"/>
          <w:rtl/>
        </w:rPr>
        <w:t>وانطلاقًا من طبيعة هذه الدراسة التي تتناول العلاقة بين أنظمة العمل عالية الأداء</w:t>
      </w:r>
      <w:r w:rsidRPr="004675F9">
        <w:rPr>
          <w:rFonts w:ascii="Times New Roman" w:hAnsi="Times New Roman" w:cs="Times New Roman"/>
          <w:sz w:val="28"/>
          <w:szCs w:val="28"/>
        </w:rPr>
        <w:t xml:space="preserve"> (HPWS)</w:t>
      </w:r>
      <w:r w:rsidR="005566EC" w:rsidRPr="004675F9">
        <w:rPr>
          <w:rFonts w:ascii="Times New Roman" w:hAnsi="Times New Roman" w:cs="Times New Roman" w:hint="cs"/>
          <w:sz w:val="28"/>
          <w:szCs w:val="28"/>
          <w:rtl/>
        </w:rPr>
        <w:t xml:space="preserve"> </w:t>
      </w:r>
      <w:r w:rsidRPr="004675F9">
        <w:rPr>
          <w:rFonts w:ascii="Times New Roman" w:hAnsi="Times New Roman" w:cs="Times New Roman"/>
          <w:sz w:val="28"/>
          <w:szCs w:val="28"/>
          <w:rtl/>
        </w:rPr>
        <w:t>والأداء الإبداعي مع الثقافة التنظيمية كمتغير وسيط، فقد اعتمد الباحث المنهج</w:t>
      </w:r>
      <w:r w:rsidR="00066035" w:rsidRPr="004675F9">
        <w:rPr>
          <w:rFonts w:ascii="Times New Roman" w:hAnsi="Times New Roman" w:cs="Times New Roman" w:hint="cs"/>
          <w:sz w:val="28"/>
          <w:szCs w:val="28"/>
          <w:rtl/>
        </w:rPr>
        <w:t xml:space="preserve"> البحث العلمي التجريبي وفقا للتصميم </w:t>
      </w:r>
      <w:r w:rsidR="00E475A6">
        <w:rPr>
          <w:rFonts w:ascii="Times New Roman" w:hAnsi="Times New Roman" w:cs="Times New Roman" w:hint="cs"/>
          <w:sz w:val="28"/>
          <w:szCs w:val="28"/>
          <w:rtl/>
        </w:rPr>
        <w:t>الكمي</w:t>
      </w:r>
      <w:r w:rsidRPr="004675F9">
        <w:rPr>
          <w:rFonts w:ascii="Times New Roman" w:hAnsi="Times New Roman" w:cs="Times New Roman"/>
          <w:sz w:val="28"/>
          <w:szCs w:val="28"/>
          <w:rtl/>
        </w:rPr>
        <w:t>، ضمن إطار مقطعي (</w:t>
      </w:r>
      <w:r w:rsidRPr="004675F9">
        <w:rPr>
          <w:rFonts w:ascii="Times New Roman" w:hAnsi="Times New Roman" w:cs="Times New Roman"/>
          <w:sz w:val="28"/>
          <w:szCs w:val="28"/>
        </w:rPr>
        <w:t>Cross-</w:t>
      </w:r>
      <w:proofErr w:type="gramStart"/>
      <w:r w:rsidRPr="004675F9">
        <w:rPr>
          <w:rFonts w:ascii="Times New Roman" w:hAnsi="Times New Roman" w:cs="Times New Roman"/>
          <w:sz w:val="28"/>
          <w:szCs w:val="28"/>
        </w:rPr>
        <w:t>Sectional  Design</w:t>
      </w:r>
      <w:proofErr w:type="gramEnd"/>
      <w:r w:rsidRPr="004675F9">
        <w:rPr>
          <w:rFonts w:ascii="Times New Roman" w:hAnsi="Times New Roman" w:cs="Times New Roman"/>
          <w:sz w:val="28"/>
          <w:szCs w:val="28"/>
          <w:rtl/>
        </w:rPr>
        <w:t>)، بهدف الجمع بين دقة التحليل الكمي وعمق الفهم النوعي</w:t>
      </w:r>
      <w:r w:rsidRPr="004675F9">
        <w:rPr>
          <w:rFonts w:ascii="Times New Roman" w:hAnsi="Times New Roman" w:cs="Times New Roman"/>
          <w:sz w:val="28"/>
          <w:szCs w:val="28"/>
        </w:rPr>
        <w:t>.</w:t>
      </w:r>
    </w:p>
    <w:p w14:paraId="4B88652B" w14:textId="77777777" w:rsidR="00DE731D" w:rsidRPr="00F806C7" w:rsidRDefault="00DE731D" w:rsidP="00DE731D">
      <w:pPr>
        <w:bidi/>
        <w:rPr>
          <w:rFonts w:ascii="Times New Roman" w:hAnsi="Times New Roman" w:cs="Times New Roman"/>
          <w:sz w:val="28"/>
          <w:szCs w:val="28"/>
        </w:rPr>
      </w:pPr>
      <w:r w:rsidRPr="004675F9">
        <w:rPr>
          <w:rFonts w:ascii="Times New Roman" w:hAnsi="Times New Roman" w:cs="Times New Roman"/>
          <w:sz w:val="28"/>
          <w:szCs w:val="28"/>
          <w:rtl/>
        </w:rPr>
        <w:t>يعكس هذا التصميم إدراكًا منهجيًا لأهمية الدمج بين الأساليب الإحصائية</w:t>
      </w:r>
      <w:r w:rsidRPr="00F806C7">
        <w:rPr>
          <w:rFonts w:ascii="Times New Roman" w:hAnsi="Times New Roman" w:cs="Times New Roman"/>
          <w:sz w:val="28"/>
          <w:szCs w:val="28"/>
          <w:rtl/>
        </w:rPr>
        <w:t xml:space="preserve"> والتحليل التفسيري في دراسة الظواهر التنظيمية المعقدة، خصوصًا عندما تتضمن تفاعلات متعددة الأبعاد كما في هذه الدراسة التي تجمع بين السلوك الفردي (الإبداع)، والممارسات المؤسسية (أنظمة العمل)، والعوامل الثقافية (الثقافة التنظيمية)</w:t>
      </w:r>
      <w:r w:rsidRPr="00F806C7">
        <w:rPr>
          <w:rFonts w:ascii="Times New Roman" w:hAnsi="Times New Roman" w:cs="Times New Roman"/>
          <w:sz w:val="28"/>
          <w:szCs w:val="28"/>
        </w:rPr>
        <w:t>.</w:t>
      </w:r>
    </w:p>
    <w:p w14:paraId="4AEC3E07" w14:textId="0EA94469" w:rsidR="00DE731D" w:rsidRPr="00F806C7" w:rsidRDefault="00DE731D" w:rsidP="00E475A6">
      <w:pPr>
        <w:bidi/>
        <w:rPr>
          <w:rFonts w:ascii="Times New Roman" w:hAnsi="Times New Roman" w:cs="Times New Roman"/>
          <w:sz w:val="28"/>
          <w:szCs w:val="28"/>
        </w:rPr>
      </w:pPr>
      <w:r w:rsidRPr="00F806C7">
        <w:rPr>
          <w:rFonts w:ascii="Times New Roman" w:hAnsi="Times New Roman" w:cs="Times New Roman"/>
          <w:b/>
          <w:bCs/>
          <w:sz w:val="28"/>
          <w:szCs w:val="28"/>
          <w:rtl/>
        </w:rPr>
        <w:t>3.2.1</w:t>
      </w:r>
    </w:p>
    <w:p w14:paraId="64146AE2" w14:textId="0F0D9FB0"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 xml:space="preserve">3.2.2. خصائص التصميم </w:t>
      </w:r>
      <w:proofErr w:type="gramStart"/>
      <w:r w:rsidRPr="00F806C7">
        <w:rPr>
          <w:rFonts w:ascii="Times New Roman" w:hAnsi="Times New Roman" w:cs="Times New Roman"/>
          <w:b/>
          <w:bCs/>
          <w:sz w:val="28"/>
          <w:szCs w:val="28"/>
          <w:rtl/>
        </w:rPr>
        <w:t xml:space="preserve">المقطعي  </w:t>
      </w:r>
      <w:r w:rsidRPr="00F806C7">
        <w:rPr>
          <w:rFonts w:ascii="Times New Roman" w:hAnsi="Times New Roman" w:cs="Times New Roman"/>
          <w:b/>
          <w:bCs/>
          <w:sz w:val="28"/>
          <w:szCs w:val="28"/>
        </w:rPr>
        <w:t>(</w:t>
      </w:r>
      <w:proofErr w:type="gramEnd"/>
      <w:r w:rsidRPr="00F806C7">
        <w:rPr>
          <w:rFonts w:ascii="Times New Roman" w:hAnsi="Times New Roman" w:cs="Times New Roman"/>
          <w:b/>
          <w:bCs/>
          <w:sz w:val="28"/>
          <w:szCs w:val="28"/>
        </w:rPr>
        <w:t>Cross-Sectional Design)</w:t>
      </w:r>
    </w:p>
    <w:p w14:paraId="7E5556DC" w14:textId="18B3D1C5"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تم تبنّي التصميم المقطعي لأنه يُعد من أكثر التصاميم مناسبة للدراسات التنظيمية التي تهدف إلى المقارنة بين مجموعات متعددة في فترة زمنية واحدة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&lt;EndNote&gt;&lt;Cite&gt;&lt;Author&gt;Saunders&lt;/Author&gt;&lt;Year&gt;2009&lt;/Year&gt;&lt;RecNum&gt;2932&lt;/RecNum&gt;&lt;DisplayText&gt;(Saunders et al., 2009)&lt;/DisplayText&gt;&lt;record&gt;&lt;rec-number&gt;2932&lt;/rec-number&gt;&lt;foreign-keys&gt;&lt;key app="EN" db-id="t5vttv59or5xwbe2zdm5ewrxd905arrpawff" timestamp="1752339130"&gt;2932&lt;/key&gt;&lt;/foreign-keys&gt;&lt;ref-type name="Book"&gt;6&lt;/ref-type&gt;&lt;contributors&gt;&lt;authors&gt;&lt;author&gt;Saunders, Mark&lt;/author&gt;&lt;author&gt;Lewis, Philip&lt;/author&gt;&lt;author&gt;Thornhill, Adrian&lt;/author&gt;&lt;/authors&gt;&lt;/contributors&gt;&lt;titles&gt;&lt;title&gt;Research methods</w:instrText>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for business students&lt;/title&gt;&lt;/titles&gt;&lt;dates&gt;&lt;year&gt;2009&lt;/year&gt;&lt;/dates&gt;&lt;publisher&gt;Pearson education&lt;/publisher&gt;&lt;isbn&gt;0273716867&lt;/isbn&gt;&lt;urls&gt;&lt;/urls&gt;&lt;/record&gt;&lt;/Cite&gt;&lt;/EndNote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Saunders et al., 2009</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 وتُطبَّق الدراسة في هذا الإطار على عينتين من الموظفين: الأولى من قطاع الفنادق والثانية من قطاع المطاعم بمدينة الرياض، وذلك لمقارنة كيفية تأثير ممارسات</w:t>
      </w:r>
      <w:r w:rsidRPr="00F806C7">
        <w:rPr>
          <w:rFonts w:ascii="Times New Roman" w:hAnsi="Times New Roman" w:cs="Times New Roman"/>
          <w:sz w:val="28"/>
          <w:szCs w:val="28"/>
        </w:rPr>
        <w:t xml:space="preserve"> HPWS </w:t>
      </w:r>
      <w:r w:rsidRPr="00F806C7">
        <w:rPr>
          <w:rFonts w:ascii="Times New Roman" w:hAnsi="Times New Roman" w:cs="Times New Roman"/>
          <w:sz w:val="28"/>
          <w:szCs w:val="28"/>
          <w:rtl/>
        </w:rPr>
        <w:t>على الأداء الإبداعي في كل قطاع، وللكشف عن الاختلافات المحتملة في طبيعة العلاقة بين المتغيرات وفقاً لخصائص كل بيئة عمل</w:t>
      </w:r>
      <w:r w:rsidRPr="00F806C7">
        <w:rPr>
          <w:rFonts w:ascii="Times New Roman" w:hAnsi="Times New Roman" w:cs="Times New Roman"/>
          <w:sz w:val="28"/>
          <w:szCs w:val="28"/>
        </w:rPr>
        <w:t>.</w:t>
      </w:r>
    </w:p>
    <w:p w14:paraId="2AF2324E"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يمتاز التصميم المقطعي بأنه يسمح بجمع بيانات كمية ونوعية في نقطة زمنية واحدة، ما يجعله مناسباً لدراسة العلاقات الارتباطية والاختلافات القطاعية دون الحاجة إلى تتبع زمني طويل</w:t>
      </w:r>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 xml:space="preserve">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&lt;EndNote&gt;&lt;Cite&gt;&lt;Author&gt;Babbie&lt;/Author&gt;&lt;Year&gt;2020&lt;/Year&gt;&lt;RecNum&gt;1504&lt;/RecNum&gt;&lt;DisplayText&gt;(Babbie, 2020)&lt;/DisplayText&gt;&lt;record&gt;&lt;rec-number&gt;1504&lt;/rec-number&gt;&lt;foreign-keys&gt;&lt;key app="EN" db-id="t5vttv59or5xwbe2zdm5ewrxd905arrpawff" timestamp="17</w:instrText>
      </w:r>
      <w:r w:rsidRPr="00F806C7">
        <w:rPr>
          <w:rFonts w:ascii="Times New Roman" w:hAnsi="Times New Roman" w:cs="Times New Roman"/>
          <w:sz w:val="28"/>
          <w:szCs w:val="28"/>
          <w:rtl/>
        </w:rPr>
        <w:instrText>31599874"&gt;1504&lt;/</w:instrText>
      </w:r>
      <w:r w:rsidRPr="00F806C7">
        <w:rPr>
          <w:rFonts w:ascii="Times New Roman" w:hAnsi="Times New Roman" w:cs="Times New Roman"/>
          <w:sz w:val="28"/>
          <w:szCs w:val="28"/>
        </w:rPr>
        <w:instrText>key&gt;&lt;/foreign-keys&gt;&lt;ref-type name="Book"&gt;6&lt;/ref-type&gt;&lt;contributors&gt;&lt;authors&gt;&lt;author&gt;Babbie, Earl R&lt;/author&gt;&lt;/authors&gt;&lt;/contributors&gt;&lt;titles&gt;&lt;title&gt;The practice of social research&lt;/title&gt;&lt;/titles&gt;&lt;dates&gt;&lt;year&gt;2020&lt;/year&gt;&lt;/dates&gt;&lt;publisher&gt;Cengage Au&lt;/publisher&gt;&lt;isbn&gt;0357360761&lt;/isbn&gt;&lt;urls&gt;&lt;/urls&gt;&lt;/record&gt;&lt;/Cite&gt;&lt;/EndNote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Babbie, 2020</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 كما أنه يتيح للباحث تحليل الفروق بين المجموعات</w:t>
      </w:r>
      <w:r w:rsidRPr="00F806C7">
        <w:rPr>
          <w:rFonts w:ascii="Times New Roman" w:hAnsi="Times New Roman" w:cs="Times New Roman"/>
          <w:sz w:val="28"/>
          <w:szCs w:val="28"/>
        </w:rPr>
        <w:t xml:space="preserve"> (Between-group differences) </w:t>
      </w:r>
      <w:r w:rsidRPr="00F806C7">
        <w:rPr>
          <w:rFonts w:ascii="Times New Roman" w:hAnsi="Times New Roman" w:cs="Times New Roman"/>
          <w:sz w:val="28"/>
          <w:szCs w:val="28"/>
          <w:rtl/>
        </w:rPr>
        <w:t>واختبار الفرضيات المتعلقة بتأثير السياق الصناعي على العلاقة بين</w:t>
      </w:r>
      <w:r w:rsidRPr="00F806C7">
        <w:rPr>
          <w:rFonts w:ascii="Times New Roman" w:hAnsi="Times New Roman" w:cs="Times New Roman"/>
          <w:sz w:val="28"/>
          <w:szCs w:val="28"/>
        </w:rPr>
        <w:t xml:space="preserve"> HPWS </w:t>
      </w:r>
      <w:r w:rsidRPr="00F806C7">
        <w:rPr>
          <w:rFonts w:ascii="Times New Roman" w:hAnsi="Times New Roman" w:cs="Times New Roman"/>
          <w:sz w:val="28"/>
          <w:szCs w:val="28"/>
          <w:rtl/>
        </w:rPr>
        <w:t>والإبداع، وهو ما يُثري النتائج ويُسهم في بناء استنتاجات أكثر واقعية ومرتبطة بالسياق السعودي</w:t>
      </w:r>
      <w:r w:rsidRPr="00F806C7">
        <w:rPr>
          <w:rFonts w:ascii="Times New Roman" w:hAnsi="Times New Roman" w:cs="Times New Roman"/>
          <w:sz w:val="28"/>
          <w:szCs w:val="28"/>
        </w:rPr>
        <w:t>.</w:t>
      </w:r>
    </w:p>
    <w:p w14:paraId="2880A1E5"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وكما يُعد هذا التصميم مناسباً للبيئات الخدمية الديناميكية مثل الضيافة، حيث تتغير الظروف التشغيلية بسرعة، وبالتالي فإن تحليل العلاقة في لحظة زمنية محددة يوفر صورة دقيقة وراهنة يمكن البناء عليها في دراسات مستقبلية طولية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&lt;EndNote&gt;&lt;Cite&gt;&lt;Author&gt;Cavana&lt;/Author&gt;&lt;Year&gt;2001&lt;/Year&gt;&lt;RecNum&gt;3098&lt;/RecNum&gt;&lt;DisplayText&gt;(Cavana et al., 2001)&lt;/DisplayText&gt;&lt;record&gt;&lt;rec-number&gt;3098&lt;/rec-number&gt;&lt;foreign-keys&gt;&lt;key app="EN" db-id="t5vttv59or5xwbe2zdm5ewrxd905arrpawff" timestamp="1760190646"&gt;3098&lt;/key&gt;&lt;/foreign-keys&gt;&lt;ref-type name="Book"&gt;6&lt;/ref-type&gt;&lt;contributors&gt;&lt;authors&gt;&lt;author&gt;Cavana, Robert&lt;/author&gt;&lt;author&gt;Delahaye, Brian&lt;/author&gt;&lt;author&gt;Sekeran, Uma&lt;/author&gt;&lt;/authors&gt;&lt;/contributors&gt;&lt;titles&gt;&lt;title&gt;Applied business research: Qualitative and quantitative methods&lt;/title&gt;&lt;/titles&gt;&lt;dates&gt;&lt;year&gt;2001&lt;/year&gt;&lt;/dates&gt;&lt;publisher&gt;John Wiley &amp;amp; Sons&lt;/publisher&gt;&lt;isbn&gt;0471341266&lt;/isbn&gt;&lt;urls&gt;&lt;/urls&gt;&lt;/record&gt;&lt;/Cite&gt;&lt;/EndNote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Cavana et al., 2001</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 وكما يتسم هذا النوع من التصاميم بالكفاءة من حيث الوقت والتكلفة، مما يتيح جمع عينات كبيرة تعزز القوة الإحصائية وتحسن موثوقية النتائج</w:t>
      </w:r>
      <w:r w:rsidRPr="00F806C7">
        <w:rPr>
          <w:rFonts w:ascii="Times New Roman" w:hAnsi="Times New Roman" w:cs="Times New Roman"/>
          <w:sz w:val="28"/>
          <w:szCs w:val="28"/>
        </w:rPr>
        <w:t>.</w:t>
      </w:r>
    </w:p>
    <w:p w14:paraId="69CF9393"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3.2.3. العلاقة بين التصميم وأهداف الدراسة وفرضياتها</w:t>
      </w:r>
    </w:p>
    <w:p w14:paraId="5B5D4FE2" w14:textId="690C913D"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lastRenderedPageBreak/>
        <w:t>إن اختيار التصميم ال</w:t>
      </w:r>
      <w:r w:rsidR="00E475A6">
        <w:rPr>
          <w:rFonts w:ascii="Times New Roman" w:hAnsi="Times New Roman" w:cs="Times New Roman" w:hint="cs"/>
          <w:sz w:val="28"/>
          <w:szCs w:val="28"/>
          <w:rtl/>
        </w:rPr>
        <w:t xml:space="preserve">كمي </w:t>
      </w:r>
      <w:r w:rsidRPr="00F806C7">
        <w:rPr>
          <w:rFonts w:ascii="Times New Roman" w:hAnsi="Times New Roman" w:cs="Times New Roman"/>
          <w:sz w:val="28"/>
          <w:szCs w:val="28"/>
          <w:rtl/>
        </w:rPr>
        <w:t>المقطعي المقارن نابعاً من مواءمته الدقيقة مع أهداف الدراسة وفرضياتها</w:t>
      </w:r>
      <w:r w:rsidRPr="00F806C7">
        <w:rPr>
          <w:rFonts w:ascii="Times New Roman" w:hAnsi="Times New Roman" w:cs="Times New Roman"/>
          <w:sz w:val="28"/>
          <w:szCs w:val="28"/>
        </w:rPr>
        <w:t>.</w:t>
      </w:r>
      <w:r w:rsidRPr="00F806C7">
        <w:rPr>
          <w:rFonts w:ascii="Times New Roman" w:hAnsi="Times New Roman" w:cs="Times New Roman"/>
          <w:sz w:val="28"/>
          <w:szCs w:val="28"/>
          <w:rtl/>
        </w:rPr>
        <w:t>، فالدراسة تهدف إلى تقييم تأثير أنظمة العمل عالية الأداء على الأداء الإبداعي، والمقارنة بين قطاعي الفنادق والمطاعم، وتحليل الدور الوسيط للثقافة التنظيمية. هذه الأهداف تتطلب تصميمًا يمكنه في آنٍ واحد قياس العلاقات الكمية واختبار الفروق القطاعية، وتفسير المعاني التنظيمية التي تُفسِّر تلك العلاقات</w:t>
      </w:r>
      <w:r w:rsidRPr="00F806C7">
        <w:rPr>
          <w:rFonts w:ascii="Times New Roman" w:hAnsi="Times New Roman" w:cs="Times New Roman"/>
          <w:sz w:val="28"/>
          <w:szCs w:val="28"/>
        </w:rPr>
        <w:t>.</w:t>
      </w:r>
    </w:p>
    <w:p w14:paraId="25CE7702"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من خلال الجانب الكمي، سيتم اختبار الفرضيات الإحصائية الرئيسة</w:t>
      </w:r>
      <w:r w:rsidRPr="00F806C7">
        <w:rPr>
          <w:rFonts w:ascii="Times New Roman" w:hAnsi="Times New Roman" w:cs="Times New Roman"/>
          <w:sz w:val="28"/>
          <w:szCs w:val="28"/>
        </w:rPr>
        <w:t xml:space="preserve"> (H1–H5) </w:t>
      </w:r>
      <w:r w:rsidRPr="00F806C7">
        <w:rPr>
          <w:rFonts w:ascii="Times New Roman" w:hAnsi="Times New Roman" w:cs="Times New Roman"/>
          <w:sz w:val="28"/>
          <w:szCs w:val="28"/>
          <w:rtl/>
        </w:rPr>
        <w:t>باستخدام تحليل الارتباط والانحدار المتعدد واختبارات الفروق</w:t>
      </w:r>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w:t>
      </w:r>
      <w:r w:rsidRPr="00F806C7">
        <w:rPr>
          <w:rFonts w:ascii="Times New Roman" w:hAnsi="Times New Roman" w:cs="Times New Roman"/>
          <w:sz w:val="28"/>
          <w:szCs w:val="28"/>
        </w:rPr>
        <w:t>T-test</w:t>
      </w:r>
      <w:r w:rsidRPr="00F806C7">
        <w:rPr>
          <w:rFonts w:ascii="Times New Roman" w:hAnsi="Times New Roman" w:cs="Times New Roman"/>
          <w:sz w:val="28"/>
          <w:szCs w:val="28"/>
          <w:rtl/>
        </w:rPr>
        <w:t xml:space="preserve"> و</w:t>
      </w:r>
      <w:r w:rsidRPr="00F806C7">
        <w:rPr>
          <w:rFonts w:ascii="Times New Roman" w:hAnsi="Times New Roman" w:cs="Times New Roman"/>
          <w:sz w:val="28"/>
          <w:szCs w:val="28"/>
        </w:rPr>
        <w:t>ANOVA</w:t>
      </w:r>
      <w:r w:rsidRPr="00F806C7">
        <w:rPr>
          <w:rFonts w:ascii="Times New Roman" w:hAnsi="Times New Roman" w:cs="Times New Roman"/>
          <w:sz w:val="28"/>
          <w:szCs w:val="28"/>
          <w:rtl/>
        </w:rPr>
        <w:t>)، مما يسمح بالتحقق من وجود علاقات ذات دلالة بين</w:t>
      </w:r>
      <w:r w:rsidRPr="00F806C7">
        <w:rPr>
          <w:rFonts w:ascii="Times New Roman" w:hAnsi="Times New Roman" w:cs="Times New Roman"/>
          <w:sz w:val="28"/>
          <w:szCs w:val="28"/>
        </w:rPr>
        <w:t xml:space="preserve"> HPWS </w:t>
      </w:r>
      <w:r w:rsidRPr="00F806C7">
        <w:rPr>
          <w:rFonts w:ascii="Times New Roman" w:hAnsi="Times New Roman" w:cs="Times New Roman"/>
          <w:sz w:val="28"/>
          <w:szCs w:val="28"/>
          <w:rtl/>
        </w:rPr>
        <w:t xml:space="preserve">والأداء الإبداعي، وكذلك اختبار تأثير الثقافة التنظيمية كوسيط بينهما. أما الجانب النوعي، فيُسهم في تفسير النتائج الإحصائية من خلال مقابلات شبه مهيكلة تُقدِّم رؤى حول الممارسات التنظيمية الفعلية والمواقف الثقافية التي تعزز أو تحد من الإبداع، وبذلك يتحقق الدمج المنهجي بين النتائج الكمية والنوعية </w:t>
      </w:r>
      <w:r w:rsidRPr="00F806C7">
        <w:rPr>
          <w:rFonts w:ascii="Times New Roman" w:hAnsi="Times New Roman" w:cs="Times New Roman"/>
          <w:sz w:val="28"/>
          <w:szCs w:val="28"/>
        </w:rPr>
        <w:t>(Integration of Quantitative and Qualitative Findings)</w:t>
      </w:r>
      <w:r w:rsidRPr="00F806C7">
        <w:rPr>
          <w:rFonts w:ascii="Times New Roman" w:hAnsi="Times New Roman" w:cs="Times New Roman"/>
          <w:sz w:val="28"/>
          <w:szCs w:val="28"/>
          <w:rtl/>
        </w:rPr>
        <w:t>.</w:t>
      </w:r>
    </w:p>
    <w:p w14:paraId="7CB83C66" w14:textId="77777777" w:rsidR="00DE731D" w:rsidRPr="004675F9" w:rsidRDefault="00DE731D" w:rsidP="00DE731D">
      <w:pPr>
        <w:bidi/>
        <w:rPr>
          <w:rFonts w:ascii="Times New Roman" w:hAnsi="Times New Roman" w:cs="Times New Roman"/>
          <w:sz w:val="28"/>
          <w:szCs w:val="28"/>
          <w:rtl/>
        </w:rPr>
      </w:pPr>
      <w:r w:rsidRPr="00F806C7">
        <w:rPr>
          <w:rFonts w:ascii="Times New Roman" w:hAnsi="Times New Roman" w:cs="Times New Roman"/>
          <w:sz w:val="28"/>
          <w:szCs w:val="28"/>
          <w:rtl/>
        </w:rPr>
        <w:t xml:space="preserve">وبذلك فإن هذا التصميم يحقق الاتساق المنهجي المطلوب في الدراسات العليا المتقدمة، لأنه يجمع بين التحليل الإحصائي الموضوعي والفهم </w:t>
      </w:r>
      <w:proofErr w:type="spellStart"/>
      <w:r w:rsidRPr="00F806C7">
        <w:rPr>
          <w:rFonts w:ascii="Times New Roman" w:hAnsi="Times New Roman" w:cs="Times New Roman"/>
          <w:sz w:val="28"/>
          <w:szCs w:val="28"/>
          <w:rtl/>
        </w:rPr>
        <w:t>السياقي</w:t>
      </w:r>
      <w:proofErr w:type="spellEnd"/>
      <w:r w:rsidRPr="00F806C7">
        <w:rPr>
          <w:rFonts w:ascii="Times New Roman" w:hAnsi="Times New Roman" w:cs="Times New Roman"/>
          <w:sz w:val="28"/>
          <w:szCs w:val="28"/>
          <w:rtl/>
        </w:rPr>
        <w:t xml:space="preserve"> العميق، ويعكس رؤية الباحث في تبنّي منهجية علمية رصينة قادرة على </w:t>
      </w:r>
      <w:r w:rsidRPr="004675F9">
        <w:rPr>
          <w:rFonts w:ascii="Times New Roman" w:hAnsi="Times New Roman" w:cs="Times New Roman"/>
          <w:sz w:val="28"/>
          <w:szCs w:val="28"/>
          <w:rtl/>
        </w:rPr>
        <w:t>إنتاج معرفة تطبيقية يمكن أن يستفيد منها صناع القرار ومديرو الموارد البشرية في قطاعي الضيافة والمطاعم داخل المملكة</w:t>
      </w:r>
      <w:r w:rsidRPr="004675F9">
        <w:rPr>
          <w:rFonts w:ascii="Times New Roman" w:hAnsi="Times New Roman" w:cs="Times New Roman"/>
          <w:sz w:val="28"/>
          <w:szCs w:val="28"/>
        </w:rPr>
        <w:t>.</w:t>
      </w:r>
    </w:p>
    <w:p w14:paraId="5DD05615" w14:textId="77777777" w:rsidR="00F630B8" w:rsidRPr="004675F9" w:rsidRDefault="00F630B8" w:rsidP="00F630B8">
      <w:pPr>
        <w:bidi/>
        <w:rPr>
          <w:rFonts w:ascii="Times New Roman" w:hAnsi="Times New Roman" w:cs="Times New Roman"/>
          <w:b/>
          <w:bCs/>
          <w:sz w:val="28"/>
          <w:szCs w:val="28"/>
        </w:rPr>
      </w:pPr>
      <w:r w:rsidRPr="004675F9">
        <w:rPr>
          <w:rFonts w:ascii="Times New Roman" w:hAnsi="Times New Roman" w:cs="Times New Roman" w:hint="cs"/>
          <w:sz w:val="28"/>
          <w:szCs w:val="28"/>
          <w:rtl/>
        </w:rPr>
        <w:t xml:space="preserve">3.2.4. </w:t>
      </w:r>
      <w:r w:rsidRPr="004675F9">
        <w:rPr>
          <w:rFonts w:ascii="Times New Roman" w:hAnsi="Times New Roman" w:cs="Times New Roman"/>
          <w:b/>
          <w:bCs/>
          <w:sz w:val="28"/>
          <w:szCs w:val="28"/>
          <w:rtl/>
        </w:rPr>
        <w:t>نوع البيانات المستخدمة في الدراسة</w:t>
      </w:r>
    </w:p>
    <w:p w14:paraId="1C834018" w14:textId="5AF1DF05" w:rsidR="00F630B8" w:rsidRPr="00F630B8" w:rsidRDefault="00F630B8" w:rsidP="00F630B8">
      <w:pPr>
        <w:bidi/>
        <w:rPr>
          <w:rFonts w:ascii="Times New Roman" w:hAnsi="Times New Roman" w:cs="Times New Roman"/>
          <w:sz w:val="28"/>
          <w:szCs w:val="28"/>
        </w:rPr>
      </w:pPr>
      <w:r w:rsidRPr="004675F9">
        <w:rPr>
          <w:rFonts w:ascii="Times New Roman" w:hAnsi="Times New Roman" w:cs="Times New Roman"/>
          <w:sz w:val="28"/>
          <w:szCs w:val="28"/>
          <w:rtl/>
        </w:rPr>
        <w:t>تعتمد الدراسة على مزيج من البيانات الأولية والثانوية ضمن إطار المنهج ال</w:t>
      </w:r>
      <w:r w:rsidR="00E475A6">
        <w:rPr>
          <w:rFonts w:ascii="Times New Roman" w:hAnsi="Times New Roman" w:cs="Times New Roman" w:hint="cs"/>
          <w:sz w:val="28"/>
          <w:szCs w:val="28"/>
          <w:rtl/>
        </w:rPr>
        <w:t>كمي</w:t>
      </w:r>
      <w:r w:rsidRPr="004675F9">
        <w:rPr>
          <w:rFonts w:ascii="Times New Roman" w:hAnsi="Times New Roman" w:cs="Times New Roman"/>
          <w:sz w:val="28"/>
          <w:szCs w:val="28"/>
          <w:rtl/>
        </w:rPr>
        <w:t xml:space="preserve">، بما يتيح بناء صورة شاملة عن الظاهرة المدروسة. وتُعد </w:t>
      </w:r>
      <w:r w:rsidRPr="004675F9">
        <w:rPr>
          <w:rFonts w:ascii="Times New Roman" w:hAnsi="Times New Roman" w:cs="Times New Roman"/>
          <w:b/>
          <w:bCs/>
          <w:sz w:val="28"/>
          <w:szCs w:val="28"/>
          <w:rtl/>
        </w:rPr>
        <w:t>البيانات الأولية</w:t>
      </w:r>
      <w:r w:rsidRPr="004675F9">
        <w:rPr>
          <w:rFonts w:ascii="Times New Roman" w:hAnsi="Times New Roman" w:cs="Times New Roman"/>
          <w:sz w:val="28"/>
          <w:szCs w:val="28"/>
          <w:rtl/>
        </w:rPr>
        <w:t xml:space="preserve"> المصدر الرئيس للتحليل، ويتم جمعها مباشرة من أفراد مجتمع الدراسة من خلال أدوات القياس التي تتضمن الاستبيان والمقابلات شبه المهيكلة. وتمثل هذه البيانات المادة الميدانية التي تسمح بقياس العلاقات بين المتغيرات، والكشف عن التصورات والتجارب العملية للعاملين في قطاعي الفنادق والمطاعم في مدينة الرياض، وهو ما يمنح البحث عمقًا يواكب أهدافه التفسيرية والتحليلية. وإلى جانب ذلك، تُستخدم </w:t>
      </w:r>
      <w:r w:rsidRPr="004675F9">
        <w:rPr>
          <w:rFonts w:ascii="Times New Roman" w:hAnsi="Times New Roman" w:cs="Times New Roman"/>
          <w:b/>
          <w:bCs/>
          <w:sz w:val="28"/>
          <w:szCs w:val="28"/>
          <w:rtl/>
        </w:rPr>
        <w:t>البيانات الثانوية</w:t>
      </w:r>
      <w:r w:rsidRPr="004675F9">
        <w:rPr>
          <w:rFonts w:ascii="Times New Roman" w:hAnsi="Times New Roman" w:cs="Times New Roman"/>
          <w:sz w:val="28"/>
          <w:szCs w:val="28"/>
          <w:rtl/>
        </w:rPr>
        <w:t xml:space="preserve"> لتوفير خلفية معرفية تدعم بناء الإطار النظري وتحديد أبعاد المتغيرات، وتشمل الأبحاث السابقة المنشورة في قواعد البيانات العلمية، والتقارير الرسمية الصادرة عن المؤسسات الحكومية، والدراسات العالمية المتعلقة بأنظمة العمل عالية الأداء، والثقافة التنظيمية، والإبداع الوظيفي. ويعمل التفاعل بين هذين النوعين من البيانات على تعزيز الصرامة المنهجية للدراسة، إذ يوفّر البيانات الأولية للاختبار والقياس، بينما تمدّ البيانات الثانوية الباحث بقاعدة معرفية واسعة تُسهم في تفسير النتائج واستنتاج دلالاتها في سياقها الأوسع</w:t>
      </w:r>
      <w:r w:rsidRPr="004675F9">
        <w:rPr>
          <w:rFonts w:ascii="Times New Roman" w:hAnsi="Times New Roman" w:cs="Times New Roman"/>
          <w:sz w:val="28"/>
          <w:szCs w:val="28"/>
        </w:rPr>
        <w:t>.</w:t>
      </w:r>
    </w:p>
    <w:p w14:paraId="1D66E9C0" w14:textId="77777777" w:rsidR="006F3055" w:rsidRPr="00F806C7" w:rsidRDefault="006F3055" w:rsidP="006F3055">
      <w:pPr>
        <w:bidi/>
        <w:rPr>
          <w:rFonts w:ascii="Times New Roman" w:hAnsi="Times New Roman" w:cs="Times New Roman"/>
          <w:sz w:val="28"/>
          <w:szCs w:val="28"/>
        </w:rPr>
      </w:pPr>
    </w:p>
    <w:p w14:paraId="42F2097E"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3.3. مجتمع الدراسة</w:t>
      </w:r>
    </w:p>
    <w:p w14:paraId="5A630AF4"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تُعد الخطوة المتعلقة بتحديد مجتمع الدراسة من المراحل الأساسية في بناء البحث العلمي، إذ تُمكّن الباحث من تحديد الإطار العام الذي تُستمد منه البيانات، وتوضح مدى قابلية تعميم النتائج على وحدات مشابهة. ويمثل مجتمع الدراسة في هذه الرسالة جميع الأفراد الذين يعملون ضمن قطاعي الفنادق والمطاعم بمدينة الرياض، </w:t>
      </w:r>
      <w:r w:rsidRPr="00F806C7">
        <w:rPr>
          <w:rFonts w:ascii="Times New Roman" w:hAnsi="Times New Roman" w:cs="Times New Roman"/>
          <w:sz w:val="28"/>
          <w:szCs w:val="28"/>
          <w:rtl/>
        </w:rPr>
        <w:lastRenderedPageBreak/>
        <w:t>بما في ذلك الموظفون في المستويات التشغيلية والإشرافية والإدارية الذين يتعاملون بشكل مباشر مع العملاء أو يشاركون في عمليات تقديم الخدمة</w:t>
      </w:r>
      <w:r w:rsidRPr="00F806C7">
        <w:rPr>
          <w:rFonts w:ascii="Times New Roman" w:hAnsi="Times New Roman" w:cs="Times New Roman"/>
          <w:sz w:val="28"/>
          <w:szCs w:val="28"/>
        </w:rPr>
        <w:t>.</w:t>
      </w:r>
    </w:p>
    <w:p w14:paraId="24A806DD" w14:textId="4B153AE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يأتي اختيار هذا المجتمع انطلاقًا من الأهداف الجوهرية للدراسة التي تسعى إلى فحص أثر أنظمة العمل عالية الأداء</w:t>
      </w:r>
      <w:r w:rsidRPr="00F806C7">
        <w:rPr>
          <w:rFonts w:ascii="Times New Roman" w:hAnsi="Times New Roman" w:cs="Times New Roman"/>
          <w:sz w:val="28"/>
          <w:szCs w:val="28"/>
        </w:rPr>
        <w:t xml:space="preserve"> (HPWS)</w:t>
      </w:r>
      <w:r w:rsidRPr="00F806C7">
        <w:rPr>
          <w:rFonts w:ascii="Times New Roman" w:hAnsi="Times New Roman" w:cs="Times New Roman"/>
          <w:sz w:val="28"/>
          <w:szCs w:val="28"/>
          <w:rtl/>
        </w:rPr>
        <w:t xml:space="preserve"> على الأداء الإبداعي، مع تحليل الدور الوسيط للثقافة التنظيمية في بيئة عمل خدمية تفاعلية تتسم بالاعتماد الكبير على رأس المال البشري. ويُعد قطاع الضيافة في المملكة العربية السعودية، وبخاصة في مدينة الرياض، أحد أكثر القطاعات ديناميكية ونموًا في ظل التحول الوطني نحو التنويع الاقتصادي والاستثمار في رأس المال البشري ضمن رؤية 2030</w:t>
      </w:r>
      <w:r w:rsidR="00066035">
        <w:rPr>
          <w:rFonts w:ascii="Times New Roman" w:hAnsi="Times New Roman" w:cs="Times New Roman" w:hint="cs"/>
          <w:sz w:val="28"/>
          <w:szCs w:val="28"/>
          <w:rtl/>
        </w:rPr>
        <w:t xml:space="preserve"> </w:t>
      </w:r>
      <w:r w:rsidRPr="00F806C7">
        <w:rPr>
          <w:rFonts w:ascii="Times New Roman" w:hAnsi="Times New Roman" w:cs="Times New Roman"/>
          <w:sz w:val="28"/>
          <w:szCs w:val="28"/>
        </w:rPr>
        <w:fldChar w:fldCharType="begin"/>
      </w:r>
      <w:r w:rsidRPr="00F806C7">
        <w:rPr>
          <w:rFonts w:ascii="Times New Roman" w:hAnsi="Times New Roman" w:cs="Times New Roman"/>
          <w:sz w:val="28"/>
          <w:szCs w:val="28"/>
        </w:rPr>
        <w:instrText xml:space="preserve"> ADDIN EN.CITE &lt;EndNote&gt;&lt;Cite&gt;&lt;Author&gt;Arabia&lt;/Author&gt;&lt;Year&gt;2016&lt;/Year&gt;&lt;RecNum&gt;515&lt;/RecNum&gt;&lt;DisplayText&gt;(Arabia, 2016)&lt;/DisplayText&gt;&lt;record&gt;&lt;rec-number&gt;515&lt;/rec-number&gt;&lt;foreign-keys&gt;&lt;key app="EN" db-id="t5vttv59or5xwbe2zdm5ewrxd905arrpawff" timestamp="1722610128"&gt;515&lt;/key&gt;&lt;/foreign-keys&gt;&lt;ref-type name="Web Page"&gt;12&lt;/ref-type&gt;&lt;contributors&gt;&lt;authors&gt;&lt;author&gt;Kingdom of Saudi Arabia&lt;/author&gt;&lt;/authors&gt;&lt;/contributors&gt;&lt;titles&gt;&lt;title&gt;Vision 2030. Kingdom of Saudi Arabia.&lt;/title&gt;&lt;/titles&gt;&lt;dates&gt;&lt;year&gt;2016&lt;/year&gt;&lt;/dates&gt;&lt;urls&gt;&lt;related-urls&gt;&lt;url&gt;https://www.vision2030.gov.sa/en&lt;/url&gt;&lt;/related-urls&gt;&lt;/urls&gt;&lt;/record&gt;&lt;/Cite&gt;&lt;/EndNote&gt;</w:instrText>
      </w:r>
      <w:r w:rsidRPr="00F806C7">
        <w:rPr>
          <w:rFonts w:ascii="Times New Roman" w:hAnsi="Times New Roman" w:cs="Times New Roman"/>
          <w:sz w:val="28"/>
          <w:szCs w:val="28"/>
        </w:rPr>
        <w:fldChar w:fldCharType="separate"/>
      </w:r>
      <w:r w:rsidRPr="00F806C7">
        <w:rPr>
          <w:rFonts w:ascii="Times New Roman" w:hAnsi="Times New Roman" w:cs="Times New Roman"/>
          <w:noProof/>
          <w:sz w:val="28"/>
          <w:szCs w:val="28"/>
        </w:rPr>
        <w:t>(Arabia, 2016)</w:t>
      </w:r>
      <w:r w:rsidRPr="00F806C7">
        <w:rPr>
          <w:rFonts w:ascii="Times New Roman" w:hAnsi="Times New Roman" w:cs="Times New Roman"/>
          <w:sz w:val="28"/>
          <w:szCs w:val="28"/>
        </w:rPr>
        <w:fldChar w:fldCharType="end"/>
      </w:r>
      <w:r w:rsidRPr="00F806C7">
        <w:rPr>
          <w:rFonts w:ascii="Times New Roman" w:hAnsi="Times New Roman" w:cs="Times New Roman"/>
          <w:sz w:val="28"/>
          <w:szCs w:val="28"/>
          <w:rtl/>
        </w:rPr>
        <w:t>.</w:t>
      </w:r>
    </w:p>
    <w:p w14:paraId="5D1C060E"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 xml:space="preserve">3.3.1. </w:t>
      </w:r>
      <w:r w:rsidRPr="00F806C7">
        <w:rPr>
          <w:rFonts w:ascii="Times New Roman" w:hAnsi="Times New Roman" w:cs="Times New Roman"/>
          <w:b/>
          <w:bCs/>
          <w:sz w:val="28"/>
          <w:szCs w:val="28"/>
        </w:rPr>
        <w:t xml:space="preserve"> </w:t>
      </w:r>
      <w:r w:rsidRPr="00F806C7">
        <w:rPr>
          <w:rFonts w:ascii="Times New Roman" w:hAnsi="Times New Roman" w:cs="Times New Roman"/>
          <w:b/>
          <w:bCs/>
          <w:sz w:val="28"/>
          <w:szCs w:val="28"/>
          <w:rtl/>
        </w:rPr>
        <w:t>وصف المجتمع الأصلي للدراسة</w:t>
      </w:r>
    </w:p>
    <w:p w14:paraId="172122A7"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يتكوّن المجتمع الأصلي لهذه الدراسة من جميع العاملين في الفنادق والمطاعم بمدينة الرياض، سواء في الوظائف الإدارية أو التشغيلية أو الإشرافية. ويشمل ذلك فئات متعددة مثل موظفي الاستقبال، خدمة الغرف، الطهاة، النُدُل، مشرفي القاعات، مديري الموارد البشرية، ومسؤولي الجودة والخدمة. وقد تم التركيز على العاملين الذين لديهم خبرة لا تقل عن سنة واحدة في مواقعهم الحالية لضمان إدراكهم لممارسات أنظمة العمل عالية الأداء داخل مؤسساتهم</w:t>
      </w:r>
      <w:r w:rsidRPr="00F806C7">
        <w:rPr>
          <w:rFonts w:ascii="Times New Roman" w:hAnsi="Times New Roman" w:cs="Times New Roman"/>
          <w:sz w:val="28"/>
          <w:szCs w:val="28"/>
        </w:rPr>
        <w:t>.</w:t>
      </w:r>
    </w:p>
    <w:p w14:paraId="6D3B12CB"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ويتميز هذا المجتمع بخصائصه المتنوعة ثقافيًا وتنظيميًا، إذ يضم كوادر محلية وأجنبية تعمل في بيئة متعددة الثقافات، مما يُسهم في ثراء التجربة التنظيمية ويدعم التفاعل بين ممارسات الموارد البشرية والإبداع في بيئة العمل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F806C7">
        <w:rPr>
          <w:rFonts w:ascii="Times New Roman" w:hAnsi="Times New Roman" w:cs="Times New Roman"/>
          <w:sz w:val="28"/>
          <w:szCs w:val="28"/>
          <w:rtl/>
        </w:rPr>
        <w:instrText>05</w:instrText>
      </w:r>
      <w:r w:rsidRPr="00F806C7">
        <w:rPr>
          <w:rFonts w:ascii="Times New Roman" w:hAnsi="Times New Roman" w:cs="Times New Roman"/>
          <w:sz w:val="28"/>
          <w:szCs w:val="28"/>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F806C7">
        <w:rPr>
          <w:rFonts w:ascii="Times New Roman" w:hAnsi="Times New Roman" w:cs="Times New Roman"/>
          <w:sz w:val="28"/>
          <w:szCs w:val="28"/>
          <w:rtl/>
        </w:rPr>
        <w:instrText>&gt;&lt;/</w:instrText>
      </w:r>
      <w:r w:rsidRPr="00F806C7">
        <w:rPr>
          <w:rFonts w:ascii="Times New Roman" w:hAnsi="Times New Roman" w:cs="Times New Roman"/>
          <w:sz w:val="28"/>
          <w:szCs w:val="28"/>
        </w:rPr>
        <w:instrText>periodical&gt;&lt;pages&gt;102610&lt;/pages&gt;&lt;volume&gt;90&lt;/volume&gt;&lt;dates&gt;&lt;year&gt;2020&lt;/year&gt;&lt;/dates&gt;&lt;isbn&gt;0278-4319&lt;/isbn&gt;&lt;urls&gt;&lt;/urls&gt;&lt;/record&gt;&lt;/Cite&gt;&lt;/EndNote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Kloutsiniotis and Mihail, 2020</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 xml:space="preserve">. كما تتسم طبيعة وظائف الضيافة بكثافة التفاعل مع العملاء والاعتماد على مهارات حل المشكلات والتفكير الابتكاري، وهي عناصر تجعل الإبداع الوظيفي مطلبًا جوهريًا لاستدامة الجودة التنافسية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&lt;EndNote&gt;&lt;Cite&gt;&lt;Author&gt;Tsai&lt;/Author&gt;&lt;Year&gt;2020&lt;/Year&gt;&lt;RecNum&gt;1363&lt;/RecNum&gt;&lt;DisplayText&gt;(Tsai and Huang, 2020)&lt;/DisplayText&gt;&lt;record&gt;&lt;rec-number&gt;1363&lt;/rec-number&gt;&lt;foreign-keys&gt;&lt;key app="EN" db-id="t5vttv59or5xwbe2zdm5ewrxd905arrpawff" timestamp="1730970649"&gt;1363&lt;/key&gt;&lt;/foreign-keys&gt;&lt;ref-type name="Journal Article"&gt;17&lt;/ref-type&gt;&lt;contributors&gt;&lt;authors&gt;&lt;author&gt;Tsai, Kuen-Hung&lt;/author&gt;&lt;author&gt;Huang, Stephen Chi-Tsun&lt;/author&gt;&lt;/authors&gt;&lt;/contributors&gt;&lt;titles&gt;&lt;title&gt;Service creativity reinforcement</w:instrText>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and firm performance: The roles of innovation intensity and contexts&lt;/title&gt;&lt;secondary-title&gt;Journal of Service Management&lt;/secondary-title&gt;&lt;/titles&gt;&lt;periodical&gt;&lt;full-title&gt;Journal of Service Management&lt;/full-title&gt;&lt;/periodical&gt;&lt;pages&gt;1-23&lt;/pages&gt;&lt;volume</w:instrText>
      </w:r>
      <w:r w:rsidRPr="00F806C7">
        <w:rPr>
          <w:rFonts w:ascii="Times New Roman" w:hAnsi="Times New Roman" w:cs="Times New Roman"/>
          <w:sz w:val="28"/>
          <w:szCs w:val="28"/>
          <w:rtl/>
        </w:rPr>
        <w:instrText>&gt;31&lt;/</w:instrText>
      </w:r>
      <w:r w:rsidRPr="00F806C7">
        <w:rPr>
          <w:rFonts w:ascii="Times New Roman" w:hAnsi="Times New Roman" w:cs="Times New Roman"/>
          <w:sz w:val="28"/>
          <w:szCs w:val="28"/>
        </w:rPr>
        <w:instrText>volume&gt;&lt;number&gt;1&lt;/number&gt;&lt;dates&gt;&lt;year&gt;2020&lt;/year&gt;&lt;/dates&gt;&lt;isbn&gt;1757-5818&lt;/isbn&gt;&lt;urls&gt;&lt;/urls&gt;&lt;/record&gt;&lt;/Cite&gt;&lt;/EndNote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Tsai and Huang, 2020</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w:t>
      </w:r>
    </w:p>
    <w:p w14:paraId="3E867F55" w14:textId="15973041" w:rsidR="00DE731D" w:rsidRPr="00F806C7" w:rsidRDefault="00DE731D" w:rsidP="00F630B8">
      <w:pPr>
        <w:bidi/>
        <w:rPr>
          <w:rFonts w:ascii="Times New Roman" w:hAnsi="Times New Roman" w:cs="Times New Roman"/>
          <w:b/>
          <w:bCs/>
          <w:sz w:val="28"/>
          <w:szCs w:val="28"/>
        </w:rPr>
      </w:pPr>
      <w:r w:rsidRPr="00F806C7">
        <w:rPr>
          <w:rFonts w:ascii="Times New Roman" w:hAnsi="Times New Roman" w:cs="Times New Roman"/>
          <w:b/>
          <w:bCs/>
          <w:sz w:val="28"/>
          <w:szCs w:val="28"/>
          <w:rtl/>
        </w:rPr>
        <w:t>3.3.</w:t>
      </w:r>
      <w:r w:rsidR="00F630B8">
        <w:rPr>
          <w:rFonts w:ascii="Times New Roman" w:hAnsi="Times New Roman" w:cs="Times New Roman" w:hint="cs"/>
          <w:b/>
          <w:bCs/>
          <w:sz w:val="28"/>
          <w:szCs w:val="28"/>
          <w:rtl/>
        </w:rPr>
        <w:t>2</w:t>
      </w:r>
      <w:r w:rsidRPr="00F806C7">
        <w:rPr>
          <w:rFonts w:ascii="Times New Roman" w:hAnsi="Times New Roman" w:cs="Times New Roman"/>
          <w:b/>
          <w:bCs/>
          <w:sz w:val="28"/>
          <w:szCs w:val="28"/>
          <w:rtl/>
        </w:rPr>
        <w:t>. خصائص المجتمع (حجم القوى العاملة وتوزيعها القطاعي)</w:t>
      </w:r>
    </w:p>
    <w:p w14:paraId="48CFC22F" w14:textId="37AA29FB"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وفقًا لأحدث تقارير الهيئة العامة للإحصاء في المملكة العربية السعودية </w:t>
      </w:r>
      <w:r w:rsidRPr="00F806C7">
        <w:rPr>
          <w:rFonts w:ascii="Times New Roman" w:hAnsi="Times New Roman" w:cs="Times New Roman"/>
          <w:sz w:val="28"/>
          <w:szCs w:val="28"/>
        </w:rPr>
        <w:t>(2024)</w:t>
      </w:r>
      <w:r w:rsidRPr="00F806C7">
        <w:rPr>
          <w:rFonts w:ascii="Times New Roman" w:hAnsi="Times New Roman" w:cs="Times New Roman"/>
          <w:sz w:val="28"/>
          <w:szCs w:val="28"/>
          <w:rtl/>
        </w:rPr>
        <w:t xml:space="preserve">، يبلغ عدد العاملين في قطاعي الفنادق والمطاعم على مستوى المملكة حوالي 680 ألف عامل، منهم نحو </w:t>
      </w:r>
      <w:r w:rsidRPr="00F806C7">
        <w:rPr>
          <w:rFonts w:ascii="Times New Roman" w:hAnsi="Times New Roman" w:cs="Times New Roman"/>
          <w:sz w:val="28"/>
          <w:szCs w:val="28"/>
        </w:rPr>
        <w:t>25%</w:t>
      </w:r>
      <w:r w:rsidRPr="00F806C7">
        <w:rPr>
          <w:rFonts w:ascii="Times New Roman" w:hAnsi="Times New Roman" w:cs="Times New Roman"/>
          <w:sz w:val="28"/>
          <w:szCs w:val="28"/>
          <w:rtl/>
        </w:rPr>
        <w:t xml:space="preserve"> من المواطنين السعوديين، في حين يشكل المقيمون النسبة المتبقية. وتحتضن مدينة الرياض النسبة الأكبر من هذه القوى العاملة نظرًا لتمركز المنشآت السياحية والمطاعم الفاخرة فيها، إذ تضم ما يزيد عل</w:t>
      </w:r>
      <w:r w:rsidR="00EB39A8">
        <w:rPr>
          <w:rFonts w:ascii="Times New Roman" w:hAnsi="Times New Roman" w:cs="Times New Roman" w:hint="cs"/>
          <w:sz w:val="28"/>
          <w:szCs w:val="28"/>
          <w:rtl/>
        </w:rPr>
        <w:t>ى</w:t>
      </w:r>
      <w:r w:rsidRPr="00F806C7">
        <w:rPr>
          <w:rFonts w:ascii="Times New Roman" w:hAnsi="Times New Roman" w:cs="Times New Roman"/>
          <w:sz w:val="28"/>
          <w:szCs w:val="28"/>
          <w:rtl/>
        </w:rPr>
        <w:t xml:space="preserve"> 3000 منشأة ما بين فنادق ومطاعم متوسطة وكبرى</w:t>
      </w:r>
      <w:r w:rsidRPr="00F806C7">
        <w:rPr>
          <w:rFonts w:ascii="Times New Roman" w:hAnsi="Times New Roman" w:cs="Times New Roman"/>
          <w:sz w:val="28"/>
          <w:szCs w:val="28"/>
        </w:rPr>
        <w:t>.</w:t>
      </w:r>
    </w:p>
    <w:p w14:paraId="65596AE6"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ويُظهر التوزيع الوظيفي داخل هذه المؤسسات تنوعًا بين مستويات الخدمة المباشرة (مثل موظفي الاستقبال والنُدُل والطهاة) والمستويات الإدارية والإشرافية (مثل مديري الأقسام والمشرفين العامين). هذه البنية التنظيمية المتنوعة تُسهم في خلق بيئة عمل متعددة المستويات، ما يجعلها ميدانًا خصبًا لدراسة العلاقة بين الممارسات الإدارية</w:t>
      </w:r>
      <w:r w:rsidRPr="00F806C7">
        <w:rPr>
          <w:rFonts w:ascii="Times New Roman" w:hAnsi="Times New Roman" w:cs="Times New Roman"/>
          <w:sz w:val="28"/>
          <w:szCs w:val="28"/>
        </w:rPr>
        <w:t xml:space="preserve"> (HPWS) </w:t>
      </w:r>
      <w:r w:rsidRPr="00F806C7">
        <w:rPr>
          <w:rFonts w:ascii="Times New Roman" w:hAnsi="Times New Roman" w:cs="Times New Roman"/>
          <w:sz w:val="28"/>
          <w:szCs w:val="28"/>
          <w:rtl/>
        </w:rPr>
        <w:t>والمخرجات الإبداعية للموظفين في سياقات تشغيلية مختلفة</w:t>
      </w:r>
      <w:r w:rsidRPr="00F806C7">
        <w:rPr>
          <w:rFonts w:ascii="Times New Roman" w:hAnsi="Times New Roman" w:cs="Times New Roman"/>
          <w:sz w:val="28"/>
          <w:szCs w:val="28"/>
        </w:rPr>
        <w:t>.</w:t>
      </w:r>
    </w:p>
    <w:p w14:paraId="3266F3FD"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وتنعكس خصائص هذا المجتمع على أهمية الدراسة الحالية، إذ توفر عينة متنوعة وممثلة قادرة على إبراز الفروق المحتملة بين القطاعين، وفهم كيف تؤثر الثقافة التنظيمية وأنظمة العمل عالية الأداء في سلوكيات </w:t>
      </w:r>
      <w:r w:rsidRPr="00F806C7">
        <w:rPr>
          <w:rFonts w:ascii="Times New Roman" w:hAnsi="Times New Roman" w:cs="Times New Roman"/>
          <w:sz w:val="28"/>
          <w:szCs w:val="28"/>
          <w:rtl/>
        </w:rPr>
        <w:lastRenderedPageBreak/>
        <w:t>الإبداع داخل بيئات العمل السعودية، بما يسهم في بناء سياسات أكثر فاعلية في إدارة الموارد البشرية وتحفيز الابتكار المؤسسي</w:t>
      </w:r>
      <w:r w:rsidRPr="00F806C7">
        <w:rPr>
          <w:rFonts w:ascii="Times New Roman" w:hAnsi="Times New Roman" w:cs="Times New Roman"/>
          <w:sz w:val="28"/>
          <w:szCs w:val="28"/>
        </w:rPr>
        <w:t>.</w:t>
      </w:r>
    </w:p>
    <w:p w14:paraId="32AB031C"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3.4. عينة الدراسة وطريقة اختيارها</w:t>
      </w:r>
    </w:p>
    <w:p w14:paraId="65A3069C" w14:textId="03161CF6"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يُعد تحديد العينة من أهم الخطوات المنهجية في أي دراسة علمية، إذ تسهم دقتها في تعزيز موثوقية النتائج وقابليتها للتعميم على المجتمع الأكبر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&lt;EndNote&gt;&lt;Cite&gt;&lt;Author&gt;Creswell&lt;/Author&gt;&lt;Year&gt;2017&lt;/Year&gt;&lt;RecNum&gt;1336&lt;/RecNum&gt;&lt;DisplayText&gt;(Creswell and Creswell, 2017)&lt;/DisplayText&gt;&lt;record&gt;&lt;rec-number&gt;1336&lt;/rec-number&gt;&lt;foreign-keys&gt;&lt;key app="EN" db-id="t5vttv59or5xwbe2zdm5ewrxd905arrpawff" timestamp="1730758965"&gt;1336&lt;/key&gt;&lt;/foreign-keys&gt;&lt;ref-type name="Book"&gt;6&lt;/ref-type&gt;&lt;contributors&gt;&lt;authors&gt;&lt;author&gt;Creswell, John W&lt;/author&gt;&lt;author&gt;Creswell, J David&lt;/author&gt;&lt;/authors&gt;&lt;/contributors&gt;&lt;titles&gt;&lt;title&gt;Research design: Qualitative, quantitative, and mixed methods approaches&lt;/title&gt;&lt;/titles&gt;&lt;dates&gt;&lt;year&gt;2017&lt;/year&gt;&lt;/dates&gt;&lt;publisher&gt;Sage publications&lt;/publisher&gt;&lt;isbn&gt;1506386717&lt;/isbn&gt;&lt;urls&gt;&lt;/urls&gt;&lt;/record&gt;&lt;/Cite&gt;&lt;/EndNote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Creswell and Creswell, 2017</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 ونظرًا لاتساع مجتمع الدراسة الذي يشمل جميع العاملين في قطاعي الفنادق والمطاعم بمدينة الرياض، فقد تم اعتماد منهجية العينة ا</w:t>
      </w:r>
      <w:r w:rsidR="000E496C">
        <w:rPr>
          <w:rFonts w:ascii="Times New Roman" w:hAnsi="Times New Roman" w:cs="Times New Roman" w:hint="cs"/>
          <w:sz w:val="28"/>
          <w:szCs w:val="28"/>
          <w:rtl/>
          <w:lang w:bidi="ar-EG"/>
        </w:rPr>
        <w:t>لعشوائية</w:t>
      </w:r>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لضمان تمثيل جميع الفئات الوظيفية والقطاعية ذات الصلة، مع تحقيق التوازن في حجم المشاركين بين القطاعات المختلفة</w:t>
      </w:r>
      <w:r w:rsidRPr="00F806C7">
        <w:rPr>
          <w:rFonts w:ascii="Times New Roman" w:hAnsi="Times New Roman" w:cs="Times New Roman"/>
          <w:sz w:val="28"/>
          <w:szCs w:val="28"/>
        </w:rPr>
        <w:t>.</w:t>
      </w:r>
    </w:p>
    <w:p w14:paraId="3A418CC7" w14:textId="7D1AFB4D" w:rsidR="00DE731D" w:rsidRPr="00F806C7" w:rsidRDefault="00DE731D" w:rsidP="000E496C">
      <w:pPr>
        <w:bidi/>
        <w:rPr>
          <w:rFonts w:ascii="Times New Roman" w:hAnsi="Times New Roman" w:cs="Times New Roman"/>
          <w:sz w:val="28"/>
          <w:szCs w:val="28"/>
        </w:rPr>
      </w:pPr>
      <w:r w:rsidRPr="00F806C7">
        <w:rPr>
          <w:rFonts w:ascii="Times New Roman" w:hAnsi="Times New Roman" w:cs="Times New Roman"/>
          <w:sz w:val="28"/>
          <w:szCs w:val="28"/>
          <w:rtl/>
        </w:rPr>
        <w:t>اختيار العينة بهذه الطريقة يهدف إلى الحصول على بيانات دقيقة تمثل التنوع الهيكلي</w:t>
      </w:r>
      <w:r w:rsidR="000E496C">
        <w:rPr>
          <w:rFonts w:ascii="Times New Roman" w:hAnsi="Times New Roman" w:cs="Times New Roman" w:hint="cs"/>
          <w:sz w:val="28"/>
          <w:szCs w:val="28"/>
          <w:rtl/>
        </w:rPr>
        <w:t xml:space="preserve"> العشوائي بين كل الطبقات العملة بنسبة متماثلة مع كل الطبقات</w:t>
      </w:r>
      <w:r w:rsidRPr="00F806C7">
        <w:rPr>
          <w:rFonts w:ascii="Times New Roman" w:hAnsi="Times New Roman" w:cs="Times New Roman"/>
          <w:sz w:val="28"/>
          <w:szCs w:val="28"/>
          <w:rtl/>
        </w:rPr>
        <w:t xml:space="preserve"> في بيئة العمل الخدمية، بما يتيح مقارنة العلاقات بين متغيرات الدراسة (أنظمة العمل عالية الأداء، الثقافة التنظيمية، الأداء الإبداعي) ضمن كل قطاع على حدة، ثم تحليل الفروق بينهما إحصائيًا</w:t>
      </w:r>
      <w:r w:rsidRPr="00F806C7">
        <w:rPr>
          <w:rFonts w:ascii="Times New Roman" w:hAnsi="Times New Roman" w:cs="Times New Roman"/>
          <w:sz w:val="28"/>
          <w:szCs w:val="28"/>
        </w:rPr>
        <w:t>.</w:t>
      </w:r>
    </w:p>
    <w:p w14:paraId="7FC27CAA"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3.4.1. نوع العينة ومنهجية السحب</w:t>
      </w:r>
    </w:p>
    <w:p w14:paraId="633585CF" w14:textId="38D3C606"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اعتمدت الدراسة العينة ال</w:t>
      </w:r>
      <w:r w:rsidR="007346FA">
        <w:rPr>
          <w:rFonts w:ascii="Times New Roman" w:hAnsi="Times New Roman" w:cs="Times New Roman" w:hint="cs"/>
          <w:sz w:val="28"/>
          <w:szCs w:val="28"/>
          <w:rtl/>
        </w:rPr>
        <w:t>عشوائية</w:t>
      </w:r>
      <w:r w:rsidRPr="00F806C7">
        <w:rPr>
          <w:rFonts w:ascii="Times New Roman" w:hAnsi="Times New Roman" w:cs="Times New Roman"/>
          <w:sz w:val="28"/>
          <w:szCs w:val="28"/>
          <w:rtl/>
        </w:rPr>
        <w:t xml:space="preserve"> بوصفها مزيجًا من أسلوبين منهجيين متكاملين، وهما</w:t>
      </w:r>
      <w:r w:rsidRPr="00F806C7">
        <w:rPr>
          <w:rFonts w:ascii="Times New Roman" w:hAnsi="Times New Roman" w:cs="Times New Roman"/>
          <w:sz w:val="28"/>
          <w:szCs w:val="28"/>
        </w:rPr>
        <w:t>:</w:t>
      </w:r>
    </w:p>
    <w:p w14:paraId="175B4060" w14:textId="2DDB22B5" w:rsidR="00DE731D" w:rsidRPr="00F806C7" w:rsidRDefault="00DE731D" w:rsidP="00DE731D">
      <w:pPr>
        <w:numPr>
          <w:ilvl w:val="0"/>
          <w:numId w:val="105"/>
        </w:numPr>
        <w:tabs>
          <w:tab w:val="clear" w:pos="360"/>
          <w:tab w:val="num" w:pos="720"/>
        </w:tabs>
        <w:bidi/>
        <w:rPr>
          <w:rFonts w:ascii="Times New Roman" w:hAnsi="Times New Roman" w:cs="Times New Roman"/>
          <w:sz w:val="28"/>
          <w:szCs w:val="28"/>
        </w:rPr>
      </w:pPr>
      <w:r w:rsidRPr="00F806C7">
        <w:rPr>
          <w:rFonts w:ascii="Times New Roman" w:hAnsi="Times New Roman" w:cs="Times New Roman"/>
          <w:b/>
          <w:bCs/>
          <w:sz w:val="28"/>
          <w:szCs w:val="28"/>
          <w:rtl/>
        </w:rPr>
        <w:t>العينة ال</w:t>
      </w:r>
      <w:r w:rsidR="000E496C">
        <w:rPr>
          <w:rFonts w:ascii="Times New Roman" w:hAnsi="Times New Roman" w:cs="Times New Roman" w:hint="cs"/>
          <w:b/>
          <w:bCs/>
          <w:sz w:val="28"/>
          <w:szCs w:val="28"/>
          <w:rtl/>
        </w:rPr>
        <w:t>عشوائية</w:t>
      </w:r>
      <w:r w:rsidRPr="00F806C7">
        <w:rPr>
          <w:rFonts w:ascii="Times New Roman" w:hAnsi="Times New Roman" w:cs="Times New Roman"/>
          <w:b/>
          <w:bCs/>
          <w:sz w:val="28"/>
          <w:szCs w:val="28"/>
          <w:rtl/>
        </w:rPr>
        <w:t>:</w:t>
      </w:r>
      <w:r w:rsidRPr="00F806C7">
        <w:rPr>
          <w:rFonts w:ascii="Times New Roman" w:hAnsi="Times New Roman" w:cs="Times New Roman"/>
          <w:sz w:val="28"/>
          <w:szCs w:val="28"/>
        </w:rPr>
        <w:br/>
      </w:r>
      <w:r w:rsidRPr="00F806C7">
        <w:rPr>
          <w:rFonts w:ascii="Times New Roman" w:hAnsi="Times New Roman" w:cs="Times New Roman"/>
          <w:sz w:val="28"/>
          <w:szCs w:val="28"/>
          <w:rtl/>
        </w:rPr>
        <w:t xml:space="preserve">تم تقسيم المجتمع الأصلي إلى </w:t>
      </w:r>
      <w:r w:rsidRPr="00F806C7">
        <w:rPr>
          <w:rFonts w:ascii="Times New Roman" w:hAnsi="Times New Roman" w:cs="Times New Roman"/>
          <w:b/>
          <w:bCs/>
          <w:sz w:val="28"/>
          <w:szCs w:val="28"/>
          <w:rtl/>
        </w:rPr>
        <w:t>طبقتين رئيسيتين</w:t>
      </w:r>
      <w:r w:rsidRPr="00F806C7">
        <w:rPr>
          <w:rFonts w:ascii="Times New Roman" w:hAnsi="Times New Roman" w:cs="Times New Roman"/>
          <w:sz w:val="28"/>
          <w:szCs w:val="28"/>
          <w:rtl/>
        </w:rPr>
        <w:t xml:space="preserve"> وفقًا لطبيعة القطاع (الفنادق والمطاعم). ويهدف هذا التقسيم إلى ضمان تمثيل كل قطاع تمثيلًا عادلاً في العينة النهائية، وتجنّب تحيز النتائج نحو أحد القطاعين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&lt;EndNote&gt;&lt;Cite&gt;&lt;Author&gt;Bryman&lt;/Author&gt;&lt;Year&gt;2016&lt;/Year&gt;&lt;RecNum&gt;270&lt;/RecNum&gt;&lt;DisplayText&gt;(Bryman, 2016)&lt;/DisplayText&gt;&lt;record&gt;&lt;rec-number&gt;270&lt;/rec-number&gt;&lt;foreign-keys&gt;&lt;key app="EN" db-id="t5vttv59or5xwbe2zdm5ewrxd905arrpawff" timestamp="1721</w:instrText>
      </w:r>
      <w:r w:rsidRPr="00F806C7">
        <w:rPr>
          <w:rFonts w:ascii="Times New Roman" w:hAnsi="Times New Roman" w:cs="Times New Roman"/>
          <w:sz w:val="28"/>
          <w:szCs w:val="28"/>
          <w:rtl/>
        </w:rPr>
        <w:instrText>072739"&gt;270&lt;/</w:instrText>
      </w:r>
      <w:r w:rsidRPr="00F806C7">
        <w:rPr>
          <w:rFonts w:ascii="Times New Roman" w:hAnsi="Times New Roman" w:cs="Times New Roman"/>
          <w:sz w:val="28"/>
          <w:szCs w:val="28"/>
        </w:rPr>
        <w:instrText>key&gt;&lt;/foreign-keys&gt;&lt;ref-type name="Book"&gt;6&lt;/ref-type&gt;&lt;contributors&gt;&lt;authors&gt;&lt;author&gt;Bryman, Alan&lt;/author&gt;&lt;/authors&gt;&lt;/contributors&gt;&lt;titles&gt;&lt;title&gt;Social research methods&lt;/title&gt;&lt;/titles&gt;&lt;dates&gt;&lt;year&gt;2016&lt;/year&gt;&lt;/dates&gt;&lt;publisher&gt;Oxford university press&lt;/publisher&gt;&lt;isbn&gt;0199689458&lt;/isbn&gt;&lt;urls&gt;&lt;/urls&gt;&lt;/record&gt;&lt;/Cite&gt;&lt;/EndNote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Bryman, 2016</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w:t>
      </w:r>
    </w:p>
    <w:p w14:paraId="22C1651D"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اختيار هذا الأسلوب المركب مبرَّر لاعتبارات منهجية وعملية: فهو يضمن التغطية الواسعة مع تقليل التكاليف والوقت اللازم لجمع البيانات، خاصة في بيئة عمل واسعة الانتشار مثل قطاعي الضيافة والمطاعم</w:t>
      </w:r>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 xml:space="preserve">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&lt;EndNote&gt;&lt;Cite&gt;&lt;Author&gt;Sekaran&lt;/Author&gt;&lt;Year&gt;2016&lt;/Year&gt;&lt;RecNum&gt;2080&lt;/RecNum&gt;&lt;DisplayText&gt;(Sekaran, 2016)&lt;/DisplayText&gt;&lt;record&gt;&lt;rec-number&gt;2080&lt;/rec-number&gt;&lt;foreign-keys&gt;&lt;key app="EN" db-id="t5vttv59or5xwbe2zdm5ewrxd905arrpawff" timestamp</w:instrText>
      </w:r>
      <w:r w:rsidRPr="00F806C7">
        <w:rPr>
          <w:rFonts w:ascii="Times New Roman" w:hAnsi="Times New Roman" w:cs="Times New Roman"/>
          <w:sz w:val="28"/>
          <w:szCs w:val="28"/>
          <w:rtl/>
        </w:rPr>
        <w:instrText>="1741303843"&gt;2080&lt;/</w:instrText>
      </w:r>
      <w:r w:rsidRPr="00F806C7">
        <w:rPr>
          <w:rFonts w:ascii="Times New Roman" w:hAnsi="Times New Roman" w:cs="Times New Roman"/>
          <w:sz w:val="28"/>
          <w:szCs w:val="28"/>
        </w:rPr>
        <w:instrText>key&gt;&lt;/foreign-keys&gt;&lt;ref-type name="Book"&gt;6&lt;/ref-type&gt;&lt;contributors&gt;&lt;authors&gt;&lt;author&gt;Sekaran, U&lt;/author&gt;&lt;/authors&gt;&lt;/contributors&gt;&lt;titles&gt;&lt;title&gt;Research methods for business: A skill building approach&lt;/title&gt;&lt;/titles&gt;&lt;dates&gt;&lt;year&gt;2016&lt;/year&gt;&lt;/dates&gt;&lt;publisher&gt;John Wiley &amp;amp; Sons&lt;/publisher&gt;&lt;urls&gt;&lt;/urls&gt;&lt;/record&gt;&lt;/Cite&gt;&lt;/EndNote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Sekaran, 2016</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 كما أنه يسهم في تحسين دقة التقديرات الإحصائية، لاسيما في الدراسات المقارنة متعددة المجموعات</w:t>
      </w:r>
      <w:r w:rsidRPr="00F806C7">
        <w:rPr>
          <w:rFonts w:ascii="Times New Roman" w:hAnsi="Times New Roman" w:cs="Times New Roman"/>
          <w:sz w:val="28"/>
          <w:szCs w:val="28"/>
        </w:rPr>
        <w:t>.</w:t>
      </w:r>
    </w:p>
    <w:p w14:paraId="7050D2E3"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 xml:space="preserve">3.4.2. تحديد حجم العينة باستخدام معادلة ستيفن </w:t>
      </w:r>
      <w:proofErr w:type="spellStart"/>
      <w:r w:rsidRPr="00F806C7">
        <w:rPr>
          <w:rFonts w:ascii="Times New Roman" w:hAnsi="Times New Roman" w:cs="Times New Roman"/>
          <w:b/>
          <w:bCs/>
          <w:sz w:val="28"/>
          <w:szCs w:val="28"/>
          <w:rtl/>
        </w:rPr>
        <w:t>ثومبسون</w:t>
      </w:r>
      <w:proofErr w:type="spellEnd"/>
    </w:p>
    <w:p w14:paraId="67B747FF" w14:textId="0F8C7F66"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تم تحديد حجم العينة باستخدام معادلة ستيفن </w:t>
      </w:r>
      <w:proofErr w:type="spellStart"/>
      <w:r w:rsidRPr="00F806C7">
        <w:rPr>
          <w:rFonts w:ascii="Times New Roman" w:hAnsi="Times New Roman" w:cs="Times New Roman"/>
          <w:sz w:val="28"/>
          <w:szCs w:val="28"/>
          <w:rtl/>
        </w:rPr>
        <w:t>ثومبسون</w:t>
      </w:r>
      <w:proofErr w:type="spellEnd"/>
      <w:r w:rsidRPr="00F806C7">
        <w:rPr>
          <w:rFonts w:ascii="Times New Roman" w:hAnsi="Times New Roman" w:cs="Times New Roman"/>
          <w:sz w:val="28"/>
          <w:szCs w:val="28"/>
          <w:rtl/>
        </w:rPr>
        <w:t xml:space="preserve">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&lt;EndNote&gt;&lt;Cite&gt;&lt;Author&gt;Thompson&lt;/Author&gt;&lt;Year&gt;2012&lt;/Year&gt;&lt;RecNum&gt;1248&lt;/RecNum&gt;&lt;DisplayText&gt;(Thompson, 2012)&lt;/DisplayText&gt;&lt;record&gt;&lt;rec-number&gt;1248&lt;/rec-number&gt;&lt;foreign-keys&gt;&lt;key app="EN" db-id="t5vttv59or5xwbe2zdm5ewrxd905arrpawff" timestamp</w:instrText>
      </w:r>
      <w:r w:rsidRPr="00F806C7">
        <w:rPr>
          <w:rFonts w:ascii="Times New Roman" w:hAnsi="Times New Roman" w:cs="Times New Roman"/>
          <w:sz w:val="28"/>
          <w:szCs w:val="28"/>
          <w:rtl/>
        </w:rPr>
        <w:instrText>="1729730133"&gt;1248&lt;/</w:instrText>
      </w:r>
      <w:r w:rsidRPr="00F806C7">
        <w:rPr>
          <w:rFonts w:ascii="Times New Roman" w:hAnsi="Times New Roman" w:cs="Times New Roman"/>
          <w:sz w:val="28"/>
          <w:szCs w:val="28"/>
        </w:rPr>
        <w:instrText>key&gt;&lt;/foreign-keys&gt;&lt;ref-type name="Book"&gt;6&lt;/ref-type&gt;&lt;contributors&gt;&lt;authors&gt;&lt;author&gt;Thompson, Steven K&lt;/author&gt;&lt;/authors&gt;&lt;/contributors&gt;&lt;titles&gt;&lt;title&gt;Sampling&lt;/title&gt;&lt;/titles&gt;&lt;volume&gt;755&lt;/volume&gt;&lt;dates&gt;&lt;year&gt;2012&lt;/year&gt;&lt;/dates&gt;&lt;publisher&gt;John Wiley &amp;amp; Sons&lt;/publisher&gt;&lt;isbn&gt;0470402318&lt;/isbn&gt;&lt;urls&gt;&lt;/urls&gt;&lt;/record&gt;&lt;/Cite&gt;&lt;/EndNote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Thompson, 2012</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 وهي من أكثر المعادلات استخدامًا لتقدير حجم العينة في المجتمعات الكبيرة عندما لا يُعرف حجمها بدقة كاملة، مع ضمان مستوى ثقة 95% وهامش خطأ ±5%. وتُعبّر المعادلة عن حجم العينة وفق الصيغة التالية</w:t>
      </w:r>
      <w:r w:rsidRPr="00F806C7">
        <w:rPr>
          <w:rFonts w:ascii="Times New Roman" w:hAnsi="Times New Roman" w:cs="Times New Roman"/>
          <w:sz w:val="28"/>
          <w:szCs w:val="28"/>
        </w:rPr>
        <w:t>:</w:t>
      </w:r>
    </w:p>
    <w:p w14:paraId="7D51F34D" w14:textId="1C0015CB" w:rsidR="00DE731D" w:rsidRDefault="00EB39A8" w:rsidP="00DE731D">
      <w:pPr>
        <w:bidi/>
        <w:rPr>
          <w:rFonts w:ascii="Times New Roman" w:hAnsi="Times New Roman" w:cs="Times New Roman"/>
          <w:sz w:val="28"/>
          <w:szCs w:val="28"/>
          <w:rtl/>
        </w:rPr>
      </w:pPr>
      <w:r>
        <w:rPr>
          <w:rFonts w:ascii="Cambria Math" w:hAnsi="Cambria Math" w:cs="Times New Roman"/>
          <w:i/>
          <w:noProof/>
          <w:sz w:val="28"/>
          <w:szCs w:val="28"/>
        </w:rPr>
        <w:drawing>
          <wp:anchor distT="0" distB="0" distL="114300" distR="114300" simplePos="0" relativeHeight="251660288" behindDoc="0" locked="0" layoutInCell="1" allowOverlap="1" wp14:anchorId="5340CBA2" wp14:editId="2DB47916">
            <wp:simplePos x="0" y="0"/>
            <wp:positionH relativeFrom="column">
              <wp:posOffset>1287780</wp:posOffset>
            </wp:positionH>
            <wp:positionV relativeFrom="paragraph">
              <wp:posOffset>32507</wp:posOffset>
            </wp:positionV>
            <wp:extent cx="3289300" cy="850900"/>
            <wp:effectExtent l="0" t="0" r="3810" b="5715"/>
            <wp:wrapNone/>
            <wp:docPr id="1903686913" name="Picture 1" descr="A mathematical equation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686913" name="Picture 1" descr="A mathematical equation with numbers and symbol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289300" cy="850900"/>
                    </a:xfrm>
                    <a:prstGeom prst="rect">
                      <a:avLst/>
                    </a:prstGeom>
                  </pic:spPr>
                </pic:pic>
              </a:graphicData>
            </a:graphic>
            <wp14:sizeRelH relativeFrom="page">
              <wp14:pctWidth>0</wp14:pctWidth>
            </wp14:sizeRelH>
            <wp14:sizeRelV relativeFrom="page">
              <wp14:pctHeight>0</wp14:pctHeight>
            </wp14:sizeRelV>
          </wp:anchor>
        </w:drawing>
      </w:r>
    </w:p>
    <w:p w14:paraId="091B6D77" w14:textId="77777777" w:rsidR="00EB39A8" w:rsidRDefault="00EB39A8" w:rsidP="00EB39A8">
      <w:pPr>
        <w:bidi/>
        <w:rPr>
          <w:rFonts w:ascii="Times New Roman" w:hAnsi="Times New Roman" w:cs="Times New Roman"/>
          <w:sz w:val="28"/>
          <w:szCs w:val="28"/>
          <w:rtl/>
        </w:rPr>
      </w:pPr>
    </w:p>
    <w:p w14:paraId="355CFAD8" w14:textId="77777777" w:rsidR="00EB39A8" w:rsidRPr="00F806C7" w:rsidRDefault="00EB39A8" w:rsidP="00EB39A8">
      <w:pPr>
        <w:bidi/>
        <w:rPr>
          <w:rFonts w:ascii="Times New Roman" w:hAnsi="Times New Roman" w:cs="Times New Roman"/>
          <w:sz w:val="28"/>
          <w:szCs w:val="28"/>
        </w:rPr>
      </w:pPr>
    </w:p>
    <w:p w14:paraId="4BEFBFDE"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lastRenderedPageBreak/>
        <w:t>حيث</w:t>
      </w:r>
      <w:r w:rsidRPr="00F806C7">
        <w:rPr>
          <w:rFonts w:ascii="Times New Roman" w:hAnsi="Times New Roman" w:cs="Times New Roman"/>
          <w:sz w:val="28"/>
          <w:szCs w:val="28"/>
        </w:rPr>
        <w:t>:</w:t>
      </w:r>
    </w:p>
    <w:p w14:paraId="47A07AE5" w14:textId="77777777" w:rsidR="00DE731D" w:rsidRPr="00F806C7" w:rsidRDefault="00DE731D" w:rsidP="00DE731D">
      <w:pPr>
        <w:numPr>
          <w:ilvl w:val="0"/>
          <w:numId w:val="106"/>
        </w:numPr>
        <w:bidi/>
        <w:rPr>
          <w:rFonts w:ascii="Times New Roman" w:hAnsi="Times New Roman" w:cs="Times New Roman"/>
          <w:sz w:val="28"/>
          <w:szCs w:val="28"/>
        </w:rPr>
      </w:pPr>
      <m:oMath>
        <m:r>
          <w:rPr>
            <w:rFonts w:ascii="Cambria Math" w:hAnsi="Cambria Math" w:cs="Times New Roman"/>
            <w:sz w:val="28"/>
            <w:szCs w:val="28"/>
          </w:rPr>
          <m:t>n</m:t>
        </m:r>
      </m:oMath>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 xml:space="preserve"> حجم العينة المطلوبة</w:t>
      </w:r>
    </w:p>
    <w:p w14:paraId="72977576" w14:textId="77777777" w:rsidR="00DE731D" w:rsidRPr="00F806C7" w:rsidRDefault="00DE731D" w:rsidP="00DE731D">
      <w:pPr>
        <w:numPr>
          <w:ilvl w:val="0"/>
          <w:numId w:val="106"/>
        </w:numPr>
        <w:bidi/>
        <w:rPr>
          <w:rFonts w:ascii="Times New Roman" w:hAnsi="Times New Roman" w:cs="Times New Roman"/>
          <w:sz w:val="28"/>
          <w:szCs w:val="28"/>
        </w:rPr>
      </w:pPr>
      <m:oMath>
        <m:r>
          <w:rPr>
            <w:rFonts w:ascii="Cambria Math" w:hAnsi="Cambria Math" w:cs="Times New Roman"/>
            <w:sz w:val="28"/>
            <w:szCs w:val="28"/>
          </w:rPr>
          <m:t>N</m:t>
        </m:r>
      </m:oMath>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 xml:space="preserve"> حجم المجتمع </w:t>
      </w:r>
    </w:p>
    <w:p w14:paraId="37821AA4" w14:textId="77777777" w:rsidR="00DE731D" w:rsidRPr="00F806C7" w:rsidRDefault="00DE731D" w:rsidP="00DE731D">
      <w:pPr>
        <w:numPr>
          <w:ilvl w:val="0"/>
          <w:numId w:val="106"/>
        </w:numPr>
        <w:bidi/>
        <w:rPr>
          <w:rFonts w:ascii="Times New Roman" w:hAnsi="Times New Roman" w:cs="Times New Roman"/>
          <w:sz w:val="28"/>
          <w:szCs w:val="28"/>
        </w:rPr>
      </w:pPr>
      <m:oMath>
        <m:r>
          <w:rPr>
            <w:rFonts w:ascii="Cambria Math" w:hAnsi="Cambria Math" w:cs="Times New Roman"/>
            <w:sz w:val="28"/>
            <w:szCs w:val="28"/>
          </w:rPr>
          <m:t>p</m:t>
        </m:r>
      </m:oMath>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 xml:space="preserve"> نسبة الاستجابة المتوقعة (0.5) لضمان أقصى تباين</w:t>
      </w:r>
    </w:p>
    <w:p w14:paraId="1544D947" w14:textId="77777777" w:rsidR="00DE731D" w:rsidRPr="00F806C7" w:rsidRDefault="00DE731D" w:rsidP="00DE731D">
      <w:pPr>
        <w:numPr>
          <w:ilvl w:val="0"/>
          <w:numId w:val="106"/>
        </w:numPr>
        <w:bidi/>
        <w:rPr>
          <w:rFonts w:ascii="Times New Roman" w:hAnsi="Times New Roman" w:cs="Times New Roman"/>
          <w:sz w:val="28"/>
          <w:szCs w:val="28"/>
        </w:rPr>
      </w:pPr>
      <m:oMath>
        <m:r>
          <w:rPr>
            <w:rFonts w:ascii="Cambria Math" w:hAnsi="Cambria Math" w:cs="Times New Roman"/>
            <w:sz w:val="28"/>
            <w:szCs w:val="28"/>
          </w:rPr>
          <m:t>d</m:t>
        </m:r>
      </m:oMath>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 xml:space="preserve"> هامش الخطأ المسموح به </w:t>
      </w:r>
      <w:r w:rsidRPr="00F806C7">
        <w:rPr>
          <w:rFonts w:ascii="Times New Roman" w:hAnsi="Times New Roman" w:cs="Times New Roman"/>
          <w:sz w:val="28"/>
          <w:szCs w:val="28"/>
        </w:rPr>
        <w:t>(0.05)</w:t>
      </w:r>
    </w:p>
    <w:p w14:paraId="0D502827" w14:textId="77777777" w:rsidR="00DE731D" w:rsidRPr="00F806C7" w:rsidRDefault="00DE731D" w:rsidP="00DE731D">
      <w:pPr>
        <w:numPr>
          <w:ilvl w:val="0"/>
          <w:numId w:val="106"/>
        </w:numPr>
        <w:bidi/>
        <w:rPr>
          <w:rFonts w:ascii="Times New Roman" w:hAnsi="Times New Roman" w:cs="Times New Roman"/>
          <w:sz w:val="28"/>
          <w:szCs w:val="28"/>
        </w:rPr>
      </w:pPr>
      <m:oMath>
        <m:r>
          <w:rPr>
            <w:rFonts w:ascii="Cambria Math" w:hAnsi="Cambria Math" w:cs="Times New Roman"/>
            <w:sz w:val="28"/>
            <w:szCs w:val="28"/>
          </w:rPr>
          <m:t>Z</m:t>
        </m:r>
      </m:oMath>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 xml:space="preserve"> القيمة المعيارية عند مستوى ثقة 95</w:t>
      </w:r>
      <w:r w:rsidRPr="00F806C7">
        <w:rPr>
          <w:rFonts w:ascii="Times New Roman" w:hAnsi="Times New Roman" w:cs="Times New Roman"/>
          <w:sz w:val="28"/>
          <w:szCs w:val="28"/>
        </w:rPr>
        <w:t>%</w:t>
      </w:r>
      <w:r w:rsidRPr="00F806C7">
        <w:rPr>
          <w:rFonts w:ascii="Times New Roman" w:hAnsi="Times New Roman" w:cs="Times New Roman"/>
          <w:sz w:val="28"/>
          <w:szCs w:val="28"/>
          <w:rtl/>
        </w:rPr>
        <w:t xml:space="preserve"> </w:t>
      </w:r>
      <w:r w:rsidRPr="00F806C7">
        <w:rPr>
          <w:rFonts w:ascii="Times New Roman" w:hAnsi="Times New Roman" w:cs="Times New Roman"/>
          <w:sz w:val="28"/>
          <w:szCs w:val="28"/>
        </w:rPr>
        <w:t>(1.96)</w:t>
      </w:r>
      <w:r w:rsidRPr="00F806C7">
        <w:rPr>
          <w:rFonts w:ascii="Times New Roman" w:hAnsi="Times New Roman" w:cs="Times New Roman"/>
          <w:sz w:val="28"/>
          <w:szCs w:val="28"/>
          <w:rtl/>
        </w:rPr>
        <w:t xml:space="preserve"> </w:t>
      </w:r>
    </w:p>
    <w:p w14:paraId="57210BDA"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وبتطبيق المعادلة على تقدير تقريبي لمجتمع العاملين في قطاعي الفنادق والمطاعم البالغ نحو 680000</w:t>
      </w:r>
      <w:r w:rsidRPr="00F806C7">
        <w:rPr>
          <w:rFonts w:ascii="Times New Roman" w:hAnsi="Times New Roman" w:cs="Times New Roman"/>
          <w:b/>
          <w:bCs/>
          <w:sz w:val="28"/>
          <w:szCs w:val="28"/>
        </w:rPr>
        <w:t xml:space="preserve"> </w:t>
      </w:r>
      <w:r w:rsidRPr="00F806C7">
        <w:rPr>
          <w:rFonts w:ascii="Times New Roman" w:hAnsi="Times New Roman" w:cs="Times New Roman"/>
          <w:sz w:val="28"/>
          <w:szCs w:val="28"/>
          <w:rtl/>
        </w:rPr>
        <w:t>عامل، كان الناتج الحسابي</w:t>
      </w:r>
      <w:r w:rsidRPr="00F806C7">
        <w:rPr>
          <w:rFonts w:ascii="Times New Roman" w:hAnsi="Times New Roman" w:cs="Times New Roman"/>
          <w:sz w:val="28"/>
          <w:szCs w:val="28"/>
        </w:rPr>
        <w:t>:</w:t>
      </w:r>
    </w:p>
    <w:p w14:paraId="29D08011" w14:textId="7FEA2EC3" w:rsidR="00DE731D" w:rsidRPr="00F806C7" w:rsidRDefault="00EB39A8" w:rsidP="00DE731D">
      <w:pPr>
        <w:bidi/>
        <w:rPr>
          <w:rFonts w:ascii="Times New Roman" w:hAnsi="Times New Roman" w:cs="Times New Roman"/>
          <w:sz w:val="28"/>
          <w:szCs w:val="28"/>
        </w:rPr>
      </w:pPr>
      <w:r>
        <w:rPr>
          <w:rFonts w:ascii="Cambria Math" w:hAnsi="Cambria Math" w:cs="Times New Roman"/>
          <w:i/>
          <w:noProof/>
          <w:sz w:val="28"/>
          <w:szCs w:val="28"/>
        </w:rPr>
        <w:drawing>
          <wp:inline distT="0" distB="0" distL="0" distR="0" wp14:anchorId="2B275EE6" wp14:editId="7F4B1ED1">
            <wp:extent cx="3657600" cy="927100"/>
            <wp:effectExtent l="0" t="0" r="0" b="0"/>
            <wp:docPr id="1253470423" name="Picture 2" descr="A black number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470423" name="Picture 2" descr="A black numbers and a lin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657600" cy="927100"/>
                    </a:xfrm>
                    <a:prstGeom prst="rect">
                      <a:avLst/>
                    </a:prstGeom>
                  </pic:spPr>
                </pic:pic>
              </a:graphicData>
            </a:graphic>
          </wp:inline>
        </w:drawing>
      </w:r>
    </w:p>
    <w:p w14:paraId="3ECDC5CC" w14:textId="77777777" w:rsidR="00DE731D" w:rsidRPr="004675F9"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وعليه، تم اعتماد حجم عينة قدرها 400 مشارك لتفادي احتمالات عدم استكمال بعض الاستبانات أو استبعاد </w:t>
      </w:r>
      <w:r w:rsidRPr="004675F9">
        <w:rPr>
          <w:rFonts w:ascii="Times New Roman" w:hAnsi="Times New Roman" w:cs="Times New Roman"/>
          <w:sz w:val="28"/>
          <w:szCs w:val="28"/>
          <w:rtl/>
        </w:rPr>
        <w:t>بيانات غير مكتملة، ما يضمن قوة إحصائية كافية لاختبار الفرضيات الكمية بدقة</w:t>
      </w:r>
      <w:r w:rsidRPr="004675F9">
        <w:rPr>
          <w:rFonts w:ascii="Times New Roman" w:hAnsi="Times New Roman" w:cs="Times New Roman"/>
          <w:sz w:val="28"/>
          <w:szCs w:val="28"/>
        </w:rPr>
        <w:t>.</w:t>
      </w:r>
    </w:p>
    <w:p w14:paraId="7729F0BB" w14:textId="77777777" w:rsidR="00DE731D" w:rsidRPr="004675F9" w:rsidRDefault="00DE731D" w:rsidP="00DE731D">
      <w:pPr>
        <w:bidi/>
        <w:rPr>
          <w:rFonts w:ascii="Times New Roman" w:hAnsi="Times New Roman" w:cs="Times New Roman"/>
          <w:b/>
          <w:bCs/>
          <w:sz w:val="28"/>
          <w:szCs w:val="28"/>
        </w:rPr>
      </w:pPr>
      <w:r w:rsidRPr="004675F9">
        <w:rPr>
          <w:rFonts w:ascii="Times New Roman" w:hAnsi="Times New Roman" w:cs="Times New Roman"/>
          <w:b/>
          <w:bCs/>
          <w:sz w:val="28"/>
          <w:szCs w:val="28"/>
          <w:rtl/>
        </w:rPr>
        <w:t>3.4.3. توزيع العينة بين قطاعي الفنادق والمطاعم</w:t>
      </w:r>
    </w:p>
    <w:p w14:paraId="1F053D08" w14:textId="0D437E80" w:rsidR="00DE731D" w:rsidRPr="004675F9" w:rsidRDefault="00581550" w:rsidP="00DE731D">
      <w:pPr>
        <w:bidi/>
        <w:rPr>
          <w:rFonts w:ascii="Times New Roman" w:hAnsi="Times New Roman" w:cs="Times New Roman"/>
          <w:sz w:val="28"/>
          <w:szCs w:val="28"/>
        </w:rPr>
      </w:pPr>
      <w:r w:rsidRPr="004675F9">
        <w:rPr>
          <w:rFonts w:ascii="Times New Roman" w:hAnsi="Times New Roman" w:cs="Times New Roman" w:hint="cs"/>
          <w:sz w:val="28"/>
          <w:szCs w:val="28"/>
          <w:rtl/>
        </w:rPr>
        <w:t>سي</w:t>
      </w:r>
      <w:r w:rsidR="00DE731D" w:rsidRPr="004675F9">
        <w:rPr>
          <w:rFonts w:ascii="Times New Roman" w:hAnsi="Times New Roman" w:cs="Times New Roman"/>
          <w:sz w:val="28"/>
          <w:szCs w:val="28"/>
          <w:rtl/>
        </w:rPr>
        <w:t>تم توزيع العينة النهائية وفق مبدأ التناسب النسبي</w:t>
      </w:r>
      <w:r w:rsidR="00DE731D" w:rsidRPr="004675F9">
        <w:rPr>
          <w:rFonts w:ascii="Times New Roman" w:hAnsi="Times New Roman" w:cs="Times New Roman"/>
          <w:sz w:val="28"/>
          <w:szCs w:val="28"/>
        </w:rPr>
        <w:t xml:space="preserve"> (Proportional Allocation) </w:t>
      </w:r>
      <w:r w:rsidR="00DE731D" w:rsidRPr="004675F9">
        <w:rPr>
          <w:rFonts w:ascii="Times New Roman" w:hAnsi="Times New Roman" w:cs="Times New Roman"/>
          <w:sz w:val="28"/>
          <w:szCs w:val="28"/>
          <w:rtl/>
        </w:rPr>
        <w:t>لضمان تمثيل القطاعين بما يعكس نسبتهما في سوق العمل بمدينة الرياض. وبناءً على البيانات الإحصائية للهيئة العامة للإحصاء (2024)، فقد تم تخصيص</w:t>
      </w:r>
      <w:r w:rsidR="00DE731D" w:rsidRPr="004675F9">
        <w:rPr>
          <w:rFonts w:ascii="Times New Roman" w:hAnsi="Times New Roman" w:cs="Times New Roman"/>
          <w:sz w:val="28"/>
          <w:szCs w:val="28"/>
        </w:rPr>
        <w:t>:</w:t>
      </w:r>
    </w:p>
    <w:p w14:paraId="27032291" w14:textId="77777777" w:rsidR="00DE731D" w:rsidRPr="004675F9" w:rsidRDefault="00DE731D" w:rsidP="00DE731D">
      <w:pPr>
        <w:numPr>
          <w:ilvl w:val="0"/>
          <w:numId w:val="107"/>
        </w:numPr>
        <w:tabs>
          <w:tab w:val="clear" w:pos="360"/>
          <w:tab w:val="num" w:pos="720"/>
        </w:tabs>
        <w:bidi/>
        <w:rPr>
          <w:rFonts w:ascii="Times New Roman" w:hAnsi="Times New Roman" w:cs="Times New Roman"/>
          <w:sz w:val="28"/>
          <w:szCs w:val="28"/>
        </w:rPr>
      </w:pPr>
      <w:r w:rsidRPr="004675F9">
        <w:rPr>
          <w:rFonts w:ascii="Times New Roman" w:hAnsi="Times New Roman" w:cs="Times New Roman"/>
          <w:sz w:val="28"/>
          <w:szCs w:val="28"/>
        </w:rPr>
        <w:t>200</w:t>
      </w:r>
      <w:r w:rsidRPr="004675F9">
        <w:rPr>
          <w:rFonts w:ascii="Times New Roman" w:hAnsi="Times New Roman" w:cs="Times New Roman"/>
          <w:sz w:val="28"/>
          <w:szCs w:val="28"/>
          <w:rtl/>
        </w:rPr>
        <w:t xml:space="preserve"> استبانة للعاملين في قطاع الفنادق </w:t>
      </w:r>
      <w:r w:rsidRPr="004675F9">
        <w:rPr>
          <w:rFonts w:ascii="Times New Roman" w:hAnsi="Times New Roman" w:cs="Times New Roman"/>
          <w:sz w:val="28"/>
          <w:szCs w:val="28"/>
        </w:rPr>
        <w:t>(50%)</w:t>
      </w:r>
    </w:p>
    <w:p w14:paraId="3E51D32B" w14:textId="77777777" w:rsidR="00DE731D" w:rsidRPr="004675F9" w:rsidRDefault="00DE731D" w:rsidP="00DE731D">
      <w:pPr>
        <w:numPr>
          <w:ilvl w:val="0"/>
          <w:numId w:val="107"/>
        </w:numPr>
        <w:tabs>
          <w:tab w:val="clear" w:pos="360"/>
          <w:tab w:val="num" w:pos="720"/>
        </w:tabs>
        <w:bidi/>
        <w:rPr>
          <w:rFonts w:ascii="Times New Roman" w:hAnsi="Times New Roman" w:cs="Times New Roman"/>
          <w:sz w:val="28"/>
          <w:szCs w:val="28"/>
        </w:rPr>
      </w:pPr>
      <w:r w:rsidRPr="004675F9">
        <w:rPr>
          <w:rFonts w:ascii="Times New Roman" w:hAnsi="Times New Roman" w:cs="Times New Roman"/>
          <w:sz w:val="28"/>
          <w:szCs w:val="28"/>
        </w:rPr>
        <w:t>200</w:t>
      </w:r>
      <w:r w:rsidRPr="004675F9">
        <w:rPr>
          <w:rFonts w:ascii="Times New Roman" w:hAnsi="Times New Roman" w:cs="Times New Roman"/>
          <w:sz w:val="28"/>
          <w:szCs w:val="28"/>
          <w:rtl/>
        </w:rPr>
        <w:t xml:space="preserve"> استبانة للعاملين في قطاع المطاعم </w:t>
      </w:r>
      <w:r w:rsidRPr="004675F9">
        <w:rPr>
          <w:rFonts w:ascii="Times New Roman" w:hAnsi="Times New Roman" w:cs="Times New Roman"/>
          <w:sz w:val="28"/>
          <w:szCs w:val="28"/>
        </w:rPr>
        <w:t>(50%)</w:t>
      </w:r>
    </w:p>
    <w:p w14:paraId="2E2BA857" w14:textId="37AFA35F" w:rsidR="009B2AEA" w:rsidRPr="004675F9" w:rsidRDefault="009B2AEA" w:rsidP="009B2AEA">
      <w:pPr>
        <w:bidi/>
        <w:rPr>
          <w:sz w:val="28"/>
          <w:szCs w:val="28"/>
          <w:rtl/>
        </w:rPr>
      </w:pPr>
      <w:r w:rsidRPr="004675F9">
        <w:rPr>
          <w:rFonts w:ascii="Times New Roman" w:hAnsi="Times New Roman" w:cs="Times New Roman"/>
          <w:sz w:val="28"/>
          <w:szCs w:val="28"/>
          <w:rtl/>
        </w:rPr>
        <w:t xml:space="preserve">تعتمد الدراسة في اختيار العينة على أسلوب </w:t>
      </w:r>
      <w:r w:rsidRPr="004675F9">
        <w:rPr>
          <w:rFonts w:ascii="Times New Roman" w:hAnsi="Times New Roman" w:cs="Times New Roman"/>
          <w:b/>
          <w:bCs/>
          <w:sz w:val="28"/>
          <w:szCs w:val="28"/>
          <w:rtl/>
        </w:rPr>
        <w:t>العينة ا</w:t>
      </w:r>
      <w:r w:rsidR="007346FA" w:rsidRPr="004675F9">
        <w:rPr>
          <w:rFonts w:ascii="Times New Roman" w:hAnsi="Times New Roman" w:cs="Times New Roman" w:hint="cs"/>
          <w:b/>
          <w:bCs/>
          <w:sz w:val="28"/>
          <w:szCs w:val="28"/>
          <w:rtl/>
        </w:rPr>
        <w:t>لعشوائية</w:t>
      </w:r>
      <w:r w:rsidRPr="004675F9">
        <w:rPr>
          <w:rFonts w:ascii="Times New Roman" w:hAnsi="Times New Roman" w:cs="Times New Roman"/>
          <w:sz w:val="28"/>
          <w:szCs w:val="28"/>
          <w:rtl/>
        </w:rPr>
        <w:t>، وهو الأسلوب الأكثر ملاءمة لطبيعة مجتمع الضيافة في مدينة الرياض نظرًا لتباينه الداخلي وتعدد فئاته المهنية. ويستند هذا الاختيار إلى الحاجة لتمثيل جميع الطبقات الوظيفية داخل كل من قطاعي الفنادق والمطاعم تمثيلًا يعكس نسب وجودها الفعلية في المجتمع؛ إذ يضم هذا القطاع مستويات تشغيلية وإشرافية وإدارية تختلف في أدوارها ومسؤولياتها، ومن ثم يُحتمل أن تختلف أيضًا في إدراكها لممارسات الموارد البشرية والثقافة التنظيمية والإبداع الوظيفي. ويتيح اعتماد العينة ال</w:t>
      </w:r>
      <w:r w:rsidR="007346FA" w:rsidRPr="004675F9">
        <w:rPr>
          <w:rFonts w:ascii="Times New Roman" w:hAnsi="Times New Roman" w:cs="Times New Roman" w:hint="cs"/>
          <w:sz w:val="28"/>
          <w:szCs w:val="28"/>
          <w:rtl/>
        </w:rPr>
        <w:t>عشوائية</w:t>
      </w:r>
      <w:r w:rsidRPr="004675F9">
        <w:rPr>
          <w:rFonts w:ascii="Times New Roman" w:hAnsi="Times New Roman" w:cs="Times New Roman"/>
          <w:sz w:val="28"/>
          <w:szCs w:val="28"/>
          <w:rtl/>
        </w:rPr>
        <w:t xml:space="preserve"> التعامل مع هذا التباين بطريقة منهجية، بحيث تُقسّم المنشآت إلى طبقات وفق المستوى الوظيفي أو الحجم المؤسسي، ثم يُسحب من كل طبقة عدد من الأفراد يتناسب مع وزنها النسبي في المجتمع</w:t>
      </w:r>
      <w:r w:rsidRPr="004675F9">
        <w:rPr>
          <w:rFonts w:ascii="Times New Roman" w:hAnsi="Times New Roman" w:cs="Times New Roman" w:hint="cs"/>
          <w:sz w:val="28"/>
          <w:szCs w:val="28"/>
          <w:rtl/>
        </w:rPr>
        <w:t xml:space="preserve">. </w:t>
      </w:r>
      <w:r w:rsidRPr="004675F9">
        <w:rPr>
          <w:sz w:val="28"/>
          <w:szCs w:val="28"/>
          <w:rtl/>
        </w:rPr>
        <w:t>ويُعد اعتماد العينة ال</w:t>
      </w:r>
      <w:r w:rsidR="007346FA" w:rsidRPr="004675F9">
        <w:rPr>
          <w:rFonts w:hint="cs"/>
          <w:sz w:val="28"/>
          <w:szCs w:val="28"/>
          <w:rtl/>
        </w:rPr>
        <w:t>عشوائية</w:t>
      </w:r>
      <w:r w:rsidRPr="004675F9">
        <w:rPr>
          <w:sz w:val="28"/>
          <w:szCs w:val="28"/>
          <w:rtl/>
        </w:rPr>
        <w:t xml:space="preserve"> خيارًا مناسبًا للدراسة؛ لأنه يحافظ على التوازن بين متطلبات الصرامة </w:t>
      </w:r>
      <w:r w:rsidRPr="004675F9">
        <w:rPr>
          <w:sz w:val="28"/>
          <w:szCs w:val="28"/>
          <w:rtl/>
        </w:rPr>
        <w:lastRenderedPageBreak/>
        <w:t>الإحصائية من جهة، وإمكانية التنفيذ في الميدان من جهة أخرى، كما يقلل من احتمالات تحيز التمثيل ويزيد من قدرة الدراسة على تعميم نتائجها ضمن حدود مجتمع الضيافة في مدينة الرياض</w:t>
      </w:r>
      <w:r w:rsidRPr="004675F9">
        <w:rPr>
          <w:sz w:val="28"/>
          <w:szCs w:val="28"/>
        </w:rPr>
        <w:t>.</w:t>
      </w:r>
    </w:p>
    <w:p w14:paraId="0F574C6D" w14:textId="67C19783" w:rsidR="00DE731D" w:rsidRPr="00F806C7" w:rsidRDefault="00DE731D" w:rsidP="009B2AEA">
      <w:pPr>
        <w:bidi/>
        <w:rPr>
          <w:rFonts w:ascii="Times New Roman" w:hAnsi="Times New Roman" w:cs="Times New Roman"/>
          <w:sz w:val="28"/>
          <w:szCs w:val="28"/>
        </w:rPr>
      </w:pPr>
      <w:r w:rsidRPr="004675F9">
        <w:rPr>
          <w:rFonts w:ascii="Times New Roman" w:hAnsi="Times New Roman" w:cs="Times New Roman"/>
          <w:sz w:val="28"/>
          <w:szCs w:val="28"/>
          <w:rtl/>
        </w:rPr>
        <w:t>أما في الجانب النوعي، ف</w:t>
      </w:r>
      <w:r w:rsidR="00581550" w:rsidRPr="004675F9">
        <w:rPr>
          <w:rFonts w:ascii="Times New Roman" w:hAnsi="Times New Roman" w:cs="Times New Roman" w:hint="cs"/>
          <w:sz w:val="28"/>
          <w:szCs w:val="28"/>
          <w:rtl/>
        </w:rPr>
        <w:t>سي</w:t>
      </w:r>
      <w:r w:rsidRPr="004675F9">
        <w:rPr>
          <w:rFonts w:ascii="Times New Roman" w:hAnsi="Times New Roman" w:cs="Times New Roman"/>
          <w:sz w:val="28"/>
          <w:szCs w:val="28"/>
          <w:rtl/>
        </w:rPr>
        <w:t xml:space="preserve">تم إجراء </w:t>
      </w:r>
      <w:r w:rsidR="000E496C" w:rsidRPr="004675F9">
        <w:rPr>
          <w:rFonts w:ascii="Times New Roman" w:hAnsi="Times New Roman" w:cs="Times New Roman" w:hint="cs"/>
          <w:sz w:val="28"/>
          <w:szCs w:val="28"/>
          <w:rtl/>
        </w:rPr>
        <w:t>100</w:t>
      </w:r>
      <w:r w:rsidRPr="004675F9">
        <w:rPr>
          <w:rFonts w:ascii="Times New Roman" w:hAnsi="Times New Roman" w:cs="Times New Roman"/>
          <w:sz w:val="28"/>
          <w:szCs w:val="28"/>
          <w:rtl/>
        </w:rPr>
        <w:t xml:space="preserve"> مقابلة شبه مهيكلة بواقع </w:t>
      </w:r>
      <w:r w:rsidR="000E496C" w:rsidRPr="004675F9">
        <w:rPr>
          <w:rFonts w:ascii="Times New Roman" w:hAnsi="Times New Roman" w:cs="Times New Roman" w:hint="cs"/>
          <w:sz w:val="28"/>
          <w:szCs w:val="28"/>
          <w:rtl/>
        </w:rPr>
        <w:t>50</w:t>
      </w:r>
      <w:r w:rsidRPr="004675F9">
        <w:rPr>
          <w:rFonts w:ascii="Times New Roman" w:hAnsi="Times New Roman" w:cs="Times New Roman"/>
          <w:sz w:val="28"/>
          <w:szCs w:val="28"/>
          <w:rtl/>
        </w:rPr>
        <w:t xml:space="preserve"> من كل قطاع، مع موظفين ومديرين يمثلون </w:t>
      </w:r>
      <w:r w:rsidR="00581550" w:rsidRPr="004675F9">
        <w:rPr>
          <w:rFonts w:ascii="Times New Roman" w:hAnsi="Times New Roman" w:cs="Times New Roman" w:hint="cs"/>
          <w:sz w:val="28"/>
          <w:szCs w:val="28"/>
          <w:rtl/>
        </w:rPr>
        <w:t>مستويات إدارية</w:t>
      </w:r>
      <w:r w:rsidRPr="004675F9">
        <w:rPr>
          <w:rFonts w:ascii="Times New Roman" w:hAnsi="Times New Roman" w:cs="Times New Roman"/>
          <w:sz w:val="28"/>
          <w:szCs w:val="28"/>
          <w:rtl/>
        </w:rPr>
        <w:t xml:space="preserve"> مختلفة، بغرض تعميق الفهم لتجاربهم الشخصية مع ممارسات</w:t>
      </w:r>
      <w:r w:rsidRPr="004675F9">
        <w:rPr>
          <w:rFonts w:ascii="Times New Roman" w:hAnsi="Times New Roman" w:cs="Times New Roman"/>
          <w:sz w:val="28"/>
          <w:szCs w:val="28"/>
        </w:rPr>
        <w:t xml:space="preserve"> HPWS </w:t>
      </w:r>
      <w:r w:rsidRPr="004675F9">
        <w:rPr>
          <w:rFonts w:ascii="Times New Roman" w:hAnsi="Times New Roman" w:cs="Times New Roman"/>
          <w:sz w:val="28"/>
          <w:szCs w:val="28"/>
          <w:rtl/>
        </w:rPr>
        <w:t>وتأثيرها في الإبداع</w:t>
      </w:r>
      <w:r w:rsidRPr="004675F9">
        <w:rPr>
          <w:rFonts w:ascii="Times New Roman" w:hAnsi="Times New Roman" w:cs="Times New Roman"/>
          <w:sz w:val="28"/>
          <w:szCs w:val="28"/>
        </w:rPr>
        <w:t>.</w:t>
      </w:r>
      <w:r w:rsidR="000E496C" w:rsidRPr="004675F9">
        <w:rPr>
          <w:rFonts w:ascii="Times New Roman" w:hAnsi="Times New Roman" w:cs="Times New Roman" w:hint="cs"/>
          <w:sz w:val="28"/>
          <w:szCs w:val="28"/>
          <w:rtl/>
        </w:rPr>
        <w:t xml:space="preserve"> وهذه النسبة تمثل 1:4 بالنسبة الي عدد الاستبانات التي ستوزع.</w:t>
      </w:r>
    </w:p>
    <w:p w14:paraId="231BAA2C"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3.4.4. معايير الاشتمال والاستبعاد</w:t>
      </w:r>
    </w:p>
    <w:p w14:paraId="775C12C7"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لضمان موثوقية البيانات، تم وضع معايير محددة لاختيار المشاركين</w:t>
      </w:r>
      <w:r w:rsidRPr="00F806C7">
        <w:rPr>
          <w:rFonts w:ascii="Times New Roman" w:hAnsi="Times New Roman" w:cs="Times New Roman"/>
          <w:sz w:val="28"/>
          <w:szCs w:val="28"/>
        </w:rPr>
        <w:t>:</w:t>
      </w:r>
    </w:p>
    <w:p w14:paraId="2249505C"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b/>
          <w:bCs/>
          <w:sz w:val="28"/>
          <w:szCs w:val="28"/>
          <w:rtl/>
        </w:rPr>
        <w:t>أولاً: معايير الاشتمال</w:t>
      </w:r>
    </w:p>
    <w:p w14:paraId="719C9AD5" w14:textId="77777777" w:rsidR="00DE731D" w:rsidRPr="00F806C7" w:rsidRDefault="00DE731D" w:rsidP="00DE731D">
      <w:pPr>
        <w:numPr>
          <w:ilvl w:val="0"/>
          <w:numId w:val="108"/>
        </w:numPr>
        <w:bidi/>
        <w:rPr>
          <w:rFonts w:ascii="Times New Roman" w:hAnsi="Times New Roman" w:cs="Times New Roman"/>
          <w:sz w:val="28"/>
          <w:szCs w:val="28"/>
        </w:rPr>
      </w:pPr>
      <w:r w:rsidRPr="00F806C7">
        <w:rPr>
          <w:rFonts w:ascii="Times New Roman" w:hAnsi="Times New Roman" w:cs="Times New Roman"/>
          <w:sz w:val="28"/>
          <w:szCs w:val="28"/>
          <w:rtl/>
        </w:rPr>
        <w:t>أن يكون المشارك موظفًا فعّالًا في إحدى المنشآت الفندقية أو المطاعم بالرياض</w:t>
      </w:r>
      <w:r w:rsidRPr="00F806C7">
        <w:rPr>
          <w:rFonts w:ascii="Times New Roman" w:hAnsi="Times New Roman" w:cs="Times New Roman"/>
          <w:sz w:val="28"/>
          <w:szCs w:val="28"/>
        </w:rPr>
        <w:t>.</w:t>
      </w:r>
    </w:p>
    <w:p w14:paraId="1FECCD2D" w14:textId="77777777" w:rsidR="00DE731D" w:rsidRPr="00F806C7" w:rsidRDefault="00DE731D" w:rsidP="00DE731D">
      <w:pPr>
        <w:numPr>
          <w:ilvl w:val="0"/>
          <w:numId w:val="108"/>
        </w:numPr>
        <w:bidi/>
        <w:rPr>
          <w:rFonts w:ascii="Times New Roman" w:hAnsi="Times New Roman" w:cs="Times New Roman"/>
          <w:sz w:val="28"/>
          <w:szCs w:val="28"/>
        </w:rPr>
      </w:pPr>
      <w:r w:rsidRPr="00F806C7">
        <w:rPr>
          <w:rFonts w:ascii="Times New Roman" w:hAnsi="Times New Roman" w:cs="Times New Roman"/>
          <w:sz w:val="28"/>
          <w:szCs w:val="28"/>
          <w:rtl/>
        </w:rPr>
        <w:t xml:space="preserve">أن يمتلك خبرة </w:t>
      </w:r>
      <w:r w:rsidRPr="00611E7E">
        <w:rPr>
          <w:rFonts w:ascii="Times New Roman" w:hAnsi="Times New Roman" w:cs="Times New Roman"/>
          <w:sz w:val="28"/>
          <w:szCs w:val="28"/>
          <w:rtl/>
        </w:rPr>
        <w:t>لا تقل عن سنة واحدة في</w:t>
      </w:r>
      <w:r w:rsidRPr="00F806C7">
        <w:rPr>
          <w:rFonts w:ascii="Times New Roman" w:hAnsi="Times New Roman" w:cs="Times New Roman"/>
          <w:sz w:val="28"/>
          <w:szCs w:val="28"/>
          <w:rtl/>
        </w:rPr>
        <w:t xml:space="preserve"> المؤسسة الحالية لضمان إدراكه الكافي لممارسات الموارد البشرية</w:t>
      </w:r>
      <w:r w:rsidRPr="00F806C7">
        <w:rPr>
          <w:rFonts w:ascii="Times New Roman" w:hAnsi="Times New Roman" w:cs="Times New Roman"/>
          <w:sz w:val="28"/>
          <w:szCs w:val="28"/>
        </w:rPr>
        <w:t>.</w:t>
      </w:r>
    </w:p>
    <w:p w14:paraId="5A87EB1F" w14:textId="77777777" w:rsidR="00DE731D" w:rsidRPr="00F806C7" w:rsidRDefault="00DE731D" w:rsidP="00DE731D">
      <w:pPr>
        <w:numPr>
          <w:ilvl w:val="0"/>
          <w:numId w:val="108"/>
        </w:numPr>
        <w:bidi/>
        <w:rPr>
          <w:rFonts w:ascii="Times New Roman" w:hAnsi="Times New Roman" w:cs="Times New Roman"/>
          <w:sz w:val="28"/>
          <w:szCs w:val="28"/>
        </w:rPr>
      </w:pPr>
      <w:r w:rsidRPr="00F806C7">
        <w:rPr>
          <w:rFonts w:ascii="Times New Roman" w:hAnsi="Times New Roman" w:cs="Times New Roman"/>
          <w:sz w:val="28"/>
          <w:szCs w:val="28"/>
          <w:rtl/>
        </w:rPr>
        <w:t xml:space="preserve">أن يكون على اطلاع مباشر أو غير مباشر على ممارسات العمل الداخلية التي تدخل ضمن مفهوم </w:t>
      </w:r>
      <w:r w:rsidRPr="00F806C7">
        <w:rPr>
          <w:rFonts w:ascii="Times New Roman" w:hAnsi="Times New Roman" w:cs="Times New Roman"/>
          <w:sz w:val="28"/>
          <w:szCs w:val="28"/>
        </w:rPr>
        <w:t>HPWS</w:t>
      </w:r>
      <w:r w:rsidRPr="00F806C7">
        <w:rPr>
          <w:rFonts w:ascii="Times New Roman" w:hAnsi="Times New Roman" w:cs="Times New Roman"/>
          <w:sz w:val="28"/>
          <w:szCs w:val="28"/>
          <w:rtl/>
        </w:rPr>
        <w:t>.</w:t>
      </w:r>
    </w:p>
    <w:p w14:paraId="2B53F1CF" w14:textId="77777777" w:rsidR="00DE731D" w:rsidRPr="00F806C7" w:rsidRDefault="00DE731D" w:rsidP="00DE731D">
      <w:pPr>
        <w:numPr>
          <w:ilvl w:val="0"/>
          <w:numId w:val="108"/>
        </w:numPr>
        <w:bidi/>
        <w:rPr>
          <w:rFonts w:ascii="Times New Roman" w:hAnsi="Times New Roman" w:cs="Times New Roman"/>
          <w:sz w:val="28"/>
          <w:szCs w:val="28"/>
        </w:rPr>
      </w:pPr>
      <w:r w:rsidRPr="00F806C7">
        <w:rPr>
          <w:rFonts w:ascii="Times New Roman" w:hAnsi="Times New Roman" w:cs="Times New Roman"/>
          <w:sz w:val="28"/>
          <w:szCs w:val="28"/>
          <w:rtl/>
        </w:rPr>
        <w:t>الموافقة الطوعية على المشاركة في الدراسة بعد الاطلاع على نموذج الموافقة المستنيرة</w:t>
      </w:r>
      <w:r w:rsidRPr="00F806C7">
        <w:rPr>
          <w:rFonts w:ascii="Times New Roman" w:hAnsi="Times New Roman" w:cs="Times New Roman"/>
          <w:sz w:val="28"/>
          <w:szCs w:val="28"/>
        </w:rPr>
        <w:t>.</w:t>
      </w:r>
    </w:p>
    <w:p w14:paraId="4E705B1B"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b/>
          <w:bCs/>
          <w:sz w:val="28"/>
          <w:szCs w:val="28"/>
          <w:rtl/>
        </w:rPr>
        <w:t>ثانيًا: معايير الاستبعاد</w:t>
      </w:r>
    </w:p>
    <w:p w14:paraId="4763EA88" w14:textId="77777777" w:rsidR="00DE731D" w:rsidRPr="00F806C7" w:rsidRDefault="00DE731D" w:rsidP="00DE731D">
      <w:pPr>
        <w:numPr>
          <w:ilvl w:val="0"/>
          <w:numId w:val="109"/>
        </w:numPr>
        <w:bidi/>
        <w:rPr>
          <w:rFonts w:ascii="Times New Roman" w:hAnsi="Times New Roman" w:cs="Times New Roman"/>
          <w:sz w:val="28"/>
          <w:szCs w:val="28"/>
        </w:rPr>
      </w:pPr>
      <w:r w:rsidRPr="00F806C7">
        <w:rPr>
          <w:rFonts w:ascii="Times New Roman" w:hAnsi="Times New Roman" w:cs="Times New Roman"/>
          <w:sz w:val="28"/>
          <w:szCs w:val="28"/>
          <w:rtl/>
        </w:rPr>
        <w:t>العاملون بدوام جزئي أو موسمي</w:t>
      </w:r>
      <w:r w:rsidRPr="00F806C7">
        <w:rPr>
          <w:rFonts w:ascii="Times New Roman" w:hAnsi="Times New Roman" w:cs="Times New Roman"/>
          <w:sz w:val="28"/>
          <w:szCs w:val="28"/>
        </w:rPr>
        <w:t>.</w:t>
      </w:r>
    </w:p>
    <w:p w14:paraId="5F29476F" w14:textId="77777777" w:rsidR="00DE731D" w:rsidRPr="00F806C7" w:rsidRDefault="00DE731D" w:rsidP="00DE731D">
      <w:pPr>
        <w:numPr>
          <w:ilvl w:val="0"/>
          <w:numId w:val="109"/>
        </w:numPr>
        <w:bidi/>
        <w:rPr>
          <w:rFonts w:ascii="Times New Roman" w:hAnsi="Times New Roman" w:cs="Times New Roman"/>
          <w:sz w:val="28"/>
          <w:szCs w:val="28"/>
        </w:rPr>
      </w:pPr>
      <w:r w:rsidRPr="00F806C7">
        <w:rPr>
          <w:rFonts w:ascii="Times New Roman" w:hAnsi="Times New Roman" w:cs="Times New Roman"/>
          <w:sz w:val="28"/>
          <w:szCs w:val="28"/>
          <w:rtl/>
        </w:rPr>
        <w:t>المتدربون أو طلاب التدريب التعاوني</w:t>
      </w:r>
      <w:r w:rsidRPr="00F806C7">
        <w:rPr>
          <w:rFonts w:ascii="Times New Roman" w:hAnsi="Times New Roman" w:cs="Times New Roman"/>
          <w:sz w:val="28"/>
          <w:szCs w:val="28"/>
        </w:rPr>
        <w:t>.</w:t>
      </w:r>
    </w:p>
    <w:p w14:paraId="4DA659F8" w14:textId="77777777" w:rsidR="00DE731D" w:rsidRPr="00F806C7" w:rsidRDefault="00DE731D" w:rsidP="00DE731D">
      <w:pPr>
        <w:numPr>
          <w:ilvl w:val="0"/>
          <w:numId w:val="109"/>
        </w:numPr>
        <w:bidi/>
        <w:rPr>
          <w:rFonts w:ascii="Times New Roman" w:hAnsi="Times New Roman" w:cs="Times New Roman"/>
          <w:sz w:val="28"/>
          <w:szCs w:val="28"/>
        </w:rPr>
      </w:pPr>
      <w:r w:rsidRPr="00F806C7">
        <w:rPr>
          <w:rFonts w:ascii="Times New Roman" w:hAnsi="Times New Roman" w:cs="Times New Roman"/>
          <w:sz w:val="28"/>
          <w:szCs w:val="28"/>
          <w:rtl/>
        </w:rPr>
        <w:t>الموظفون الذين تقل فترة عملهم عن ستة أشهر في المؤسسة</w:t>
      </w:r>
      <w:r w:rsidRPr="00F806C7">
        <w:rPr>
          <w:rFonts w:ascii="Times New Roman" w:hAnsi="Times New Roman" w:cs="Times New Roman"/>
          <w:sz w:val="28"/>
          <w:szCs w:val="28"/>
        </w:rPr>
        <w:t>.</w:t>
      </w:r>
    </w:p>
    <w:p w14:paraId="01D66779" w14:textId="77777777" w:rsidR="00DE731D" w:rsidRPr="00F806C7" w:rsidRDefault="00DE731D" w:rsidP="00DE731D">
      <w:pPr>
        <w:numPr>
          <w:ilvl w:val="0"/>
          <w:numId w:val="109"/>
        </w:numPr>
        <w:bidi/>
        <w:rPr>
          <w:rFonts w:ascii="Times New Roman" w:hAnsi="Times New Roman" w:cs="Times New Roman"/>
          <w:sz w:val="28"/>
          <w:szCs w:val="28"/>
        </w:rPr>
      </w:pPr>
      <w:r w:rsidRPr="00F806C7">
        <w:rPr>
          <w:rFonts w:ascii="Times New Roman" w:hAnsi="Times New Roman" w:cs="Times New Roman"/>
          <w:sz w:val="28"/>
          <w:szCs w:val="28"/>
          <w:rtl/>
        </w:rPr>
        <w:t>المشاركون الذين لم يستكملوا الاستبيان أو أبدوا إجابات غير متسقة</w:t>
      </w:r>
      <w:r w:rsidRPr="00F806C7">
        <w:rPr>
          <w:rFonts w:ascii="Times New Roman" w:hAnsi="Times New Roman" w:cs="Times New Roman"/>
          <w:sz w:val="28"/>
          <w:szCs w:val="28"/>
        </w:rPr>
        <w:t>.</w:t>
      </w:r>
    </w:p>
    <w:p w14:paraId="194C4169"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تطبيق هذه المعايير يهدف إلى تعزيز دقة النتائج وتقليل التحيزات المحتملة الناتجة عن تجارب غير مستقرة أو محدودة زمنياً</w:t>
      </w:r>
      <w:r w:rsidRPr="00F806C7">
        <w:rPr>
          <w:rFonts w:ascii="Times New Roman" w:hAnsi="Times New Roman" w:cs="Times New Roman"/>
          <w:sz w:val="28"/>
          <w:szCs w:val="28"/>
        </w:rPr>
        <w:t>.</w:t>
      </w:r>
    </w:p>
    <w:p w14:paraId="1D761252"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3.4.5. حدود التمثيل وإمكانية التعميم</w:t>
      </w:r>
    </w:p>
    <w:p w14:paraId="55A98E9B" w14:textId="21C24DAF"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على الرغم من استخدام أسلوب السحب </w:t>
      </w:r>
      <w:r w:rsidR="002205B5">
        <w:rPr>
          <w:rFonts w:ascii="Times New Roman" w:hAnsi="Times New Roman" w:cs="Times New Roman" w:hint="cs"/>
          <w:sz w:val="28"/>
          <w:szCs w:val="28"/>
          <w:rtl/>
        </w:rPr>
        <w:t>العشوائي</w:t>
      </w:r>
      <w:r w:rsidRPr="00F806C7">
        <w:rPr>
          <w:rFonts w:ascii="Times New Roman" w:hAnsi="Times New Roman" w:cs="Times New Roman"/>
          <w:sz w:val="28"/>
          <w:szCs w:val="28"/>
          <w:rtl/>
        </w:rPr>
        <w:t xml:space="preserve"> الذي يعزز تمثيل العينة، فإن نتائج الدراسة تعبر بشكل أساسي عن قطاعي الفنادق والمطاعم في مدينة الرياض، وقد تختلف عن مناطق أخرى في المملكة نتيجة للتباينات التنظيمية والثقافية. ومع ذلك، فإن استخدام حجم عينة كافٍ وتوزيعها العادل بين القطاعات يتيح تعميمًا إحصائيًا نسبيًا على بيئات عمل خدمية مشابهة ضمن السياق السعودي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&lt;EndNote&gt;&lt;Cite&gt;&lt;Author&gt;Saunders&lt;/Author&gt;&lt;Year&gt;2009&lt;/Year&gt;&lt;RecNum&gt;2932&lt;/RecNum&gt;&lt;DisplayText&gt;(Saunders et al., 2009)&lt;/DisplayText&gt;&lt;record&gt;&lt;rec-number&gt;2932&lt;/rec-number&gt;&lt;foreign-keys&gt;&lt;key app="EN" db-id="t5vttv59or5xwbe2zdm5ewrxd905arrpawff" timestamp="1752339130"&gt;2932&lt;/key&gt;&lt;/foreign-keys&gt;&lt;ref-type name="Book"&gt;6&lt;/ref-type&gt;&lt;contributors&gt;&lt;authors&gt;&lt;author&gt;Saunders, Mark&lt;/author&gt;&lt;author&gt;Lewis, Philip&lt;/author&gt;&lt;author&gt;Thornhill, Adrian&lt;/author&gt;&lt;/authors&gt;&lt;/contributors&gt;&lt;titles&gt;&lt;title&gt;Research methods</w:instrText>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for business students&lt;/title&gt;&lt;/titles&gt;&lt;dates&gt;&lt;year&gt;2009&lt;/year&gt;&lt;/dates&gt;&lt;publisher&gt;Pearson education&lt;/publisher&gt;&lt;isbn&gt;0273716867&lt;/isbn&gt;&lt;urls&gt;&lt;/urls&gt;&lt;/record&gt;&lt;/Cite&gt;&lt;/EndNote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Saunders et al., 2009</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w:t>
      </w:r>
    </w:p>
    <w:p w14:paraId="64D0C0B3" w14:textId="77777777" w:rsidR="00DE731D" w:rsidRPr="004675F9"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lastRenderedPageBreak/>
        <w:t xml:space="preserve">وتدعم منهجية الجمع بين البيانات الكمية والنوعية هذا التعميم من خلال التحقق المتقاطع للنتائج </w:t>
      </w:r>
      <w:r w:rsidRPr="00F806C7">
        <w:rPr>
          <w:rFonts w:ascii="Times New Roman" w:hAnsi="Times New Roman" w:cs="Times New Roman"/>
          <w:sz w:val="28"/>
          <w:szCs w:val="28"/>
        </w:rPr>
        <w:t>(</w:t>
      </w:r>
      <w:r w:rsidRPr="004675F9">
        <w:rPr>
          <w:rFonts w:ascii="Times New Roman" w:hAnsi="Times New Roman" w:cs="Times New Roman"/>
          <w:sz w:val="28"/>
          <w:szCs w:val="28"/>
        </w:rPr>
        <w:t>Triangulation)</w:t>
      </w:r>
      <w:r w:rsidRPr="004675F9">
        <w:rPr>
          <w:rFonts w:ascii="Times New Roman" w:hAnsi="Times New Roman" w:cs="Times New Roman"/>
          <w:sz w:val="28"/>
          <w:szCs w:val="28"/>
          <w:rtl/>
        </w:rPr>
        <w:t>، مما يزيد من مصداقية الاستنتاجات العلمية ويعزز صلاحية النموذج المقترح لتطبيق أنظمة العمل عالية الأداء في قطاعات الضيافة الأخرى بالمملكة</w:t>
      </w:r>
      <w:r w:rsidRPr="004675F9">
        <w:rPr>
          <w:rFonts w:ascii="Times New Roman" w:hAnsi="Times New Roman" w:cs="Times New Roman"/>
          <w:sz w:val="28"/>
          <w:szCs w:val="28"/>
        </w:rPr>
        <w:t>.</w:t>
      </w:r>
    </w:p>
    <w:p w14:paraId="377D7E8D" w14:textId="77777777" w:rsidR="00DE731D" w:rsidRPr="004675F9" w:rsidRDefault="00DE731D" w:rsidP="00DE731D">
      <w:pPr>
        <w:bidi/>
        <w:rPr>
          <w:rFonts w:ascii="Times New Roman" w:hAnsi="Times New Roman" w:cs="Times New Roman"/>
          <w:b/>
          <w:bCs/>
          <w:sz w:val="28"/>
          <w:szCs w:val="28"/>
        </w:rPr>
      </w:pPr>
      <w:r w:rsidRPr="004675F9">
        <w:rPr>
          <w:rFonts w:ascii="Times New Roman" w:hAnsi="Times New Roman" w:cs="Times New Roman"/>
          <w:b/>
          <w:bCs/>
          <w:sz w:val="28"/>
          <w:szCs w:val="28"/>
          <w:rtl/>
        </w:rPr>
        <w:t>3.5. أدوات جمع البيانات</w:t>
      </w:r>
    </w:p>
    <w:p w14:paraId="646CB3CC" w14:textId="682B6861" w:rsidR="00DE731D" w:rsidRPr="004675F9" w:rsidRDefault="00DE731D" w:rsidP="00DE731D">
      <w:pPr>
        <w:bidi/>
        <w:rPr>
          <w:rFonts w:ascii="Times New Roman" w:hAnsi="Times New Roman" w:cs="Times New Roman"/>
          <w:sz w:val="28"/>
          <w:szCs w:val="28"/>
        </w:rPr>
      </w:pPr>
      <w:r w:rsidRPr="004675F9">
        <w:rPr>
          <w:rFonts w:ascii="Times New Roman" w:hAnsi="Times New Roman" w:cs="Times New Roman"/>
          <w:sz w:val="28"/>
          <w:szCs w:val="28"/>
          <w:rtl/>
        </w:rPr>
        <w:t xml:space="preserve">نظرًا لطبيعة الدراسة التي تعتمد </w:t>
      </w:r>
      <w:r w:rsidR="00581550" w:rsidRPr="004675F9">
        <w:rPr>
          <w:rFonts w:ascii="Times New Roman" w:hAnsi="Times New Roman" w:cs="Times New Roman" w:hint="cs"/>
          <w:sz w:val="28"/>
          <w:szCs w:val="28"/>
          <w:rtl/>
        </w:rPr>
        <w:t>التصميم</w:t>
      </w:r>
      <w:r w:rsidRPr="004675F9">
        <w:rPr>
          <w:rFonts w:ascii="Times New Roman" w:hAnsi="Times New Roman" w:cs="Times New Roman"/>
          <w:sz w:val="28"/>
          <w:szCs w:val="28"/>
          <w:rtl/>
        </w:rPr>
        <w:t xml:space="preserve"> </w:t>
      </w:r>
      <w:r w:rsidR="002803E2">
        <w:rPr>
          <w:rFonts w:ascii="Times New Roman" w:hAnsi="Times New Roman" w:cs="Times New Roman" w:hint="cs"/>
          <w:sz w:val="28"/>
          <w:szCs w:val="28"/>
          <w:rtl/>
          <w:lang w:bidi="ar-EG"/>
        </w:rPr>
        <w:t>الكمي</w:t>
      </w:r>
      <w:r w:rsidRPr="004675F9">
        <w:rPr>
          <w:rFonts w:ascii="Times New Roman" w:hAnsi="Times New Roman" w:cs="Times New Roman"/>
          <w:sz w:val="28"/>
          <w:szCs w:val="28"/>
          <w:rtl/>
        </w:rPr>
        <w:t>، فقد تم استخدام أداتين رئيسيتين لجمع البيانات</w:t>
      </w:r>
      <w:r w:rsidRPr="004675F9">
        <w:rPr>
          <w:rFonts w:ascii="Times New Roman" w:hAnsi="Times New Roman" w:cs="Times New Roman"/>
          <w:sz w:val="28"/>
          <w:szCs w:val="28"/>
        </w:rPr>
        <w:t>:</w:t>
      </w:r>
    </w:p>
    <w:p w14:paraId="393A8B60" w14:textId="77777777" w:rsidR="00DE731D" w:rsidRPr="004675F9" w:rsidRDefault="00DE731D" w:rsidP="00DE731D">
      <w:pPr>
        <w:numPr>
          <w:ilvl w:val="0"/>
          <w:numId w:val="110"/>
        </w:numPr>
        <w:bidi/>
        <w:rPr>
          <w:rFonts w:ascii="Times New Roman" w:hAnsi="Times New Roman" w:cs="Times New Roman"/>
          <w:sz w:val="28"/>
          <w:szCs w:val="28"/>
        </w:rPr>
      </w:pPr>
      <w:r w:rsidRPr="004675F9">
        <w:rPr>
          <w:rFonts w:ascii="Times New Roman" w:hAnsi="Times New Roman" w:cs="Times New Roman"/>
          <w:sz w:val="28"/>
          <w:szCs w:val="28"/>
          <w:rtl/>
        </w:rPr>
        <w:t>الاستبيان لجمع البيانات الكمية من عينة واسعة من العاملين في قطاعي الفنادق والمطاعم بمدينة الرياض</w:t>
      </w:r>
      <w:r w:rsidRPr="004675F9">
        <w:rPr>
          <w:rFonts w:ascii="Times New Roman" w:hAnsi="Times New Roman" w:cs="Times New Roman"/>
          <w:sz w:val="28"/>
          <w:szCs w:val="28"/>
        </w:rPr>
        <w:t>.</w:t>
      </w:r>
    </w:p>
    <w:p w14:paraId="1601BBCB" w14:textId="77777777" w:rsidR="00DE731D" w:rsidRPr="004675F9" w:rsidRDefault="00DE731D" w:rsidP="00DE731D">
      <w:pPr>
        <w:numPr>
          <w:ilvl w:val="0"/>
          <w:numId w:val="110"/>
        </w:numPr>
        <w:bidi/>
        <w:rPr>
          <w:rFonts w:ascii="Times New Roman" w:hAnsi="Times New Roman" w:cs="Times New Roman"/>
          <w:sz w:val="28"/>
          <w:szCs w:val="28"/>
        </w:rPr>
      </w:pPr>
      <w:r w:rsidRPr="004675F9">
        <w:rPr>
          <w:rFonts w:ascii="Times New Roman" w:hAnsi="Times New Roman" w:cs="Times New Roman"/>
          <w:sz w:val="28"/>
          <w:szCs w:val="28"/>
          <w:rtl/>
        </w:rPr>
        <w:t>المقابلات شبه المهيكلة لجمع البيانات النوعية بهدف تعميق فهم الظاهرة وتفسير العلاقات التي تكشفها التحليلات الإحصائية</w:t>
      </w:r>
      <w:r w:rsidRPr="004675F9">
        <w:rPr>
          <w:rFonts w:ascii="Times New Roman" w:hAnsi="Times New Roman" w:cs="Times New Roman"/>
          <w:sz w:val="28"/>
          <w:szCs w:val="28"/>
        </w:rPr>
        <w:t>.</w:t>
      </w:r>
    </w:p>
    <w:p w14:paraId="5B8E0D06" w14:textId="77777777" w:rsidR="00DE731D" w:rsidRPr="00F806C7" w:rsidRDefault="00DE731D" w:rsidP="00DE731D">
      <w:pPr>
        <w:bidi/>
        <w:rPr>
          <w:rFonts w:ascii="Times New Roman" w:hAnsi="Times New Roman" w:cs="Times New Roman"/>
          <w:sz w:val="28"/>
          <w:szCs w:val="28"/>
        </w:rPr>
      </w:pPr>
      <w:r w:rsidRPr="004675F9">
        <w:rPr>
          <w:rFonts w:ascii="Times New Roman" w:hAnsi="Times New Roman" w:cs="Times New Roman"/>
          <w:sz w:val="28"/>
          <w:szCs w:val="28"/>
          <w:rtl/>
        </w:rPr>
        <w:t>يُتيح هذا التكامل بين الأداتين تحقيق التثليث المنهجي</w:t>
      </w:r>
      <w:r w:rsidRPr="004675F9">
        <w:rPr>
          <w:rFonts w:ascii="Times New Roman" w:hAnsi="Times New Roman" w:cs="Times New Roman"/>
          <w:sz w:val="28"/>
          <w:szCs w:val="28"/>
        </w:rPr>
        <w:t xml:space="preserve"> (Methodological Triangulation) </w:t>
      </w:r>
      <w:r w:rsidRPr="004675F9">
        <w:rPr>
          <w:rFonts w:ascii="Times New Roman" w:hAnsi="Times New Roman" w:cs="Times New Roman"/>
          <w:sz w:val="28"/>
          <w:szCs w:val="28"/>
          <w:rtl/>
        </w:rPr>
        <w:t>الذي يُعزّز من موثوقية النتائج وصلاحية الاستنتاجات العلمية</w:t>
      </w:r>
      <w:r w:rsidRPr="00F806C7">
        <w:rPr>
          <w:rFonts w:ascii="Times New Roman" w:hAnsi="Times New Roman" w:cs="Times New Roman"/>
          <w:sz w:val="28"/>
          <w:szCs w:val="28"/>
          <w:rtl/>
        </w:rPr>
        <w:t xml:space="preserve">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&lt;EndNote&gt;&lt;Cite&gt;&lt;Author&gt;Creswell&lt;/Author&gt;&lt;Year&gt;2017&lt;/Year&gt;&lt;RecNum&gt;1989&lt;/RecNum&gt;&lt;DisplayText&gt;(Creswell and Clark, 2017)&lt;/DisplayText&gt;&lt;record&gt;&lt;rec-number&gt;1989&lt;/rec-number&gt;&lt;foreign-keys&gt;&lt;key app="EN" db-id="t5vttv59or5xwbe2zdm5ewrxd905arrpawff</w:instrText>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timestamp="1738335353"&gt;1989&lt;/key&gt;&lt;/foreign-keys&gt;&lt;ref-type name="Book"&gt;6&lt;/ref-type&gt;&lt;contributors&gt;&lt;authors&gt;&lt;author&gt;Creswell, John W&lt;/author&gt;&lt;author&gt;Clark, Vicki L Plano&lt;/author&gt;&lt;/authors&gt;&lt;/contributors&gt;&lt;titles&gt;&lt;title&gt;Designing and conducting mixed methods</w:instrText>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research&lt;/title&gt;&lt;/titles&gt;&lt;dates&gt;&lt;year&gt;2017&lt;/year&gt;&lt;/dates&gt;&lt;publisher&gt;Sage publications&lt;/publisher&gt;&lt;isbn&gt;148334701X&lt;/isbn&gt;&lt;urls&gt;&lt;/urls&gt;&lt;/record&gt;&lt;/Cite&gt;&lt;/EndNote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Creswell and Clark, 2017</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w:t>
      </w:r>
    </w:p>
    <w:p w14:paraId="73967472"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3.5.1. الاستبيان كأداة للقياس الكمي</w:t>
      </w:r>
    </w:p>
    <w:p w14:paraId="6DFE2E60"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(أ) بناء الأداة ومصادرها النظرية</w:t>
      </w:r>
    </w:p>
    <w:p w14:paraId="4B46078B" w14:textId="3B1188A2"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تم تطوير الاستبيان بالاستناد إلى مجموعة من الأدبيات والنماذج القياسية التي تناولت مفهوم أنظمة العمل عالية الأداء</w:t>
      </w:r>
      <w:r w:rsidRPr="00F806C7">
        <w:rPr>
          <w:rFonts w:ascii="Times New Roman" w:hAnsi="Times New Roman" w:cs="Times New Roman"/>
          <w:sz w:val="28"/>
          <w:szCs w:val="28"/>
        </w:rPr>
        <w:t xml:space="preserve"> (HPWS)</w:t>
      </w:r>
      <w:r w:rsidRPr="00F806C7">
        <w:rPr>
          <w:rFonts w:ascii="Times New Roman" w:hAnsi="Times New Roman" w:cs="Times New Roman"/>
          <w:sz w:val="28"/>
          <w:szCs w:val="28"/>
          <w:rtl/>
        </w:rPr>
        <w:t xml:space="preserve"> وعلاقتها بالأداء الإبداعي والثقافة التنظيمية. وقد استند بناء الأداة إلى مزيج من المقاييس المعتمدة في الدراسات العالمية والعربية الحديثة، مع تكييفها بما يتناسب مع البيئة السعودية من حيث اللغة والسياق الثقافي والتنظيمي</w:t>
      </w:r>
      <w:r w:rsidRPr="00F806C7">
        <w:rPr>
          <w:rFonts w:ascii="Times New Roman" w:hAnsi="Times New Roman" w:cs="Times New Roman"/>
          <w:sz w:val="28"/>
          <w:szCs w:val="28"/>
        </w:rPr>
        <w:t>.</w:t>
      </w:r>
    </w:p>
    <w:p w14:paraId="589C4446"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تمت صياغة بنود الاستبيان استنادًا إلى نماذج كلٍّ من</w:t>
      </w:r>
      <w:r w:rsidRPr="00F806C7">
        <w:rPr>
          <w:rFonts w:ascii="Times New Roman" w:hAnsi="Times New Roman" w:cs="Times New Roman"/>
          <w:sz w:val="28"/>
          <w:szCs w:val="28"/>
        </w:rPr>
        <w:t>:</w:t>
      </w:r>
    </w:p>
    <w:p w14:paraId="7DF41707" w14:textId="77777777" w:rsidR="00DE731D" w:rsidRPr="00F806C7" w:rsidRDefault="00DE731D" w:rsidP="00DE731D">
      <w:pPr>
        <w:numPr>
          <w:ilvl w:val="0"/>
          <w:numId w:val="111"/>
        </w:numPr>
        <w:bidi/>
        <w:rPr>
          <w:rFonts w:ascii="Times New Roman" w:hAnsi="Times New Roman" w:cs="Times New Roman"/>
          <w:sz w:val="28"/>
          <w:szCs w:val="28"/>
        </w:rPr>
      </w:pPr>
      <w:r w:rsidRPr="00F806C7">
        <w:rPr>
          <w:rFonts w:ascii="Times New Roman" w:hAnsi="Times New Roman" w:cs="Times New Roman"/>
          <w:sz w:val="28"/>
          <w:szCs w:val="28"/>
        </w:rPr>
        <w:t>Sun, Aryee, &amp; Law (2007)</w:t>
      </w:r>
      <w:r w:rsidRPr="00F806C7">
        <w:rPr>
          <w:rFonts w:ascii="Times New Roman" w:hAnsi="Times New Roman" w:cs="Times New Roman"/>
          <w:sz w:val="28"/>
          <w:szCs w:val="28"/>
          <w:rtl/>
        </w:rPr>
        <w:t xml:space="preserve"> الذين طوروا مقياسًا شاملاً لممارسات</w:t>
      </w:r>
      <w:r w:rsidRPr="00F806C7">
        <w:rPr>
          <w:rFonts w:ascii="Times New Roman" w:hAnsi="Times New Roman" w:cs="Times New Roman"/>
          <w:sz w:val="28"/>
          <w:szCs w:val="28"/>
        </w:rPr>
        <w:t xml:space="preserve"> HPWS </w:t>
      </w:r>
      <w:r w:rsidRPr="00F806C7">
        <w:rPr>
          <w:rFonts w:ascii="Times New Roman" w:hAnsi="Times New Roman" w:cs="Times New Roman"/>
          <w:sz w:val="28"/>
          <w:szCs w:val="28"/>
          <w:rtl/>
        </w:rPr>
        <w:t>في بيئة الخدمات</w:t>
      </w:r>
      <w:r w:rsidRPr="00F806C7">
        <w:rPr>
          <w:rFonts w:ascii="Times New Roman" w:hAnsi="Times New Roman" w:cs="Times New Roman"/>
          <w:sz w:val="28"/>
          <w:szCs w:val="28"/>
        </w:rPr>
        <w:t>.</w:t>
      </w:r>
    </w:p>
    <w:p w14:paraId="18247370" w14:textId="77777777" w:rsidR="00DE731D" w:rsidRPr="00F806C7" w:rsidRDefault="00DE731D" w:rsidP="00DE731D">
      <w:pPr>
        <w:numPr>
          <w:ilvl w:val="0"/>
          <w:numId w:val="111"/>
        </w:numPr>
        <w:bidi/>
        <w:rPr>
          <w:rFonts w:ascii="Times New Roman" w:hAnsi="Times New Roman" w:cs="Times New Roman"/>
          <w:sz w:val="28"/>
          <w:szCs w:val="28"/>
        </w:rPr>
      </w:pPr>
      <w:r w:rsidRPr="00F806C7">
        <w:rPr>
          <w:rFonts w:ascii="Times New Roman" w:hAnsi="Times New Roman" w:cs="Times New Roman"/>
          <w:sz w:val="28"/>
          <w:szCs w:val="28"/>
        </w:rPr>
        <w:t>Kehoe &amp; Wright (2013)</w:t>
      </w:r>
      <w:r w:rsidRPr="00F806C7">
        <w:rPr>
          <w:rFonts w:ascii="Times New Roman" w:hAnsi="Times New Roman" w:cs="Times New Roman"/>
          <w:sz w:val="28"/>
          <w:szCs w:val="28"/>
          <w:rtl/>
        </w:rPr>
        <w:t xml:space="preserve"> الذين ركزوا على العلاقة بين</w:t>
      </w:r>
      <w:r w:rsidRPr="00F806C7">
        <w:rPr>
          <w:rFonts w:ascii="Times New Roman" w:hAnsi="Times New Roman" w:cs="Times New Roman"/>
          <w:sz w:val="28"/>
          <w:szCs w:val="28"/>
        </w:rPr>
        <w:t xml:space="preserve"> HPWS </w:t>
      </w:r>
      <w:r w:rsidRPr="00F806C7">
        <w:rPr>
          <w:rFonts w:ascii="Times New Roman" w:hAnsi="Times New Roman" w:cs="Times New Roman"/>
          <w:sz w:val="28"/>
          <w:szCs w:val="28"/>
          <w:rtl/>
        </w:rPr>
        <w:t>والمخرجات السلوكية للموظفين</w:t>
      </w:r>
      <w:r w:rsidRPr="00F806C7">
        <w:rPr>
          <w:rFonts w:ascii="Times New Roman" w:hAnsi="Times New Roman" w:cs="Times New Roman"/>
          <w:sz w:val="28"/>
          <w:szCs w:val="28"/>
        </w:rPr>
        <w:t>.</w:t>
      </w:r>
    </w:p>
    <w:p w14:paraId="496D47F5" w14:textId="77777777" w:rsidR="00DE731D" w:rsidRPr="004675F9" w:rsidRDefault="00DE731D" w:rsidP="00DE731D">
      <w:pPr>
        <w:numPr>
          <w:ilvl w:val="0"/>
          <w:numId w:val="111"/>
        </w:numPr>
        <w:bidi/>
        <w:rPr>
          <w:rFonts w:ascii="Times New Roman" w:hAnsi="Times New Roman" w:cs="Times New Roman"/>
          <w:sz w:val="28"/>
          <w:szCs w:val="28"/>
        </w:rPr>
      </w:pPr>
      <w:r w:rsidRPr="00F806C7">
        <w:rPr>
          <w:rFonts w:ascii="Times New Roman" w:hAnsi="Times New Roman" w:cs="Times New Roman"/>
          <w:sz w:val="28"/>
          <w:szCs w:val="28"/>
        </w:rPr>
        <w:t>Jiang et al. (</w:t>
      </w:r>
      <w:r w:rsidRPr="004675F9">
        <w:rPr>
          <w:rFonts w:ascii="Times New Roman" w:hAnsi="Times New Roman" w:cs="Times New Roman"/>
          <w:sz w:val="28"/>
          <w:szCs w:val="28"/>
        </w:rPr>
        <w:t>2012)</w:t>
      </w:r>
      <w:r w:rsidRPr="004675F9">
        <w:rPr>
          <w:rFonts w:ascii="Times New Roman" w:hAnsi="Times New Roman" w:cs="Times New Roman"/>
          <w:sz w:val="28"/>
          <w:szCs w:val="28"/>
          <w:rtl/>
        </w:rPr>
        <w:t xml:space="preserve"> الذين قدموا إطارًا ثلاثي الأبعاد يربط</w:t>
      </w:r>
      <w:r w:rsidRPr="004675F9">
        <w:rPr>
          <w:rFonts w:ascii="Times New Roman" w:hAnsi="Times New Roman" w:cs="Times New Roman"/>
          <w:sz w:val="28"/>
          <w:szCs w:val="28"/>
        </w:rPr>
        <w:t xml:space="preserve"> HPWS </w:t>
      </w:r>
      <w:r w:rsidRPr="004675F9">
        <w:rPr>
          <w:rFonts w:ascii="Times New Roman" w:hAnsi="Times New Roman" w:cs="Times New Roman"/>
          <w:sz w:val="28"/>
          <w:szCs w:val="28"/>
          <w:rtl/>
        </w:rPr>
        <w:t>بالأداء من خلال آليات الموارد البشرية</w:t>
      </w:r>
      <w:r w:rsidRPr="004675F9">
        <w:rPr>
          <w:rFonts w:ascii="Times New Roman" w:hAnsi="Times New Roman" w:cs="Times New Roman"/>
          <w:sz w:val="28"/>
          <w:szCs w:val="28"/>
        </w:rPr>
        <w:t>.</w:t>
      </w:r>
    </w:p>
    <w:p w14:paraId="006E6BA8" w14:textId="77777777" w:rsidR="00DE731D" w:rsidRPr="004675F9" w:rsidRDefault="00DE731D" w:rsidP="00DE731D">
      <w:pPr>
        <w:numPr>
          <w:ilvl w:val="0"/>
          <w:numId w:val="111"/>
        </w:numPr>
        <w:bidi/>
        <w:rPr>
          <w:rFonts w:ascii="Times New Roman" w:hAnsi="Times New Roman" w:cs="Times New Roman"/>
          <w:sz w:val="28"/>
          <w:szCs w:val="28"/>
        </w:rPr>
      </w:pPr>
      <w:r w:rsidRPr="004675F9">
        <w:rPr>
          <w:rFonts w:ascii="Times New Roman" w:hAnsi="Times New Roman" w:cs="Times New Roman"/>
          <w:sz w:val="28"/>
          <w:szCs w:val="28"/>
        </w:rPr>
        <w:t>Amabile (1996)</w:t>
      </w:r>
      <w:r w:rsidRPr="004675F9">
        <w:rPr>
          <w:rFonts w:ascii="Times New Roman" w:hAnsi="Times New Roman" w:cs="Times New Roman"/>
          <w:sz w:val="28"/>
          <w:szCs w:val="28"/>
          <w:rtl/>
        </w:rPr>
        <w:t xml:space="preserve"> الذي وضع الأسس النظرية لقياس الإبداع الفردي في بيئة العمل</w:t>
      </w:r>
      <w:r w:rsidRPr="004675F9">
        <w:rPr>
          <w:rFonts w:ascii="Times New Roman" w:hAnsi="Times New Roman" w:cs="Times New Roman"/>
          <w:sz w:val="28"/>
          <w:szCs w:val="28"/>
        </w:rPr>
        <w:t>.</w:t>
      </w:r>
    </w:p>
    <w:p w14:paraId="2724C3DB" w14:textId="3D7A777C" w:rsidR="00DE731D" w:rsidRPr="004675F9" w:rsidRDefault="00DE731D" w:rsidP="00DE731D">
      <w:pPr>
        <w:bidi/>
        <w:rPr>
          <w:rFonts w:ascii="Times New Roman" w:hAnsi="Times New Roman" w:cs="Times New Roman"/>
          <w:sz w:val="28"/>
          <w:szCs w:val="28"/>
        </w:rPr>
      </w:pPr>
      <w:r w:rsidRPr="004675F9">
        <w:rPr>
          <w:rFonts w:ascii="Times New Roman" w:hAnsi="Times New Roman" w:cs="Times New Roman"/>
          <w:sz w:val="28"/>
          <w:szCs w:val="28"/>
          <w:rtl/>
        </w:rPr>
        <w:t xml:space="preserve">كما </w:t>
      </w:r>
      <w:r w:rsidR="009B2AEA" w:rsidRPr="004675F9">
        <w:rPr>
          <w:rFonts w:ascii="Times New Roman" w:hAnsi="Times New Roman" w:cs="Times New Roman" w:hint="cs"/>
          <w:sz w:val="28"/>
          <w:szCs w:val="28"/>
          <w:rtl/>
        </w:rPr>
        <w:t>سي</w:t>
      </w:r>
      <w:r w:rsidRPr="004675F9">
        <w:rPr>
          <w:rFonts w:ascii="Times New Roman" w:hAnsi="Times New Roman" w:cs="Times New Roman"/>
          <w:sz w:val="28"/>
          <w:szCs w:val="28"/>
          <w:rtl/>
        </w:rPr>
        <w:t>تم مراجعة المقاييس العربية المترجمة والمعتمدة في دراسات سابقة لضمان الملاءمة الثقافية (</w:t>
      </w:r>
      <w:r w:rsidRPr="004675F9">
        <w:rPr>
          <w:rFonts w:ascii="Times New Roman" w:hAnsi="Times New Roman" w:cs="Times New Roman"/>
          <w:sz w:val="28"/>
          <w:szCs w:val="28"/>
        </w:rPr>
        <w:t>Cultural Adaptation</w:t>
      </w:r>
      <w:r w:rsidRPr="004675F9">
        <w:rPr>
          <w:rFonts w:ascii="Times New Roman" w:hAnsi="Times New Roman" w:cs="Times New Roman"/>
          <w:sz w:val="28"/>
          <w:szCs w:val="28"/>
          <w:rtl/>
        </w:rPr>
        <w:t>) ودقة المفردات اللغوية المستخدمة في البيئة السعودية</w:t>
      </w:r>
      <w:r w:rsidRPr="004675F9">
        <w:rPr>
          <w:rFonts w:ascii="Times New Roman" w:hAnsi="Times New Roman" w:cs="Times New Roman"/>
          <w:sz w:val="28"/>
          <w:szCs w:val="28"/>
        </w:rPr>
        <w:t>.</w:t>
      </w:r>
    </w:p>
    <w:p w14:paraId="487A6866" w14:textId="4E50F3A1" w:rsidR="00DE731D" w:rsidRPr="004675F9" w:rsidRDefault="00DE731D" w:rsidP="00DE731D">
      <w:pPr>
        <w:bidi/>
        <w:rPr>
          <w:rFonts w:ascii="Times New Roman" w:hAnsi="Times New Roman" w:cs="Times New Roman"/>
          <w:sz w:val="28"/>
          <w:szCs w:val="28"/>
        </w:rPr>
      </w:pPr>
      <w:r w:rsidRPr="004675F9">
        <w:rPr>
          <w:rFonts w:ascii="Times New Roman" w:hAnsi="Times New Roman" w:cs="Times New Roman"/>
          <w:sz w:val="28"/>
          <w:szCs w:val="28"/>
          <w:rtl/>
        </w:rPr>
        <w:lastRenderedPageBreak/>
        <w:t xml:space="preserve">وللتأكد من صلاحية الأداة مبدئيًا، </w:t>
      </w:r>
      <w:r w:rsidR="009562FC" w:rsidRPr="004675F9">
        <w:rPr>
          <w:rFonts w:ascii="Times New Roman" w:hAnsi="Times New Roman" w:cs="Times New Roman" w:hint="cs"/>
          <w:sz w:val="28"/>
          <w:szCs w:val="28"/>
          <w:rtl/>
        </w:rPr>
        <w:t>سي</w:t>
      </w:r>
      <w:r w:rsidRPr="004675F9">
        <w:rPr>
          <w:rFonts w:ascii="Times New Roman" w:hAnsi="Times New Roman" w:cs="Times New Roman"/>
          <w:sz w:val="28"/>
          <w:szCs w:val="28"/>
          <w:rtl/>
        </w:rPr>
        <w:t>تم عرضها على بعض من الخبراء الأكاديميين في إدارة الموارد البشرية والسلوك التنظيمي لإبداء الملاحظات حول وضوح البنود ومدى ملاءمتها للأهداف البحثية، قبل توزيعها على العينة الفعلية</w:t>
      </w:r>
      <w:r w:rsidRPr="004675F9">
        <w:rPr>
          <w:rFonts w:ascii="Times New Roman" w:hAnsi="Times New Roman" w:cs="Times New Roman"/>
          <w:sz w:val="28"/>
          <w:szCs w:val="28"/>
        </w:rPr>
        <w:t>.</w:t>
      </w:r>
    </w:p>
    <w:p w14:paraId="1B03ED1B" w14:textId="77777777" w:rsidR="00DE731D" w:rsidRPr="004675F9" w:rsidRDefault="00DE731D" w:rsidP="00DE731D">
      <w:pPr>
        <w:bidi/>
        <w:rPr>
          <w:rFonts w:ascii="Times New Roman" w:hAnsi="Times New Roman" w:cs="Times New Roman"/>
          <w:b/>
          <w:bCs/>
          <w:sz w:val="28"/>
          <w:szCs w:val="28"/>
        </w:rPr>
      </w:pPr>
      <w:r w:rsidRPr="004675F9">
        <w:rPr>
          <w:rFonts w:ascii="Times New Roman" w:hAnsi="Times New Roman" w:cs="Times New Roman"/>
          <w:b/>
          <w:bCs/>
          <w:sz w:val="28"/>
          <w:szCs w:val="28"/>
          <w:rtl/>
        </w:rPr>
        <w:t>(ب) مكونات الاستبيان ومحاوره</w:t>
      </w:r>
    </w:p>
    <w:p w14:paraId="00ABF117" w14:textId="77777777" w:rsidR="00DE731D" w:rsidRPr="004675F9" w:rsidRDefault="00DE731D" w:rsidP="00DE731D">
      <w:pPr>
        <w:bidi/>
        <w:rPr>
          <w:rFonts w:ascii="Times New Roman" w:hAnsi="Times New Roman" w:cs="Times New Roman"/>
          <w:sz w:val="28"/>
          <w:szCs w:val="28"/>
        </w:rPr>
      </w:pPr>
      <w:r w:rsidRPr="004675F9">
        <w:rPr>
          <w:rFonts w:ascii="Times New Roman" w:hAnsi="Times New Roman" w:cs="Times New Roman"/>
          <w:sz w:val="28"/>
          <w:szCs w:val="28"/>
          <w:rtl/>
        </w:rPr>
        <w:t>تكوّن الاستبيان من خمسة محاور رئيسية تغطي المتغيرات المستقلة والوسيطة والتابعة، بالإضافة إلى بيانات ديموغرافية، كما يلي</w:t>
      </w:r>
      <w:r w:rsidRPr="004675F9">
        <w:rPr>
          <w:rFonts w:ascii="Times New Roman" w:hAnsi="Times New Roman" w:cs="Times New Roman"/>
          <w:sz w:val="28"/>
          <w:szCs w:val="28"/>
        </w:rPr>
        <w:t>:</w:t>
      </w:r>
    </w:p>
    <w:p w14:paraId="5F4CAF62" w14:textId="77777777" w:rsidR="00DE731D" w:rsidRPr="00F806C7" w:rsidRDefault="00DE731D" w:rsidP="00DE731D">
      <w:pPr>
        <w:numPr>
          <w:ilvl w:val="0"/>
          <w:numId w:val="112"/>
        </w:numPr>
        <w:bidi/>
        <w:rPr>
          <w:rFonts w:ascii="Times New Roman" w:hAnsi="Times New Roman" w:cs="Times New Roman"/>
          <w:sz w:val="28"/>
          <w:szCs w:val="28"/>
        </w:rPr>
      </w:pPr>
      <w:r w:rsidRPr="004675F9">
        <w:rPr>
          <w:rFonts w:ascii="Times New Roman" w:hAnsi="Times New Roman" w:cs="Times New Roman"/>
          <w:b/>
          <w:bCs/>
          <w:sz w:val="28"/>
          <w:szCs w:val="28"/>
          <w:rtl/>
        </w:rPr>
        <w:t xml:space="preserve">المحور الأول: أنظمة العمل عالية الأداء </w:t>
      </w:r>
      <w:r w:rsidRPr="004675F9">
        <w:rPr>
          <w:rFonts w:ascii="Times New Roman" w:hAnsi="Times New Roman" w:cs="Times New Roman"/>
          <w:b/>
          <w:bCs/>
          <w:sz w:val="28"/>
          <w:szCs w:val="28"/>
        </w:rPr>
        <w:t>(HPWS)</w:t>
      </w:r>
      <w:r w:rsidRPr="004675F9">
        <w:rPr>
          <w:rFonts w:ascii="Times New Roman" w:hAnsi="Times New Roman" w:cs="Times New Roman"/>
          <w:sz w:val="28"/>
          <w:szCs w:val="28"/>
        </w:rPr>
        <w:br/>
      </w:r>
      <w:r w:rsidRPr="004675F9">
        <w:rPr>
          <w:rFonts w:ascii="Times New Roman" w:hAnsi="Times New Roman" w:cs="Times New Roman"/>
          <w:sz w:val="28"/>
          <w:szCs w:val="28"/>
          <w:rtl/>
        </w:rPr>
        <w:t>ويضم ستة أبعاد فرعية تمثل الممارسات الجوهرية</w:t>
      </w:r>
      <w:r w:rsidRPr="00F806C7">
        <w:rPr>
          <w:rFonts w:ascii="Times New Roman" w:hAnsi="Times New Roman" w:cs="Times New Roman"/>
          <w:sz w:val="28"/>
          <w:szCs w:val="28"/>
        </w:rPr>
        <w:t>:</w:t>
      </w:r>
    </w:p>
    <w:p w14:paraId="1BF12D01" w14:textId="77777777" w:rsidR="00DE731D" w:rsidRPr="00F806C7" w:rsidRDefault="00DE731D" w:rsidP="00DE731D">
      <w:pPr>
        <w:numPr>
          <w:ilvl w:val="1"/>
          <w:numId w:val="112"/>
        </w:numPr>
        <w:bidi/>
        <w:rPr>
          <w:rFonts w:ascii="Times New Roman" w:hAnsi="Times New Roman" w:cs="Times New Roman"/>
          <w:sz w:val="28"/>
          <w:szCs w:val="28"/>
        </w:rPr>
      </w:pPr>
      <w:r w:rsidRPr="00F806C7">
        <w:rPr>
          <w:rFonts w:ascii="Times New Roman" w:hAnsi="Times New Roman" w:cs="Times New Roman"/>
          <w:sz w:val="28"/>
          <w:szCs w:val="28"/>
          <w:rtl/>
        </w:rPr>
        <w:t>التوظيف الانتقائي</w:t>
      </w:r>
    </w:p>
    <w:p w14:paraId="0E583B9C" w14:textId="77777777" w:rsidR="00DE731D" w:rsidRPr="00F806C7" w:rsidRDefault="00DE731D" w:rsidP="00DE731D">
      <w:pPr>
        <w:numPr>
          <w:ilvl w:val="1"/>
          <w:numId w:val="112"/>
        </w:numPr>
        <w:bidi/>
        <w:rPr>
          <w:rFonts w:ascii="Times New Roman" w:hAnsi="Times New Roman" w:cs="Times New Roman"/>
          <w:sz w:val="28"/>
          <w:szCs w:val="28"/>
        </w:rPr>
      </w:pPr>
      <w:r w:rsidRPr="00F806C7">
        <w:rPr>
          <w:rFonts w:ascii="Times New Roman" w:hAnsi="Times New Roman" w:cs="Times New Roman"/>
          <w:sz w:val="28"/>
          <w:szCs w:val="28"/>
          <w:rtl/>
        </w:rPr>
        <w:t>التدريب والتطوير المستمر</w:t>
      </w:r>
    </w:p>
    <w:p w14:paraId="69F384A5" w14:textId="77777777" w:rsidR="00DE731D" w:rsidRPr="00F806C7" w:rsidRDefault="00DE731D" w:rsidP="00DE731D">
      <w:pPr>
        <w:numPr>
          <w:ilvl w:val="1"/>
          <w:numId w:val="112"/>
        </w:numPr>
        <w:bidi/>
        <w:rPr>
          <w:rFonts w:ascii="Times New Roman" w:hAnsi="Times New Roman" w:cs="Times New Roman"/>
          <w:sz w:val="28"/>
          <w:szCs w:val="28"/>
        </w:rPr>
      </w:pPr>
      <w:r w:rsidRPr="00F806C7">
        <w:rPr>
          <w:rFonts w:ascii="Times New Roman" w:hAnsi="Times New Roman" w:cs="Times New Roman"/>
          <w:sz w:val="28"/>
          <w:szCs w:val="28"/>
          <w:rtl/>
        </w:rPr>
        <w:t>نظم الحوافز والمكافآت</w:t>
      </w:r>
    </w:p>
    <w:p w14:paraId="3E3497E4" w14:textId="77777777" w:rsidR="00DE731D" w:rsidRPr="00F806C7" w:rsidRDefault="00DE731D" w:rsidP="00DE731D">
      <w:pPr>
        <w:numPr>
          <w:ilvl w:val="1"/>
          <w:numId w:val="112"/>
        </w:numPr>
        <w:bidi/>
        <w:rPr>
          <w:rFonts w:ascii="Times New Roman" w:hAnsi="Times New Roman" w:cs="Times New Roman"/>
          <w:sz w:val="28"/>
          <w:szCs w:val="28"/>
        </w:rPr>
      </w:pPr>
      <w:r w:rsidRPr="00F806C7">
        <w:rPr>
          <w:rFonts w:ascii="Times New Roman" w:hAnsi="Times New Roman" w:cs="Times New Roman"/>
          <w:sz w:val="28"/>
          <w:szCs w:val="28"/>
          <w:rtl/>
        </w:rPr>
        <w:t>المشاركة في اتخاذ القرار</w:t>
      </w:r>
    </w:p>
    <w:p w14:paraId="02B3D987" w14:textId="77777777" w:rsidR="00DE731D" w:rsidRPr="00F806C7" w:rsidRDefault="00DE731D" w:rsidP="00DE731D">
      <w:pPr>
        <w:numPr>
          <w:ilvl w:val="1"/>
          <w:numId w:val="112"/>
        </w:numPr>
        <w:bidi/>
        <w:rPr>
          <w:rFonts w:ascii="Times New Roman" w:hAnsi="Times New Roman" w:cs="Times New Roman"/>
          <w:sz w:val="28"/>
          <w:szCs w:val="28"/>
        </w:rPr>
      </w:pPr>
      <w:r w:rsidRPr="00F806C7">
        <w:rPr>
          <w:rFonts w:ascii="Times New Roman" w:hAnsi="Times New Roman" w:cs="Times New Roman"/>
          <w:sz w:val="28"/>
          <w:szCs w:val="28"/>
          <w:rtl/>
        </w:rPr>
        <w:t>تقييم الأداء العادل</w:t>
      </w:r>
    </w:p>
    <w:p w14:paraId="48ACBF66" w14:textId="77777777" w:rsidR="00DE731D" w:rsidRPr="00F806C7" w:rsidRDefault="00DE731D" w:rsidP="00DE731D">
      <w:pPr>
        <w:numPr>
          <w:ilvl w:val="1"/>
          <w:numId w:val="112"/>
        </w:numPr>
        <w:bidi/>
        <w:rPr>
          <w:rFonts w:ascii="Times New Roman" w:hAnsi="Times New Roman" w:cs="Times New Roman"/>
          <w:sz w:val="28"/>
          <w:szCs w:val="28"/>
        </w:rPr>
      </w:pPr>
      <w:r w:rsidRPr="00F806C7">
        <w:rPr>
          <w:rFonts w:ascii="Times New Roman" w:hAnsi="Times New Roman" w:cs="Times New Roman"/>
          <w:sz w:val="28"/>
          <w:szCs w:val="28"/>
          <w:rtl/>
        </w:rPr>
        <w:t xml:space="preserve">تمكين الموظفين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&lt;EndNote&gt;&lt;Cite&gt;&lt;Author&gt;Sun&lt;/Author&gt;&lt;Year&gt;2007&lt;/Year&gt;&lt;RecNum&gt;1345&lt;/RecNum&gt;&lt;DisplayText&gt;(Sun et al., 2007, Kehoe and Wright, 2013)&lt;/DisplayText&gt;&lt;record&gt;&lt;rec-number&gt;1345&lt;/rec-number&gt;&lt;foreign-keys&gt;&lt;key app="EN" db-id="t5vttv59or5xwbe2zdm5ewrxd9</w:instrText>
      </w:r>
      <w:r w:rsidRPr="00F806C7">
        <w:rPr>
          <w:rFonts w:ascii="Times New Roman" w:hAnsi="Times New Roman" w:cs="Times New Roman"/>
          <w:sz w:val="28"/>
          <w:szCs w:val="28"/>
          <w:rtl/>
        </w:rPr>
        <w:instrText>05</w:instrText>
      </w:r>
      <w:r w:rsidRPr="00F806C7">
        <w:rPr>
          <w:rFonts w:ascii="Times New Roman" w:hAnsi="Times New Roman" w:cs="Times New Roman"/>
          <w:sz w:val="28"/>
          <w:szCs w:val="28"/>
        </w:rPr>
        <w:instrText>arrpawff" timestamp="1730932472"&gt;1345&lt;/key&gt;&lt;/foreign-keys&gt;&lt;ref-type name="Journal Article"&gt;17&lt;/ref-type&gt;&lt;contributors&gt;&lt;authors&gt;&lt;author&gt;Sun, Li-Yun&lt;/author&gt;&lt;author&gt;Aryee, Samuel&lt;/author&gt;&lt;author&gt;Law, Kenneth S&lt;/author&gt;&lt;/authors&gt;&lt;/contributors&gt;&lt;titles&gt;&lt;title&gt;High-performance human resource practices, citizenship behavior, and organizational performance: A relational perspective&lt;/title&gt;&lt;secondary-title&gt;Academy of management Journal&lt;/secondary-title&gt;&lt;/titles&gt;&lt;periodical&gt;&lt;full-title&gt;Academy of management journal&lt;/full-title&gt;&lt;/periodical&gt;&lt;pages&gt;558-577&lt;/pages&gt;&lt;volume&gt;50&lt;/volume&gt;&lt;number&gt;3&lt;/number&gt;&lt;dates&gt;&lt;year&gt;2007&lt;/year&gt;&lt;/dates&gt;&lt;isbn&gt;0001-4273&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Sun et al., 2007, Kehoe and Wright, 2013</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w:t>
      </w:r>
    </w:p>
    <w:p w14:paraId="26377E1B" w14:textId="77777777" w:rsidR="00DE731D" w:rsidRPr="00F806C7" w:rsidRDefault="00DE731D" w:rsidP="00DE731D">
      <w:pPr>
        <w:numPr>
          <w:ilvl w:val="0"/>
          <w:numId w:val="112"/>
        </w:numPr>
        <w:bidi/>
        <w:rPr>
          <w:rFonts w:ascii="Times New Roman" w:hAnsi="Times New Roman" w:cs="Times New Roman"/>
          <w:sz w:val="28"/>
          <w:szCs w:val="28"/>
        </w:rPr>
      </w:pPr>
      <w:r w:rsidRPr="00F806C7">
        <w:rPr>
          <w:rFonts w:ascii="Times New Roman" w:hAnsi="Times New Roman" w:cs="Times New Roman"/>
          <w:b/>
          <w:bCs/>
          <w:sz w:val="28"/>
          <w:szCs w:val="28"/>
          <w:rtl/>
        </w:rPr>
        <w:t xml:space="preserve">المحور الثاني: الثقافة التنظيمية </w:t>
      </w:r>
      <w:r w:rsidRPr="00F806C7">
        <w:rPr>
          <w:rFonts w:ascii="Times New Roman" w:hAnsi="Times New Roman" w:cs="Times New Roman"/>
          <w:b/>
          <w:bCs/>
          <w:sz w:val="28"/>
          <w:szCs w:val="28"/>
        </w:rPr>
        <w:t>(Organizational Culture)</w:t>
      </w:r>
      <w:r w:rsidRPr="00F806C7">
        <w:rPr>
          <w:rFonts w:ascii="Times New Roman" w:hAnsi="Times New Roman" w:cs="Times New Roman"/>
          <w:sz w:val="28"/>
          <w:szCs w:val="28"/>
        </w:rPr>
        <w:br/>
      </w:r>
      <w:r w:rsidRPr="00F806C7">
        <w:rPr>
          <w:rFonts w:ascii="Times New Roman" w:hAnsi="Times New Roman" w:cs="Times New Roman"/>
          <w:sz w:val="28"/>
          <w:szCs w:val="28"/>
          <w:rtl/>
        </w:rPr>
        <w:t xml:space="preserve">تم قياسها من خلال أربعة أبعاد مستندة إلى نموذج </w:t>
      </w:r>
      <w:r w:rsidRPr="00F806C7">
        <w:rPr>
          <w:rFonts w:ascii="Times New Roman" w:hAnsi="Times New Roman" w:cs="Times New Roman"/>
          <w:sz w:val="28"/>
          <w:szCs w:val="28"/>
        </w:rPr>
        <w:t>Denison (2000</w:t>
      </w:r>
      <w:proofErr w:type="gramStart"/>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 xml:space="preserve"> وهي</w:t>
      </w:r>
      <w:proofErr w:type="gramEnd"/>
      <w:r w:rsidRPr="00F806C7">
        <w:rPr>
          <w:rFonts w:ascii="Times New Roman" w:hAnsi="Times New Roman" w:cs="Times New Roman"/>
          <w:sz w:val="28"/>
          <w:szCs w:val="28"/>
        </w:rPr>
        <w:t>:</w:t>
      </w:r>
    </w:p>
    <w:p w14:paraId="39ED9851" w14:textId="77777777" w:rsidR="00DE731D" w:rsidRPr="00F806C7" w:rsidRDefault="00DE731D" w:rsidP="00DE731D">
      <w:pPr>
        <w:numPr>
          <w:ilvl w:val="1"/>
          <w:numId w:val="112"/>
        </w:numPr>
        <w:bidi/>
        <w:rPr>
          <w:rFonts w:ascii="Times New Roman" w:hAnsi="Times New Roman" w:cs="Times New Roman"/>
          <w:sz w:val="28"/>
          <w:szCs w:val="28"/>
        </w:rPr>
      </w:pPr>
      <w:r w:rsidRPr="00F806C7">
        <w:rPr>
          <w:rFonts w:ascii="Times New Roman" w:hAnsi="Times New Roman" w:cs="Times New Roman"/>
          <w:sz w:val="28"/>
          <w:szCs w:val="28"/>
          <w:rtl/>
        </w:rPr>
        <w:t xml:space="preserve">التكيّف </w:t>
      </w:r>
      <w:r w:rsidRPr="00F806C7">
        <w:rPr>
          <w:rFonts w:ascii="Times New Roman" w:hAnsi="Times New Roman" w:cs="Times New Roman"/>
          <w:sz w:val="28"/>
          <w:szCs w:val="28"/>
        </w:rPr>
        <w:t>(Adaptability)</w:t>
      </w:r>
    </w:p>
    <w:p w14:paraId="6AF93257" w14:textId="77777777" w:rsidR="00DE731D" w:rsidRPr="00F806C7" w:rsidRDefault="00DE731D" w:rsidP="00DE731D">
      <w:pPr>
        <w:numPr>
          <w:ilvl w:val="1"/>
          <w:numId w:val="112"/>
        </w:numPr>
        <w:bidi/>
        <w:rPr>
          <w:rFonts w:ascii="Times New Roman" w:hAnsi="Times New Roman" w:cs="Times New Roman"/>
          <w:sz w:val="28"/>
          <w:szCs w:val="28"/>
        </w:rPr>
      </w:pPr>
      <w:r w:rsidRPr="00F806C7">
        <w:rPr>
          <w:rFonts w:ascii="Times New Roman" w:hAnsi="Times New Roman" w:cs="Times New Roman"/>
          <w:sz w:val="28"/>
          <w:szCs w:val="28"/>
          <w:rtl/>
        </w:rPr>
        <w:t xml:space="preserve">المهمة </w:t>
      </w:r>
      <w:r w:rsidRPr="00F806C7">
        <w:rPr>
          <w:rFonts w:ascii="Times New Roman" w:hAnsi="Times New Roman" w:cs="Times New Roman"/>
          <w:sz w:val="28"/>
          <w:szCs w:val="28"/>
        </w:rPr>
        <w:t>(Mission)</w:t>
      </w:r>
    </w:p>
    <w:p w14:paraId="750D286A" w14:textId="77777777" w:rsidR="00DE731D" w:rsidRPr="00F806C7" w:rsidRDefault="00DE731D" w:rsidP="00DE731D">
      <w:pPr>
        <w:numPr>
          <w:ilvl w:val="1"/>
          <w:numId w:val="112"/>
        </w:numPr>
        <w:bidi/>
        <w:rPr>
          <w:rFonts w:ascii="Times New Roman" w:hAnsi="Times New Roman" w:cs="Times New Roman"/>
          <w:sz w:val="28"/>
          <w:szCs w:val="28"/>
        </w:rPr>
      </w:pPr>
      <w:r w:rsidRPr="00F806C7">
        <w:rPr>
          <w:rFonts w:ascii="Times New Roman" w:hAnsi="Times New Roman" w:cs="Times New Roman"/>
          <w:sz w:val="28"/>
          <w:szCs w:val="28"/>
          <w:rtl/>
        </w:rPr>
        <w:t xml:space="preserve">الاتساق الداخلي </w:t>
      </w:r>
      <w:r w:rsidRPr="00F806C7">
        <w:rPr>
          <w:rFonts w:ascii="Times New Roman" w:hAnsi="Times New Roman" w:cs="Times New Roman"/>
          <w:sz w:val="28"/>
          <w:szCs w:val="28"/>
        </w:rPr>
        <w:t>(Consistency)</w:t>
      </w:r>
    </w:p>
    <w:p w14:paraId="14D4719B" w14:textId="77777777" w:rsidR="00DE731D" w:rsidRPr="00F806C7" w:rsidRDefault="00DE731D" w:rsidP="00DE731D">
      <w:pPr>
        <w:numPr>
          <w:ilvl w:val="1"/>
          <w:numId w:val="112"/>
        </w:numPr>
        <w:bidi/>
        <w:rPr>
          <w:rFonts w:ascii="Times New Roman" w:hAnsi="Times New Roman" w:cs="Times New Roman"/>
          <w:sz w:val="28"/>
          <w:szCs w:val="28"/>
        </w:rPr>
      </w:pPr>
      <w:r w:rsidRPr="00F806C7">
        <w:rPr>
          <w:rFonts w:ascii="Times New Roman" w:hAnsi="Times New Roman" w:cs="Times New Roman"/>
          <w:sz w:val="28"/>
          <w:szCs w:val="28"/>
          <w:rtl/>
        </w:rPr>
        <w:t xml:space="preserve">إشراك الموظفين </w:t>
      </w:r>
      <w:r w:rsidRPr="00F806C7">
        <w:rPr>
          <w:rFonts w:ascii="Times New Roman" w:hAnsi="Times New Roman" w:cs="Times New Roman"/>
          <w:sz w:val="28"/>
          <w:szCs w:val="28"/>
        </w:rPr>
        <w:t>(Involvement)</w:t>
      </w:r>
    </w:p>
    <w:p w14:paraId="35170DF8" w14:textId="77777777" w:rsidR="00DE731D" w:rsidRPr="00F806C7" w:rsidRDefault="00DE731D" w:rsidP="00DE731D">
      <w:pPr>
        <w:numPr>
          <w:ilvl w:val="0"/>
          <w:numId w:val="112"/>
        </w:numPr>
        <w:bidi/>
        <w:rPr>
          <w:rFonts w:ascii="Times New Roman" w:hAnsi="Times New Roman" w:cs="Times New Roman"/>
          <w:sz w:val="28"/>
          <w:szCs w:val="28"/>
        </w:rPr>
      </w:pPr>
      <w:r w:rsidRPr="00F806C7">
        <w:rPr>
          <w:rFonts w:ascii="Times New Roman" w:hAnsi="Times New Roman" w:cs="Times New Roman"/>
          <w:b/>
          <w:bCs/>
          <w:sz w:val="28"/>
          <w:szCs w:val="28"/>
          <w:rtl/>
        </w:rPr>
        <w:t xml:space="preserve">المحور الثالث: الأداء الإبداعي </w:t>
      </w:r>
      <w:r w:rsidRPr="00F806C7">
        <w:rPr>
          <w:rFonts w:ascii="Times New Roman" w:hAnsi="Times New Roman" w:cs="Times New Roman"/>
          <w:b/>
          <w:bCs/>
          <w:sz w:val="28"/>
          <w:szCs w:val="28"/>
        </w:rPr>
        <w:t>(Creative Performance)</w:t>
      </w:r>
      <w:r w:rsidRPr="00F806C7">
        <w:rPr>
          <w:rFonts w:ascii="Times New Roman" w:hAnsi="Times New Roman" w:cs="Times New Roman"/>
          <w:sz w:val="28"/>
          <w:szCs w:val="28"/>
        </w:rPr>
        <w:br/>
      </w:r>
      <w:r w:rsidRPr="00F806C7">
        <w:rPr>
          <w:rFonts w:ascii="Times New Roman" w:hAnsi="Times New Roman" w:cs="Times New Roman"/>
          <w:sz w:val="28"/>
          <w:szCs w:val="28"/>
          <w:rtl/>
        </w:rPr>
        <w:t xml:space="preserve">تم قياسه استنادًا إلى نموذج </w:t>
      </w:r>
      <w:r w:rsidRPr="00F806C7">
        <w:rPr>
          <w:rFonts w:ascii="Times New Roman" w:hAnsi="Times New Roman" w:cs="Times New Roman"/>
          <w:sz w:val="28"/>
          <w:szCs w:val="28"/>
        </w:rPr>
        <w:t>Amabile (1996)</w:t>
      </w:r>
      <w:r w:rsidRPr="00F806C7">
        <w:rPr>
          <w:rFonts w:ascii="Times New Roman" w:hAnsi="Times New Roman" w:cs="Times New Roman"/>
          <w:sz w:val="28"/>
          <w:szCs w:val="28"/>
          <w:rtl/>
        </w:rPr>
        <w:t xml:space="preserve"> الذي يتناول سلوكيات الإبداع مثل توليد الأفكار، وتطبيق الحلول الجديدة، والمبادرة في تحسين العمليات</w:t>
      </w:r>
      <w:r w:rsidRPr="00F806C7">
        <w:rPr>
          <w:rFonts w:ascii="Times New Roman" w:hAnsi="Times New Roman" w:cs="Times New Roman"/>
          <w:sz w:val="28"/>
          <w:szCs w:val="28"/>
        </w:rPr>
        <w:t>.</w:t>
      </w:r>
    </w:p>
    <w:p w14:paraId="507FA195" w14:textId="77777777" w:rsidR="00DE731D" w:rsidRPr="00F806C7" w:rsidRDefault="00DE731D" w:rsidP="00DE731D">
      <w:pPr>
        <w:numPr>
          <w:ilvl w:val="0"/>
          <w:numId w:val="112"/>
        </w:numPr>
        <w:bidi/>
        <w:rPr>
          <w:rFonts w:ascii="Times New Roman" w:hAnsi="Times New Roman" w:cs="Times New Roman"/>
          <w:sz w:val="28"/>
          <w:szCs w:val="28"/>
        </w:rPr>
      </w:pPr>
      <w:r w:rsidRPr="00F806C7">
        <w:rPr>
          <w:rFonts w:ascii="Times New Roman" w:hAnsi="Times New Roman" w:cs="Times New Roman"/>
          <w:b/>
          <w:bCs/>
          <w:sz w:val="28"/>
          <w:szCs w:val="28"/>
          <w:rtl/>
        </w:rPr>
        <w:t>المحور الرابع: البيانات الديموغرافية</w:t>
      </w:r>
      <w:r w:rsidRPr="00F806C7">
        <w:rPr>
          <w:rFonts w:ascii="Times New Roman" w:hAnsi="Times New Roman" w:cs="Times New Roman"/>
          <w:sz w:val="28"/>
          <w:szCs w:val="28"/>
        </w:rPr>
        <w:br/>
      </w:r>
      <w:r w:rsidRPr="00F806C7">
        <w:rPr>
          <w:rFonts w:ascii="Times New Roman" w:hAnsi="Times New Roman" w:cs="Times New Roman"/>
          <w:sz w:val="28"/>
          <w:szCs w:val="28"/>
          <w:rtl/>
        </w:rPr>
        <w:t>شملت الجنس، العمر، المستوى التعليمي، سنوات الخبرة، نوع الوظيفة، والقطاع (فندق أو مطعم)</w:t>
      </w:r>
      <w:r w:rsidRPr="00F806C7">
        <w:rPr>
          <w:rFonts w:ascii="Times New Roman" w:hAnsi="Times New Roman" w:cs="Times New Roman"/>
          <w:sz w:val="28"/>
          <w:szCs w:val="28"/>
        </w:rPr>
        <w:t>.</w:t>
      </w:r>
    </w:p>
    <w:p w14:paraId="4B66BDB3"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بلغ إجمالي بنود الاستبيان بعد المراجعة </w:t>
      </w:r>
      <w:r w:rsidRPr="00F806C7">
        <w:rPr>
          <w:rFonts w:ascii="Times New Roman" w:hAnsi="Times New Roman" w:cs="Times New Roman"/>
          <w:b/>
          <w:bCs/>
          <w:sz w:val="28"/>
          <w:szCs w:val="28"/>
        </w:rPr>
        <w:t>45</w:t>
      </w:r>
      <w:r w:rsidRPr="00F806C7">
        <w:rPr>
          <w:rFonts w:ascii="Times New Roman" w:hAnsi="Times New Roman" w:cs="Times New Roman"/>
          <w:b/>
          <w:bCs/>
          <w:sz w:val="28"/>
          <w:szCs w:val="28"/>
          <w:rtl/>
        </w:rPr>
        <w:t xml:space="preserve"> بندًا</w:t>
      </w:r>
      <w:r w:rsidRPr="00F806C7">
        <w:rPr>
          <w:rFonts w:ascii="Times New Roman" w:hAnsi="Times New Roman" w:cs="Times New Roman"/>
          <w:sz w:val="28"/>
          <w:szCs w:val="28"/>
          <w:rtl/>
        </w:rPr>
        <w:t>، موزعة على المحاور الثلاثة الرئيسة بواقع</w:t>
      </w:r>
      <w:r w:rsidRPr="00F806C7">
        <w:rPr>
          <w:rFonts w:ascii="Times New Roman" w:hAnsi="Times New Roman" w:cs="Times New Roman"/>
          <w:sz w:val="28"/>
          <w:szCs w:val="28"/>
        </w:rPr>
        <w:t xml:space="preserve"> 25 </w:t>
      </w:r>
      <w:r w:rsidRPr="00F806C7">
        <w:rPr>
          <w:rFonts w:ascii="Times New Roman" w:hAnsi="Times New Roman" w:cs="Times New Roman"/>
          <w:sz w:val="28"/>
          <w:szCs w:val="28"/>
          <w:rtl/>
        </w:rPr>
        <w:t xml:space="preserve">بندًا لـ </w:t>
      </w:r>
      <w:r w:rsidRPr="00F806C7">
        <w:rPr>
          <w:rFonts w:ascii="Times New Roman" w:hAnsi="Times New Roman" w:cs="Times New Roman"/>
          <w:sz w:val="28"/>
          <w:szCs w:val="28"/>
        </w:rPr>
        <w:t>HPWS</w:t>
      </w:r>
      <w:r w:rsidRPr="00F806C7">
        <w:rPr>
          <w:rFonts w:ascii="Times New Roman" w:hAnsi="Times New Roman" w:cs="Times New Roman"/>
          <w:sz w:val="28"/>
          <w:szCs w:val="28"/>
          <w:rtl/>
        </w:rPr>
        <w:t>، و10 بنود للثقافة التنظيمية، و10 بنود للأداء الإبداعي، إضافة إلى أسئلة التعريف الديموغرافية</w:t>
      </w:r>
      <w:r w:rsidRPr="00F806C7">
        <w:rPr>
          <w:rFonts w:ascii="Times New Roman" w:hAnsi="Times New Roman" w:cs="Times New Roman"/>
          <w:sz w:val="28"/>
          <w:szCs w:val="28"/>
        </w:rPr>
        <w:t>.</w:t>
      </w:r>
    </w:p>
    <w:p w14:paraId="3F885D6F"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lastRenderedPageBreak/>
        <w:t>(ج) مقياس التقدير</w:t>
      </w:r>
      <w:r w:rsidRPr="00F806C7">
        <w:rPr>
          <w:rFonts w:ascii="Times New Roman" w:hAnsi="Times New Roman" w:cs="Times New Roman"/>
          <w:b/>
          <w:bCs/>
          <w:sz w:val="28"/>
          <w:szCs w:val="28"/>
        </w:rPr>
        <w:t xml:space="preserve"> (Likert Scale)</w:t>
      </w:r>
    </w:p>
    <w:p w14:paraId="6D754A42"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اعتمدت الدراسة مقياس ليكرت الخماسي</w:t>
      </w:r>
      <w:r w:rsidRPr="00F806C7">
        <w:rPr>
          <w:rFonts w:ascii="Times New Roman" w:hAnsi="Times New Roman" w:cs="Times New Roman"/>
          <w:sz w:val="28"/>
          <w:szCs w:val="28"/>
        </w:rPr>
        <w:t xml:space="preserve"> (Five-Point Likert Scale) </w:t>
      </w:r>
      <w:r w:rsidRPr="00F806C7">
        <w:rPr>
          <w:rFonts w:ascii="Times New Roman" w:hAnsi="Times New Roman" w:cs="Times New Roman"/>
          <w:sz w:val="28"/>
          <w:szCs w:val="28"/>
          <w:rtl/>
        </w:rPr>
        <w:t xml:space="preserve">لقياس استجابات المشاركين، لكونه الأكثر شيوعًا في الدراسات السلوكية والإدارية، إذ يُسهم في تحويل الاتجاهات والمواقف إلى بيانات كمية قابلة للتحليل الإحصائي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&lt;EndNote&gt;&lt;Cite&gt;&lt;Author&gt;Joshi&lt;/Author&gt;&lt;Year&gt;2015&lt;/Year&gt;&lt;RecNum&gt;3100&lt;/RecNum&gt;&lt;DisplayText&gt;(Joshi et al., 2015)&lt;/DisplayText&gt;&lt;record&gt;&lt;rec-number&gt;3100&lt;/rec-number&gt;&lt;foreign-keys&gt;&lt;key app="EN" db-id="t5vttv59or5xwbe2zdm5ewrxd905arrpawff" timestamp="1760193806"&gt;3100&lt;/key&gt;&lt;/foreign-keys&gt;&lt;ref-type name="Journal Article"&gt;17&lt;/ref-type&gt;&lt;contributors&gt;&lt;authors&gt;&lt;author&gt;Joshi, Ankur&lt;/author&gt;&lt;author&gt;Kale, Saket&lt;/author&gt;&lt;author&gt;Chandel, Satish&lt;/author&gt;&lt;author&gt;Pal, D Kumar&lt;/author&gt;&lt;/authors&gt;&lt;/contributors&gt;&lt;titles&gt;&lt;title&gt;Likert scale: Explored and explained&lt;/title&gt;&lt;secondary-title&gt;British journal of applied science &amp;amp; technology&lt;/secondary-title&gt;&lt;/titles&gt;&lt;periodical&gt;&lt;full-title&gt;British journal of applied science &amp;amp; technology&lt;/full-title&gt;&lt;/periodical&gt;&lt;pages&gt;396&lt;/pages&gt;&lt;volume&gt;7&lt;/volume&gt;&lt;number&gt;4&lt;/number&gt;&lt;dates&gt;&lt;year&gt;2015&lt;/year&gt;&lt;/dates&gt;&lt;isbn&gt;2231-0843&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Joshi et al., 2015</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w:t>
      </w:r>
    </w:p>
    <w:p w14:paraId="47AEA523"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يُتيح هذا المقياس قياس الاتجاهات بدقة ومرونة، كما يسهل حساب المتوسطات والانحرافات المعيارية، وهو ما يدعم إجراء التحليلات الإحصائية المتقدمة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&lt;EndNote&gt;&lt;Cite&gt;&lt;Author&gt;Cavana&lt;/Author&gt;&lt;Year&gt;2001&lt;/Year&gt;&lt;RecNum&gt;3098&lt;/RecNum&gt;&lt;DisplayText&gt;(Cavana et al., 2001)&lt;/DisplayText&gt;&lt;record&gt;&lt;rec-number&gt;3098&lt;/rec-number&gt;&lt;foreign-keys&gt;&lt;key app="EN" db-id="t5vttv59or5xwbe2zdm5ewrxd905arrpawff" timestamp="1760190646"&gt;3098&lt;/key&gt;&lt;/foreign-keys&gt;&lt;ref-type name="Book"&gt;6&lt;/ref-type&gt;&lt;contributors&gt;&lt;authors&gt;&lt;author&gt;Cavana, Robert&lt;/author&gt;&lt;author&gt;Delahaye, Brian&lt;/author&gt;&lt;author&gt;Sekeran, Uma&lt;/author&gt;&lt;/authors&gt;&lt;/contributors&gt;&lt;titles&gt;&lt;title&gt;Applied business research: Qualitative and quantitative methods&lt;/title&gt;&lt;/titles&gt;&lt;dates&gt;&lt;year&gt;2001&lt;/year&gt;&lt;/dates&gt;&lt;publisher&gt;John Wiley &amp;amp; Sons&lt;/publisher&gt;&lt;isbn&gt;0471341266&lt;/isbn&gt;&lt;urls&gt;&lt;/urls&gt;&lt;/record&gt;&lt;/Cite&gt;&lt;/EndNote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Cavana et al., 2001</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w:t>
      </w:r>
    </w:p>
    <w:p w14:paraId="1201FD6B"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3.5.2. المقابلات شبه المهيكلة كأداة نوعية</w:t>
      </w:r>
    </w:p>
    <w:p w14:paraId="7163B335"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(أ) أهداف المقابلات</w:t>
      </w:r>
    </w:p>
    <w:p w14:paraId="18DEE115"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استخدمت المقابلات شبه المهيكلة</w:t>
      </w:r>
      <w:r w:rsidRPr="00F806C7">
        <w:rPr>
          <w:rFonts w:ascii="Times New Roman" w:hAnsi="Times New Roman" w:cs="Times New Roman"/>
          <w:sz w:val="28"/>
          <w:szCs w:val="28"/>
        </w:rPr>
        <w:t xml:space="preserve"> (Semi-Structured Interviews) </w:t>
      </w:r>
      <w:r w:rsidRPr="00F806C7">
        <w:rPr>
          <w:rFonts w:ascii="Times New Roman" w:hAnsi="Times New Roman" w:cs="Times New Roman"/>
          <w:sz w:val="28"/>
          <w:szCs w:val="28"/>
          <w:rtl/>
        </w:rPr>
        <w:t xml:space="preserve">كأداة نوعية مكملة للاستبيان، بهدف الحصول على بيانات تفسيرية أعمق تساعد في فهم النتائج الكمية وتوضيح الأسباب الكامنة وراء العلاقات الإحصائية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&lt;EndNote&gt;&lt;Cite&gt;&lt;Author&gt;Kvale&lt;/Author&gt;&lt;Year&gt;2009&lt;/Year&gt;&lt;RecNum&gt;3099&lt;/RecNum&gt;&lt;DisplayText&gt;(Kvale and Brinkmann, 2009)&lt;/DisplayText&gt;&lt;record&gt;&lt;rec-number&gt;3099&lt;/rec-number&gt;&lt;foreign-keys&gt;&lt;key app="EN" db-id="t5vttv59or5xwbe2zdm5ewrxd905arrpawff" timestamp="1760193707"&gt;3099&lt;/key&gt;&lt;/foreign-keys&gt;&lt;ref-type name="Book"&gt;6&lt;/ref-type&gt;&lt;contributors&gt;&lt;authors&gt;&lt;author&gt;Kvale, Steinar&lt;/author&gt;&lt;author&gt;Brinkmann, Svend&lt;/author&gt;&lt;/authors&gt;&lt;/contributors&gt;&lt;titles&gt;&lt;title&gt;Interviews: Learning the craft of qualitative research interviewing&lt;/title&gt;&lt;/titles&gt;&lt;dates&gt;&lt;year&gt;2009&lt;/year&gt;&lt;/dates&gt;&lt;publisher&gt;sage&lt;/publisher&gt;&lt;isbn&gt;0761925422&lt;/isbn&gt;&lt;urls&gt;&lt;/urls&gt;&lt;/record&gt;&lt;/Cite&gt;&lt;/EndNote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Kvale and Brinkmann, 2009</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Pr>
        <w:br/>
      </w:r>
      <w:r w:rsidRPr="00F806C7">
        <w:rPr>
          <w:rFonts w:ascii="Times New Roman" w:hAnsi="Times New Roman" w:cs="Times New Roman"/>
          <w:sz w:val="28"/>
          <w:szCs w:val="28"/>
          <w:rtl/>
        </w:rPr>
        <w:t>وتهدف هذه المقابلات إلى</w:t>
      </w:r>
      <w:r w:rsidRPr="00F806C7">
        <w:rPr>
          <w:rFonts w:ascii="Times New Roman" w:hAnsi="Times New Roman" w:cs="Times New Roman"/>
          <w:sz w:val="28"/>
          <w:szCs w:val="28"/>
        </w:rPr>
        <w:t>:</w:t>
      </w:r>
    </w:p>
    <w:p w14:paraId="396D9A9A" w14:textId="77777777" w:rsidR="00DE731D" w:rsidRPr="00F806C7" w:rsidRDefault="00DE731D" w:rsidP="00DE731D">
      <w:pPr>
        <w:numPr>
          <w:ilvl w:val="0"/>
          <w:numId w:val="113"/>
        </w:numPr>
        <w:tabs>
          <w:tab w:val="clear" w:pos="360"/>
          <w:tab w:val="num" w:pos="720"/>
        </w:tabs>
        <w:bidi/>
        <w:rPr>
          <w:rFonts w:ascii="Times New Roman" w:hAnsi="Times New Roman" w:cs="Times New Roman"/>
          <w:sz w:val="28"/>
          <w:szCs w:val="28"/>
        </w:rPr>
      </w:pPr>
      <w:r w:rsidRPr="00F806C7">
        <w:rPr>
          <w:rFonts w:ascii="Times New Roman" w:hAnsi="Times New Roman" w:cs="Times New Roman"/>
          <w:sz w:val="28"/>
          <w:szCs w:val="28"/>
          <w:rtl/>
        </w:rPr>
        <w:t>استكشاف تصورات العاملين والمديرين حول ممارسات</w:t>
      </w:r>
      <w:r w:rsidRPr="00F806C7">
        <w:rPr>
          <w:rFonts w:ascii="Times New Roman" w:hAnsi="Times New Roman" w:cs="Times New Roman"/>
          <w:sz w:val="28"/>
          <w:szCs w:val="28"/>
        </w:rPr>
        <w:t xml:space="preserve"> HPWS </w:t>
      </w:r>
      <w:r w:rsidRPr="00F806C7">
        <w:rPr>
          <w:rFonts w:ascii="Times New Roman" w:hAnsi="Times New Roman" w:cs="Times New Roman"/>
          <w:sz w:val="28"/>
          <w:szCs w:val="28"/>
          <w:rtl/>
        </w:rPr>
        <w:t>في بيئاتهم التنظيمية</w:t>
      </w:r>
      <w:r w:rsidRPr="00F806C7">
        <w:rPr>
          <w:rFonts w:ascii="Times New Roman" w:hAnsi="Times New Roman" w:cs="Times New Roman"/>
          <w:sz w:val="28"/>
          <w:szCs w:val="28"/>
        </w:rPr>
        <w:t>.</w:t>
      </w:r>
    </w:p>
    <w:p w14:paraId="3CD0D3B9" w14:textId="77777777" w:rsidR="00DE731D" w:rsidRPr="00F806C7" w:rsidRDefault="00DE731D" w:rsidP="00DE731D">
      <w:pPr>
        <w:numPr>
          <w:ilvl w:val="0"/>
          <w:numId w:val="113"/>
        </w:numPr>
        <w:tabs>
          <w:tab w:val="clear" w:pos="360"/>
          <w:tab w:val="num" w:pos="720"/>
        </w:tabs>
        <w:bidi/>
        <w:rPr>
          <w:rFonts w:ascii="Times New Roman" w:hAnsi="Times New Roman" w:cs="Times New Roman"/>
          <w:sz w:val="28"/>
          <w:szCs w:val="28"/>
        </w:rPr>
      </w:pPr>
      <w:r w:rsidRPr="00F806C7">
        <w:rPr>
          <w:rFonts w:ascii="Times New Roman" w:hAnsi="Times New Roman" w:cs="Times New Roman"/>
          <w:sz w:val="28"/>
          <w:szCs w:val="28"/>
          <w:rtl/>
        </w:rPr>
        <w:t>فهم كيفية تأثير الثقافة التنظيمية في تعزيز أو تقييد الإبداع</w:t>
      </w:r>
      <w:r w:rsidRPr="00F806C7">
        <w:rPr>
          <w:rFonts w:ascii="Times New Roman" w:hAnsi="Times New Roman" w:cs="Times New Roman"/>
          <w:sz w:val="28"/>
          <w:szCs w:val="28"/>
        </w:rPr>
        <w:t>.</w:t>
      </w:r>
    </w:p>
    <w:p w14:paraId="32572884" w14:textId="77777777" w:rsidR="00DE731D" w:rsidRPr="00F806C7" w:rsidRDefault="00DE731D" w:rsidP="00DE731D">
      <w:pPr>
        <w:numPr>
          <w:ilvl w:val="0"/>
          <w:numId w:val="113"/>
        </w:numPr>
        <w:tabs>
          <w:tab w:val="clear" w:pos="360"/>
          <w:tab w:val="num" w:pos="720"/>
        </w:tabs>
        <w:bidi/>
        <w:rPr>
          <w:rFonts w:ascii="Times New Roman" w:hAnsi="Times New Roman" w:cs="Times New Roman"/>
          <w:sz w:val="28"/>
          <w:szCs w:val="28"/>
        </w:rPr>
      </w:pPr>
      <w:r w:rsidRPr="00F806C7">
        <w:rPr>
          <w:rFonts w:ascii="Times New Roman" w:hAnsi="Times New Roman" w:cs="Times New Roman"/>
          <w:sz w:val="28"/>
          <w:szCs w:val="28"/>
          <w:rtl/>
        </w:rPr>
        <w:t>رصد الاختلافات الثقافية والإدارية بين قطاعي الفنادق والمطاعم</w:t>
      </w:r>
      <w:r w:rsidRPr="00F806C7">
        <w:rPr>
          <w:rFonts w:ascii="Times New Roman" w:hAnsi="Times New Roman" w:cs="Times New Roman"/>
          <w:sz w:val="28"/>
          <w:szCs w:val="28"/>
        </w:rPr>
        <w:t>.</w:t>
      </w:r>
    </w:p>
    <w:p w14:paraId="54BA0E4B" w14:textId="77777777" w:rsidR="00DE731D" w:rsidRPr="004675F9" w:rsidRDefault="00DE731D" w:rsidP="00DE731D">
      <w:pPr>
        <w:numPr>
          <w:ilvl w:val="0"/>
          <w:numId w:val="113"/>
        </w:numPr>
        <w:bidi/>
        <w:rPr>
          <w:rFonts w:ascii="Times New Roman" w:hAnsi="Times New Roman" w:cs="Times New Roman"/>
          <w:sz w:val="28"/>
          <w:szCs w:val="28"/>
        </w:rPr>
      </w:pPr>
      <w:r w:rsidRPr="004675F9">
        <w:rPr>
          <w:rFonts w:ascii="Times New Roman" w:hAnsi="Times New Roman" w:cs="Times New Roman"/>
          <w:sz w:val="28"/>
          <w:szCs w:val="28"/>
          <w:rtl/>
        </w:rPr>
        <w:t>تحديد العوامل الخفية التي لا يمكن قياسها كمياً، ولكنها تؤثر على الأداء الإبداعي</w:t>
      </w:r>
      <w:r w:rsidRPr="004675F9">
        <w:rPr>
          <w:rFonts w:ascii="Times New Roman" w:hAnsi="Times New Roman" w:cs="Times New Roman"/>
          <w:sz w:val="28"/>
          <w:szCs w:val="28"/>
        </w:rPr>
        <w:t>.</w:t>
      </w:r>
    </w:p>
    <w:p w14:paraId="00C331E2" w14:textId="77777777" w:rsidR="00DE731D" w:rsidRPr="004675F9" w:rsidRDefault="00DE731D" w:rsidP="00DE731D">
      <w:pPr>
        <w:bidi/>
        <w:rPr>
          <w:rFonts w:ascii="Times New Roman" w:hAnsi="Times New Roman" w:cs="Times New Roman"/>
          <w:b/>
          <w:bCs/>
          <w:sz w:val="28"/>
          <w:szCs w:val="28"/>
        </w:rPr>
      </w:pPr>
      <w:r w:rsidRPr="004675F9">
        <w:rPr>
          <w:rFonts w:ascii="Times New Roman" w:hAnsi="Times New Roman" w:cs="Times New Roman"/>
          <w:b/>
          <w:bCs/>
          <w:sz w:val="28"/>
          <w:szCs w:val="28"/>
          <w:rtl/>
        </w:rPr>
        <w:t>(ب) محاور دليل المقابلة</w:t>
      </w:r>
    </w:p>
    <w:p w14:paraId="5B5D6E63" w14:textId="778F5AD4" w:rsidR="00DE731D" w:rsidRPr="004675F9" w:rsidRDefault="009562FC" w:rsidP="00DE731D">
      <w:pPr>
        <w:bidi/>
        <w:rPr>
          <w:rFonts w:ascii="Times New Roman" w:hAnsi="Times New Roman" w:cs="Times New Roman"/>
          <w:sz w:val="28"/>
          <w:szCs w:val="28"/>
        </w:rPr>
      </w:pPr>
      <w:r w:rsidRPr="004675F9">
        <w:rPr>
          <w:rFonts w:ascii="Times New Roman" w:hAnsi="Times New Roman" w:cs="Times New Roman" w:hint="cs"/>
          <w:sz w:val="28"/>
          <w:szCs w:val="28"/>
          <w:rtl/>
        </w:rPr>
        <w:t>سي</w:t>
      </w:r>
      <w:r w:rsidR="00DE731D" w:rsidRPr="004675F9">
        <w:rPr>
          <w:rFonts w:ascii="Times New Roman" w:hAnsi="Times New Roman" w:cs="Times New Roman"/>
          <w:sz w:val="28"/>
          <w:szCs w:val="28"/>
          <w:rtl/>
        </w:rPr>
        <w:t xml:space="preserve">تم إعداد </w:t>
      </w:r>
      <w:r w:rsidR="00DE731D" w:rsidRPr="004675F9">
        <w:rPr>
          <w:rFonts w:ascii="Times New Roman" w:hAnsi="Times New Roman" w:cs="Times New Roman"/>
          <w:b/>
          <w:bCs/>
          <w:sz w:val="28"/>
          <w:szCs w:val="28"/>
          <w:rtl/>
        </w:rPr>
        <w:t>دليل مقابلة</w:t>
      </w:r>
      <w:r w:rsidR="00DE731D" w:rsidRPr="004675F9">
        <w:rPr>
          <w:rFonts w:ascii="Times New Roman" w:hAnsi="Times New Roman" w:cs="Times New Roman"/>
          <w:b/>
          <w:bCs/>
          <w:sz w:val="28"/>
          <w:szCs w:val="28"/>
        </w:rPr>
        <w:t xml:space="preserve"> (Interview Guide)</w:t>
      </w:r>
      <w:r w:rsidR="00DE731D" w:rsidRPr="004675F9">
        <w:rPr>
          <w:rFonts w:ascii="Times New Roman" w:hAnsi="Times New Roman" w:cs="Times New Roman"/>
          <w:sz w:val="28"/>
          <w:szCs w:val="28"/>
        </w:rPr>
        <w:t xml:space="preserve"> </w:t>
      </w:r>
      <w:r w:rsidRPr="004675F9">
        <w:rPr>
          <w:rFonts w:ascii="Times New Roman" w:hAnsi="Times New Roman" w:cs="Times New Roman" w:hint="cs"/>
          <w:sz w:val="28"/>
          <w:szCs w:val="28"/>
          <w:rtl/>
        </w:rPr>
        <w:t>ت</w:t>
      </w:r>
      <w:r w:rsidR="00DE731D" w:rsidRPr="004675F9">
        <w:rPr>
          <w:rFonts w:ascii="Times New Roman" w:hAnsi="Times New Roman" w:cs="Times New Roman"/>
          <w:sz w:val="28"/>
          <w:szCs w:val="28"/>
          <w:rtl/>
        </w:rPr>
        <w:t>تضمن مجموعة من الأسئلة المفتوحة تغطي المحاور التالية</w:t>
      </w:r>
      <w:r w:rsidR="00DE731D" w:rsidRPr="004675F9">
        <w:rPr>
          <w:rFonts w:ascii="Times New Roman" w:hAnsi="Times New Roman" w:cs="Times New Roman"/>
          <w:sz w:val="28"/>
          <w:szCs w:val="28"/>
        </w:rPr>
        <w:t>:</w:t>
      </w:r>
    </w:p>
    <w:p w14:paraId="2A60AA27" w14:textId="77777777" w:rsidR="00DE731D" w:rsidRPr="004675F9" w:rsidRDefault="00DE731D" w:rsidP="00DE731D">
      <w:pPr>
        <w:numPr>
          <w:ilvl w:val="0"/>
          <w:numId w:val="114"/>
        </w:numPr>
        <w:bidi/>
        <w:rPr>
          <w:rFonts w:ascii="Times New Roman" w:hAnsi="Times New Roman" w:cs="Times New Roman"/>
          <w:sz w:val="28"/>
          <w:szCs w:val="28"/>
        </w:rPr>
      </w:pPr>
      <w:r w:rsidRPr="004675F9">
        <w:rPr>
          <w:rFonts w:ascii="Times New Roman" w:hAnsi="Times New Roman" w:cs="Times New Roman"/>
          <w:sz w:val="28"/>
          <w:szCs w:val="28"/>
          <w:rtl/>
        </w:rPr>
        <w:t>إدراك المشاركين لطبيعة ممارسات الموارد البشرية في منشآتهم</w:t>
      </w:r>
      <w:r w:rsidRPr="004675F9">
        <w:rPr>
          <w:rFonts w:ascii="Times New Roman" w:hAnsi="Times New Roman" w:cs="Times New Roman"/>
          <w:sz w:val="28"/>
          <w:szCs w:val="28"/>
        </w:rPr>
        <w:t>.</w:t>
      </w:r>
    </w:p>
    <w:p w14:paraId="596C6578" w14:textId="77777777" w:rsidR="00DE731D" w:rsidRPr="004675F9" w:rsidRDefault="00DE731D" w:rsidP="00DE731D">
      <w:pPr>
        <w:numPr>
          <w:ilvl w:val="0"/>
          <w:numId w:val="114"/>
        </w:numPr>
        <w:bidi/>
        <w:rPr>
          <w:rFonts w:ascii="Times New Roman" w:hAnsi="Times New Roman" w:cs="Times New Roman"/>
          <w:sz w:val="28"/>
          <w:szCs w:val="28"/>
        </w:rPr>
      </w:pPr>
      <w:r w:rsidRPr="004675F9">
        <w:rPr>
          <w:rFonts w:ascii="Times New Roman" w:hAnsi="Times New Roman" w:cs="Times New Roman"/>
          <w:sz w:val="28"/>
          <w:szCs w:val="28"/>
          <w:rtl/>
        </w:rPr>
        <w:t>تصوراتهم حول العدالة، المشاركة، والتمكين</w:t>
      </w:r>
      <w:r w:rsidRPr="004675F9">
        <w:rPr>
          <w:rFonts w:ascii="Times New Roman" w:hAnsi="Times New Roman" w:cs="Times New Roman"/>
          <w:sz w:val="28"/>
          <w:szCs w:val="28"/>
        </w:rPr>
        <w:t>.</w:t>
      </w:r>
    </w:p>
    <w:p w14:paraId="2E7D9B7D" w14:textId="77777777" w:rsidR="00DE731D" w:rsidRPr="004675F9" w:rsidRDefault="00DE731D" w:rsidP="00DE731D">
      <w:pPr>
        <w:numPr>
          <w:ilvl w:val="0"/>
          <w:numId w:val="114"/>
        </w:numPr>
        <w:bidi/>
        <w:rPr>
          <w:rFonts w:ascii="Times New Roman" w:hAnsi="Times New Roman" w:cs="Times New Roman"/>
          <w:sz w:val="28"/>
          <w:szCs w:val="28"/>
        </w:rPr>
      </w:pPr>
      <w:r w:rsidRPr="004675F9">
        <w:rPr>
          <w:rFonts w:ascii="Times New Roman" w:hAnsi="Times New Roman" w:cs="Times New Roman"/>
          <w:sz w:val="28"/>
          <w:szCs w:val="28"/>
          <w:rtl/>
        </w:rPr>
        <w:t>مدى دعم الثقافة التنظيمية للأفكار الجديدة والمبادرات الفردية</w:t>
      </w:r>
      <w:r w:rsidRPr="004675F9">
        <w:rPr>
          <w:rFonts w:ascii="Times New Roman" w:hAnsi="Times New Roman" w:cs="Times New Roman"/>
          <w:sz w:val="28"/>
          <w:szCs w:val="28"/>
        </w:rPr>
        <w:t>.</w:t>
      </w:r>
    </w:p>
    <w:p w14:paraId="23C2DDA8" w14:textId="77777777" w:rsidR="00DE731D" w:rsidRPr="004675F9" w:rsidRDefault="00DE731D" w:rsidP="00DE731D">
      <w:pPr>
        <w:numPr>
          <w:ilvl w:val="0"/>
          <w:numId w:val="114"/>
        </w:numPr>
        <w:bidi/>
        <w:rPr>
          <w:rFonts w:ascii="Times New Roman" w:hAnsi="Times New Roman" w:cs="Times New Roman"/>
          <w:sz w:val="28"/>
          <w:szCs w:val="28"/>
        </w:rPr>
      </w:pPr>
      <w:r w:rsidRPr="004675F9">
        <w:rPr>
          <w:rFonts w:ascii="Times New Roman" w:hAnsi="Times New Roman" w:cs="Times New Roman"/>
          <w:sz w:val="28"/>
          <w:szCs w:val="28"/>
          <w:rtl/>
        </w:rPr>
        <w:t>التحديات التي تواجه الإبداع في بيئة العمل اليومية</w:t>
      </w:r>
      <w:r w:rsidRPr="004675F9">
        <w:rPr>
          <w:rFonts w:ascii="Times New Roman" w:hAnsi="Times New Roman" w:cs="Times New Roman"/>
          <w:sz w:val="28"/>
          <w:szCs w:val="28"/>
        </w:rPr>
        <w:t>.</w:t>
      </w:r>
    </w:p>
    <w:p w14:paraId="05BE484E" w14:textId="77777777" w:rsidR="00DE731D" w:rsidRPr="004675F9" w:rsidRDefault="00DE731D" w:rsidP="00DE731D">
      <w:pPr>
        <w:numPr>
          <w:ilvl w:val="0"/>
          <w:numId w:val="114"/>
        </w:numPr>
        <w:bidi/>
        <w:rPr>
          <w:rFonts w:ascii="Times New Roman" w:hAnsi="Times New Roman" w:cs="Times New Roman"/>
          <w:sz w:val="28"/>
          <w:szCs w:val="28"/>
        </w:rPr>
      </w:pPr>
      <w:r w:rsidRPr="004675F9">
        <w:rPr>
          <w:rFonts w:ascii="Times New Roman" w:hAnsi="Times New Roman" w:cs="Times New Roman"/>
          <w:sz w:val="28"/>
          <w:szCs w:val="28"/>
          <w:rtl/>
        </w:rPr>
        <w:t>مقارنة بين بيئتي الفنادق والمطاعم في تطبيق</w:t>
      </w:r>
      <w:r w:rsidRPr="004675F9">
        <w:rPr>
          <w:rFonts w:ascii="Times New Roman" w:hAnsi="Times New Roman" w:cs="Times New Roman"/>
          <w:sz w:val="28"/>
          <w:szCs w:val="28"/>
        </w:rPr>
        <w:t xml:space="preserve"> HPWS </w:t>
      </w:r>
      <w:r w:rsidRPr="004675F9">
        <w:rPr>
          <w:rFonts w:ascii="Times New Roman" w:hAnsi="Times New Roman" w:cs="Times New Roman"/>
          <w:sz w:val="28"/>
          <w:szCs w:val="28"/>
          <w:rtl/>
        </w:rPr>
        <w:t>وتحفيز الإبداع</w:t>
      </w:r>
      <w:r w:rsidRPr="004675F9">
        <w:rPr>
          <w:rFonts w:ascii="Times New Roman" w:hAnsi="Times New Roman" w:cs="Times New Roman"/>
          <w:sz w:val="28"/>
          <w:szCs w:val="28"/>
        </w:rPr>
        <w:t>.</w:t>
      </w:r>
    </w:p>
    <w:p w14:paraId="6FE89CBE" w14:textId="701BB195" w:rsidR="00DE731D" w:rsidRPr="004675F9" w:rsidRDefault="009562FC" w:rsidP="00DE731D">
      <w:pPr>
        <w:bidi/>
        <w:rPr>
          <w:rFonts w:ascii="Times New Roman" w:hAnsi="Times New Roman" w:cs="Times New Roman"/>
          <w:sz w:val="28"/>
          <w:szCs w:val="28"/>
        </w:rPr>
      </w:pPr>
      <w:r w:rsidRPr="004675F9">
        <w:rPr>
          <w:rFonts w:ascii="Times New Roman" w:hAnsi="Times New Roman" w:cs="Times New Roman" w:hint="cs"/>
          <w:sz w:val="28"/>
          <w:szCs w:val="28"/>
          <w:rtl/>
        </w:rPr>
        <w:t>وسي</w:t>
      </w:r>
      <w:r w:rsidR="00DE731D" w:rsidRPr="004675F9">
        <w:rPr>
          <w:rFonts w:ascii="Times New Roman" w:hAnsi="Times New Roman" w:cs="Times New Roman"/>
          <w:sz w:val="28"/>
          <w:szCs w:val="28"/>
          <w:rtl/>
        </w:rPr>
        <w:t xml:space="preserve">تم تصميم الأسئلة بشكل مرن يسمح بتعديل التتابع وفقاً لتفاعل المبحوث، لضمان </w:t>
      </w:r>
      <w:r w:rsidR="00DE731D" w:rsidRPr="004675F9">
        <w:rPr>
          <w:rFonts w:ascii="Times New Roman" w:hAnsi="Times New Roman" w:cs="Times New Roman"/>
          <w:b/>
          <w:bCs/>
          <w:sz w:val="28"/>
          <w:szCs w:val="28"/>
          <w:rtl/>
        </w:rPr>
        <w:t>ثراء البيانات</w:t>
      </w:r>
      <w:r w:rsidR="00DE731D" w:rsidRPr="004675F9">
        <w:rPr>
          <w:rFonts w:ascii="Times New Roman" w:hAnsi="Times New Roman" w:cs="Times New Roman"/>
          <w:sz w:val="28"/>
          <w:szCs w:val="28"/>
          <w:rtl/>
        </w:rPr>
        <w:t xml:space="preserve"> وعمقها المفاهيمي </w:t>
      </w:r>
      <w:r w:rsidR="00DE731D" w:rsidRPr="004675F9">
        <w:rPr>
          <w:rFonts w:ascii="Times New Roman" w:hAnsi="Times New Roman" w:cs="Times New Roman"/>
          <w:sz w:val="28"/>
          <w:szCs w:val="28"/>
          <w:rtl/>
        </w:rPr>
        <w:fldChar w:fldCharType="begin"/>
      </w:r>
      <w:r w:rsidR="00DE731D" w:rsidRPr="004675F9">
        <w:rPr>
          <w:rFonts w:ascii="Times New Roman" w:hAnsi="Times New Roman" w:cs="Times New Roman"/>
          <w:sz w:val="28"/>
          <w:szCs w:val="28"/>
          <w:rtl/>
        </w:rPr>
        <w:instrText xml:space="preserve"> </w:instrText>
      </w:r>
      <w:r w:rsidR="00DE731D" w:rsidRPr="004675F9">
        <w:rPr>
          <w:rFonts w:ascii="Times New Roman" w:hAnsi="Times New Roman" w:cs="Times New Roman"/>
          <w:sz w:val="28"/>
          <w:szCs w:val="28"/>
        </w:rPr>
        <w:instrText>ADDIN EN.CITE &lt;EndNote&gt;&lt;Cite&gt;&lt;Author&gt;Patton&lt;/Author&gt;&lt;Year&gt;2014&lt;/Year&gt;&lt;RecNum&gt;584&lt;/RecNum&gt;&lt;DisplayText&gt;(Patton, 2014)&lt;/DisplayText&gt;&lt;record&gt;&lt;rec-number&gt;584&lt;/rec-number&gt;&lt;foreign-keys&gt;&lt;key app="EN" db-id="t5vttv59or5xwbe2zdm5ewrxd905arrpawff" timestamp="1723</w:instrText>
      </w:r>
      <w:r w:rsidR="00DE731D" w:rsidRPr="004675F9">
        <w:rPr>
          <w:rFonts w:ascii="Times New Roman" w:hAnsi="Times New Roman" w:cs="Times New Roman"/>
          <w:sz w:val="28"/>
          <w:szCs w:val="28"/>
          <w:rtl/>
        </w:rPr>
        <w:instrText>297646"&gt;584&lt;/</w:instrText>
      </w:r>
      <w:r w:rsidR="00DE731D" w:rsidRPr="004675F9">
        <w:rPr>
          <w:rFonts w:ascii="Times New Roman" w:hAnsi="Times New Roman" w:cs="Times New Roman"/>
          <w:sz w:val="28"/>
          <w:szCs w:val="28"/>
        </w:rPr>
        <w:instrText>key&gt;&lt;/foreign-keys&gt;&lt;ref-type name="Book"&gt;6&lt;/ref-type&gt;&lt;contributors&gt;&lt;authors&gt;&lt;author&gt;Patton, Michael Quinn&lt;/author&gt;&lt;/authors&gt;&lt;/contributors&gt;&lt;titles&gt;&lt;title&gt;Qualitative research &amp;amp; evaluation methods: Integrating theory and practice&lt;/title</w:instrText>
      </w:r>
      <w:r w:rsidR="00DE731D" w:rsidRPr="004675F9">
        <w:rPr>
          <w:rFonts w:ascii="Times New Roman" w:hAnsi="Times New Roman" w:cs="Times New Roman"/>
          <w:sz w:val="28"/>
          <w:szCs w:val="28"/>
          <w:rtl/>
        </w:rPr>
        <w:instrText>&gt;&lt;/</w:instrText>
      </w:r>
      <w:r w:rsidR="00DE731D" w:rsidRPr="004675F9">
        <w:rPr>
          <w:rFonts w:ascii="Times New Roman" w:hAnsi="Times New Roman" w:cs="Times New Roman"/>
          <w:sz w:val="28"/>
          <w:szCs w:val="28"/>
        </w:rPr>
        <w:instrText>titles&gt;&lt;dates&gt;&lt;year&gt;2014&lt;/year&gt;&lt;/dates&gt;&lt;publisher&gt;Sage publications&lt;/publisher&gt;&lt;isbn&gt;1483301451&lt;/isbn&gt;&lt;urls&gt;&lt;/urls&gt;&lt;/record&gt;&lt;/Cite&gt;&lt;/EndNote</w:instrText>
      </w:r>
      <w:r w:rsidR="00DE731D" w:rsidRPr="004675F9">
        <w:rPr>
          <w:rFonts w:ascii="Times New Roman" w:hAnsi="Times New Roman" w:cs="Times New Roman"/>
          <w:sz w:val="28"/>
          <w:szCs w:val="28"/>
          <w:rtl/>
        </w:rPr>
        <w:instrText>&gt;</w:instrText>
      </w:r>
      <w:r w:rsidR="00DE731D" w:rsidRPr="004675F9">
        <w:rPr>
          <w:rFonts w:ascii="Times New Roman" w:hAnsi="Times New Roman" w:cs="Times New Roman"/>
          <w:sz w:val="28"/>
          <w:szCs w:val="28"/>
          <w:rtl/>
        </w:rPr>
        <w:fldChar w:fldCharType="separate"/>
      </w:r>
      <w:r w:rsidR="00DE731D" w:rsidRPr="004675F9">
        <w:rPr>
          <w:rFonts w:ascii="Times New Roman" w:hAnsi="Times New Roman" w:cs="Times New Roman"/>
          <w:noProof/>
          <w:sz w:val="28"/>
          <w:szCs w:val="28"/>
          <w:rtl/>
        </w:rPr>
        <w:t>(</w:t>
      </w:r>
      <w:r w:rsidR="00DE731D" w:rsidRPr="004675F9">
        <w:rPr>
          <w:rFonts w:ascii="Times New Roman" w:hAnsi="Times New Roman" w:cs="Times New Roman"/>
          <w:noProof/>
          <w:sz w:val="28"/>
          <w:szCs w:val="28"/>
        </w:rPr>
        <w:t>Patton, 2014</w:t>
      </w:r>
      <w:r w:rsidR="00DE731D" w:rsidRPr="004675F9">
        <w:rPr>
          <w:rFonts w:ascii="Times New Roman" w:hAnsi="Times New Roman" w:cs="Times New Roman"/>
          <w:noProof/>
          <w:sz w:val="28"/>
          <w:szCs w:val="28"/>
          <w:rtl/>
        </w:rPr>
        <w:t>)</w:t>
      </w:r>
      <w:r w:rsidR="00DE731D" w:rsidRPr="004675F9">
        <w:rPr>
          <w:rFonts w:ascii="Times New Roman" w:hAnsi="Times New Roman" w:cs="Times New Roman"/>
          <w:sz w:val="28"/>
          <w:szCs w:val="28"/>
          <w:rtl/>
        </w:rPr>
        <w:fldChar w:fldCharType="end"/>
      </w:r>
      <w:r w:rsidR="00DE731D" w:rsidRPr="004675F9">
        <w:rPr>
          <w:rFonts w:ascii="Times New Roman" w:hAnsi="Times New Roman" w:cs="Times New Roman"/>
          <w:sz w:val="28"/>
          <w:szCs w:val="28"/>
          <w:rtl/>
        </w:rPr>
        <w:t>.</w:t>
      </w:r>
    </w:p>
    <w:p w14:paraId="49D21F02" w14:textId="77777777" w:rsidR="00DE731D" w:rsidRPr="004675F9" w:rsidRDefault="00DE731D" w:rsidP="00DE731D">
      <w:pPr>
        <w:bidi/>
        <w:rPr>
          <w:rFonts w:ascii="Times New Roman" w:hAnsi="Times New Roman" w:cs="Times New Roman"/>
          <w:b/>
          <w:bCs/>
          <w:sz w:val="28"/>
          <w:szCs w:val="28"/>
        </w:rPr>
      </w:pPr>
      <w:r w:rsidRPr="004675F9">
        <w:rPr>
          <w:rFonts w:ascii="Times New Roman" w:hAnsi="Times New Roman" w:cs="Times New Roman"/>
          <w:b/>
          <w:bCs/>
          <w:sz w:val="28"/>
          <w:szCs w:val="28"/>
          <w:rtl/>
        </w:rPr>
        <w:t>(ج) إجراءات التنفيذ والتسجيل</w:t>
      </w:r>
    </w:p>
    <w:p w14:paraId="1CFC5E7B" w14:textId="09021483" w:rsidR="00DE731D" w:rsidRPr="00F806C7" w:rsidRDefault="009562FC" w:rsidP="00DE731D">
      <w:pPr>
        <w:bidi/>
        <w:rPr>
          <w:rFonts w:ascii="Times New Roman" w:hAnsi="Times New Roman" w:cs="Times New Roman"/>
          <w:sz w:val="28"/>
          <w:szCs w:val="28"/>
        </w:rPr>
      </w:pPr>
      <w:r w:rsidRPr="004675F9">
        <w:rPr>
          <w:rFonts w:ascii="Times New Roman" w:hAnsi="Times New Roman" w:cs="Times New Roman" w:hint="cs"/>
          <w:sz w:val="28"/>
          <w:szCs w:val="28"/>
          <w:rtl/>
        </w:rPr>
        <w:lastRenderedPageBreak/>
        <w:t>سيتم</w:t>
      </w:r>
      <w:r w:rsidR="00DE731D" w:rsidRPr="004675F9">
        <w:rPr>
          <w:rFonts w:ascii="Times New Roman" w:hAnsi="Times New Roman" w:cs="Times New Roman"/>
          <w:sz w:val="28"/>
          <w:szCs w:val="28"/>
          <w:rtl/>
        </w:rPr>
        <w:t xml:space="preserve"> تنفيذ المقابلات خلال فترة جمع البيانات الميدانية، واستغرقت كل مقابلة بين 30</w:t>
      </w:r>
      <w:r w:rsidR="00DE731D" w:rsidRPr="004675F9">
        <w:rPr>
          <w:rFonts w:ascii="Times New Roman" w:hAnsi="Times New Roman" w:cs="Times New Roman"/>
          <w:b/>
          <w:bCs/>
          <w:sz w:val="28"/>
          <w:szCs w:val="28"/>
        </w:rPr>
        <w:t xml:space="preserve"> </w:t>
      </w:r>
      <w:r w:rsidR="00DE731D" w:rsidRPr="004675F9">
        <w:rPr>
          <w:rFonts w:ascii="Times New Roman" w:hAnsi="Times New Roman" w:cs="Times New Roman"/>
          <w:b/>
          <w:bCs/>
          <w:sz w:val="28"/>
          <w:szCs w:val="28"/>
          <w:rtl/>
        </w:rPr>
        <w:t>و45 دقيقة</w:t>
      </w:r>
      <w:r w:rsidR="00DE731D" w:rsidRPr="004675F9">
        <w:rPr>
          <w:rFonts w:ascii="Times New Roman" w:hAnsi="Times New Roman" w:cs="Times New Roman"/>
          <w:sz w:val="28"/>
          <w:szCs w:val="28"/>
          <w:rtl/>
        </w:rPr>
        <w:t xml:space="preserve">. </w:t>
      </w:r>
      <w:r w:rsidRPr="004675F9">
        <w:rPr>
          <w:rFonts w:ascii="Times New Roman" w:hAnsi="Times New Roman" w:cs="Times New Roman" w:hint="cs"/>
          <w:sz w:val="28"/>
          <w:szCs w:val="28"/>
          <w:rtl/>
        </w:rPr>
        <w:t>وست</w:t>
      </w:r>
      <w:r w:rsidR="00DE731D" w:rsidRPr="004675F9">
        <w:rPr>
          <w:rFonts w:ascii="Times New Roman" w:hAnsi="Times New Roman" w:cs="Times New Roman"/>
          <w:sz w:val="28"/>
          <w:szCs w:val="28"/>
          <w:rtl/>
        </w:rPr>
        <w:t>جر</w:t>
      </w:r>
      <w:r w:rsidRPr="004675F9">
        <w:rPr>
          <w:rFonts w:ascii="Times New Roman" w:hAnsi="Times New Roman" w:cs="Times New Roman" w:hint="cs"/>
          <w:sz w:val="28"/>
          <w:szCs w:val="28"/>
          <w:rtl/>
        </w:rPr>
        <w:t>ي</w:t>
      </w:r>
      <w:r w:rsidR="00DE731D" w:rsidRPr="004675F9">
        <w:rPr>
          <w:rFonts w:ascii="Times New Roman" w:hAnsi="Times New Roman" w:cs="Times New Roman"/>
          <w:sz w:val="28"/>
          <w:szCs w:val="28"/>
          <w:rtl/>
        </w:rPr>
        <w:t xml:space="preserve"> المقابلات باللغة العربية لتسهيل التواصل، مع ضمان الفهم الدقيق للمفاهيم</w:t>
      </w:r>
      <w:r w:rsidR="00DE731D" w:rsidRPr="004675F9">
        <w:rPr>
          <w:rFonts w:ascii="Times New Roman" w:hAnsi="Times New Roman" w:cs="Times New Roman"/>
          <w:sz w:val="28"/>
          <w:szCs w:val="28"/>
        </w:rPr>
        <w:t>.</w:t>
      </w:r>
      <w:r w:rsidR="00DE731D" w:rsidRPr="004675F9">
        <w:rPr>
          <w:rFonts w:ascii="Times New Roman" w:hAnsi="Times New Roman" w:cs="Times New Roman"/>
          <w:sz w:val="28"/>
          <w:szCs w:val="28"/>
        </w:rPr>
        <w:br/>
      </w:r>
      <w:r w:rsidR="00DE731D" w:rsidRPr="004675F9">
        <w:rPr>
          <w:rFonts w:ascii="Times New Roman" w:hAnsi="Times New Roman" w:cs="Times New Roman"/>
          <w:sz w:val="28"/>
          <w:szCs w:val="28"/>
          <w:rtl/>
        </w:rPr>
        <w:t xml:space="preserve">قبل البدء، </w:t>
      </w:r>
      <w:r w:rsidRPr="004675F9">
        <w:rPr>
          <w:rFonts w:ascii="Times New Roman" w:hAnsi="Times New Roman" w:cs="Times New Roman" w:hint="cs"/>
          <w:sz w:val="28"/>
          <w:szCs w:val="28"/>
          <w:rtl/>
        </w:rPr>
        <w:t>سي</w:t>
      </w:r>
      <w:r w:rsidR="00DE731D" w:rsidRPr="004675F9">
        <w:rPr>
          <w:rFonts w:ascii="Times New Roman" w:hAnsi="Times New Roman" w:cs="Times New Roman"/>
          <w:sz w:val="28"/>
          <w:szCs w:val="28"/>
          <w:rtl/>
        </w:rPr>
        <w:t xml:space="preserve">تم تقديم شرح كامل للمشاركين حول هدف الدراسة وضمان </w:t>
      </w:r>
      <w:r w:rsidR="00DE731D" w:rsidRPr="004675F9">
        <w:rPr>
          <w:rFonts w:ascii="Times New Roman" w:hAnsi="Times New Roman" w:cs="Times New Roman"/>
          <w:b/>
          <w:bCs/>
          <w:sz w:val="28"/>
          <w:szCs w:val="28"/>
          <w:rtl/>
        </w:rPr>
        <w:t>السرية والخصوصية</w:t>
      </w:r>
      <w:r w:rsidR="00DE731D" w:rsidRPr="004675F9">
        <w:rPr>
          <w:rFonts w:ascii="Times New Roman" w:hAnsi="Times New Roman" w:cs="Times New Roman"/>
          <w:sz w:val="28"/>
          <w:szCs w:val="28"/>
          <w:rtl/>
        </w:rPr>
        <w:t xml:space="preserve">، والحصول على </w:t>
      </w:r>
      <w:r w:rsidR="00DE731D" w:rsidRPr="004675F9">
        <w:rPr>
          <w:rFonts w:ascii="Times New Roman" w:hAnsi="Times New Roman" w:cs="Times New Roman"/>
          <w:b/>
          <w:bCs/>
          <w:sz w:val="28"/>
          <w:szCs w:val="28"/>
          <w:rtl/>
        </w:rPr>
        <w:t xml:space="preserve">الموافقة المستنيرة </w:t>
      </w:r>
      <w:r w:rsidR="00DE731D" w:rsidRPr="004675F9">
        <w:rPr>
          <w:rFonts w:ascii="Times New Roman" w:hAnsi="Times New Roman" w:cs="Times New Roman"/>
          <w:b/>
          <w:bCs/>
          <w:sz w:val="28"/>
          <w:szCs w:val="28"/>
        </w:rPr>
        <w:t>(Informed Consent)</w:t>
      </w:r>
      <w:r w:rsidR="00DE731D" w:rsidRPr="004675F9">
        <w:rPr>
          <w:rFonts w:ascii="Times New Roman" w:hAnsi="Times New Roman" w:cs="Times New Roman"/>
          <w:sz w:val="28"/>
          <w:szCs w:val="28"/>
          <w:rtl/>
        </w:rPr>
        <w:t>.</w:t>
      </w:r>
    </w:p>
    <w:p w14:paraId="18C1447E" w14:textId="715AEF9B" w:rsidR="00DE731D" w:rsidRPr="00F806C7" w:rsidRDefault="009562FC" w:rsidP="00DE731D">
      <w:pPr>
        <w:bidi/>
        <w:rPr>
          <w:rFonts w:ascii="Times New Roman" w:hAnsi="Times New Roman" w:cs="Times New Roman"/>
          <w:sz w:val="28"/>
          <w:szCs w:val="28"/>
        </w:rPr>
      </w:pPr>
      <w:r>
        <w:rPr>
          <w:rFonts w:ascii="Times New Roman" w:hAnsi="Times New Roman" w:cs="Times New Roman" w:hint="cs"/>
          <w:sz w:val="28"/>
          <w:szCs w:val="28"/>
          <w:rtl/>
        </w:rPr>
        <w:t>وستسجل</w:t>
      </w:r>
      <w:r w:rsidR="00DE731D" w:rsidRPr="00F806C7">
        <w:rPr>
          <w:rFonts w:ascii="Times New Roman" w:hAnsi="Times New Roman" w:cs="Times New Roman"/>
          <w:sz w:val="28"/>
          <w:szCs w:val="28"/>
          <w:rtl/>
        </w:rPr>
        <w:t xml:space="preserve"> المقابلات (بعد إذن المشاركين) باستخدام أجهزة رقمية، </w:t>
      </w:r>
      <w:r w:rsidR="00611E7E" w:rsidRPr="00F806C7">
        <w:rPr>
          <w:rFonts w:ascii="Times New Roman" w:hAnsi="Times New Roman" w:cs="Times New Roman"/>
          <w:sz w:val="28"/>
          <w:szCs w:val="28"/>
          <w:rtl/>
        </w:rPr>
        <w:t xml:space="preserve">ثم </w:t>
      </w:r>
      <w:r w:rsidR="00611E7E">
        <w:rPr>
          <w:rFonts w:ascii="Times New Roman" w:hAnsi="Times New Roman" w:cs="Times New Roman" w:hint="cs"/>
          <w:sz w:val="28"/>
          <w:szCs w:val="28"/>
          <w:rtl/>
        </w:rPr>
        <w:t>تُف</w:t>
      </w:r>
      <w:r w:rsidR="00611E7E" w:rsidRPr="00F806C7">
        <w:rPr>
          <w:rFonts w:ascii="Times New Roman" w:hAnsi="Times New Roman" w:cs="Times New Roman"/>
          <w:sz w:val="28"/>
          <w:szCs w:val="28"/>
          <w:rtl/>
        </w:rPr>
        <w:t xml:space="preserve">رغ </w:t>
      </w:r>
      <w:r w:rsidR="00DE731D" w:rsidRPr="00F806C7">
        <w:rPr>
          <w:rFonts w:ascii="Times New Roman" w:hAnsi="Times New Roman" w:cs="Times New Roman"/>
          <w:sz w:val="28"/>
          <w:szCs w:val="28"/>
          <w:rtl/>
        </w:rPr>
        <w:t>نصوصها تفريغًا حرفيًا (</w:t>
      </w:r>
      <w:r w:rsidR="00DE731D" w:rsidRPr="00F806C7">
        <w:rPr>
          <w:rFonts w:ascii="Times New Roman" w:hAnsi="Times New Roman" w:cs="Times New Roman"/>
          <w:sz w:val="28"/>
          <w:szCs w:val="28"/>
        </w:rPr>
        <w:t>Verbatim Transcription</w:t>
      </w:r>
      <w:r w:rsidR="00DE731D" w:rsidRPr="00F806C7">
        <w:rPr>
          <w:rFonts w:ascii="Times New Roman" w:hAnsi="Times New Roman" w:cs="Times New Roman"/>
          <w:sz w:val="28"/>
          <w:szCs w:val="28"/>
          <w:rtl/>
        </w:rPr>
        <w:t xml:space="preserve">). </w:t>
      </w:r>
      <w:r>
        <w:rPr>
          <w:rFonts w:ascii="Times New Roman" w:hAnsi="Times New Roman" w:cs="Times New Roman" w:hint="cs"/>
          <w:sz w:val="28"/>
          <w:szCs w:val="28"/>
          <w:rtl/>
        </w:rPr>
        <w:t>مع</w:t>
      </w:r>
      <w:r w:rsidR="00DE731D" w:rsidRPr="00F806C7">
        <w:rPr>
          <w:rFonts w:ascii="Times New Roman" w:hAnsi="Times New Roman" w:cs="Times New Roman"/>
          <w:sz w:val="28"/>
          <w:szCs w:val="28"/>
          <w:rtl/>
        </w:rPr>
        <w:t xml:space="preserve"> تحليل النصوص لاحقًا وفق التحليل الموضوعي</w:t>
      </w:r>
      <w:r w:rsidR="00DE731D" w:rsidRPr="00F806C7">
        <w:rPr>
          <w:rFonts w:ascii="Times New Roman" w:hAnsi="Times New Roman" w:cs="Times New Roman"/>
          <w:sz w:val="28"/>
          <w:szCs w:val="28"/>
        </w:rPr>
        <w:t xml:space="preserve"> </w:t>
      </w:r>
      <w:r>
        <w:rPr>
          <w:rFonts w:ascii="Times New Roman" w:hAnsi="Times New Roman" w:cs="Times New Roman" w:hint="cs"/>
          <w:sz w:val="28"/>
          <w:szCs w:val="28"/>
          <w:rtl/>
        </w:rPr>
        <w:t>(</w:t>
      </w:r>
      <w:r w:rsidR="00DE731D" w:rsidRPr="00F806C7">
        <w:rPr>
          <w:rFonts w:ascii="Times New Roman" w:hAnsi="Times New Roman" w:cs="Times New Roman"/>
          <w:sz w:val="28"/>
          <w:szCs w:val="28"/>
        </w:rPr>
        <w:t>Thematic</w:t>
      </w:r>
      <w:r>
        <w:rPr>
          <w:rFonts w:ascii="Times New Roman" w:hAnsi="Times New Roman" w:cs="Times New Roman" w:hint="cs"/>
          <w:sz w:val="28"/>
          <w:szCs w:val="28"/>
          <w:rtl/>
        </w:rPr>
        <w:t xml:space="preserve"> </w:t>
      </w:r>
      <w:r w:rsidR="00DE731D" w:rsidRPr="00F806C7">
        <w:rPr>
          <w:rFonts w:ascii="Times New Roman" w:hAnsi="Times New Roman" w:cs="Times New Roman"/>
          <w:sz w:val="28"/>
          <w:szCs w:val="28"/>
        </w:rPr>
        <w:t>Analysis</w:t>
      </w:r>
      <w:r>
        <w:rPr>
          <w:rFonts w:ascii="Times New Roman" w:hAnsi="Times New Roman" w:cs="Times New Roman" w:hint="cs"/>
          <w:sz w:val="28"/>
          <w:szCs w:val="28"/>
          <w:rtl/>
        </w:rPr>
        <w:t>)</w:t>
      </w:r>
      <w:r w:rsidR="00DE731D" w:rsidRPr="00F806C7">
        <w:rPr>
          <w:rFonts w:ascii="Times New Roman" w:hAnsi="Times New Roman" w:cs="Times New Roman"/>
          <w:sz w:val="28"/>
          <w:szCs w:val="28"/>
        </w:rPr>
        <w:t xml:space="preserve"> </w:t>
      </w:r>
      <w:r w:rsidR="00DE731D" w:rsidRPr="00F806C7">
        <w:rPr>
          <w:rFonts w:ascii="Times New Roman" w:hAnsi="Times New Roman" w:cs="Times New Roman"/>
          <w:sz w:val="28"/>
          <w:szCs w:val="28"/>
          <w:rtl/>
        </w:rPr>
        <w:t xml:space="preserve">لاستخلاص الأنماط المتكررة والعلاقات المفهومية بين محاور الدراسة </w:t>
      </w:r>
      <w:r w:rsidR="00DE731D" w:rsidRPr="00F806C7">
        <w:rPr>
          <w:rFonts w:ascii="Times New Roman" w:hAnsi="Times New Roman" w:cs="Times New Roman"/>
          <w:sz w:val="28"/>
          <w:szCs w:val="28"/>
          <w:rtl/>
        </w:rPr>
        <w:fldChar w:fldCharType="begin"/>
      </w:r>
      <w:r w:rsidR="001F2C0F">
        <w:rPr>
          <w:rFonts w:ascii="Times New Roman" w:hAnsi="Times New Roman" w:cs="Times New Roman"/>
          <w:sz w:val="28"/>
          <w:szCs w:val="28"/>
          <w:rtl/>
        </w:rPr>
        <w:instrText xml:space="preserve"> </w:instrText>
      </w:r>
      <w:r w:rsidR="001F2C0F">
        <w:rPr>
          <w:rFonts w:ascii="Times New Roman" w:hAnsi="Times New Roman" w:cs="Times New Roman"/>
          <w:sz w:val="28"/>
          <w:szCs w:val="28"/>
        </w:rPr>
        <w:instrText>ADDIN EN.CITE &lt;EndNote&gt;&lt;Cite&gt;&lt;Author&gt;Braun&lt;/Author&gt;&lt;Year&gt;2006&lt;/Year&gt;&lt;RecNum&gt;17&lt;/RecNum&gt;&lt;DisplayText&gt;(Braun and Clarke, 2006)&lt;/DisplayText&gt;&lt;record&gt;&lt;rec-number&gt;17&lt;/rec-number&gt;&lt;foreign-keys&gt;&lt;key app="EN" db-id="zw9t9atf6fezw6eezaavfavi059zesff20tt" timestamp="1772818858"&gt;17&lt;/key&gt;&lt;/foreign-keys&gt;&lt;ref-type name="Journal Article"&gt;17&lt;/ref-type&gt;&lt;contributors&gt;&lt;authors&gt;&lt;author&gt;Braun, Virginia&lt;/author&gt;&lt;author&gt;Clarke, Victoria&lt;/author&gt;&lt;/authors&gt;&lt;/contributors&gt;&lt;titles&gt;&lt;title&gt;Using thematic analysis in psychology&lt;/title&gt;&lt;secondary-title&gt;Qualitative research in psychology&lt;/secondary-title&gt;&lt;/titles&gt;&lt;periodical&gt;&lt;full-title&gt;Qualitative research in psychology&lt;/full-title&gt;&lt;/periodical&gt;&lt;pages&gt;77-101&lt;/pages&gt;&lt;volume&gt;3&lt;/volume&gt;&lt;number&gt;2&lt;/number&gt;&lt;dates&gt;&lt;year&gt;2006&lt;/year&gt;&lt;/dates&gt;&lt;isbn&gt;1478-0887&lt;/isbn&gt;&lt;urls&gt;&lt;/urls&gt;&lt;/record&gt;&lt;/Cite&gt;&lt;/EndNote</w:instrText>
      </w:r>
      <w:r w:rsidR="001F2C0F">
        <w:rPr>
          <w:rFonts w:ascii="Times New Roman" w:hAnsi="Times New Roman" w:cs="Times New Roman"/>
          <w:sz w:val="28"/>
          <w:szCs w:val="28"/>
          <w:rtl/>
        </w:rPr>
        <w:instrText>&gt;</w:instrText>
      </w:r>
      <w:r w:rsidR="00DE731D" w:rsidRPr="00F806C7">
        <w:rPr>
          <w:rFonts w:ascii="Times New Roman" w:hAnsi="Times New Roman" w:cs="Times New Roman"/>
          <w:sz w:val="28"/>
          <w:szCs w:val="28"/>
          <w:rtl/>
        </w:rPr>
        <w:fldChar w:fldCharType="separate"/>
      </w:r>
      <w:r w:rsidR="00DE731D" w:rsidRPr="00F806C7">
        <w:rPr>
          <w:rFonts w:ascii="Times New Roman" w:hAnsi="Times New Roman" w:cs="Times New Roman"/>
          <w:noProof/>
          <w:sz w:val="28"/>
          <w:szCs w:val="28"/>
          <w:rtl/>
        </w:rPr>
        <w:t>(</w:t>
      </w:r>
      <w:r w:rsidR="00DE731D" w:rsidRPr="00F806C7">
        <w:rPr>
          <w:rFonts w:ascii="Times New Roman" w:hAnsi="Times New Roman" w:cs="Times New Roman"/>
          <w:noProof/>
          <w:sz w:val="28"/>
          <w:szCs w:val="28"/>
        </w:rPr>
        <w:t>Braun and Clarke, 2006</w:t>
      </w:r>
      <w:r w:rsidR="00DE731D" w:rsidRPr="00F806C7">
        <w:rPr>
          <w:rFonts w:ascii="Times New Roman" w:hAnsi="Times New Roman" w:cs="Times New Roman"/>
          <w:noProof/>
          <w:sz w:val="28"/>
          <w:szCs w:val="28"/>
          <w:rtl/>
        </w:rPr>
        <w:t>)</w:t>
      </w:r>
      <w:r w:rsidR="00DE731D" w:rsidRPr="00F806C7">
        <w:rPr>
          <w:rFonts w:ascii="Times New Roman" w:hAnsi="Times New Roman" w:cs="Times New Roman"/>
          <w:sz w:val="28"/>
          <w:szCs w:val="28"/>
          <w:rtl/>
        </w:rPr>
        <w:fldChar w:fldCharType="end"/>
      </w:r>
      <w:r w:rsidR="00DE731D" w:rsidRPr="00F806C7">
        <w:rPr>
          <w:rFonts w:ascii="Times New Roman" w:hAnsi="Times New Roman" w:cs="Times New Roman"/>
          <w:sz w:val="28"/>
          <w:szCs w:val="28"/>
          <w:rtl/>
        </w:rPr>
        <w:t>.</w:t>
      </w:r>
    </w:p>
    <w:p w14:paraId="7FF9356B"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3.6. صدق وثبات أدوات الدراسة</w:t>
      </w:r>
    </w:p>
    <w:p w14:paraId="16835278" w14:textId="77777777" w:rsidR="00DE731D" w:rsidRPr="00F806C7" w:rsidRDefault="00DE731D" w:rsidP="00DE731D">
      <w:pPr>
        <w:bidi/>
        <w:rPr>
          <w:rFonts w:ascii="Times New Roman" w:hAnsi="Times New Roman" w:cs="Times New Roman"/>
          <w:sz w:val="28"/>
          <w:szCs w:val="28"/>
          <w:rtl/>
        </w:rPr>
      </w:pPr>
      <w:r w:rsidRPr="00F806C7">
        <w:rPr>
          <w:rFonts w:ascii="Times New Roman" w:hAnsi="Times New Roman" w:cs="Times New Roman"/>
          <w:sz w:val="28"/>
          <w:szCs w:val="28"/>
          <w:rtl/>
        </w:rPr>
        <w:t xml:space="preserve">يُعدّ التحقق من </w:t>
      </w:r>
      <w:r w:rsidRPr="00F806C7">
        <w:rPr>
          <w:rFonts w:ascii="Times New Roman" w:hAnsi="Times New Roman" w:cs="Times New Roman"/>
          <w:b/>
          <w:bCs/>
          <w:sz w:val="28"/>
          <w:szCs w:val="28"/>
          <w:rtl/>
        </w:rPr>
        <w:t>صدق</w:t>
      </w:r>
      <w:r w:rsidRPr="00F806C7">
        <w:rPr>
          <w:rFonts w:ascii="Times New Roman" w:hAnsi="Times New Roman" w:cs="Times New Roman"/>
          <w:b/>
          <w:bCs/>
          <w:sz w:val="28"/>
          <w:szCs w:val="28"/>
        </w:rPr>
        <w:t xml:space="preserve"> (Validity)</w:t>
      </w:r>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و</w:t>
      </w:r>
      <w:r w:rsidRPr="00F806C7">
        <w:rPr>
          <w:rFonts w:ascii="Times New Roman" w:hAnsi="Times New Roman" w:cs="Times New Roman"/>
          <w:b/>
          <w:bCs/>
          <w:sz w:val="28"/>
          <w:szCs w:val="28"/>
          <w:rtl/>
        </w:rPr>
        <w:t>ثبات</w:t>
      </w:r>
      <w:r w:rsidRPr="00F806C7">
        <w:rPr>
          <w:rFonts w:ascii="Times New Roman" w:hAnsi="Times New Roman" w:cs="Times New Roman"/>
          <w:b/>
          <w:bCs/>
          <w:sz w:val="28"/>
          <w:szCs w:val="28"/>
        </w:rPr>
        <w:t xml:space="preserve"> (Reliability)</w:t>
      </w:r>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 xml:space="preserve">أدوات البحث خطوةً جوهرية في بناء الدراسات العلمية الرصينة، إذ يضمن أن الأدوات المستخدمة تقيس المفاهيم المستهدفة بدقة واتساق </w:t>
      </w:r>
      <w:r w:rsidRPr="00F806C7">
        <w:rPr>
          <w:rFonts w:ascii="Times New Roman" w:hAnsi="Times New Roman" w:cs="Times New Roman"/>
          <w:sz w:val="28"/>
          <w:szCs w:val="28"/>
        </w:rPr>
        <w:fldChar w:fldCharType="begin"/>
      </w:r>
      <w:r w:rsidRPr="00F806C7">
        <w:rPr>
          <w:rFonts w:ascii="Times New Roman" w:hAnsi="Times New Roman" w:cs="Times New Roman"/>
          <w:sz w:val="28"/>
          <w:szCs w:val="28"/>
        </w:rPr>
        <w:instrText xml:space="preserve"> ADDIN EN.CITE &lt;EndNote&gt;&lt;Cite&gt;&lt;Author&gt;Hair&lt;/Author&gt;&lt;Year&gt;2019&lt;/Year&gt;&lt;RecNum&gt;2081&lt;/RecNum&gt;&lt;DisplayText&gt;(Hair et al., 2019)&lt;/DisplayText&gt;&lt;record&gt;&lt;rec-number&gt;2081&lt;/rec-number&gt;&lt;foreign-keys&gt;&lt;key app="EN" db-id="t5vttv59or5xwbe2zdm5ewrxd905arrpawff" timestamp="1741303924"&gt;2081&lt;/key&gt;&lt;/foreign-keys&gt;&lt;ref-type name="Journal Article"&gt;17&lt;/ref-type&gt;&lt;contributors&gt;&lt;authors&gt;&lt;author&gt;Hair, JF&lt;/author&gt;&lt;author&gt;Black, WC&lt;/author&gt;&lt;author&gt;Babin, BJ&lt;/author&gt;&lt;author&gt;Anderson, RE&lt;/author&gt;&lt;author&gt;Tatham, RL&lt;/author&gt;&lt;/authors&gt;&lt;/contributors&gt;&lt;titles&gt;&lt;title&gt;Multivariate data analysis. Cengage learning&lt;/title&gt;&lt;secondary-title&gt;Hampshire, United Kingdom&lt;/secondary-title&gt;&lt;/titles&gt;&lt;periodical&gt;&lt;full-title&gt;Hampshire, United Kingdom&lt;/full-title&gt;&lt;/periodical&gt;&lt;volume&gt;633&lt;/volume&gt;&lt;dates&gt;&lt;year&gt;2019&lt;/year&gt;&lt;/dates&gt;&lt;urls&gt;&lt;/urls&gt;&lt;/record&gt;&lt;/Cite&gt;&lt;/EndNote&gt;</w:instrText>
      </w:r>
      <w:r w:rsidRPr="00F806C7">
        <w:rPr>
          <w:rFonts w:ascii="Times New Roman" w:hAnsi="Times New Roman" w:cs="Times New Roman"/>
          <w:sz w:val="28"/>
          <w:szCs w:val="28"/>
        </w:rPr>
        <w:fldChar w:fldCharType="separate"/>
      </w:r>
      <w:r w:rsidRPr="00F806C7">
        <w:rPr>
          <w:rFonts w:ascii="Times New Roman" w:hAnsi="Times New Roman" w:cs="Times New Roman"/>
          <w:noProof/>
          <w:sz w:val="28"/>
          <w:szCs w:val="28"/>
        </w:rPr>
        <w:t>(Hair et al., 2019)</w:t>
      </w:r>
      <w:r w:rsidRPr="00F806C7">
        <w:rPr>
          <w:rFonts w:ascii="Times New Roman" w:hAnsi="Times New Roman" w:cs="Times New Roman"/>
          <w:sz w:val="28"/>
          <w:szCs w:val="28"/>
        </w:rPr>
        <w:fldChar w:fldCharType="end"/>
      </w:r>
      <w:r w:rsidRPr="00F806C7">
        <w:rPr>
          <w:rFonts w:ascii="Times New Roman" w:hAnsi="Times New Roman" w:cs="Times New Roman"/>
          <w:sz w:val="28"/>
          <w:szCs w:val="28"/>
          <w:rtl/>
        </w:rPr>
        <w:t>.</w:t>
      </w:r>
    </w:p>
    <w:p w14:paraId="46FF7E2A"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ونظرًا لاعتماد هذه الدراسة على أدوات كمية (الاستبيان) ونوعية (المقابلات شبه المهيكلة)، فقد تم اتباع مجموعة من الإجراءات المنهجية للتحقق من صلاحية هذه الأدوات قبل تنفيذ الدراسة الميدانية الفعلية</w:t>
      </w:r>
      <w:r w:rsidRPr="00F806C7">
        <w:rPr>
          <w:rFonts w:ascii="Times New Roman" w:hAnsi="Times New Roman" w:cs="Times New Roman"/>
          <w:sz w:val="28"/>
          <w:szCs w:val="28"/>
        </w:rPr>
        <w:t>.</w:t>
      </w:r>
    </w:p>
    <w:p w14:paraId="4D010167" w14:textId="325FE483" w:rsidR="002803E2" w:rsidRPr="002803E2" w:rsidRDefault="00DE731D" w:rsidP="002803E2">
      <w:pPr>
        <w:bidi/>
        <w:rPr>
          <w:rFonts w:ascii="Times New Roman" w:hAnsi="Times New Roman" w:cs="Times New Roman"/>
          <w:sz w:val="28"/>
          <w:szCs w:val="28"/>
          <w:rtl/>
        </w:rPr>
      </w:pPr>
      <w:r w:rsidRPr="00F806C7">
        <w:rPr>
          <w:rFonts w:ascii="Times New Roman" w:hAnsi="Times New Roman" w:cs="Times New Roman"/>
          <w:sz w:val="28"/>
          <w:szCs w:val="28"/>
          <w:rtl/>
        </w:rPr>
        <w:t>تهدف هذه الخطوة إلى تحقيق أعلى درجة من الموثوقية المنهجية من خلال فحص الصدق الظاهري والمحتوى، والتحقق من الثبات الداخلي، وإجراء تجربة أولية</w:t>
      </w:r>
      <w:r w:rsidRPr="00F806C7">
        <w:rPr>
          <w:rFonts w:ascii="Times New Roman" w:hAnsi="Times New Roman" w:cs="Times New Roman"/>
          <w:sz w:val="28"/>
          <w:szCs w:val="28"/>
        </w:rPr>
        <w:t xml:space="preserve"> (Pilot Study) </w:t>
      </w:r>
      <w:r w:rsidRPr="00F806C7">
        <w:rPr>
          <w:rFonts w:ascii="Times New Roman" w:hAnsi="Times New Roman" w:cs="Times New Roman"/>
          <w:sz w:val="28"/>
          <w:szCs w:val="28"/>
          <w:rtl/>
        </w:rPr>
        <w:t>لتقويم التطبيق الميداني قبل جمع البيانات النهائية</w:t>
      </w:r>
      <w:r w:rsidRPr="00F806C7">
        <w:rPr>
          <w:rFonts w:ascii="Times New Roman" w:hAnsi="Times New Roman" w:cs="Times New Roman"/>
          <w:sz w:val="28"/>
          <w:szCs w:val="28"/>
        </w:rPr>
        <w:t>.</w:t>
      </w:r>
    </w:p>
    <w:p w14:paraId="29EF0693"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3.6.1. الصدق الظاهري وصدق المحتوى</w:t>
      </w:r>
    </w:p>
    <w:p w14:paraId="51DBF6BD" w14:textId="77777777" w:rsidR="00DE731D" w:rsidRPr="004675F9" w:rsidRDefault="00DE731D" w:rsidP="00DE731D">
      <w:pPr>
        <w:bidi/>
        <w:rPr>
          <w:rFonts w:ascii="Times New Roman" w:hAnsi="Times New Roman" w:cs="Times New Roman"/>
          <w:sz w:val="28"/>
          <w:szCs w:val="28"/>
        </w:rPr>
      </w:pPr>
      <w:r w:rsidRPr="00611E7E">
        <w:rPr>
          <w:rFonts w:ascii="Times New Roman" w:hAnsi="Times New Roman" w:cs="Times New Roman"/>
          <w:sz w:val="28"/>
          <w:szCs w:val="28"/>
          <w:rtl/>
        </w:rPr>
        <w:t xml:space="preserve">يُشير </w:t>
      </w:r>
      <w:r w:rsidRPr="004675F9">
        <w:rPr>
          <w:rFonts w:ascii="Times New Roman" w:hAnsi="Times New Roman" w:cs="Times New Roman"/>
          <w:sz w:val="28"/>
          <w:szCs w:val="28"/>
          <w:rtl/>
        </w:rPr>
        <w:t>الصدق الظاهري</w:t>
      </w:r>
      <w:r w:rsidRPr="004675F9">
        <w:rPr>
          <w:rFonts w:ascii="Times New Roman" w:hAnsi="Times New Roman" w:cs="Times New Roman"/>
          <w:sz w:val="28"/>
          <w:szCs w:val="28"/>
        </w:rPr>
        <w:t xml:space="preserve"> (Face Validity) </w:t>
      </w:r>
      <w:r w:rsidRPr="004675F9">
        <w:rPr>
          <w:rFonts w:ascii="Times New Roman" w:hAnsi="Times New Roman" w:cs="Times New Roman"/>
          <w:sz w:val="28"/>
          <w:szCs w:val="28"/>
          <w:rtl/>
        </w:rPr>
        <w:t>إلى مدى وضوح البنود وإدراك المبحوثين لما تقيسه من مفاهيم، بينما يُقصد بـ صدق المحتوى</w:t>
      </w:r>
      <w:r w:rsidRPr="004675F9">
        <w:rPr>
          <w:rFonts w:ascii="Times New Roman" w:hAnsi="Times New Roman" w:cs="Times New Roman"/>
          <w:sz w:val="28"/>
          <w:szCs w:val="28"/>
        </w:rPr>
        <w:t xml:space="preserve"> (Content Validity) </w:t>
      </w:r>
      <w:r w:rsidRPr="004675F9">
        <w:rPr>
          <w:rFonts w:ascii="Times New Roman" w:hAnsi="Times New Roman" w:cs="Times New Roman"/>
          <w:sz w:val="28"/>
          <w:szCs w:val="28"/>
          <w:rtl/>
        </w:rPr>
        <w:t xml:space="preserve">مدى شمول البنود لجميع أبعاد المتغير محل القياس </w:t>
      </w:r>
      <w:r w:rsidRPr="004675F9">
        <w:rPr>
          <w:rFonts w:ascii="Times New Roman" w:hAnsi="Times New Roman" w:cs="Times New Roman"/>
          <w:sz w:val="28"/>
          <w:szCs w:val="28"/>
          <w:rtl/>
        </w:rPr>
        <w:fldChar w:fldCharType="begin"/>
      </w:r>
      <w:r w:rsidRPr="004675F9">
        <w:rPr>
          <w:rFonts w:ascii="Times New Roman" w:hAnsi="Times New Roman" w:cs="Times New Roman"/>
          <w:sz w:val="28"/>
          <w:szCs w:val="28"/>
          <w:rtl/>
        </w:rPr>
        <w:instrText xml:space="preserve"> </w:instrText>
      </w:r>
      <w:r w:rsidRPr="004675F9">
        <w:rPr>
          <w:rFonts w:ascii="Times New Roman" w:hAnsi="Times New Roman" w:cs="Times New Roman"/>
          <w:sz w:val="28"/>
          <w:szCs w:val="28"/>
        </w:rPr>
        <w:instrText>ADDIN EN.CITE &lt;EndNote&gt;&lt;Cite&gt;&lt;Author&gt;DeVellis&lt;/Author&gt;&lt;Year&gt;2021&lt;/Year&gt;&lt;RecNum&gt;3102&lt;/RecNum&gt;&lt;DisplayText&gt;(DeVellis and Thorpe, 2021)&lt;/DisplayText&gt;&lt;record&gt;&lt;rec-number&gt;3102&lt;/rec-number&gt;&lt;foreign-keys&gt;&lt;key app="EN" db-id="t5vttv59or5xwbe2zdm5ewrxd905arrpawff</w:instrText>
      </w:r>
      <w:r w:rsidRPr="004675F9">
        <w:rPr>
          <w:rFonts w:ascii="Times New Roman" w:hAnsi="Times New Roman" w:cs="Times New Roman"/>
          <w:sz w:val="28"/>
          <w:szCs w:val="28"/>
          <w:rtl/>
        </w:rPr>
        <w:instrText xml:space="preserve">" </w:instrText>
      </w:r>
      <w:r w:rsidRPr="004675F9">
        <w:rPr>
          <w:rFonts w:ascii="Times New Roman" w:hAnsi="Times New Roman" w:cs="Times New Roman"/>
          <w:sz w:val="28"/>
          <w:szCs w:val="28"/>
        </w:rPr>
        <w:instrText>timestamp="1760195725"&gt;3102&lt;/key&gt;&lt;/foreign-keys&gt;&lt;ref-type name="Book"&gt;6&lt;/ref-type&gt;&lt;contributors&gt;&lt;authors&gt;&lt;author&gt;DeVellis, Robert F&lt;/author&gt;&lt;author&gt;Thorpe, Carolyn T&lt;/author&gt;&lt;/authors&gt;&lt;/contributors&gt;&lt;titles&gt;&lt;title&gt;Scale development: Theory and applications&lt;/title&gt;&lt;/titles&gt;&lt;dates&gt;&lt;year&gt;2021&lt;/year&gt;&lt;/dates&gt;&lt;publisher&gt;Sage publications&lt;/publisher&gt;&lt;isbn&gt;1544379358&lt;/isbn&gt;&lt;urls&gt;&lt;/urls&gt;&lt;/record&gt;&lt;/Cite&gt;&lt;/EndNote</w:instrText>
      </w:r>
      <w:r w:rsidRPr="004675F9">
        <w:rPr>
          <w:rFonts w:ascii="Times New Roman" w:hAnsi="Times New Roman" w:cs="Times New Roman"/>
          <w:sz w:val="28"/>
          <w:szCs w:val="28"/>
          <w:rtl/>
        </w:rPr>
        <w:instrText>&gt;</w:instrText>
      </w:r>
      <w:r w:rsidRPr="004675F9">
        <w:rPr>
          <w:rFonts w:ascii="Times New Roman" w:hAnsi="Times New Roman" w:cs="Times New Roman"/>
          <w:sz w:val="28"/>
          <w:szCs w:val="28"/>
          <w:rtl/>
        </w:rPr>
        <w:fldChar w:fldCharType="separate"/>
      </w:r>
      <w:r w:rsidRPr="004675F9">
        <w:rPr>
          <w:rFonts w:ascii="Times New Roman" w:hAnsi="Times New Roman" w:cs="Times New Roman"/>
          <w:noProof/>
          <w:sz w:val="28"/>
          <w:szCs w:val="28"/>
          <w:rtl/>
        </w:rPr>
        <w:t>(</w:t>
      </w:r>
      <w:r w:rsidRPr="004675F9">
        <w:rPr>
          <w:rFonts w:ascii="Times New Roman" w:hAnsi="Times New Roman" w:cs="Times New Roman"/>
          <w:noProof/>
          <w:sz w:val="28"/>
          <w:szCs w:val="28"/>
        </w:rPr>
        <w:t>DeVellis and Thorpe, 2021</w:t>
      </w:r>
      <w:r w:rsidRPr="004675F9">
        <w:rPr>
          <w:rFonts w:ascii="Times New Roman" w:hAnsi="Times New Roman" w:cs="Times New Roman"/>
          <w:noProof/>
          <w:sz w:val="28"/>
          <w:szCs w:val="28"/>
          <w:rtl/>
        </w:rPr>
        <w:t>)</w:t>
      </w:r>
      <w:r w:rsidRPr="004675F9">
        <w:rPr>
          <w:rFonts w:ascii="Times New Roman" w:hAnsi="Times New Roman" w:cs="Times New Roman"/>
          <w:sz w:val="28"/>
          <w:szCs w:val="28"/>
          <w:rtl/>
        </w:rPr>
        <w:fldChar w:fldCharType="end"/>
      </w:r>
      <w:r w:rsidRPr="004675F9">
        <w:rPr>
          <w:rFonts w:ascii="Times New Roman" w:hAnsi="Times New Roman" w:cs="Times New Roman"/>
          <w:sz w:val="28"/>
          <w:szCs w:val="28"/>
          <w:rtl/>
        </w:rPr>
        <w:t>.</w:t>
      </w:r>
    </w:p>
    <w:p w14:paraId="7E95997B" w14:textId="77777777" w:rsidR="00DE731D" w:rsidRPr="004675F9" w:rsidRDefault="00DE731D" w:rsidP="00DE731D">
      <w:pPr>
        <w:bidi/>
        <w:rPr>
          <w:rFonts w:ascii="Times New Roman" w:hAnsi="Times New Roman" w:cs="Times New Roman"/>
          <w:sz w:val="28"/>
          <w:szCs w:val="28"/>
        </w:rPr>
      </w:pPr>
      <w:r w:rsidRPr="004675F9">
        <w:rPr>
          <w:rFonts w:ascii="Times New Roman" w:hAnsi="Times New Roman" w:cs="Times New Roman"/>
          <w:sz w:val="28"/>
          <w:szCs w:val="28"/>
          <w:rtl/>
        </w:rPr>
        <w:t>وللتحقق من هذين النوعين من الصدق، سيتم عرض النسخة الأولية من الاستبيان على لجنة محكّمين من خبراء الإدارة الموارد البشرية والسلوك التنظيمي في جامعات سعودية وعربية، حيث سيتم تقييم البنود من حيث وضوح الصياغة، مدى ارتباطها بالمفهوم، وخلوها من الغموض أو التكرار</w:t>
      </w:r>
      <w:r w:rsidRPr="004675F9">
        <w:rPr>
          <w:rFonts w:ascii="Times New Roman" w:hAnsi="Times New Roman" w:cs="Times New Roman"/>
          <w:sz w:val="28"/>
          <w:szCs w:val="28"/>
        </w:rPr>
        <w:t>.</w:t>
      </w:r>
    </w:p>
    <w:p w14:paraId="4C2E084E" w14:textId="77777777" w:rsidR="00DE731D" w:rsidRPr="004675F9" w:rsidRDefault="00DE731D" w:rsidP="00DE731D">
      <w:pPr>
        <w:bidi/>
        <w:rPr>
          <w:rFonts w:ascii="Times New Roman" w:hAnsi="Times New Roman" w:cs="Times New Roman"/>
          <w:sz w:val="28"/>
          <w:szCs w:val="28"/>
        </w:rPr>
      </w:pPr>
      <w:r w:rsidRPr="004675F9">
        <w:rPr>
          <w:rFonts w:ascii="Times New Roman" w:hAnsi="Times New Roman" w:cs="Times New Roman"/>
          <w:sz w:val="28"/>
          <w:szCs w:val="28"/>
          <w:rtl/>
        </w:rPr>
        <w:t>وسيتم تعديل عدد من البنود بناءً على توصيات اللجنة، مثل تبسيط العبارات الطويلة واستبدال بعض المصطلحات الفنية بمكافئات أكثر شيوعًا في بيئة العمل السعودية. كما تمت مراجعة الأداة لغويًا من قبل متخصصين لضمان الدقة اللغوية وسهولة الفهم</w:t>
      </w:r>
      <w:r w:rsidRPr="004675F9">
        <w:rPr>
          <w:rFonts w:ascii="Times New Roman" w:hAnsi="Times New Roman" w:cs="Times New Roman"/>
          <w:sz w:val="28"/>
          <w:szCs w:val="28"/>
        </w:rPr>
        <w:t>.</w:t>
      </w:r>
    </w:p>
    <w:p w14:paraId="1D018582" w14:textId="3066A819" w:rsidR="00DE731D" w:rsidRPr="004675F9" w:rsidRDefault="00DE731D" w:rsidP="00DE731D">
      <w:pPr>
        <w:bidi/>
        <w:rPr>
          <w:rFonts w:ascii="Times New Roman" w:hAnsi="Times New Roman" w:cs="Times New Roman"/>
          <w:sz w:val="28"/>
          <w:szCs w:val="28"/>
        </w:rPr>
      </w:pPr>
      <w:r w:rsidRPr="004675F9">
        <w:rPr>
          <w:rFonts w:ascii="Times New Roman" w:hAnsi="Times New Roman" w:cs="Times New Roman"/>
          <w:sz w:val="28"/>
          <w:szCs w:val="28"/>
          <w:rtl/>
        </w:rPr>
        <w:t xml:space="preserve">أما في المقابلات شبه المهيكلة، </w:t>
      </w:r>
      <w:r w:rsidR="00E34DB7" w:rsidRPr="004675F9">
        <w:rPr>
          <w:rFonts w:ascii="Times New Roman" w:hAnsi="Times New Roman" w:cs="Times New Roman" w:hint="cs"/>
          <w:sz w:val="28"/>
          <w:szCs w:val="28"/>
          <w:rtl/>
        </w:rPr>
        <w:t>فسيتم</w:t>
      </w:r>
      <w:r w:rsidRPr="004675F9">
        <w:rPr>
          <w:rFonts w:ascii="Times New Roman" w:hAnsi="Times New Roman" w:cs="Times New Roman"/>
          <w:sz w:val="28"/>
          <w:szCs w:val="28"/>
          <w:rtl/>
        </w:rPr>
        <w:t xml:space="preserve"> التأكد من صدق المحتوى النوعي عبر مراجعة دليل المقابلة من قبل خبير نوعي، والتأكد من شمول الأسئلة لجميع محاور الدراسة المتعلقة بـ</w:t>
      </w:r>
      <w:r w:rsidRPr="004675F9">
        <w:rPr>
          <w:rFonts w:ascii="Times New Roman" w:hAnsi="Times New Roman" w:cs="Times New Roman"/>
          <w:sz w:val="28"/>
          <w:szCs w:val="28"/>
        </w:rPr>
        <w:t xml:space="preserve"> HPWS </w:t>
      </w:r>
      <w:r w:rsidRPr="004675F9">
        <w:rPr>
          <w:rFonts w:ascii="Times New Roman" w:hAnsi="Times New Roman" w:cs="Times New Roman"/>
          <w:sz w:val="28"/>
          <w:szCs w:val="28"/>
          <w:rtl/>
        </w:rPr>
        <w:t>والثقافة التنظيمية والأداء الإبداعي</w:t>
      </w:r>
      <w:r w:rsidRPr="004675F9">
        <w:rPr>
          <w:rFonts w:ascii="Times New Roman" w:hAnsi="Times New Roman" w:cs="Times New Roman"/>
          <w:sz w:val="28"/>
          <w:szCs w:val="28"/>
        </w:rPr>
        <w:t>.</w:t>
      </w:r>
    </w:p>
    <w:p w14:paraId="5E6B98A7" w14:textId="698DDFE4" w:rsidR="00DE731D" w:rsidRPr="004675F9" w:rsidRDefault="00DE731D" w:rsidP="00DE731D">
      <w:pPr>
        <w:bidi/>
        <w:rPr>
          <w:rFonts w:ascii="Times New Roman" w:hAnsi="Times New Roman" w:cs="Times New Roman"/>
          <w:sz w:val="28"/>
          <w:szCs w:val="28"/>
        </w:rPr>
      </w:pPr>
      <w:r w:rsidRPr="004675F9">
        <w:rPr>
          <w:rFonts w:ascii="Times New Roman" w:hAnsi="Times New Roman" w:cs="Times New Roman"/>
          <w:sz w:val="28"/>
          <w:szCs w:val="28"/>
          <w:rtl/>
        </w:rPr>
        <w:lastRenderedPageBreak/>
        <w:t xml:space="preserve">هذه الخطوات </w:t>
      </w:r>
      <w:r w:rsidR="00E34DB7" w:rsidRPr="004675F9">
        <w:rPr>
          <w:rFonts w:ascii="Times New Roman" w:hAnsi="Times New Roman" w:cs="Times New Roman" w:hint="cs"/>
          <w:sz w:val="28"/>
          <w:szCs w:val="28"/>
          <w:rtl/>
        </w:rPr>
        <w:t>ستعزز</w:t>
      </w:r>
      <w:r w:rsidRPr="004675F9">
        <w:rPr>
          <w:rFonts w:ascii="Times New Roman" w:hAnsi="Times New Roman" w:cs="Times New Roman"/>
          <w:sz w:val="28"/>
          <w:szCs w:val="28"/>
          <w:rtl/>
        </w:rPr>
        <w:t xml:space="preserve"> من صلاحية الأداة في تمثيل المفهوم العلمي لكل متغير، وضمنت أن البنود تقيس فعليًا ما وُضعت لقياسه دون انحراف أو تحيّز</w:t>
      </w:r>
      <w:r w:rsidRPr="004675F9">
        <w:rPr>
          <w:rFonts w:ascii="Times New Roman" w:hAnsi="Times New Roman" w:cs="Times New Roman"/>
          <w:sz w:val="28"/>
          <w:szCs w:val="28"/>
        </w:rPr>
        <w:t>.</w:t>
      </w:r>
    </w:p>
    <w:p w14:paraId="60CC22FF" w14:textId="77777777" w:rsidR="00DE731D" w:rsidRPr="00F806C7" w:rsidRDefault="00DE731D" w:rsidP="00DE731D">
      <w:pPr>
        <w:bidi/>
        <w:rPr>
          <w:rFonts w:ascii="Times New Roman" w:hAnsi="Times New Roman" w:cs="Times New Roman"/>
          <w:b/>
          <w:bCs/>
          <w:sz w:val="28"/>
          <w:szCs w:val="28"/>
          <w:rtl/>
        </w:rPr>
      </w:pPr>
      <w:r w:rsidRPr="004675F9">
        <w:rPr>
          <w:rFonts w:ascii="Times New Roman" w:hAnsi="Times New Roman" w:cs="Times New Roman"/>
          <w:b/>
          <w:bCs/>
          <w:sz w:val="28"/>
          <w:szCs w:val="28"/>
          <w:rtl/>
        </w:rPr>
        <w:t xml:space="preserve">3.6.2. الثبات الداخلي (معامل </w:t>
      </w:r>
      <w:proofErr w:type="spellStart"/>
      <w:r w:rsidRPr="004675F9">
        <w:rPr>
          <w:rFonts w:ascii="Times New Roman" w:hAnsi="Times New Roman" w:cs="Times New Roman"/>
          <w:b/>
          <w:bCs/>
          <w:sz w:val="28"/>
          <w:szCs w:val="28"/>
          <w:rtl/>
        </w:rPr>
        <w:t>كرونباخ</w:t>
      </w:r>
      <w:proofErr w:type="spellEnd"/>
      <w:r w:rsidRPr="004675F9">
        <w:rPr>
          <w:rFonts w:ascii="Times New Roman" w:hAnsi="Times New Roman" w:cs="Times New Roman"/>
          <w:b/>
          <w:bCs/>
          <w:sz w:val="28"/>
          <w:szCs w:val="28"/>
          <w:rtl/>
        </w:rPr>
        <w:t xml:space="preserve"> ألفا)</w:t>
      </w:r>
    </w:p>
    <w:p w14:paraId="126772CC"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 عن طريق قياس الثبات الداخلي</w:t>
      </w:r>
      <w:r w:rsidRPr="00F806C7">
        <w:rPr>
          <w:rFonts w:ascii="Times New Roman" w:hAnsi="Times New Roman" w:cs="Times New Roman"/>
          <w:sz w:val="28"/>
          <w:szCs w:val="28"/>
        </w:rPr>
        <w:t xml:space="preserve"> (Internal Consistency) </w:t>
      </w:r>
      <w:r w:rsidRPr="00F806C7">
        <w:rPr>
          <w:rFonts w:ascii="Times New Roman" w:hAnsi="Times New Roman" w:cs="Times New Roman"/>
          <w:sz w:val="28"/>
          <w:szCs w:val="28"/>
          <w:rtl/>
        </w:rPr>
        <w:t xml:space="preserve">للأداة باستخدام معامل </w:t>
      </w:r>
      <w:proofErr w:type="spellStart"/>
      <w:r w:rsidRPr="00F806C7">
        <w:rPr>
          <w:rFonts w:ascii="Times New Roman" w:hAnsi="Times New Roman" w:cs="Times New Roman"/>
          <w:sz w:val="28"/>
          <w:szCs w:val="28"/>
          <w:rtl/>
        </w:rPr>
        <w:t>كرونباخ</w:t>
      </w:r>
      <w:proofErr w:type="spellEnd"/>
      <w:r w:rsidRPr="00F806C7">
        <w:rPr>
          <w:rFonts w:ascii="Times New Roman" w:hAnsi="Times New Roman" w:cs="Times New Roman"/>
          <w:sz w:val="28"/>
          <w:szCs w:val="28"/>
          <w:rtl/>
        </w:rPr>
        <w:t xml:space="preserve"> ألفا</w:t>
      </w:r>
      <w:r w:rsidRPr="00F806C7">
        <w:rPr>
          <w:rFonts w:ascii="Times New Roman" w:hAnsi="Times New Roman" w:cs="Times New Roman"/>
          <w:sz w:val="28"/>
          <w:szCs w:val="28"/>
        </w:rPr>
        <w:t xml:space="preserve"> (Cronbach’s Alpha)</w:t>
      </w:r>
      <w:r w:rsidRPr="00F806C7">
        <w:rPr>
          <w:rFonts w:ascii="Times New Roman" w:hAnsi="Times New Roman" w:cs="Times New Roman"/>
          <w:sz w:val="28"/>
          <w:szCs w:val="28"/>
          <w:rtl/>
        </w:rPr>
        <w:t>، الذي يُعد أكثر المؤشرات استخدامًا في الدراسات الإدارية لقياس الاتساق بين البنود التي تقيس نفس المتغير.</w:t>
      </w:r>
    </w:p>
    <w:p w14:paraId="25ABADA4" w14:textId="4F30C6B9" w:rsidR="00DE731D" w:rsidRDefault="00DE731D" w:rsidP="00DE731D">
      <w:pPr>
        <w:bidi/>
        <w:rPr>
          <w:rFonts w:ascii="Times New Roman" w:hAnsi="Times New Roman" w:cs="Times New Roman"/>
          <w:sz w:val="28"/>
          <w:szCs w:val="28"/>
          <w:rtl/>
        </w:rPr>
      </w:pPr>
      <w:r w:rsidRPr="00F806C7">
        <w:rPr>
          <w:rFonts w:ascii="Times New Roman" w:hAnsi="Times New Roman" w:cs="Times New Roman"/>
          <w:sz w:val="28"/>
          <w:szCs w:val="28"/>
          <w:rtl/>
        </w:rPr>
        <w:t>وفي الجانب النوعي، سيتم تعزيز الثبات من خلال استخدام التحقق المزدوج من الترميز</w:t>
      </w:r>
      <w:r w:rsidRPr="00F806C7">
        <w:rPr>
          <w:rFonts w:ascii="Times New Roman" w:hAnsi="Times New Roman" w:cs="Times New Roman"/>
          <w:sz w:val="28"/>
          <w:szCs w:val="28"/>
        </w:rPr>
        <w:t xml:space="preserve"> (Inter-coder Reliability</w:t>
      </w:r>
      <w:r w:rsidR="002803E2">
        <w:rPr>
          <w:rFonts w:ascii="Times New Roman" w:hAnsi="Times New Roman" w:cs="Times New Roman" w:hint="cs"/>
          <w:sz w:val="28"/>
          <w:szCs w:val="28"/>
          <w:rtl/>
        </w:rPr>
        <w:t xml:space="preserve">) </w:t>
      </w:r>
      <w:r w:rsidRPr="00F806C7">
        <w:rPr>
          <w:rFonts w:ascii="Times New Roman" w:hAnsi="Times New Roman" w:cs="Times New Roman"/>
          <w:sz w:val="28"/>
          <w:szCs w:val="28"/>
          <w:rtl/>
        </w:rPr>
        <w:t>لمقابلات العينة.</w:t>
      </w:r>
    </w:p>
    <w:p w14:paraId="3074057A" w14:textId="64795488" w:rsidR="002803E2" w:rsidRDefault="002803E2" w:rsidP="002803E2">
      <w:pPr>
        <w:bidi/>
        <w:jc w:val="center"/>
        <w:rPr>
          <w:rFonts w:ascii="Times New Roman" w:hAnsi="Times New Roman" w:cs="Times New Roman"/>
          <w:sz w:val="28"/>
          <w:szCs w:val="28"/>
          <w:rtl/>
          <w:lang w:val="en-GB" w:bidi="ar-EG"/>
        </w:rPr>
      </w:pPr>
      <w:r>
        <w:rPr>
          <w:rFonts w:ascii="Times New Roman" w:hAnsi="Times New Roman" w:cs="Times New Roman" w:hint="cs"/>
          <w:sz w:val="28"/>
          <w:szCs w:val="28"/>
          <w:rtl/>
        </w:rPr>
        <w:t>جدول (3-1</w:t>
      </w:r>
      <w:proofErr w:type="gramStart"/>
      <w:r>
        <w:rPr>
          <w:rFonts w:ascii="Times New Roman" w:hAnsi="Times New Roman" w:cs="Times New Roman" w:hint="cs"/>
          <w:sz w:val="28"/>
          <w:szCs w:val="28"/>
          <w:rtl/>
        </w:rPr>
        <w:t>) :</w:t>
      </w:r>
      <w:proofErr w:type="gramEnd"/>
      <w:r>
        <w:rPr>
          <w:rFonts w:ascii="Times New Roman" w:hAnsi="Times New Roman" w:cs="Times New Roman" w:hint="cs"/>
          <w:sz w:val="28"/>
          <w:szCs w:val="28"/>
          <w:rtl/>
        </w:rPr>
        <w:t xml:space="preserve"> يوضح معاملات </w:t>
      </w:r>
      <w:proofErr w:type="spellStart"/>
      <w:r>
        <w:rPr>
          <w:rFonts w:ascii="Times New Roman" w:hAnsi="Times New Roman" w:cs="Times New Roman"/>
          <w:sz w:val="28"/>
          <w:szCs w:val="28"/>
          <w:lang w:val="en-GB"/>
        </w:rPr>
        <w:t>cronbach’s</w:t>
      </w:r>
      <w:proofErr w:type="spellEnd"/>
      <w:r>
        <w:rPr>
          <w:rFonts w:ascii="Times New Roman" w:hAnsi="Times New Roman" w:cs="Times New Roman"/>
          <w:sz w:val="28"/>
          <w:szCs w:val="28"/>
          <w:lang w:val="en-GB"/>
        </w:rPr>
        <w:t xml:space="preserve"> alpha</w:t>
      </w:r>
      <w:r>
        <w:rPr>
          <w:rFonts w:ascii="Times New Roman" w:hAnsi="Times New Roman" w:cs="Times New Roman" w:hint="cs"/>
          <w:sz w:val="28"/>
          <w:szCs w:val="28"/>
          <w:rtl/>
          <w:lang w:val="en-GB" w:bidi="ar-EG"/>
        </w:rPr>
        <w:t xml:space="preserve"> لكامل الاستبيان وكل محور عل</w:t>
      </w:r>
      <w:r w:rsidR="00EB39A8">
        <w:rPr>
          <w:rFonts w:ascii="Times New Roman" w:hAnsi="Times New Roman" w:cs="Times New Roman" w:hint="cs"/>
          <w:sz w:val="28"/>
          <w:szCs w:val="28"/>
          <w:rtl/>
          <w:lang w:val="en-GB" w:bidi="ar-EG"/>
        </w:rPr>
        <w:t>ى</w:t>
      </w:r>
      <w:r>
        <w:rPr>
          <w:rFonts w:ascii="Times New Roman" w:hAnsi="Times New Roman" w:cs="Times New Roman" w:hint="cs"/>
          <w:sz w:val="28"/>
          <w:szCs w:val="28"/>
          <w:rtl/>
          <w:lang w:val="en-GB" w:bidi="ar-EG"/>
        </w:rPr>
        <w:t xml:space="preserve"> حدي:</w:t>
      </w:r>
    </w:p>
    <w:tbl>
      <w:tblPr>
        <w:bidiVisual/>
        <w:tblW w:w="7136" w:type="dxa"/>
        <w:jc w:val="center"/>
        <w:tblLook w:val="04A0" w:firstRow="1" w:lastRow="0" w:firstColumn="1" w:lastColumn="0" w:noHBand="0" w:noVBand="1"/>
      </w:tblPr>
      <w:tblGrid>
        <w:gridCol w:w="4400"/>
        <w:gridCol w:w="1660"/>
        <w:gridCol w:w="1076"/>
      </w:tblGrid>
      <w:tr w:rsidR="002803E2" w:rsidRPr="002803E2" w14:paraId="153F2AD0" w14:textId="77777777" w:rsidTr="002803E2">
        <w:trPr>
          <w:trHeight w:val="300"/>
          <w:jc w:val="center"/>
        </w:trPr>
        <w:tc>
          <w:tcPr>
            <w:tcW w:w="4400" w:type="dxa"/>
            <w:tcBorders>
              <w:top w:val="single" w:sz="12" w:space="0" w:color="000000"/>
              <w:left w:val="single" w:sz="12" w:space="0" w:color="000000"/>
              <w:bottom w:val="single" w:sz="12" w:space="0" w:color="000000"/>
              <w:right w:val="single" w:sz="4" w:space="0" w:color="000000"/>
            </w:tcBorders>
            <w:vAlign w:val="bottom"/>
            <w:hideMark/>
          </w:tcPr>
          <w:p w14:paraId="6E02EA2A"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p>
        </w:tc>
        <w:tc>
          <w:tcPr>
            <w:tcW w:w="1660" w:type="dxa"/>
            <w:tcBorders>
              <w:top w:val="single" w:sz="12" w:space="0" w:color="000000"/>
              <w:left w:val="single" w:sz="12" w:space="0" w:color="000000"/>
              <w:bottom w:val="single" w:sz="12" w:space="0" w:color="000000"/>
              <w:right w:val="single" w:sz="4" w:space="0" w:color="000000"/>
            </w:tcBorders>
            <w:vAlign w:val="bottom"/>
            <w:hideMark/>
          </w:tcPr>
          <w:p w14:paraId="00DE4D17"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Cronbach's Alpha</w:t>
            </w:r>
          </w:p>
        </w:tc>
        <w:tc>
          <w:tcPr>
            <w:tcW w:w="1076" w:type="dxa"/>
            <w:tcBorders>
              <w:top w:val="single" w:sz="12" w:space="0" w:color="000000"/>
              <w:left w:val="single" w:sz="4" w:space="0" w:color="000000"/>
              <w:bottom w:val="single" w:sz="12" w:space="0" w:color="000000"/>
              <w:right w:val="single" w:sz="12" w:space="0" w:color="000000"/>
            </w:tcBorders>
            <w:vAlign w:val="bottom"/>
            <w:hideMark/>
          </w:tcPr>
          <w:p w14:paraId="6B401A55"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N of Items</w:t>
            </w:r>
          </w:p>
        </w:tc>
      </w:tr>
      <w:tr w:rsidR="002803E2" w:rsidRPr="002803E2" w14:paraId="4C137D09" w14:textId="77777777" w:rsidTr="002803E2">
        <w:trPr>
          <w:trHeight w:val="300"/>
          <w:jc w:val="center"/>
        </w:trPr>
        <w:tc>
          <w:tcPr>
            <w:tcW w:w="4400" w:type="dxa"/>
            <w:tcBorders>
              <w:top w:val="nil"/>
              <w:left w:val="single" w:sz="12" w:space="0" w:color="000000"/>
              <w:bottom w:val="single" w:sz="12" w:space="0" w:color="000000"/>
              <w:right w:val="single" w:sz="4" w:space="0" w:color="000000"/>
            </w:tcBorders>
            <w:vAlign w:val="bottom"/>
            <w:hideMark/>
          </w:tcPr>
          <w:p w14:paraId="335A3D36" w14:textId="77777777" w:rsidR="002803E2" w:rsidRPr="002803E2" w:rsidRDefault="002803E2" w:rsidP="002803E2">
            <w:pPr>
              <w:bidi/>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rtl/>
                <w:lang w:val="en-GB" w:eastAsia="en-GB"/>
                <w14:ligatures w14:val="none"/>
              </w:rPr>
              <w:t>الاستبيان بالكامل</w:t>
            </w:r>
          </w:p>
        </w:tc>
        <w:tc>
          <w:tcPr>
            <w:tcW w:w="1660" w:type="dxa"/>
            <w:tcBorders>
              <w:top w:val="nil"/>
              <w:left w:val="single" w:sz="12" w:space="0" w:color="000000"/>
              <w:bottom w:val="single" w:sz="12" w:space="0" w:color="000000"/>
              <w:right w:val="single" w:sz="4" w:space="0" w:color="000000"/>
            </w:tcBorders>
            <w:noWrap/>
            <w:vAlign w:val="center"/>
            <w:hideMark/>
          </w:tcPr>
          <w:p w14:paraId="27EB1DAE" w14:textId="77777777" w:rsidR="002803E2" w:rsidRPr="002803E2" w:rsidRDefault="002803E2" w:rsidP="002803E2">
            <w:pPr>
              <w:spacing w:after="0" w:line="240" w:lineRule="auto"/>
              <w:jc w:val="center"/>
              <w:rPr>
                <w:rFonts w:ascii="Arial" w:eastAsia="Times New Roman" w:hAnsi="Arial" w:cs="Arial"/>
                <w:color w:val="000000"/>
                <w:kern w:val="0"/>
                <w:sz w:val="18"/>
                <w:szCs w:val="18"/>
                <w:rtl/>
                <w:lang w:val="en-GB" w:eastAsia="en-GB"/>
                <w14:ligatures w14:val="none"/>
              </w:rPr>
            </w:pPr>
            <w:r w:rsidRPr="002803E2">
              <w:rPr>
                <w:rFonts w:ascii="Arial" w:eastAsia="Times New Roman" w:hAnsi="Arial" w:cs="Arial"/>
                <w:color w:val="000000"/>
                <w:kern w:val="0"/>
                <w:sz w:val="18"/>
                <w:szCs w:val="18"/>
                <w:lang w:val="en-GB" w:eastAsia="en-GB"/>
                <w14:ligatures w14:val="none"/>
              </w:rPr>
              <w:t>.952</w:t>
            </w:r>
          </w:p>
        </w:tc>
        <w:tc>
          <w:tcPr>
            <w:tcW w:w="1076" w:type="dxa"/>
            <w:tcBorders>
              <w:top w:val="nil"/>
              <w:left w:val="single" w:sz="4" w:space="0" w:color="000000"/>
              <w:bottom w:val="single" w:sz="12" w:space="0" w:color="000000"/>
              <w:right w:val="single" w:sz="12" w:space="0" w:color="000000"/>
            </w:tcBorders>
            <w:noWrap/>
            <w:vAlign w:val="center"/>
            <w:hideMark/>
          </w:tcPr>
          <w:p w14:paraId="01DE669E"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47</w:t>
            </w:r>
          </w:p>
        </w:tc>
      </w:tr>
      <w:tr w:rsidR="002803E2" w:rsidRPr="002803E2" w14:paraId="7CFDF0BE" w14:textId="77777777" w:rsidTr="002803E2">
        <w:trPr>
          <w:trHeight w:val="300"/>
          <w:jc w:val="center"/>
        </w:trPr>
        <w:tc>
          <w:tcPr>
            <w:tcW w:w="4400" w:type="dxa"/>
            <w:tcBorders>
              <w:top w:val="nil"/>
              <w:left w:val="single" w:sz="12" w:space="0" w:color="000000"/>
              <w:bottom w:val="single" w:sz="12" w:space="0" w:color="000000"/>
              <w:right w:val="single" w:sz="4" w:space="0" w:color="000000"/>
            </w:tcBorders>
            <w:vAlign w:val="bottom"/>
            <w:hideMark/>
          </w:tcPr>
          <w:p w14:paraId="22B0A09C" w14:textId="77777777" w:rsidR="002803E2" w:rsidRPr="002803E2" w:rsidRDefault="002803E2" w:rsidP="002803E2">
            <w:pPr>
              <w:bidi/>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rtl/>
                <w:lang w:val="en-GB" w:eastAsia="en-GB"/>
                <w14:ligatures w14:val="none"/>
              </w:rPr>
              <w:t>لمحور أنظمة العمل عالية الاداء</w:t>
            </w:r>
          </w:p>
        </w:tc>
        <w:tc>
          <w:tcPr>
            <w:tcW w:w="1660" w:type="dxa"/>
            <w:tcBorders>
              <w:top w:val="nil"/>
              <w:left w:val="single" w:sz="12" w:space="0" w:color="000000"/>
              <w:bottom w:val="single" w:sz="12" w:space="0" w:color="000000"/>
              <w:right w:val="single" w:sz="4" w:space="0" w:color="000000"/>
            </w:tcBorders>
            <w:noWrap/>
            <w:vAlign w:val="center"/>
            <w:hideMark/>
          </w:tcPr>
          <w:p w14:paraId="6D0E3F16" w14:textId="77777777" w:rsidR="002803E2" w:rsidRPr="002803E2" w:rsidRDefault="002803E2" w:rsidP="002803E2">
            <w:pPr>
              <w:spacing w:after="0" w:line="240" w:lineRule="auto"/>
              <w:jc w:val="center"/>
              <w:rPr>
                <w:rFonts w:ascii="Arial" w:eastAsia="Times New Roman" w:hAnsi="Arial" w:cs="Arial"/>
                <w:color w:val="000000"/>
                <w:kern w:val="0"/>
                <w:sz w:val="18"/>
                <w:szCs w:val="18"/>
                <w:rtl/>
                <w:lang w:val="en-GB" w:eastAsia="en-GB"/>
                <w14:ligatures w14:val="none"/>
              </w:rPr>
            </w:pPr>
            <w:r w:rsidRPr="002803E2">
              <w:rPr>
                <w:rFonts w:ascii="Arial" w:eastAsia="Times New Roman" w:hAnsi="Arial" w:cs="Arial"/>
                <w:color w:val="000000"/>
                <w:kern w:val="0"/>
                <w:sz w:val="18"/>
                <w:szCs w:val="18"/>
                <w:lang w:val="en-GB" w:eastAsia="en-GB"/>
                <w14:ligatures w14:val="none"/>
              </w:rPr>
              <w:t>.965</w:t>
            </w:r>
          </w:p>
        </w:tc>
        <w:tc>
          <w:tcPr>
            <w:tcW w:w="1076" w:type="dxa"/>
            <w:tcBorders>
              <w:top w:val="nil"/>
              <w:left w:val="single" w:sz="4" w:space="0" w:color="000000"/>
              <w:bottom w:val="single" w:sz="12" w:space="0" w:color="000000"/>
              <w:right w:val="single" w:sz="12" w:space="0" w:color="000000"/>
            </w:tcBorders>
            <w:noWrap/>
            <w:vAlign w:val="center"/>
            <w:hideMark/>
          </w:tcPr>
          <w:p w14:paraId="56971498"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23</w:t>
            </w:r>
          </w:p>
        </w:tc>
      </w:tr>
      <w:tr w:rsidR="002803E2" w:rsidRPr="002803E2" w14:paraId="4AB56A4A" w14:textId="77777777" w:rsidTr="002803E2">
        <w:trPr>
          <w:trHeight w:val="300"/>
          <w:jc w:val="center"/>
        </w:trPr>
        <w:tc>
          <w:tcPr>
            <w:tcW w:w="4400" w:type="dxa"/>
            <w:tcBorders>
              <w:top w:val="nil"/>
              <w:left w:val="single" w:sz="12" w:space="0" w:color="000000"/>
              <w:bottom w:val="single" w:sz="12" w:space="0" w:color="000000"/>
              <w:right w:val="single" w:sz="4" w:space="0" w:color="000000"/>
            </w:tcBorders>
            <w:vAlign w:val="bottom"/>
            <w:hideMark/>
          </w:tcPr>
          <w:p w14:paraId="3509ADF2" w14:textId="77777777" w:rsidR="002803E2" w:rsidRPr="002803E2" w:rsidRDefault="002803E2" w:rsidP="002803E2">
            <w:pPr>
              <w:bidi/>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rtl/>
                <w:lang w:val="en-GB" w:eastAsia="en-GB"/>
                <w14:ligatures w14:val="none"/>
              </w:rPr>
              <w:t>أولاً: التوظيف الانتقائي</w:t>
            </w:r>
          </w:p>
        </w:tc>
        <w:tc>
          <w:tcPr>
            <w:tcW w:w="1660" w:type="dxa"/>
            <w:tcBorders>
              <w:top w:val="nil"/>
              <w:left w:val="single" w:sz="12" w:space="0" w:color="000000"/>
              <w:bottom w:val="single" w:sz="12" w:space="0" w:color="000000"/>
              <w:right w:val="single" w:sz="4" w:space="0" w:color="000000"/>
            </w:tcBorders>
            <w:noWrap/>
            <w:vAlign w:val="center"/>
            <w:hideMark/>
          </w:tcPr>
          <w:p w14:paraId="4F62FFBE" w14:textId="77777777" w:rsidR="002803E2" w:rsidRPr="002803E2" w:rsidRDefault="002803E2" w:rsidP="002803E2">
            <w:pPr>
              <w:spacing w:after="0" w:line="240" w:lineRule="auto"/>
              <w:jc w:val="center"/>
              <w:rPr>
                <w:rFonts w:ascii="Arial" w:eastAsia="Times New Roman" w:hAnsi="Arial" w:cs="Arial"/>
                <w:color w:val="000000"/>
                <w:kern w:val="0"/>
                <w:sz w:val="18"/>
                <w:szCs w:val="18"/>
                <w:rtl/>
                <w:lang w:val="en-GB" w:eastAsia="en-GB"/>
                <w14:ligatures w14:val="none"/>
              </w:rPr>
            </w:pPr>
            <w:r w:rsidRPr="002803E2">
              <w:rPr>
                <w:rFonts w:ascii="Arial" w:eastAsia="Times New Roman" w:hAnsi="Arial" w:cs="Arial"/>
                <w:color w:val="000000"/>
                <w:kern w:val="0"/>
                <w:sz w:val="18"/>
                <w:szCs w:val="18"/>
                <w:lang w:val="en-GB" w:eastAsia="en-GB"/>
                <w14:ligatures w14:val="none"/>
              </w:rPr>
              <w:t>.872</w:t>
            </w:r>
          </w:p>
        </w:tc>
        <w:tc>
          <w:tcPr>
            <w:tcW w:w="1076" w:type="dxa"/>
            <w:tcBorders>
              <w:top w:val="nil"/>
              <w:left w:val="single" w:sz="4" w:space="0" w:color="000000"/>
              <w:bottom w:val="single" w:sz="12" w:space="0" w:color="000000"/>
              <w:right w:val="single" w:sz="12" w:space="0" w:color="000000"/>
            </w:tcBorders>
            <w:noWrap/>
            <w:vAlign w:val="center"/>
            <w:hideMark/>
          </w:tcPr>
          <w:p w14:paraId="23FA0C45"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4</w:t>
            </w:r>
          </w:p>
        </w:tc>
      </w:tr>
      <w:tr w:rsidR="002803E2" w:rsidRPr="002803E2" w14:paraId="04F903A2" w14:textId="77777777" w:rsidTr="002803E2">
        <w:trPr>
          <w:trHeight w:val="300"/>
          <w:jc w:val="center"/>
        </w:trPr>
        <w:tc>
          <w:tcPr>
            <w:tcW w:w="4400" w:type="dxa"/>
            <w:tcBorders>
              <w:top w:val="nil"/>
              <w:left w:val="single" w:sz="12" w:space="0" w:color="000000"/>
              <w:bottom w:val="single" w:sz="12" w:space="0" w:color="000000"/>
              <w:right w:val="single" w:sz="4" w:space="0" w:color="000000"/>
            </w:tcBorders>
            <w:vAlign w:val="bottom"/>
            <w:hideMark/>
          </w:tcPr>
          <w:p w14:paraId="2CBB6DB4" w14:textId="77777777" w:rsidR="002803E2" w:rsidRPr="002803E2" w:rsidRDefault="002803E2" w:rsidP="002803E2">
            <w:pPr>
              <w:bidi/>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rtl/>
                <w:lang w:val="en-GB" w:eastAsia="en-GB"/>
                <w14:ligatures w14:val="none"/>
              </w:rPr>
              <w:t>ثانيًا: التدريب والتطوير المستمر</w:t>
            </w:r>
          </w:p>
        </w:tc>
        <w:tc>
          <w:tcPr>
            <w:tcW w:w="1660" w:type="dxa"/>
            <w:tcBorders>
              <w:top w:val="nil"/>
              <w:left w:val="single" w:sz="12" w:space="0" w:color="000000"/>
              <w:bottom w:val="single" w:sz="12" w:space="0" w:color="000000"/>
              <w:right w:val="single" w:sz="4" w:space="0" w:color="000000"/>
            </w:tcBorders>
            <w:noWrap/>
            <w:vAlign w:val="center"/>
            <w:hideMark/>
          </w:tcPr>
          <w:p w14:paraId="2D6C5D8C" w14:textId="77777777" w:rsidR="002803E2" w:rsidRPr="002803E2" w:rsidRDefault="002803E2" w:rsidP="002803E2">
            <w:pPr>
              <w:spacing w:after="0" w:line="240" w:lineRule="auto"/>
              <w:jc w:val="center"/>
              <w:rPr>
                <w:rFonts w:ascii="Arial" w:eastAsia="Times New Roman" w:hAnsi="Arial" w:cs="Arial"/>
                <w:color w:val="000000"/>
                <w:kern w:val="0"/>
                <w:sz w:val="18"/>
                <w:szCs w:val="18"/>
                <w:rtl/>
                <w:lang w:val="en-GB" w:eastAsia="en-GB"/>
                <w14:ligatures w14:val="none"/>
              </w:rPr>
            </w:pPr>
            <w:r w:rsidRPr="002803E2">
              <w:rPr>
                <w:rFonts w:ascii="Arial" w:eastAsia="Times New Roman" w:hAnsi="Arial" w:cs="Arial"/>
                <w:color w:val="000000"/>
                <w:kern w:val="0"/>
                <w:sz w:val="18"/>
                <w:szCs w:val="18"/>
                <w:lang w:val="en-GB" w:eastAsia="en-GB"/>
                <w14:ligatures w14:val="none"/>
              </w:rPr>
              <w:t>.825</w:t>
            </w:r>
          </w:p>
        </w:tc>
        <w:tc>
          <w:tcPr>
            <w:tcW w:w="1076" w:type="dxa"/>
            <w:tcBorders>
              <w:top w:val="nil"/>
              <w:left w:val="single" w:sz="4" w:space="0" w:color="000000"/>
              <w:bottom w:val="single" w:sz="12" w:space="0" w:color="000000"/>
              <w:right w:val="single" w:sz="12" w:space="0" w:color="000000"/>
            </w:tcBorders>
            <w:noWrap/>
            <w:vAlign w:val="center"/>
            <w:hideMark/>
          </w:tcPr>
          <w:p w14:paraId="314D7E74"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4</w:t>
            </w:r>
          </w:p>
        </w:tc>
      </w:tr>
      <w:tr w:rsidR="002803E2" w:rsidRPr="002803E2" w14:paraId="361D6BE2" w14:textId="77777777" w:rsidTr="002803E2">
        <w:trPr>
          <w:trHeight w:val="300"/>
          <w:jc w:val="center"/>
        </w:trPr>
        <w:tc>
          <w:tcPr>
            <w:tcW w:w="4400" w:type="dxa"/>
            <w:tcBorders>
              <w:top w:val="nil"/>
              <w:left w:val="single" w:sz="12" w:space="0" w:color="000000"/>
              <w:bottom w:val="single" w:sz="12" w:space="0" w:color="000000"/>
              <w:right w:val="single" w:sz="4" w:space="0" w:color="000000"/>
            </w:tcBorders>
            <w:vAlign w:val="bottom"/>
            <w:hideMark/>
          </w:tcPr>
          <w:p w14:paraId="600D0902" w14:textId="77777777" w:rsidR="002803E2" w:rsidRPr="002803E2" w:rsidRDefault="002803E2" w:rsidP="002803E2">
            <w:pPr>
              <w:bidi/>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rtl/>
                <w:lang w:val="en-GB" w:eastAsia="en-GB"/>
                <w14:ligatures w14:val="none"/>
              </w:rPr>
              <w:t>ثالثًا: نظم الحوافز والمكافآت</w:t>
            </w:r>
          </w:p>
        </w:tc>
        <w:tc>
          <w:tcPr>
            <w:tcW w:w="1660" w:type="dxa"/>
            <w:tcBorders>
              <w:top w:val="nil"/>
              <w:left w:val="single" w:sz="12" w:space="0" w:color="000000"/>
              <w:bottom w:val="single" w:sz="12" w:space="0" w:color="000000"/>
              <w:right w:val="single" w:sz="4" w:space="0" w:color="000000"/>
            </w:tcBorders>
            <w:noWrap/>
            <w:vAlign w:val="center"/>
            <w:hideMark/>
          </w:tcPr>
          <w:p w14:paraId="6F1F838A" w14:textId="77777777" w:rsidR="002803E2" w:rsidRPr="002803E2" w:rsidRDefault="002803E2" w:rsidP="002803E2">
            <w:pPr>
              <w:spacing w:after="0" w:line="240" w:lineRule="auto"/>
              <w:jc w:val="center"/>
              <w:rPr>
                <w:rFonts w:ascii="Arial" w:eastAsia="Times New Roman" w:hAnsi="Arial" w:cs="Arial"/>
                <w:color w:val="000000"/>
                <w:kern w:val="0"/>
                <w:sz w:val="18"/>
                <w:szCs w:val="18"/>
                <w:rtl/>
                <w:lang w:val="en-GB" w:eastAsia="en-GB"/>
                <w14:ligatures w14:val="none"/>
              </w:rPr>
            </w:pPr>
            <w:r w:rsidRPr="002803E2">
              <w:rPr>
                <w:rFonts w:ascii="Arial" w:eastAsia="Times New Roman" w:hAnsi="Arial" w:cs="Arial"/>
                <w:color w:val="000000"/>
                <w:kern w:val="0"/>
                <w:sz w:val="18"/>
                <w:szCs w:val="18"/>
                <w:lang w:val="en-GB" w:eastAsia="en-GB"/>
                <w14:ligatures w14:val="none"/>
              </w:rPr>
              <w:t>.844</w:t>
            </w:r>
          </w:p>
        </w:tc>
        <w:tc>
          <w:tcPr>
            <w:tcW w:w="1076" w:type="dxa"/>
            <w:tcBorders>
              <w:top w:val="nil"/>
              <w:left w:val="single" w:sz="4" w:space="0" w:color="000000"/>
              <w:bottom w:val="single" w:sz="12" w:space="0" w:color="000000"/>
              <w:right w:val="single" w:sz="12" w:space="0" w:color="000000"/>
            </w:tcBorders>
            <w:noWrap/>
            <w:vAlign w:val="center"/>
            <w:hideMark/>
          </w:tcPr>
          <w:p w14:paraId="270641F7"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4</w:t>
            </w:r>
          </w:p>
        </w:tc>
      </w:tr>
      <w:tr w:rsidR="002803E2" w:rsidRPr="002803E2" w14:paraId="62D13991" w14:textId="77777777" w:rsidTr="002803E2">
        <w:trPr>
          <w:trHeight w:val="300"/>
          <w:jc w:val="center"/>
        </w:trPr>
        <w:tc>
          <w:tcPr>
            <w:tcW w:w="4400" w:type="dxa"/>
            <w:tcBorders>
              <w:top w:val="nil"/>
              <w:left w:val="single" w:sz="12" w:space="0" w:color="000000"/>
              <w:bottom w:val="single" w:sz="12" w:space="0" w:color="000000"/>
              <w:right w:val="single" w:sz="4" w:space="0" w:color="000000"/>
            </w:tcBorders>
            <w:vAlign w:val="bottom"/>
            <w:hideMark/>
          </w:tcPr>
          <w:p w14:paraId="21C09E10" w14:textId="77777777" w:rsidR="002803E2" w:rsidRPr="002803E2" w:rsidRDefault="002803E2" w:rsidP="002803E2">
            <w:pPr>
              <w:bidi/>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rtl/>
                <w:lang w:val="en-GB" w:eastAsia="en-GB"/>
                <w14:ligatures w14:val="none"/>
              </w:rPr>
              <w:t>رابعًا: المشاركة في اتخاذ القرار</w:t>
            </w:r>
          </w:p>
        </w:tc>
        <w:tc>
          <w:tcPr>
            <w:tcW w:w="1660" w:type="dxa"/>
            <w:tcBorders>
              <w:top w:val="nil"/>
              <w:left w:val="single" w:sz="12" w:space="0" w:color="000000"/>
              <w:bottom w:val="single" w:sz="12" w:space="0" w:color="000000"/>
              <w:right w:val="single" w:sz="4" w:space="0" w:color="000000"/>
            </w:tcBorders>
            <w:noWrap/>
            <w:vAlign w:val="center"/>
            <w:hideMark/>
          </w:tcPr>
          <w:p w14:paraId="757C80EF" w14:textId="77777777" w:rsidR="002803E2" w:rsidRPr="002803E2" w:rsidRDefault="002803E2" w:rsidP="002803E2">
            <w:pPr>
              <w:spacing w:after="0" w:line="240" w:lineRule="auto"/>
              <w:jc w:val="center"/>
              <w:rPr>
                <w:rFonts w:ascii="Arial" w:eastAsia="Times New Roman" w:hAnsi="Arial" w:cs="Arial"/>
                <w:color w:val="000000"/>
                <w:kern w:val="0"/>
                <w:sz w:val="18"/>
                <w:szCs w:val="18"/>
                <w:rtl/>
                <w:lang w:val="en-GB" w:eastAsia="en-GB"/>
                <w14:ligatures w14:val="none"/>
              </w:rPr>
            </w:pPr>
            <w:r w:rsidRPr="002803E2">
              <w:rPr>
                <w:rFonts w:ascii="Arial" w:eastAsia="Times New Roman" w:hAnsi="Arial" w:cs="Arial"/>
                <w:color w:val="000000"/>
                <w:kern w:val="0"/>
                <w:sz w:val="18"/>
                <w:szCs w:val="18"/>
                <w:lang w:val="en-GB" w:eastAsia="en-GB"/>
                <w14:ligatures w14:val="none"/>
              </w:rPr>
              <w:t>.807</w:t>
            </w:r>
          </w:p>
        </w:tc>
        <w:tc>
          <w:tcPr>
            <w:tcW w:w="1076" w:type="dxa"/>
            <w:tcBorders>
              <w:top w:val="nil"/>
              <w:left w:val="single" w:sz="4" w:space="0" w:color="000000"/>
              <w:bottom w:val="single" w:sz="12" w:space="0" w:color="000000"/>
              <w:right w:val="single" w:sz="12" w:space="0" w:color="000000"/>
            </w:tcBorders>
            <w:noWrap/>
            <w:vAlign w:val="center"/>
            <w:hideMark/>
          </w:tcPr>
          <w:p w14:paraId="446B48B6"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3</w:t>
            </w:r>
          </w:p>
        </w:tc>
      </w:tr>
      <w:tr w:rsidR="002803E2" w:rsidRPr="002803E2" w14:paraId="79A219DE" w14:textId="77777777" w:rsidTr="002803E2">
        <w:trPr>
          <w:trHeight w:val="300"/>
          <w:jc w:val="center"/>
        </w:trPr>
        <w:tc>
          <w:tcPr>
            <w:tcW w:w="4400" w:type="dxa"/>
            <w:tcBorders>
              <w:top w:val="nil"/>
              <w:left w:val="single" w:sz="12" w:space="0" w:color="000000"/>
              <w:bottom w:val="single" w:sz="12" w:space="0" w:color="000000"/>
              <w:right w:val="single" w:sz="4" w:space="0" w:color="000000"/>
            </w:tcBorders>
            <w:vAlign w:val="bottom"/>
            <w:hideMark/>
          </w:tcPr>
          <w:p w14:paraId="0F9A6C82" w14:textId="77777777" w:rsidR="002803E2" w:rsidRPr="002803E2" w:rsidRDefault="002803E2" w:rsidP="002803E2">
            <w:pPr>
              <w:bidi/>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rtl/>
                <w:lang w:val="en-GB" w:eastAsia="en-GB"/>
                <w14:ligatures w14:val="none"/>
              </w:rPr>
              <w:t>خامسًا: تقييم الأداء العادل</w:t>
            </w:r>
          </w:p>
        </w:tc>
        <w:tc>
          <w:tcPr>
            <w:tcW w:w="1660" w:type="dxa"/>
            <w:tcBorders>
              <w:top w:val="nil"/>
              <w:left w:val="single" w:sz="12" w:space="0" w:color="000000"/>
              <w:bottom w:val="single" w:sz="12" w:space="0" w:color="000000"/>
              <w:right w:val="single" w:sz="4" w:space="0" w:color="000000"/>
            </w:tcBorders>
            <w:noWrap/>
            <w:vAlign w:val="center"/>
            <w:hideMark/>
          </w:tcPr>
          <w:p w14:paraId="3241823B" w14:textId="77777777" w:rsidR="002803E2" w:rsidRPr="002803E2" w:rsidRDefault="002803E2" w:rsidP="002803E2">
            <w:pPr>
              <w:spacing w:after="0" w:line="240" w:lineRule="auto"/>
              <w:jc w:val="center"/>
              <w:rPr>
                <w:rFonts w:ascii="Arial" w:eastAsia="Times New Roman" w:hAnsi="Arial" w:cs="Arial"/>
                <w:color w:val="000000"/>
                <w:kern w:val="0"/>
                <w:sz w:val="18"/>
                <w:szCs w:val="18"/>
                <w:rtl/>
                <w:lang w:val="en-GB" w:eastAsia="en-GB"/>
                <w14:ligatures w14:val="none"/>
              </w:rPr>
            </w:pPr>
            <w:r w:rsidRPr="002803E2">
              <w:rPr>
                <w:rFonts w:ascii="Arial" w:eastAsia="Times New Roman" w:hAnsi="Arial" w:cs="Arial"/>
                <w:color w:val="000000"/>
                <w:kern w:val="0"/>
                <w:sz w:val="18"/>
                <w:szCs w:val="18"/>
                <w:lang w:val="en-GB" w:eastAsia="en-GB"/>
                <w14:ligatures w14:val="none"/>
              </w:rPr>
              <w:t>.758</w:t>
            </w:r>
          </w:p>
        </w:tc>
        <w:tc>
          <w:tcPr>
            <w:tcW w:w="1076" w:type="dxa"/>
            <w:tcBorders>
              <w:top w:val="nil"/>
              <w:left w:val="single" w:sz="4" w:space="0" w:color="000000"/>
              <w:bottom w:val="single" w:sz="12" w:space="0" w:color="000000"/>
              <w:right w:val="single" w:sz="12" w:space="0" w:color="000000"/>
            </w:tcBorders>
            <w:noWrap/>
            <w:vAlign w:val="center"/>
            <w:hideMark/>
          </w:tcPr>
          <w:p w14:paraId="162DE475"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3</w:t>
            </w:r>
          </w:p>
        </w:tc>
      </w:tr>
      <w:tr w:rsidR="002803E2" w:rsidRPr="002803E2" w14:paraId="6E6D381A" w14:textId="77777777" w:rsidTr="002803E2">
        <w:trPr>
          <w:trHeight w:val="300"/>
          <w:jc w:val="center"/>
        </w:trPr>
        <w:tc>
          <w:tcPr>
            <w:tcW w:w="4400" w:type="dxa"/>
            <w:tcBorders>
              <w:top w:val="nil"/>
              <w:left w:val="single" w:sz="12" w:space="0" w:color="000000"/>
              <w:bottom w:val="single" w:sz="12" w:space="0" w:color="000000"/>
              <w:right w:val="single" w:sz="4" w:space="0" w:color="000000"/>
            </w:tcBorders>
            <w:vAlign w:val="bottom"/>
            <w:hideMark/>
          </w:tcPr>
          <w:p w14:paraId="5AC750C8" w14:textId="77777777" w:rsidR="002803E2" w:rsidRPr="002803E2" w:rsidRDefault="002803E2" w:rsidP="002803E2">
            <w:pPr>
              <w:bidi/>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rtl/>
                <w:lang w:val="en-GB" w:eastAsia="en-GB"/>
                <w14:ligatures w14:val="none"/>
              </w:rPr>
              <w:t>سادسًا: تمكين الموظفين</w:t>
            </w:r>
          </w:p>
        </w:tc>
        <w:tc>
          <w:tcPr>
            <w:tcW w:w="1660" w:type="dxa"/>
            <w:tcBorders>
              <w:top w:val="nil"/>
              <w:left w:val="single" w:sz="12" w:space="0" w:color="000000"/>
              <w:bottom w:val="single" w:sz="12" w:space="0" w:color="000000"/>
              <w:right w:val="single" w:sz="4" w:space="0" w:color="000000"/>
            </w:tcBorders>
            <w:noWrap/>
            <w:vAlign w:val="center"/>
            <w:hideMark/>
          </w:tcPr>
          <w:p w14:paraId="2B7301AB" w14:textId="77777777" w:rsidR="002803E2" w:rsidRPr="002803E2" w:rsidRDefault="002803E2" w:rsidP="002803E2">
            <w:pPr>
              <w:spacing w:after="0" w:line="240" w:lineRule="auto"/>
              <w:jc w:val="center"/>
              <w:rPr>
                <w:rFonts w:ascii="Arial" w:eastAsia="Times New Roman" w:hAnsi="Arial" w:cs="Arial"/>
                <w:color w:val="000000"/>
                <w:kern w:val="0"/>
                <w:sz w:val="18"/>
                <w:szCs w:val="18"/>
                <w:rtl/>
                <w:lang w:val="en-GB" w:eastAsia="en-GB"/>
                <w14:ligatures w14:val="none"/>
              </w:rPr>
            </w:pPr>
            <w:r w:rsidRPr="002803E2">
              <w:rPr>
                <w:rFonts w:ascii="Arial" w:eastAsia="Times New Roman" w:hAnsi="Arial" w:cs="Arial"/>
                <w:color w:val="000000"/>
                <w:kern w:val="0"/>
                <w:sz w:val="18"/>
                <w:szCs w:val="18"/>
                <w:lang w:val="en-GB" w:eastAsia="en-GB"/>
                <w14:ligatures w14:val="none"/>
              </w:rPr>
              <w:t>.851</w:t>
            </w:r>
          </w:p>
        </w:tc>
        <w:tc>
          <w:tcPr>
            <w:tcW w:w="1076" w:type="dxa"/>
            <w:tcBorders>
              <w:top w:val="nil"/>
              <w:left w:val="single" w:sz="4" w:space="0" w:color="000000"/>
              <w:bottom w:val="single" w:sz="12" w:space="0" w:color="000000"/>
              <w:right w:val="single" w:sz="12" w:space="0" w:color="000000"/>
            </w:tcBorders>
            <w:noWrap/>
            <w:vAlign w:val="center"/>
            <w:hideMark/>
          </w:tcPr>
          <w:p w14:paraId="7613BE02"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5</w:t>
            </w:r>
          </w:p>
        </w:tc>
      </w:tr>
      <w:tr w:rsidR="002803E2" w:rsidRPr="002803E2" w14:paraId="155B30DE" w14:textId="77777777" w:rsidTr="002803E2">
        <w:trPr>
          <w:trHeight w:val="300"/>
          <w:jc w:val="center"/>
        </w:trPr>
        <w:tc>
          <w:tcPr>
            <w:tcW w:w="4400" w:type="dxa"/>
            <w:tcBorders>
              <w:top w:val="nil"/>
              <w:left w:val="single" w:sz="12" w:space="0" w:color="000000"/>
              <w:bottom w:val="single" w:sz="12" w:space="0" w:color="000000"/>
              <w:right w:val="single" w:sz="4" w:space="0" w:color="000000"/>
            </w:tcBorders>
            <w:vAlign w:val="bottom"/>
            <w:hideMark/>
          </w:tcPr>
          <w:p w14:paraId="6F0E3481" w14:textId="77777777" w:rsidR="002803E2" w:rsidRPr="002803E2" w:rsidRDefault="002803E2" w:rsidP="002803E2">
            <w:pPr>
              <w:bidi/>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rtl/>
                <w:lang w:val="en-GB" w:eastAsia="en-GB"/>
                <w14:ligatures w14:val="none"/>
              </w:rPr>
              <w:t>المحور الثاني: الثقافة التنظيمية</w:t>
            </w:r>
          </w:p>
        </w:tc>
        <w:tc>
          <w:tcPr>
            <w:tcW w:w="1660" w:type="dxa"/>
            <w:tcBorders>
              <w:top w:val="nil"/>
              <w:left w:val="single" w:sz="12" w:space="0" w:color="000000"/>
              <w:bottom w:val="single" w:sz="12" w:space="0" w:color="000000"/>
              <w:right w:val="single" w:sz="4" w:space="0" w:color="000000"/>
            </w:tcBorders>
            <w:noWrap/>
            <w:vAlign w:val="center"/>
            <w:hideMark/>
          </w:tcPr>
          <w:p w14:paraId="0F012AD5" w14:textId="77777777" w:rsidR="002803E2" w:rsidRPr="002803E2" w:rsidRDefault="002803E2" w:rsidP="002803E2">
            <w:pPr>
              <w:spacing w:after="0" w:line="240" w:lineRule="auto"/>
              <w:jc w:val="center"/>
              <w:rPr>
                <w:rFonts w:ascii="Arial" w:eastAsia="Times New Roman" w:hAnsi="Arial" w:cs="Arial"/>
                <w:color w:val="000000"/>
                <w:kern w:val="0"/>
                <w:sz w:val="18"/>
                <w:szCs w:val="18"/>
                <w:rtl/>
                <w:lang w:val="en-GB" w:eastAsia="en-GB"/>
                <w14:ligatures w14:val="none"/>
              </w:rPr>
            </w:pPr>
            <w:r w:rsidRPr="002803E2">
              <w:rPr>
                <w:rFonts w:ascii="Arial" w:eastAsia="Times New Roman" w:hAnsi="Arial" w:cs="Arial"/>
                <w:color w:val="000000"/>
                <w:kern w:val="0"/>
                <w:sz w:val="18"/>
                <w:szCs w:val="18"/>
                <w:lang w:val="en-GB" w:eastAsia="en-GB"/>
                <w14:ligatures w14:val="none"/>
              </w:rPr>
              <w:t>.920</w:t>
            </w:r>
          </w:p>
        </w:tc>
        <w:tc>
          <w:tcPr>
            <w:tcW w:w="1076" w:type="dxa"/>
            <w:tcBorders>
              <w:top w:val="nil"/>
              <w:left w:val="single" w:sz="4" w:space="0" w:color="000000"/>
              <w:bottom w:val="single" w:sz="12" w:space="0" w:color="000000"/>
              <w:right w:val="single" w:sz="12" w:space="0" w:color="000000"/>
            </w:tcBorders>
            <w:noWrap/>
            <w:vAlign w:val="center"/>
            <w:hideMark/>
          </w:tcPr>
          <w:p w14:paraId="3AD4EB7F"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9</w:t>
            </w:r>
          </w:p>
        </w:tc>
      </w:tr>
      <w:tr w:rsidR="002803E2" w:rsidRPr="002803E2" w14:paraId="42241077" w14:textId="77777777" w:rsidTr="002803E2">
        <w:trPr>
          <w:trHeight w:val="300"/>
          <w:jc w:val="center"/>
        </w:trPr>
        <w:tc>
          <w:tcPr>
            <w:tcW w:w="4400" w:type="dxa"/>
            <w:tcBorders>
              <w:top w:val="nil"/>
              <w:left w:val="single" w:sz="12" w:space="0" w:color="000000"/>
              <w:bottom w:val="single" w:sz="12" w:space="0" w:color="000000"/>
              <w:right w:val="single" w:sz="4" w:space="0" w:color="000000"/>
            </w:tcBorders>
            <w:vAlign w:val="bottom"/>
            <w:hideMark/>
          </w:tcPr>
          <w:p w14:paraId="666E844C" w14:textId="77777777" w:rsidR="002803E2" w:rsidRPr="002803E2" w:rsidRDefault="002803E2" w:rsidP="002803E2">
            <w:pPr>
              <w:bidi/>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rtl/>
                <w:lang w:val="en-GB" w:eastAsia="en-GB"/>
                <w14:ligatures w14:val="none"/>
              </w:rPr>
              <w:t>أولاً: التكيّف</w:t>
            </w:r>
          </w:p>
        </w:tc>
        <w:tc>
          <w:tcPr>
            <w:tcW w:w="1660" w:type="dxa"/>
            <w:tcBorders>
              <w:top w:val="nil"/>
              <w:left w:val="single" w:sz="12" w:space="0" w:color="000000"/>
              <w:bottom w:val="single" w:sz="12" w:space="0" w:color="000000"/>
              <w:right w:val="single" w:sz="4" w:space="0" w:color="000000"/>
            </w:tcBorders>
            <w:noWrap/>
            <w:vAlign w:val="center"/>
            <w:hideMark/>
          </w:tcPr>
          <w:p w14:paraId="38D634AC" w14:textId="77777777" w:rsidR="002803E2" w:rsidRPr="002803E2" w:rsidRDefault="002803E2" w:rsidP="002803E2">
            <w:pPr>
              <w:spacing w:after="0" w:line="240" w:lineRule="auto"/>
              <w:jc w:val="center"/>
              <w:rPr>
                <w:rFonts w:ascii="Arial" w:eastAsia="Times New Roman" w:hAnsi="Arial" w:cs="Arial"/>
                <w:color w:val="000000"/>
                <w:kern w:val="0"/>
                <w:sz w:val="18"/>
                <w:szCs w:val="18"/>
                <w:rtl/>
                <w:lang w:val="en-GB" w:eastAsia="en-GB"/>
                <w14:ligatures w14:val="none"/>
              </w:rPr>
            </w:pPr>
            <w:r w:rsidRPr="002803E2">
              <w:rPr>
                <w:rFonts w:ascii="Arial" w:eastAsia="Times New Roman" w:hAnsi="Arial" w:cs="Arial"/>
                <w:color w:val="000000"/>
                <w:kern w:val="0"/>
                <w:sz w:val="18"/>
                <w:szCs w:val="18"/>
                <w:lang w:val="en-GB" w:eastAsia="en-GB"/>
                <w14:ligatures w14:val="none"/>
              </w:rPr>
              <w:t>.703</w:t>
            </w:r>
          </w:p>
        </w:tc>
        <w:tc>
          <w:tcPr>
            <w:tcW w:w="1076" w:type="dxa"/>
            <w:tcBorders>
              <w:top w:val="nil"/>
              <w:left w:val="single" w:sz="4" w:space="0" w:color="000000"/>
              <w:bottom w:val="single" w:sz="12" w:space="0" w:color="000000"/>
              <w:right w:val="single" w:sz="12" w:space="0" w:color="000000"/>
            </w:tcBorders>
            <w:noWrap/>
            <w:vAlign w:val="center"/>
            <w:hideMark/>
          </w:tcPr>
          <w:p w14:paraId="0CAF74E4"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2</w:t>
            </w:r>
          </w:p>
        </w:tc>
      </w:tr>
      <w:tr w:rsidR="002803E2" w:rsidRPr="002803E2" w14:paraId="422C52DD" w14:textId="77777777" w:rsidTr="002803E2">
        <w:trPr>
          <w:trHeight w:val="300"/>
          <w:jc w:val="center"/>
        </w:trPr>
        <w:tc>
          <w:tcPr>
            <w:tcW w:w="4400" w:type="dxa"/>
            <w:tcBorders>
              <w:top w:val="nil"/>
              <w:left w:val="single" w:sz="12" w:space="0" w:color="000000"/>
              <w:bottom w:val="single" w:sz="12" w:space="0" w:color="000000"/>
              <w:right w:val="single" w:sz="4" w:space="0" w:color="000000"/>
            </w:tcBorders>
            <w:vAlign w:val="bottom"/>
            <w:hideMark/>
          </w:tcPr>
          <w:p w14:paraId="7C988390" w14:textId="77777777" w:rsidR="002803E2" w:rsidRPr="002803E2" w:rsidRDefault="002803E2" w:rsidP="002803E2">
            <w:pPr>
              <w:bidi/>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rtl/>
                <w:lang w:val="en-GB" w:eastAsia="en-GB"/>
                <w14:ligatures w14:val="none"/>
              </w:rPr>
              <w:t>ثانيًا: المهمة</w:t>
            </w:r>
          </w:p>
        </w:tc>
        <w:tc>
          <w:tcPr>
            <w:tcW w:w="1660" w:type="dxa"/>
            <w:tcBorders>
              <w:top w:val="nil"/>
              <w:left w:val="single" w:sz="12" w:space="0" w:color="000000"/>
              <w:bottom w:val="single" w:sz="12" w:space="0" w:color="000000"/>
              <w:right w:val="single" w:sz="4" w:space="0" w:color="000000"/>
            </w:tcBorders>
            <w:noWrap/>
            <w:vAlign w:val="center"/>
            <w:hideMark/>
          </w:tcPr>
          <w:p w14:paraId="01FC1F75" w14:textId="77777777" w:rsidR="002803E2" w:rsidRPr="002803E2" w:rsidRDefault="002803E2" w:rsidP="002803E2">
            <w:pPr>
              <w:spacing w:after="0" w:line="240" w:lineRule="auto"/>
              <w:jc w:val="center"/>
              <w:rPr>
                <w:rFonts w:ascii="Arial" w:eastAsia="Times New Roman" w:hAnsi="Arial" w:cs="Arial"/>
                <w:color w:val="000000"/>
                <w:kern w:val="0"/>
                <w:sz w:val="18"/>
                <w:szCs w:val="18"/>
                <w:rtl/>
                <w:lang w:val="en-GB" w:eastAsia="en-GB"/>
                <w14:ligatures w14:val="none"/>
              </w:rPr>
            </w:pPr>
            <w:r w:rsidRPr="002803E2">
              <w:rPr>
                <w:rFonts w:ascii="Arial" w:eastAsia="Times New Roman" w:hAnsi="Arial" w:cs="Arial"/>
                <w:color w:val="000000"/>
                <w:kern w:val="0"/>
                <w:sz w:val="18"/>
                <w:szCs w:val="18"/>
                <w:lang w:val="en-GB" w:eastAsia="en-GB"/>
                <w14:ligatures w14:val="none"/>
              </w:rPr>
              <w:t>.713</w:t>
            </w:r>
          </w:p>
        </w:tc>
        <w:tc>
          <w:tcPr>
            <w:tcW w:w="1076" w:type="dxa"/>
            <w:tcBorders>
              <w:top w:val="nil"/>
              <w:left w:val="single" w:sz="4" w:space="0" w:color="000000"/>
              <w:bottom w:val="single" w:sz="12" w:space="0" w:color="000000"/>
              <w:right w:val="single" w:sz="12" w:space="0" w:color="000000"/>
            </w:tcBorders>
            <w:noWrap/>
            <w:vAlign w:val="center"/>
            <w:hideMark/>
          </w:tcPr>
          <w:p w14:paraId="404F6D99"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2</w:t>
            </w:r>
          </w:p>
        </w:tc>
      </w:tr>
      <w:tr w:rsidR="002803E2" w:rsidRPr="002803E2" w14:paraId="29A66355" w14:textId="77777777" w:rsidTr="002803E2">
        <w:trPr>
          <w:trHeight w:val="300"/>
          <w:jc w:val="center"/>
        </w:trPr>
        <w:tc>
          <w:tcPr>
            <w:tcW w:w="4400" w:type="dxa"/>
            <w:tcBorders>
              <w:top w:val="nil"/>
              <w:left w:val="single" w:sz="12" w:space="0" w:color="000000"/>
              <w:bottom w:val="single" w:sz="12" w:space="0" w:color="000000"/>
              <w:right w:val="single" w:sz="4" w:space="0" w:color="000000"/>
            </w:tcBorders>
            <w:vAlign w:val="bottom"/>
            <w:hideMark/>
          </w:tcPr>
          <w:p w14:paraId="3973AF51" w14:textId="77777777" w:rsidR="002803E2" w:rsidRPr="002803E2" w:rsidRDefault="002803E2" w:rsidP="002803E2">
            <w:pPr>
              <w:bidi/>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rtl/>
                <w:lang w:val="en-GB" w:eastAsia="en-GB"/>
                <w14:ligatures w14:val="none"/>
              </w:rPr>
              <w:t>ثالثًا: الاتساق الداخلي</w:t>
            </w:r>
          </w:p>
        </w:tc>
        <w:tc>
          <w:tcPr>
            <w:tcW w:w="1660" w:type="dxa"/>
            <w:tcBorders>
              <w:top w:val="nil"/>
              <w:left w:val="single" w:sz="12" w:space="0" w:color="000000"/>
              <w:bottom w:val="single" w:sz="12" w:space="0" w:color="000000"/>
              <w:right w:val="single" w:sz="4" w:space="0" w:color="000000"/>
            </w:tcBorders>
            <w:noWrap/>
            <w:vAlign w:val="center"/>
            <w:hideMark/>
          </w:tcPr>
          <w:p w14:paraId="261997C2" w14:textId="77777777" w:rsidR="002803E2" w:rsidRPr="002803E2" w:rsidRDefault="002803E2" w:rsidP="002803E2">
            <w:pPr>
              <w:spacing w:after="0" w:line="240" w:lineRule="auto"/>
              <w:jc w:val="center"/>
              <w:rPr>
                <w:rFonts w:ascii="Arial" w:eastAsia="Times New Roman" w:hAnsi="Arial" w:cs="Arial"/>
                <w:color w:val="000000"/>
                <w:kern w:val="0"/>
                <w:sz w:val="18"/>
                <w:szCs w:val="18"/>
                <w:rtl/>
                <w:lang w:val="en-GB" w:eastAsia="en-GB"/>
                <w14:ligatures w14:val="none"/>
              </w:rPr>
            </w:pPr>
            <w:r w:rsidRPr="002803E2">
              <w:rPr>
                <w:rFonts w:ascii="Arial" w:eastAsia="Times New Roman" w:hAnsi="Arial" w:cs="Arial"/>
                <w:color w:val="000000"/>
                <w:kern w:val="0"/>
                <w:sz w:val="18"/>
                <w:szCs w:val="18"/>
                <w:lang w:val="en-GB" w:eastAsia="en-GB"/>
                <w14:ligatures w14:val="none"/>
              </w:rPr>
              <w:t>.721</w:t>
            </w:r>
          </w:p>
        </w:tc>
        <w:tc>
          <w:tcPr>
            <w:tcW w:w="1076" w:type="dxa"/>
            <w:tcBorders>
              <w:top w:val="nil"/>
              <w:left w:val="single" w:sz="4" w:space="0" w:color="000000"/>
              <w:bottom w:val="single" w:sz="12" w:space="0" w:color="000000"/>
              <w:right w:val="single" w:sz="12" w:space="0" w:color="000000"/>
            </w:tcBorders>
            <w:noWrap/>
            <w:vAlign w:val="center"/>
            <w:hideMark/>
          </w:tcPr>
          <w:p w14:paraId="3EDFC571"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2</w:t>
            </w:r>
          </w:p>
        </w:tc>
      </w:tr>
      <w:tr w:rsidR="002803E2" w:rsidRPr="002803E2" w14:paraId="60FB4E33" w14:textId="77777777" w:rsidTr="002803E2">
        <w:trPr>
          <w:trHeight w:val="300"/>
          <w:jc w:val="center"/>
        </w:trPr>
        <w:tc>
          <w:tcPr>
            <w:tcW w:w="4400" w:type="dxa"/>
            <w:tcBorders>
              <w:top w:val="nil"/>
              <w:left w:val="single" w:sz="12" w:space="0" w:color="000000"/>
              <w:bottom w:val="single" w:sz="12" w:space="0" w:color="000000"/>
              <w:right w:val="single" w:sz="4" w:space="0" w:color="000000"/>
            </w:tcBorders>
            <w:vAlign w:val="bottom"/>
            <w:hideMark/>
          </w:tcPr>
          <w:p w14:paraId="6F3D8134" w14:textId="77777777" w:rsidR="002803E2" w:rsidRPr="002803E2" w:rsidRDefault="002803E2" w:rsidP="002803E2">
            <w:pPr>
              <w:bidi/>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rtl/>
                <w:lang w:val="en-GB" w:eastAsia="en-GB"/>
                <w14:ligatures w14:val="none"/>
              </w:rPr>
              <w:t>رابعًا: إشراك الموظفين</w:t>
            </w:r>
          </w:p>
        </w:tc>
        <w:tc>
          <w:tcPr>
            <w:tcW w:w="1660" w:type="dxa"/>
            <w:tcBorders>
              <w:top w:val="nil"/>
              <w:left w:val="single" w:sz="12" w:space="0" w:color="000000"/>
              <w:bottom w:val="single" w:sz="12" w:space="0" w:color="000000"/>
              <w:right w:val="single" w:sz="4" w:space="0" w:color="000000"/>
            </w:tcBorders>
            <w:noWrap/>
            <w:vAlign w:val="center"/>
            <w:hideMark/>
          </w:tcPr>
          <w:p w14:paraId="2592931D" w14:textId="77777777" w:rsidR="002803E2" w:rsidRPr="002803E2" w:rsidRDefault="002803E2" w:rsidP="002803E2">
            <w:pPr>
              <w:spacing w:after="0" w:line="240" w:lineRule="auto"/>
              <w:jc w:val="center"/>
              <w:rPr>
                <w:rFonts w:ascii="Arial" w:eastAsia="Times New Roman" w:hAnsi="Arial" w:cs="Arial"/>
                <w:color w:val="000000"/>
                <w:kern w:val="0"/>
                <w:sz w:val="18"/>
                <w:szCs w:val="18"/>
                <w:rtl/>
                <w:lang w:val="en-GB" w:eastAsia="en-GB"/>
                <w14:ligatures w14:val="none"/>
              </w:rPr>
            </w:pPr>
            <w:r w:rsidRPr="002803E2">
              <w:rPr>
                <w:rFonts w:ascii="Arial" w:eastAsia="Times New Roman" w:hAnsi="Arial" w:cs="Arial"/>
                <w:color w:val="000000"/>
                <w:kern w:val="0"/>
                <w:sz w:val="18"/>
                <w:szCs w:val="18"/>
                <w:lang w:val="en-GB" w:eastAsia="en-GB"/>
                <w14:ligatures w14:val="none"/>
              </w:rPr>
              <w:t>.830</w:t>
            </w:r>
          </w:p>
        </w:tc>
        <w:tc>
          <w:tcPr>
            <w:tcW w:w="1076" w:type="dxa"/>
            <w:tcBorders>
              <w:top w:val="nil"/>
              <w:left w:val="single" w:sz="4" w:space="0" w:color="000000"/>
              <w:bottom w:val="single" w:sz="12" w:space="0" w:color="000000"/>
              <w:right w:val="single" w:sz="12" w:space="0" w:color="000000"/>
            </w:tcBorders>
            <w:noWrap/>
            <w:vAlign w:val="center"/>
            <w:hideMark/>
          </w:tcPr>
          <w:p w14:paraId="032296AE"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3</w:t>
            </w:r>
          </w:p>
        </w:tc>
      </w:tr>
      <w:tr w:rsidR="002803E2" w:rsidRPr="002803E2" w14:paraId="5C5606AE" w14:textId="77777777" w:rsidTr="002803E2">
        <w:trPr>
          <w:trHeight w:val="300"/>
          <w:jc w:val="center"/>
        </w:trPr>
        <w:tc>
          <w:tcPr>
            <w:tcW w:w="4400" w:type="dxa"/>
            <w:tcBorders>
              <w:top w:val="nil"/>
              <w:left w:val="single" w:sz="12" w:space="0" w:color="000000"/>
              <w:bottom w:val="single" w:sz="12" w:space="0" w:color="000000"/>
              <w:right w:val="single" w:sz="4" w:space="0" w:color="000000"/>
            </w:tcBorders>
            <w:vAlign w:val="bottom"/>
            <w:hideMark/>
          </w:tcPr>
          <w:p w14:paraId="23F3F530" w14:textId="77777777" w:rsidR="002803E2" w:rsidRPr="002803E2" w:rsidRDefault="002803E2" w:rsidP="002803E2">
            <w:pPr>
              <w:bidi/>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rtl/>
                <w:lang w:val="en-GB" w:eastAsia="en-GB"/>
                <w14:ligatures w14:val="none"/>
              </w:rPr>
              <w:t>المحور الثالث: الأداء الإبداعي</w:t>
            </w:r>
          </w:p>
        </w:tc>
        <w:tc>
          <w:tcPr>
            <w:tcW w:w="1660" w:type="dxa"/>
            <w:tcBorders>
              <w:top w:val="nil"/>
              <w:left w:val="single" w:sz="12" w:space="0" w:color="000000"/>
              <w:bottom w:val="single" w:sz="12" w:space="0" w:color="000000"/>
              <w:right w:val="single" w:sz="4" w:space="0" w:color="000000"/>
            </w:tcBorders>
            <w:noWrap/>
            <w:vAlign w:val="center"/>
            <w:hideMark/>
          </w:tcPr>
          <w:p w14:paraId="61120A2D" w14:textId="77777777" w:rsidR="002803E2" w:rsidRPr="002803E2" w:rsidRDefault="002803E2" w:rsidP="002803E2">
            <w:pPr>
              <w:spacing w:after="0" w:line="240" w:lineRule="auto"/>
              <w:jc w:val="center"/>
              <w:rPr>
                <w:rFonts w:ascii="Arial" w:eastAsia="Times New Roman" w:hAnsi="Arial" w:cs="Arial"/>
                <w:color w:val="000000"/>
                <w:kern w:val="0"/>
                <w:sz w:val="18"/>
                <w:szCs w:val="18"/>
                <w:rtl/>
                <w:lang w:val="en-GB" w:eastAsia="en-GB"/>
                <w14:ligatures w14:val="none"/>
              </w:rPr>
            </w:pPr>
            <w:r w:rsidRPr="002803E2">
              <w:rPr>
                <w:rFonts w:ascii="Arial" w:eastAsia="Times New Roman" w:hAnsi="Arial" w:cs="Arial"/>
                <w:color w:val="000000"/>
                <w:kern w:val="0"/>
                <w:sz w:val="18"/>
                <w:szCs w:val="18"/>
                <w:lang w:val="en-GB" w:eastAsia="en-GB"/>
                <w14:ligatures w14:val="none"/>
              </w:rPr>
              <w:t>.921</w:t>
            </w:r>
          </w:p>
        </w:tc>
        <w:tc>
          <w:tcPr>
            <w:tcW w:w="1076" w:type="dxa"/>
            <w:tcBorders>
              <w:top w:val="nil"/>
              <w:left w:val="single" w:sz="4" w:space="0" w:color="000000"/>
              <w:bottom w:val="single" w:sz="12" w:space="0" w:color="000000"/>
              <w:right w:val="single" w:sz="12" w:space="0" w:color="000000"/>
            </w:tcBorders>
            <w:noWrap/>
            <w:vAlign w:val="center"/>
            <w:hideMark/>
          </w:tcPr>
          <w:p w14:paraId="0C1D5517" w14:textId="77777777" w:rsidR="002803E2" w:rsidRPr="002803E2" w:rsidRDefault="002803E2" w:rsidP="002803E2">
            <w:pPr>
              <w:spacing w:after="0" w:line="240" w:lineRule="auto"/>
              <w:jc w:val="center"/>
              <w:rPr>
                <w:rFonts w:ascii="Arial" w:eastAsia="Times New Roman" w:hAnsi="Arial" w:cs="Arial"/>
                <w:color w:val="000000"/>
                <w:kern w:val="0"/>
                <w:sz w:val="18"/>
                <w:szCs w:val="18"/>
                <w:lang w:val="en-GB" w:eastAsia="en-GB"/>
                <w14:ligatures w14:val="none"/>
              </w:rPr>
            </w:pPr>
            <w:r w:rsidRPr="002803E2">
              <w:rPr>
                <w:rFonts w:ascii="Arial" w:eastAsia="Times New Roman" w:hAnsi="Arial" w:cs="Arial"/>
                <w:color w:val="000000"/>
                <w:kern w:val="0"/>
                <w:sz w:val="18"/>
                <w:szCs w:val="18"/>
                <w:lang w:val="en-GB" w:eastAsia="en-GB"/>
                <w14:ligatures w14:val="none"/>
              </w:rPr>
              <w:t>10</w:t>
            </w:r>
          </w:p>
        </w:tc>
      </w:tr>
    </w:tbl>
    <w:p w14:paraId="43E8FA7C" w14:textId="77777777" w:rsidR="002803E2" w:rsidRDefault="002803E2" w:rsidP="002803E2">
      <w:pPr>
        <w:bidi/>
        <w:rPr>
          <w:rtl/>
        </w:rPr>
      </w:pPr>
    </w:p>
    <w:p w14:paraId="57F6BC38" w14:textId="74409F5C" w:rsidR="002803E2" w:rsidRPr="00A12F54" w:rsidRDefault="002803E2" w:rsidP="00C530AF">
      <w:pPr>
        <w:bidi/>
      </w:pPr>
      <w:r w:rsidRPr="00A12F54">
        <w:rPr>
          <w:rtl/>
        </w:rPr>
        <w:t xml:space="preserve">بلغ معامل </w:t>
      </w:r>
      <w:proofErr w:type="spellStart"/>
      <w:r w:rsidRPr="00A12F54">
        <w:rPr>
          <w:rtl/>
        </w:rPr>
        <w:t>كرونباخ</w:t>
      </w:r>
      <w:proofErr w:type="spellEnd"/>
      <w:r w:rsidRPr="00A12F54">
        <w:rPr>
          <w:rtl/>
        </w:rPr>
        <w:t xml:space="preserve"> ألفا الكلي لمقياس أنظمة العمل عالية الأداء (المكوّن من 23 بندًا) قيمة</w:t>
      </w:r>
      <w:r w:rsidRPr="00A12F54">
        <w:t>:</w:t>
      </w:r>
      <w:r w:rsidR="00C530AF">
        <w:rPr>
          <w:rFonts w:hint="cs"/>
          <w:rtl/>
        </w:rPr>
        <w:t xml:space="preserve"> 0.965</w:t>
      </w:r>
    </w:p>
    <w:p w14:paraId="2F9F9AF8" w14:textId="77777777" w:rsidR="002803E2" w:rsidRPr="00A12F54" w:rsidRDefault="002803E2" w:rsidP="002803E2">
      <w:pPr>
        <w:bidi/>
      </w:pPr>
      <w:r w:rsidRPr="00A12F54">
        <w:rPr>
          <w:rtl/>
        </w:rPr>
        <w:t>وتُعد هذه القيمة مرتفعة جدًا وفق المعايير المنهجية المتعارف عليها</w:t>
      </w:r>
      <w:r>
        <w:rPr>
          <w:rFonts w:hint="cs"/>
          <w:rtl/>
        </w:rPr>
        <w:t xml:space="preserve">. </w:t>
      </w:r>
      <w:r w:rsidRPr="00A12F54">
        <w:rPr>
          <w:rtl/>
        </w:rPr>
        <w:t>وعليه، فإن قيمة (0.965) تعكس مستوى عالٍ جدًا من الاتساق الداخلي بين البنود، وتدل على أن المقياس يتمتع بدرجة ثبات قوية تجعله مناسبًا للاستخدام في التحليل المتقدم، بما في ذلك نمذجة المعادلات الهيكلية</w:t>
      </w:r>
      <w:r>
        <w:rPr>
          <w:rFonts w:hint="cs"/>
          <w:rtl/>
        </w:rPr>
        <w:t xml:space="preserve"> </w:t>
      </w:r>
      <w:r w:rsidRPr="00A12F54">
        <w:t>(SEM)</w:t>
      </w:r>
      <w:r>
        <w:rPr>
          <w:rFonts w:hint="cs"/>
          <w:rtl/>
        </w:rPr>
        <w:t>.</w:t>
      </w:r>
    </w:p>
    <w:p w14:paraId="1908E1C8" w14:textId="77777777" w:rsidR="002803E2" w:rsidRDefault="002803E2" w:rsidP="002803E2">
      <w:pPr>
        <w:bidi/>
        <w:rPr>
          <w:rtl/>
        </w:rPr>
      </w:pPr>
      <w:r w:rsidRPr="00A12F54">
        <w:rPr>
          <w:rtl/>
        </w:rPr>
        <w:t>كما بلغ المتوسط الكلي للمقياس (81.855)، والانحراف المعياري (18.428)، وهو ما يعكس تباينًا طبيعيًا في استجابات العينة دون وجود تشتت مفرط يؤثر على موثوقية القياس</w:t>
      </w:r>
      <w:r w:rsidRPr="00A12F54">
        <w:t>.</w:t>
      </w:r>
    </w:p>
    <w:p w14:paraId="6135BC71" w14:textId="54075B53" w:rsidR="002803E2" w:rsidRPr="002B6755" w:rsidRDefault="002803E2" w:rsidP="00C530AF">
      <w:pPr>
        <w:bidi/>
      </w:pPr>
      <w:r w:rsidRPr="002B6755">
        <w:rPr>
          <w:rtl/>
        </w:rPr>
        <w:t>وتُصنّف هذه القيمة ضمن المستوى الممتاز للثبات الداخلي</w:t>
      </w:r>
      <w:r>
        <w:rPr>
          <w:rFonts w:hint="cs"/>
          <w:rtl/>
        </w:rPr>
        <w:t xml:space="preserve"> </w:t>
      </w:r>
      <w:r w:rsidRPr="002B6755">
        <w:t>(Excellent Reliability)</w:t>
      </w:r>
      <w:r w:rsidRPr="002B6755">
        <w:rPr>
          <w:rtl/>
        </w:rPr>
        <w:t>، حيث تتجاوز الحد المنهجي المقبول (0.70) بفارق كبير، مما يعكس تجانسًا مرتفعًا بين البنود</w:t>
      </w:r>
      <w:r w:rsidRPr="002B6755">
        <w:t>.</w:t>
      </w:r>
    </w:p>
    <w:p w14:paraId="50631270" w14:textId="4AD0021F" w:rsidR="002803E2" w:rsidRPr="00A12F54" w:rsidRDefault="002803E2" w:rsidP="002803E2">
      <w:pPr>
        <w:bidi/>
      </w:pPr>
      <w:proofErr w:type="spellStart"/>
      <w:r>
        <w:rPr>
          <w:rFonts w:hint="cs"/>
          <w:rtl/>
        </w:rPr>
        <w:lastRenderedPageBreak/>
        <w:t>للتاكد</w:t>
      </w:r>
      <w:proofErr w:type="spellEnd"/>
      <w:r>
        <w:rPr>
          <w:rFonts w:hint="cs"/>
          <w:rtl/>
        </w:rPr>
        <w:t xml:space="preserve"> </w:t>
      </w:r>
      <w:r w:rsidRPr="00A12F54">
        <w:rPr>
          <w:rtl/>
        </w:rPr>
        <w:t>من جودة كل بند على حدة</w:t>
      </w:r>
      <w:r>
        <w:rPr>
          <w:rFonts w:hint="cs"/>
          <w:rtl/>
          <w:lang w:bidi="ar-EG"/>
        </w:rPr>
        <w:t xml:space="preserve"> في الايطار الخاص ب </w:t>
      </w:r>
      <w:r w:rsidRPr="00A12F54">
        <w:t>HPWS</w:t>
      </w:r>
      <w:r w:rsidRPr="00A12F54">
        <w:rPr>
          <w:rtl/>
        </w:rPr>
        <w:t>، تم تحليل مؤشرين رئيسيين</w:t>
      </w:r>
      <w:r w:rsidRPr="00A12F54">
        <w:t>:</w:t>
      </w:r>
    </w:p>
    <w:p w14:paraId="57A6C88E" w14:textId="77777777" w:rsidR="002803E2" w:rsidRPr="00A12F54" w:rsidRDefault="002803E2" w:rsidP="002803E2">
      <w:pPr>
        <w:bidi/>
        <w:rPr>
          <w:b/>
          <w:bCs/>
        </w:rPr>
      </w:pPr>
      <w:r w:rsidRPr="00A12F54">
        <w:rPr>
          <w:b/>
          <w:bCs/>
          <w:rtl/>
        </w:rPr>
        <w:t>أولًا: معامل الارتباط المصحح</w:t>
      </w:r>
    </w:p>
    <w:p w14:paraId="3468C3BB" w14:textId="77777777" w:rsidR="002803E2" w:rsidRPr="00A12F54" w:rsidRDefault="002803E2" w:rsidP="002803E2">
      <w:pPr>
        <w:bidi/>
      </w:pPr>
      <w:r w:rsidRPr="00A12F54">
        <w:rPr>
          <w:rtl/>
        </w:rPr>
        <w:t>تراوحت معاملات الارتباط المصحح بين البنود والمقياس الكلي بين</w:t>
      </w:r>
      <w:r w:rsidRPr="00A12F54">
        <w:t>:</w:t>
      </w:r>
    </w:p>
    <w:p w14:paraId="3229B619" w14:textId="77777777" w:rsidR="002803E2" w:rsidRPr="00A12F54" w:rsidRDefault="002803E2" w:rsidP="002803E2">
      <w:pPr>
        <w:bidi/>
      </w:pPr>
      <w:r w:rsidRPr="00A12F54">
        <w:rPr>
          <w:b/>
          <w:bCs/>
        </w:rPr>
        <w:t>0.660</w:t>
      </w:r>
      <w:r>
        <w:rPr>
          <w:rFonts w:hint="cs"/>
          <w:b/>
          <w:bCs/>
          <w:rtl/>
        </w:rPr>
        <w:t xml:space="preserve"> (</w:t>
      </w:r>
      <w:r w:rsidRPr="00A12F54">
        <w:rPr>
          <w:b/>
          <w:bCs/>
          <w:rtl/>
        </w:rPr>
        <w:t>كأدنى قيمة للبند</w:t>
      </w:r>
      <w:r>
        <w:rPr>
          <w:rFonts w:hint="cs"/>
          <w:b/>
          <w:bCs/>
          <w:rtl/>
        </w:rPr>
        <w:t xml:space="preserve"> </w:t>
      </w:r>
      <w:r w:rsidRPr="00A12F54">
        <w:rPr>
          <w:b/>
          <w:bCs/>
        </w:rPr>
        <w:t>q16</w:t>
      </w:r>
      <w:r>
        <w:rPr>
          <w:rFonts w:hint="cs"/>
          <w:b/>
          <w:bCs/>
          <w:rtl/>
        </w:rPr>
        <w:t>)</w:t>
      </w:r>
      <w:r w:rsidRPr="00A12F54">
        <w:br/>
      </w:r>
      <w:r w:rsidRPr="00A12F54">
        <w:rPr>
          <w:b/>
          <w:bCs/>
        </w:rPr>
        <w:t>0.779</w:t>
      </w:r>
      <w:r>
        <w:rPr>
          <w:rFonts w:hint="cs"/>
          <w:b/>
          <w:bCs/>
          <w:rtl/>
        </w:rPr>
        <w:t xml:space="preserve"> (</w:t>
      </w:r>
      <w:r w:rsidRPr="00A12F54">
        <w:rPr>
          <w:b/>
          <w:bCs/>
          <w:rtl/>
        </w:rPr>
        <w:t>كأعلى قيمة للبند</w:t>
      </w:r>
      <w:r>
        <w:rPr>
          <w:rFonts w:hint="cs"/>
          <w:b/>
          <w:bCs/>
          <w:rtl/>
        </w:rPr>
        <w:t xml:space="preserve"> </w:t>
      </w:r>
      <w:r w:rsidRPr="00A12F54">
        <w:rPr>
          <w:b/>
          <w:bCs/>
        </w:rPr>
        <w:t>q4</w:t>
      </w:r>
      <w:r>
        <w:rPr>
          <w:rFonts w:hint="cs"/>
          <w:b/>
          <w:bCs/>
          <w:rtl/>
        </w:rPr>
        <w:t>)</w:t>
      </w:r>
    </w:p>
    <w:p w14:paraId="053BBCC5" w14:textId="77777777" w:rsidR="002803E2" w:rsidRPr="00A12F54" w:rsidRDefault="002803E2" w:rsidP="002803E2">
      <w:pPr>
        <w:bidi/>
      </w:pPr>
      <w:r w:rsidRPr="00A12F54">
        <w:rPr>
          <w:rtl/>
        </w:rPr>
        <w:t>وجميع هذه القيم تفوق الحد الأدنى المقبول منهجيًا (0.30)، بل وتتجاوز (0.60)، مما يدل على أن جميع البنود ترتبط بقوة بالبناء النظري للمقياس، وتسهم إسهامًا فعّالًا في قياس مفهوم</w:t>
      </w:r>
      <w:r>
        <w:rPr>
          <w:rFonts w:hint="cs"/>
          <w:rtl/>
        </w:rPr>
        <w:t xml:space="preserve"> </w:t>
      </w:r>
      <w:r w:rsidRPr="00A12F54">
        <w:t>HPWS</w:t>
      </w:r>
      <w:r>
        <w:rPr>
          <w:rFonts w:hint="cs"/>
          <w:rtl/>
        </w:rPr>
        <w:t>.</w:t>
      </w:r>
    </w:p>
    <w:p w14:paraId="5FC58351" w14:textId="77777777" w:rsidR="002803E2" w:rsidRPr="00A12F54" w:rsidRDefault="002803E2" w:rsidP="002803E2">
      <w:pPr>
        <w:bidi/>
      </w:pPr>
      <w:r w:rsidRPr="00A12F54">
        <w:rPr>
          <w:rtl/>
        </w:rPr>
        <w:t>وهذا يشير إلى</w:t>
      </w:r>
      <w:r w:rsidRPr="00A12F54">
        <w:t>:</w:t>
      </w:r>
    </w:p>
    <w:p w14:paraId="374BABA5" w14:textId="77777777" w:rsidR="002803E2" w:rsidRPr="00A12F54" w:rsidRDefault="002803E2" w:rsidP="002803E2">
      <w:pPr>
        <w:numPr>
          <w:ilvl w:val="0"/>
          <w:numId w:val="148"/>
        </w:numPr>
        <w:bidi/>
      </w:pPr>
      <w:r w:rsidRPr="00A12F54">
        <w:rPr>
          <w:rtl/>
        </w:rPr>
        <w:t>عدم وجود بنود ضعيفة أو هامشية</w:t>
      </w:r>
      <w:r>
        <w:rPr>
          <w:rFonts w:hint="cs"/>
          <w:rtl/>
        </w:rPr>
        <w:t xml:space="preserve">، </w:t>
      </w:r>
      <w:r w:rsidRPr="00A12F54">
        <w:rPr>
          <w:rtl/>
        </w:rPr>
        <w:t>تجانس مفاهيمي واضح بين عناصر المقياس</w:t>
      </w:r>
      <w:r>
        <w:rPr>
          <w:rFonts w:hint="cs"/>
          <w:rtl/>
        </w:rPr>
        <w:t>، و</w:t>
      </w:r>
      <w:r w:rsidRPr="00A12F54">
        <w:rPr>
          <w:rtl/>
        </w:rPr>
        <w:t>اتساق مرتفع في البناء العام للأداة</w:t>
      </w:r>
      <w:r w:rsidRPr="00A12F54">
        <w:t>.</w:t>
      </w:r>
    </w:p>
    <w:p w14:paraId="6D049E06" w14:textId="77777777" w:rsidR="002803E2" w:rsidRPr="00A12F54" w:rsidRDefault="002803E2" w:rsidP="002803E2">
      <w:pPr>
        <w:bidi/>
        <w:rPr>
          <w:b/>
          <w:bCs/>
        </w:rPr>
      </w:pPr>
      <w:r w:rsidRPr="00A12F54">
        <w:rPr>
          <w:b/>
          <w:bCs/>
          <w:rtl/>
        </w:rPr>
        <w:t>ثانيًا: تحليل ألفا في حال حذف البند</w:t>
      </w:r>
    </w:p>
    <w:p w14:paraId="652F3826" w14:textId="77777777" w:rsidR="002803E2" w:rsidRPr="00A12F54" w:rsidRDefault="002803E2" w:rsidP="002803E2">
      <w:pPr>
        <w:bidi/>
      </w:pPr>
      <w:r w:rsidRPr="00A12F54">
        <w:rPr>
          <w:rtl/>
        </w:rPr>
        <w:t>عند فحص عمود</w:t>
      </w:r>
      <w:r>
        <w:rPr>
          <w:rFonts w:hint="cs"/>
          <w:rtl/>
        </w:rPr>
        <w:t xml:space="preserve"> </w:t>
      </w:r>
      <w:r w:rsidRPr="00A12F54">
        <w:t>(Cronbach's Alpha if Item Deleted)</w:t>
      </w:r>
      <w:r w:rsidRPr="00A12F54">
        <w:rPr>
          <w:rtl/>
        </w:rPr>
        <w:t>، تبيّن أن قيمة ألفا في حال حذف أي بند تتراوح بين</w:t>
      </w:r>
      <w:r w:rsidRPr="00A12F54">
        <w:t>:</w:t>
      </w:r>
    </w:p>
    <w:p w14:paraId="5F8A0044" w14:textId="77777777" w:rsidR="002803E2" w:rsidRPr="00A12F54" w:rsidRDefault="002803E2" w:rsidP="002803E2">
      <w:pPr>
        <w:bidi/>
        <w:jc w:val="center"/>
      </w:pPr>
      <w:r w:rsidRPr="00A12F54">
        <w:t>0.963 – 0.964</w:t>
      </w:r>
    </w:p>
    <w:p w14:paraId="4C391136" w14:textId="77777777" w:rsidR="002803E2" w:rsidRPr="00A12F54" w:rsidRDefault="002803E2" w:rsidP="002803E2">
      <w:pPr>
        <w:bidi/>
        <w:rPr>
          <w:b/>
          <w:bCs/>
        </w:rPr>
      </w:pPr>
      <w:r w:rsidRPr="00F93702">
        <w:rPr>
          <w:rFonts w:hint="cs"/>
          <w:b/>
          <w:bCs/>
          <w:rtl/>
        </w:rPr>
        <w:t xml:space="preserve">ب. الثقافة التنظيمية: </w:t>
      </w:r>
    </w:p>
    <w:p w14:paraId="44561CA8" w14:textId="77777777" w:rsidR="002803E2" w:rsidRPr="00544551" w:rsidRDefault="002803E2" w:rsidP="002803E2">
      <w:pPr>
        <w:bidi/>
      </w:pPr>
      <w:r w:rsidRPr="00544551">
        <w:rPr>
          <w:rtl/>
        </w:rPr>
        <w:t>بالنظر إلى الإحصاءات الوصفية للبنود التسعة، يمكن تقديم قراءة تحليلية للاتساق الداخلي من خلال فحص</w:t>
      </w:r>
      <w:r w:rsidRPr="00544551">
        <w:t>:</w:t>
      </w:r>
    </w:p>
    <w:p w14:paraId="72F00E5C" w14:textId="77777777" w:rsidR="002803E2" w:rsidRPr="00544551" w:rsidRDefault="002803E2" w:rsidP="002803E2">
      <w:pPr>
        <w:bidi/>
        <w:rPr>
          <w:b/>
          <w:bCs/>
        </w:rPr>
      </w:pPr>
      <w:r w:rsidRPr="00544551">
        <w:rPr>
          <w:b/>
          <w:bCs/>
          <w:rtl/>
        </w:rPr>
        <w:t>أولًا: المتوسطات الحسابية</w:t>
      </w:r>
    </w:p>
    <w:p w14:paraId="7E63CD90" w14:textId="77777777" w:rsidR="002803E2" w:rsidRPr="00544551" w:rsidRDefault="002803E2" w:rsidP="002803E2">
      <w:pPr>
        <w:bidi/>
      </w:pPr>
      <w:r w:rsidRPr="00544551">
        <w:rPr>
          <w:rtl/>
        </w:rPr>
        <w:t>تراوحت المتوسطات بين</w:t>
      </w:r>
      <w:r w:rsidRPr="00544551">
        <w:t>:</w:t>
      </w:r>
    </w:p>
    <w:p w14:paraId="55D20E1D" w14:textId="77777777" w:rsidR="002803E2" w:rsidRPr="00544551" w:rsidRDefault="002803E2" w:rsidP="002803E2">
      <w:pPr>
        <w:numPr>
          <w:ilvl w:val="0"/>
          <w:numId w:val="153"/>
        </w:numPr>
        <w:bidi/>
      </w:pPr>
      <w:r w:rsidRPr="00544551">
        <w:rPr>
          <w:b/>
          <w:bCs/>
        </w:rPr>
        <w:t>3.285</w:t>
      </w:r>
      <w:r>
        <w:rPr>
          <w:rFonts w:hint="cs"/>
          <w:rtl/>
        </w:rPr>
        <w:t xml:space="preserve"> (</w:t>
      </w:r>
      <w:r w:rsidRPr="00544551">
        <w:rPr>
          <w:rtl/>
        </w:rPr>
        <w:t>أدنى قيمة</w:t>
      </w:r>
      <w:r w:rsidRPr="00544551">
        <w:t xml:space="preserve"> </w:t>
      </w:r>
      <w:r>
        <w:rPr>
          <w:rFonts w:hint="cs"/>
          <w:rtl/>
        </w:rPr>
        <w:t xml:space="preserve">- </w:t>
      </w:r>
      <w:r w:rsidRPr="00544551">
        <w:t>q24</w:t>
      </w:r>
      <w:r>
        <w:rPr>
          <w:rFonts w:hint="cs"/>
          <w:rtl/>
        </w:rPr>
        <w:t>)</w:t>
      </w:r>
    </w:p>
    <w:p w14:paraId="767451AA" w14:textId="77777777" w:rsidR="002803E2" w:rsidRPr="00544551" w:rsidRDefault="002803E2" w:rsidP="002803E2">
      <w:pPr>
        <w:numPr>
          <w:ilvl w:val="0"/>
          <w:numId w:val="153"/>
        </w:numPr>
        <w:bidi/>
      </w:pPr>
      <w:r w:rsidRPr="00544551">
        <w:rPr>
          <w:b/>
          <w:bCs/>
        </w:rPr>
        <w:t>3.7275</w:t>
      </w:r>
      <w:r>
        <w:rPr>
          <w:rFonts w:hint="cs"/>
          <w:rtl/>
        </w:rPr>
        <w:t xml:space="preserve"> (</w:t>
      </w:r>
      <w:r w:rsidRPr="00544551">
        <w:rPr>
          <w:rtl/>
        </w:rPr>
        <w:t>أعلى قيمة</w:t>
      </w:r>
      <w:r w:rsidRPr="00544551">
        <w:t xml:space="preserve"> </w:t>
      </w:r>
      <w:r>
        <w:rPr>
          <w:rFonts w:hint="cs"/>
          <w:rtl/>
        </w:rPr>
        <w:t xml:space="preserve">- </w:t>
      </w:r>
      <w:r w:rsidRPr="00544551">
        <w:t>q30</w:t>
      </w:r>
      <w:r>
        <w:rPr>
          <w:rFonts w:hint="cs"/>
          <w:rtl/>
        </w:rPr>
        <w:t>)</w:t>
      </w:r>
    </w:p>
    <w:p w14:paraId="676DCC82" w14:textId="77777777" w:rsidR="002803E2" w:rsidRPr="00544551" w:rsidRDefault="002803E2" w:rsidP="002803E2">
      <w:pPr>
        <w:bidi/>
      </w:pPr>
      <w:r w:rsidRPr="00544551">
        <w:rPr>
          <w:rtl/>
        </w:rPr>
        <w:t>ويشير هذا النطاق المحدود نسبيًا إلى تقارب في استجابات الأفراد عبر البنود المختلفة، مما يعكس وحدة مفاهيمية في إدراك الثقافة التنظيمية داخل المؤسسات محل الدراسة</w:t>
      </w:r>
      <w:r w:rsidRPr="00544551">
        <w:t>.</w:t>
      </w:r>
    </w:p>
    <w:p w14:paraId="7A4B8AD6" w14:textId="77777777" w:rsidR="002803E2" w:rsidRPr="00544551" w:rsidRDefault="002803E2" w:rsidP="002803E2">
      <w:pPr>
        <w:bidi/>
        <w:rPr>
          <w:b/>
          <w:bCs/>
        </w:rPr>
      </w:pPr>
      <w:r w:rsidRPr="00544551">
        <w:rPr>
          <w:b/>
          <w:bCs/>
          <w:rtl/>
        </w:rPr>
        <w:t>ثانيًا: الانحرافات المعيارية</w:t>
      </w:r>
    </w:p>
    <w:p w14:paraId="3F1A3E5C" w14:textId="77777777" w:rsidR="002803E2" w:rsidRPr="00544551" w:rsidRDefault="002803E2" w:rsidP="002803E2">
      <w:pPr>
        <w:bidi/>
      </w:pPr>
      <w:r w:rsidRPr="00544551">
        <w:rPr>
          <w:rtl/>
        </w:rPr>
        <w:t>تراوحت الانحرافات المعيارية بين</w:t>
      </w:r>
      <w:r w:rsidRPr="00544551">
        <w:t>:</w:t>
      </w:r>
    </w:p>
    <w:p w14:paraId="6CD72AC2" w14:textId="77777777" w:rsidR="002803E2" w:rsidRPr="00544551" w:rsidRDefault="002803E2" w:rsidP="002803E2">
      <w:pPr>
        <w:numPr>
          <w:ilvl w:val="0"/>
          <w:numId w:val="154"/>
        </w:numPr>
        <w:bidi/>
      </w:pPr>
      <w:r w:rsidRPr="00544551">
        <w:rPr>
          <w:b/>
          <w:bCs/>
        </w:rPr>
        <w:t>0.821</w:t>
      </w:r>
      <w:r>
        <w:rPr>
          <w:rFonts w:hint="cs"/>
          <w:rtl/>
        </w:rPr>
        <w:t xml:space="preserve"> (</w:t>
      </w:r>
      <w:r w:rsidRPr="00544551">
        <w:rPr>
          <w:rtl/>
        </w:rPr>
        <w:t>أقل تشتت</w:t>
      </w:r>
      <w:r w:rsidRPr="00544551">
        <w:t xml:space="preserve"> </w:t>
      </w:r>
      <w:r>
        <w:rPr>
          <w:rFonts w:hint="cs"/>
          <w:rtl/>
        </w:rPr>
        <w:t xml:space="preserve">- </w:t>
      </w:r>
      <w:r w:rsidRPr="00544551">
        <w:t>q24</w:t>
      </w:r>
      <w:r>
        <w:rPr>
          <w:rFonts w:hint="cs"/>
          <w:rtl/>
        </w:rPr>
        <w:t>)</w:t>
      </w:r>
    </w:p>
    <w:p w14:paraId="15903E6E" w14:textId="77777777" w:rsidR="002803E2" w:rsidRPr="00544551" w:rsidRDefault="002803E2" w:rsidP="002803E2">
      <w:pPr>
        <w:numPr>
          <w:ilvl w:val="0"/>
          <w:numId w:val="154"/>
        </w:numPr>
        <w:bidi/>
      </w:pPr>
      <w:r w:rsidRPr="00544551">
        <w:rPr>
          <w:b/>
          <w:bCs/>
        </w:rPr>
        <w:t>1.169</w:t>
      </w:r>
      <w:r>
        <w:rPr>
          <w:rFonts w:hint="cs"/>
          <w:rtl/>
        </w:rPr>
        <w:t xml:space="preserve"> (</w:t>
      </w:r>
      <w:r w:rsidRPr="00544551">
        <w:rPr>
          <w:rtl/>
        </w:rPr>
        <w:t>أعلى تشتت</w:t>
      </w:r>
      <w:r w:rsidRPr="00544551">
        <w:t xml:space="preserve"> </w:t>
      </w:r>
      <w:r>
        <w:rPr>
          <w:rFonts w:hint="cs"/>
          <w:rtl/>
        </w:rPr>
        <w:t xml:space="preserve">- </w:t>
      </w:r>
      <w:r w:rsidRPr="00544551">
        <w:t>q29</w:t>
      </w:r>
      <w:r>
        <w:rPr>
          <w:rFonts w:hint="cs"/>
          <w:rtl/>
        </w:rPr>
        <w:t>)</w:t>
      </w:r>
    </w:p>
    <w:p w14:paraId="59B7AF71" w14:textId="77777777" w:rsidR="002803E2" w:rsidRPr="00544551" w:rsidRDefault="002803E2" w:rsidP="002803E2">
      <w:pPr>
        <w:bidi/>
      </w:pPr>
      <w:r w:rsidRPr="00544551">
        <w:rPr>
          <w:rtl/>
        </w:rPr>
        <w:t>وجميع القيم تقع ضمن الحدود المقبولة في المقاييس السلوكية (أقل من 1.5)، مما يدل على</w:t>
      </w:r>
      <w:r w:rsidRPr="00544551">
        <w:t>:</w:t>
      </w:r>
    </w:p>
    <w:p w14:paraId="76D265B4" w14:textId="77777777" w:rsidR="002803E2" w:rsidRPr="00544551" w:rsidRDefault="002803E2" w:rsidP="002803E2">
      <w:pPr>
        <w:numPr>
          <w:ilvl w:val="0"/>
          <w:numId w:val="155"/>
        </w:numPr>
        <w:bidi/>
      </w:pPr>
      <w:r w:rsidRPr="00544551">
        <w:rPr>
          <w:rtl/>
        </w:rPr>
        <w:t>عدم وجود تباين حاد أو استجابات متطرفة</w:t>
      </w:r>
      <w:r>
        <w:rPr>
          <w:rFonts w:hint="cs"/>
          <w:rtl/>
        </w:rPr>
        <w:t>، و</w:t>
      </w:r>
      <w:r w:rsidRPr="00544551">
        <w:rPr>
          <w:rtl/>
        </w:rPr>
        <w:t>تجانس نسبي في الإدراك التنظيمي</w:t>
      </w:r>
      <w:r>
        <w:rPr>
          <w:rFonts w:hint="cs"/>
          <w:rtl/>
        </w:rPr>
        <w:t xml:space="preserve">، وكذلك </w:t>
      </w:r>
      <w:r w:rsidRPr="00544551">
        <w:rPr>
          <w:rtl/>
        </w:rPr>
        <w:t>استقرار البنية القياسية للمقياس</w:t>
      </w:r>
      <w:r w:rsidRPr="00544551">
        <w:t>.</w:t>
      </w:r>
    </w:p>
    <w:p w14:paraId="00949A90" w14:textId="77777777" w:rsidR="002803E2" w:rsidRPr="00544551" w:rsidRDefault="002803E2" w:rsidP="002803E2">
      <w:pPr>
        <w:bidi/>
        <w:rPr>
          <w:b/>
          <w:bCs/>
        </w:rPr>
      </w:pPr>
      <w:r w:rsidRPr="00544551">
        <w:rPr>
          <w:b/>
          <w:bCs/>
          <w:rtl/>
        </w:rPr>
        <w:lastRenderedPageBreak/>
        <w:t>ثالثًا: التفسير المنهجي</w:t>
      </w:r>
    </w:p>
    <w:p w14:paraId="5FFA36A4" w14:textId="77777777" w:rsidR="002803E2" w:rsidRPr="00544551" w:rsidRDefault="002803E2" w:rsidP="002803E2">
      <w:pPr>
        <w:bidi/>
      </w:pPr>
      <w:r w:rsidRPr="00544551">
        <w:rPr>
          <w:rtl/>
        </w:rPr>
        <w:t>الارتفاع الواضح في معامل ألفا (0.920) يشير إلى</w:t>
      </w:r>
      <w:r w:rsidRPr="00544551">
        <w:t>:</w:t>
      </w:r>
    </w:p>
    <w:p w14:paraId="1D0F117D" w14:textId="77777777" w:rsidR="002803E2" w:rsidRPr="00544551" w:rsidRDefault="002803E2" w:rsidP="002803E2">
      <w:pPr>
        <w:numPr>
          <w:ilvl w:val="0"/>
          <w:numId w:val="156"/>
        </w:numPr>
        <w:bidi/>
      </w:pPr>
      <w:r w:rsidRPr="00544551">
        <w:rPr>
          <w:rtl/>
        </w:rPr>
        <w:t>ترابط قوي بين البنود التسعة</w:t>
      </w:r>
      <w:r>
        <w:rPr>
          <w:rFonts w:hint="cs"/>
          <w:rtl/>
        </w:rPr>
        <w:t>، و</w:t>
      </w:r>
      <w:r w:rsidRPr="00544551">
        <w:rPr>
          <w:rtl/>
        </w:rPr>
        <w:t>تمثيل مناسب للأبعاد الأربعة للثقافة التنظيمية ضمن بناء قياسي متكامل</w:t>
      </w:r>
      <w:r>
        <w:rPr>
          <w:rFonts w:hint="cs"/>
          <w:rtl/>
        </w:rPr>
        <w:t>، و</w:t>
      </w:r>
      <w:r w:rsidRPr="00544551">
        <w:rPr>
          <w:rtl/>
        </w:rPr>
        <w:t>عدم وجود مؤشرات على ضعف بنود أو عدم اتساق داخلي</w:t>
      </w:r>
      <w:r w:rsidRPr="00544551">
        <w:t>.</w:t>
      </w:r>
    </w:p>
    <w:p w14:paraId="25EF4CE6" w14:textId="31F491F6" w:rsidR="002803E2" w:rsidRPr="00C530AF" w:rsidRDefault="002803E2" w:rsidP="00C530AF">
      <w:pPr>
        <w:bidi/>
        <w:rPr>
          <w:rtl/>
        </w:rPr>
      </w:pPr>
      <w:r w:rsidRPr="00544551">
        <w:rPr>
          <w:rtl/>
        </w:rPr>
        <w:t>ومن الناحية المنهجية، فإن هذه النتيجة تعزز من صلاحية استخدام المقياس كمتغير وسيط في نموذج المعادلات الهيكلية، خاصة عند اختبار الدور الوسيط للثقافة التنظيمية في العلاقة بين أنظمة العمل عالية الأداء والأداء الإبداعي</w:t>
      </w:r>
      <w:r w:rsidRPr="00544551">
        <w:t>.</w:t>
      </w:r>
    </w:p>
    <w:p w14:paraId="04CA664A" w14:textId="77777777" w:rsidR="002803E2" w:rsidRPr="00D83DB2" w:rsidRDefault="002803E2" w:rsidP="002803E2">
      <w:pPr>
        <w:bidi/>
        <w:rPr>
          <w:b/>
          <w:bCs/>
        </w:rPr>
      </w:pPr>
      <w:r w:rsidRPr="00D83DB2">
        <w:rPr>
          <w:rFonts w:hint="cs"/>
          <w:b/>
          <w:bCs/>
          <w:rtl/>
        </w:rPr>
        <w:t xml:space="preserve">ب. </w:t>
      </w:r>
      <w:r w:rsidRPr="00D83DB2">
        <w:rPr>
          <w:b/>
          <w:bCs/>
          <w:rtl/>
        </w:rPr>
        <w:t xml:space="preserve">معامل </w:t>
      </w:r>
      <w:proofErr w:type="spellStart"/>
      <w:r w:rsidRPr="00D83DB2">
        <w:rPr>
          <w:b/>
          <w:bCs/>
          <w:rtl/>
        </w:rPr>
        <w:t>كرونباخ</w:t>
      </w:r>
      <w:proofErr w:type="spellEnd"/>
      <w:r w:rsidRPr="00D83DB2">
        <w:rPr>
          <w:b/>
          <w:bCs/>
          <w:rtl/>
        </w:rPr>
        <w:t xml:space="preserve"> ألفا لمقياس الثقافة التنظيمية</w:t>
      </w:r>
    </w:p>
    <w:p w14:paraId="51F5F18F" w14:textId="1CEBE174" w:rsidR="002803E2" w:rsidRPr="00D83DB2" w:rsidRDefault="002803E2" w:rsidP="00C530AF">
      <w:pPr>
        <w:bidi/>
      </w:pPr>
      <w:r w:rsidRPr="00D83DB2">
        <w:rPr>
          <w:rtl/>
        </w:rPr>
        <w:t>وتُعد هذه القيمة مرتفعة جدًا وفقًا للمعايير المنهجية المعتمدة في الدراسات السلوكية والتنظيمية، حيث إن القيم التي تتجاوز (0.90) تشير إلى مستوى ثبات ممتاز</w:t>
      </w:r>
      <w:r>
        <w:rPr>
          <w:rFonts w:hint="cs"/>
          <w:rtl/>
        </w:rPr>
        <w:t xml:space="preserve"> </w:t>
      </w:r>
      <w:r w:rsidRPr="00D83DB2">
        <w:t>(Excellent Internal Consistency)</w:t>
      </w:r>
      <w:r>
        <w:rPr>
          <w:rFonts w:hint="cs"/>
          <w:rtl/>
        </w:rPr>
        <w:t>.</w:t>
      </w:r>
    </w:p>
    <w:p w14:paraId="45E20E4E" w14:textId="77777777" w:rsidR="00C530AF" w:rsidRPr="00544551" w:rsidRDefault="00C530AF" w:rsidP="00C530AF">
      <w:pPr>
        <w:bidi/>
        <w:rPr>
          <w:b/>
          <w:bCs/>
        </w:rPr>
      </w:pPr>
      <w:r w:rsidRPr="00086493">
        <w:rPr>
          <w:rFonts w:hint="cs"/>
          <w:b/>
          <w:bCs/>
          <w:rtl/>
        </w:rPr>
        <w:t xml:space="preserve">ج. </w:t>
      </w:r>
      <w:r w:rsidRPr="00086493">
        <w:rPr>
          <w:b/>
          <w:bCs/>
          <w:rtl/>
        </w:rPr>
        <w:t>الأداء الإبداعي</w:t>
      </w:r>
    </w:p>
    <w:p w14:paraId="0C4B8DE5" w14:textId="77777777" w:rsidR="00C530AF" w:rsidRPr="00086493" w:rsidRDefault="00C530AF" w:rsidP="00C530AF">
      <w:pPr>
        <w:bidi/>
        <w:rPr>
          <w:b/>
          <w:bCs/>
        </w:rPr>
      </w:pPr>
      <w:r w:rsidRPr="00086493">
        <w:rPr>
          <w:b/>
          <w:bCs/>
          <w:rtl/>
        </w:rPr>
        <w:t>أولًا: معامل الارتباط المصحح</w:t>
      </w:r>
      <w:r>
        <w:rPr>
          <w:rFonts w:hint="cs"/>
          <w:b/>
          <w:bCs/>
          <w:rtl/>
        </w:rPr>
        <w:t xml:space="preserve"> </w:t>
      </w:r>
      <w:r w:rsidRPr="00086493">
        <w:rPr>
          <w:b/>
          <w:bCs/>
        </w:rPr>
        <w:t>(Corrected Item–Total Correlation)</w:t>
      </w:r>
    </w:p>
    <w:p w14:paraId="498F4F93" w14:textId="77777777" w:rsidR="00C530AF" w:rsidRPr="00086493" w:rsidRDefault="00C530AF" w:rsidP="00C530AF">
      <w:pPr>
        <w:bidi/>
      </w:pPr>
      <w:r w:rsidRPr="00086493">
        <w:rPr>
          <w:rtl/>
        </w:rPr>
        <w:t>تراوحت معاملات الارتباط المصحح بين</w:t>
      </w:r>
      <w:r w:rsidRPr="00086493">
        <w:t>:</w:t>
      </w:r>
    </w:p>
    <w:p w14:paraId="19EC9BE3" w14:textId="77777777" w:rsidR="00C530AF" w:rsidRPr="00086493" w:rsidRDefault="00C530AF" w:rsidP="00C530AF">
      <w:pPr>
        <w:numPr>
          <w:ilvl w:val="0"/>
          <w:numId w:val="159"/>
        </w:numPr>
        <w:bidi/>
      </w:pPr>
      <w:r w:rsidRPr="00086493">
        <w:rPr>
          <w:b/>
          <w:bCs/>
        </w:rPr>
        <w:t>0.604</w:t>
      </w:r>
      <w:r>
        <w:rPr>
          <w:rFonts w:hint="cs"/>
          <w:rtl/>
        </w:rPr>
        <w:t xml:space="preserve"> (</w:t>
      </w:r>
      <w:r w:rsidRPr="00086493">
        <w:rPr>
          <w:rtl/>
        </w:rPr>
        <w:t>أدنى قيمة للبند</w:t>
      </w:r>
      <w:r>
        <w:rPr>
          <w:rFonts w:hint="cs"/>
          <w:rtl/>
        </w:rPr>
        <w:t xml:space="preserve"> </w:t>
      </w:r>
      <w:r w:rsidRPr="00086493">
        <w:t>q41</w:t>
      </w:r>
      <w:r>
        <w:rPr>
          <w:rFonts w:hint="cs"/>
          <w:rtl/>
        </w:rPr>
        <w:t xml:space="preserve">) </w:t>
      </w:r>
    </w:p>
    <w:p w14:paraId="25251302" w14:textId="77777777" w:rsidR="00C530AF" w:rsidRPr="00086493" w:rsidRDefault="00C530AF" w:rsidP="00C530AF">
      <w:pPr>
        <w:numPr>
          <w:ilvl w:val="0"/>
          <w:numId w:val="159"/>
        </w:numPr>
        <w:bidi/>
      </w:pPr>
      <w:r w:rsidRPr="00086493">
        <w:rPr>
          <w:b/>
          <w:bCs/>
        </w:rPr>
        <w:t>0.762</w:t>
      </w:r>
      <w:r>
        <w:rPr>
          <w:rFonts w:hint="cs"/>
          <w:rtl/>
        </w:rPr>
        <w:t xml:space="preserve"> (</w:t>
      </w:r>
      <w:r w:rsidRPr="00086493">
        <w:rPr>
          <w:rtl/>
        </w:rPr>
        <w:t>أعلى قيمة للبند</w:t>
      </w:r>
      <w:r>
        <w:rPr>
          <w:rFonts w:hint="cs"/>
          <w:rtl/>
        </w:rPr>
        <w:t xml:space="preserve"> </w:t>
      </w:r>
      <w:r w:rsidRPr="00086493">
        <w:t>q35</w:t>
      </w:r>
      <w:r>
        <w:rPr>
          <w:rFonts w:hint="cs"/>
          <w:rtl/>
        </w:rPr>
        <w:t>)</w:t>
      </w:r>
    </w:p>
    <w:p w14:paraId="1A56E867" w14:textId="77777777" w:rsidR="00C530AF" w:rsidRPr="00086493" w:rsidRDefault="00C530AF" w:rsidP="00C530AF">
      <w:pPr>
        <w:bidi/>
      </w:pPr>
      <w:r w:rsidRPr="00086493">
        <w:rPr>
          <w:rtl/>
        </w:rPr>
        <w:t>وجميع القيم تفوق الحد الأدنى المقبول منهجيًا (0.30)، بل وتتجاوز (0.60)، وهو مؤشر قوي على أن جميع البنود</w:t>
      </w:r>
      <w:r w:rsidRPr="00086493">
        <w:t>:</w:t>
      </w:r>
    </w:p>
    <w:p w14:paraId="14F416F5" w14:textId="1E7F4F52" w:rsidR="00C530AF" w:rsidRPr="00086493" w:rsidRDefault="00C530AF" w:rsidP="00C530AF">
      <w:pPr>
        <w:numPr>
          <w:ilvl w:val="0"/>
          <w:numId w:val="160"/>
        </w:numPr>
        <w:bidi/>
      </w:pPr>
      <w:r w:rsidRPr="00086493">
        <w:rPr>
          <w:rtl/>
        </w:rPr>
        <w:t>ترتبط ارتباطًا جوهريًا بالبناء الكامن للأداء الإبداعي</w:t>
      </w:r>
      <w:r>
        <w:rPr>
          <w:rFonts w:hint="cs"/>
          <w:rtl/>
        </w:rPr>
        <w:t>، و</w:t>
      </w:r>
      <w:r w:rsidRPr="00086493">
        <w:rPr>
          <w:rtl/>
        </w:rPr>
        <w:t>تسهم مساهمة حقيقية في قياس المفهوم</w:t>
      </w:r>
      <w:r>
        <w:rPr>
          <w:rFonts w:hint="cs"/>
          <w:rtl/>
        </w:rPr>
        <w:t>، و</w:t>
      </w:r>
      <w:r w:rsidRPr="00086493">
        <w:rPr>
          <w:rtl/>
        </w:rPr>
        <w:t>لا توجد بينها عناصر ضعيفة أو هامشية</w:t>
      </w:r>
    </w:p>
    <w:p w14:paraId="732162DB" w14:textId="77777777" w:rsidR="00C530AF" w:rsidRPr="00086493" w:rsidRDefault="00C530AF" w:rsidP="00C530AF">
      <w:pPr>
        <w:bidi/>
        <w:rPr>
          <w:b/>
          <w:bCs/>
        </w:rPr>
      </w:pPr>
      <w:r w:rsidRPr="00086493">
        <w:rPr>
          <w:b/>
          <w:bCs/>
          <w:rtl/>
        </w:rPr>
        <w:t>ثانيًا: تحليل "ألفا في حال حذف البند</w:t>
      </w:r>
      <w:r w:rsidRPr="00086493">
        <w:rPr>
          <w:b/>
          <w:bCs/>
        </w:rPr>
        <w:t>"</w:t>
      </w:r>
    </w:p>
    <w:p w14:paraId="62DA720E" w14:textId="77777777" w:rsidR="00C530AF" w:rsidRPr="00086493" w:rsidRDefault="00C530AF" w:rsidP="00C530AF">
      <w:pPr>
        <w:bidi/>
      </w:pPr>
      <w:r w:rsidRPr="00086493">
        <w:rPr>
          <w:rtl/>
        </w:rPr>
        <w:t>تراوحت قيم</w:t>
      </w:r>
      <w:r w:rsidRPr="00086493">
        <w:t xml:space="preserve"> Cronbach’s Alpha if Item Deleted </w:t>
      </w:r>
      <w:r w:rsidRPr="00086493">
        <w:rPr>
          <w:rtl/>
        </w:rPr>
        <w:t>بين</w:t>
      </w:r>
      <w:r w:rsidRPr="00086493">
        <w:t>:</w:t>
      </w:r>
    </w:p>
    <w:p w14:paraId="71565EB8" w14:textId="77777777" w:rsidR="00C530AF" w:rsidRPr="00086493" w:rsidRDefault="00C530AF" w:rsidP="00C530AF">
      <w:pPr>
        <w:bidi/>
        <w:jc w:val="center"/>
      </w:pPr>
      <w:r w:rsidRPr="00086493">
        <w:rPr>
          <w:b/>
          <w:bCs/>
        </w:rPr>
        <w:t>0.910 – 0.919</w:t>
      </w:r>
    </w:p>
    <w:p w14:paraId="197CBEAB" w14:textId="77777777" w:rsidR="00C530AF" w:rsidRPr="00086493" w:rsidRDefault="00C530AF" w:rsidP="00C530AF">
      <w:pPr>
        <w:bidi/>
      </w:pPr>
      <w:r w:rsidRPr="00086493">
        <w:rPr>
          <w:rtl/>
        </w:rPr>
        <w:t>وجميعها أقل من القيمة الكلية (0.921)، مما يدل على أن</w:t>
      </w:r>
      <w:r w:rsidRPr="00086493">
        <w:t>:</w:t>
      </w:r>
    </w:p>
    <w:p w14:paraId="2EFA8BD3" w14:textId="2CBAC81F" w:rsidR="00C530AF" w:rsidRPr="00086493" w:rsidRDefault="00C530AF" w:rsidP="00637B0E">
      <w:pPr>
        <w:numPr>
          <w:ilvl w:val="0"/>
          <w:numId w:val="161"/>
        </w:numPr>
        <w:bidi/>
      </w:pPr>
      <w:r w:rsidRPr="00086493">
        <w:rPr>
          <w:rtl/>
        </w:rPr>
        <w:t>حذف أي بند لن يؤدي إلى تحسين الثبات</w:t>
      </w:r>
      <w:r w:rsidRPr="00086493">
        <w:t>.</w:t>
      </w:r>
      <w:r w:rsidR="00637B0E">
        <w:rPr>
          <w:rFonts w:hint="cs"/>
          <w:rtl/>
        </w:rPr>
        <w:t xml:space="preserve"> و</w:t>
      </w:r>
      <w:r w:rsidRPr="00086493">
        <w:rPr>
          <w:rtl/>
        </w:rPr>
        <w:t>كل بند يسهم إيجابيًا في تعزيز الاتساق الداخلي</w:t>
      </w:r>
      <w:r w:rsidRPr="00086493">
        <w:t>.</w:t>
      </w:r>
      <w:r w:rsidR="00637B0E">
        <w:rPr>
          <w:rFonts w:hint="cs"/>
          <w:rtl/>
        </w:rPr>
        <w:t xml:space="preserve"> و</w:t>
      </w:r>
      <w:r w:rsidRPr="00086493">
        <w:rPr>
          <w:rtl/>
        </w:rPr>
        <w:t>لا توجد ضرورة إحصائية لاستبعاد أي عنصر من المقياس</w:t>
      </w:r>
      <w:r w:rsidRPr="00086493">
        <w:t>.</w:t>
      </w:r>
    </w:p>
    <w:p w14:paraId="5CD2EE93" w14:textId="77777777" w:rsidR="00C530AF" w:rsidRPr="00086493" w:rsidRDefault="00C530AF" w:rsidP="00C530AF">
      <w:pPr>
        <w:bidi/>
      </w:pPr>
      <w:r w:rsidRPr="00086493">
        <w:rPr>
          <w:rtl/>
        </w:rPr>
        <w:t>رغم ارتفاع قيمة ألفا (0.921)، فإن توزيع معاملات الارتباط المصحح بصورة متوازنة (0.60–0.76) يشير إلى</w:t>
      </w:r>
      <w:r w:rsidRPr="00086493">
        <w:t>:</w:t>
      </w:r>
    </w:p>
    <w:p w14:paraId="540738EE" w14:textId="2E6E8E8B" w:rsidR="00C530AF" w:rsidRDefault="00C530AF" w:rsidP="00637B0E">
      <w:pPr>
        <w:numPr>
          <w:ilvl w:val="0"/>
          <w:numId w:val="162"/>
        </w:numPr>
        <w:bidi/>
      </w:pPr>
      <w:r w:rsidRPr="00086493">
        <w:rPr>
          <w:rtl/>
        </w:rPr>
        <w:t>عدم وجود تكرار مفرط بين البنود</w:t>
      </w:r>
      <w:r>
        <w:rPr>
          <w:rFonts w:hint="cs"/>
          <w:rtl/>
        </w:rPr>
        <w:t xml:space="preserve"> </w:t>
      </w:r>
      <w:r w:rsidRPr="00086493">
        <w:t>(Redundancy)</w:t>
      </w:r>
      <w:r>
        <w:rPr>
          <w:rFonts w:hint="cs"/>
          <w:rtl/>
        </w:rPr>
        <w:t>.</w:t>
      </w:r>
      <w:r w:rsidR="00637B0E">
        <w:rPr>
          <w:rFonts w:hint="cs"/>
          <w:rtl/>
        </w:rPr>
        <w:t xml:space="preserve"> و</w:t>
      </w:r>
      <w:r w:rsidRPr="00086493">
        <w:rPr>
          <w:rtl/>
        </w:rPr>
        <w:t>تمثيل متكامل لأبعاد الأداء الإبداعي (توليد الأفكار، المبادرة، تنفيذ الابتكار، دعم الإبداع، التعلم من الخبرة)</w:t>
      </w:r>
      <w:r w:rsidRPr="00086493">
        <w:t>.</w:t>
      </w:r>
      <w:r w:rsidR="00637B0E">
        <w:rPr>
          <w:rFonts w:hint="cs"/>
          <w:rtl/>
        </w:rPr>
        <w:t xml:space="preserve"> و</w:t>
      </w:r>
      <w:r w:rsidRPr="00086493">
        <w:rPr>
          <w:rtl/>
        </w:rPr>
        <w:t>قوة البنية القياسية للمقياس في قياس الإبداع كسلوك وظيفي متعدد الأبعاد</w:t>
      </w:r>
      <w:r w:rsidRPr="00086493">
        <w:t>.</w:t>
      </w:r>
    </w:p>
    <w:p w14:paraId="3CDE1FBA" w14:textId="2352EE4C" w:rsidR="002803E2" w:rsidRDefault="00637B0E" w:rsidP="002803E2">
      <w:pPr>
        <w:bidi/>
        <w:rPr>
          <w:rFonts w:ascii="Times New Roman" w:hAnsi="Times New Roman" w:cs="Times New Roman"/>
          <w:sz w:val="28"/>
          <w:szCs w:val="28"/>
          <w:rtl/>
        </w:rPr>
      </w:pPr>
      <w:r>
        <w:rPr>
          <w:rFonts w:ascii="Times New Roman" w:hAnsi="Times New Roman" w:cs="Times New Roman" w:hint="cs"/>
          <w:sz w:val="28"/>
          <w:szCs w:val="28"/>
          <w:rtl/>
        </w:rPr>
        <w:t xml:space="preserve">3.6.3. </w:t>
      </w:r>
      <w:r w:rsidR="00C530AF">
        <w:rPr>
          <w:rFonts w:ascii="Times New Roman" w:hAnsi="Times New Roman" w:cs="Times New Roman" w:hint="cs"/>
          <w:sz w:val="28"/>
          <w:szCs w:val="28"/>
          <w:rtl/>
        </w:rPr>
        <w:t>لتحليل الاتساق الداخلي</w:t>
      </w:r>
      <w:r w:rsidR="004275AD">
        <w:rPr>
          <w:rFonts w:ascii="Times New Roman" w:hAnsi="Times New Roman" w:cs="Times New Roman" w:hint="cs"/>
          <w:sz w:val="28"/>
          <w:szCs w:val="28"/>
          <w:rtl/>
        </w:rPr>
        <w:t xml:space="preserve"> </w:t>
      </w:r>
      <w:proofErr w:type="spellStart"/>
      <w:r w:rsidR="006F3055">
        <w:rPr>
          <w:rFonts w:ascii="Times New Roman" w:hAnsi="Times New Roman" w:cs="Times New Roman" w:hint="cs"/>
          <w:sz w:val="28"/>
          <w:szCs w:val="28"/>
          <w:rtl/>
        </w:rPr>
        <w:t>لابعاد</w:t>
      </w:r>
      <w:proofErr w:type="spellEnd"/>
      <w:r w:rsidR="006F3055">
        <w:rPr>
          <w:rFonts w:ascii="Times New Roman" w:hAnsi="Times New Roman" w:cs="Times New Roman" w:hint="cs"/>
          <w:sz w:val="28"/>
          <w:szCs w:val="28"/>
          <w:rtl/>
        </w:rPr>
        <w:t xml:space="preserve"> الدراسة</w:t>
      </w:r>
      <w:r w:rsidR="004275AD">
        <w:rPr>
          <w:rFonts w:ascii="Times New Roman" w:hAnsi="Times New Roman" w:cs="Times New Roman" w:hint="cs"/>
          <w:sz w:val="28"/>
          <w:szCs w:val="28"/>
          <w:rtl/>
        </w:rPr>
        <w:t xml:space="preserve"> (الارتباط بين كالفقرات المحور مع كل عامل)</w:t>
      </w:r>
    </w:p>
    <w:p w14:paraId="49CB0DEF" w14:textId="4F3B8AC2" w:rsidR="004275AD" w:rsidRDefault="004275AD" w:rsidP="004275AD">
      <w:pPr>
        <w:bidi/>
        <w:rPr>
          <w:rFonts w:ascii="Times New Roman" w:hAnsi="Times New Roman" w:cs="Times New Roman"/>
          <w:sz w:val="28"/>
          <w:szCs w:val="28"/>
          <w:rtl/>
          <w:lang w:bidi="ar-EG"/>
        </w:rPr>
      </w:pPr>
      <w:r>
        <w:rPr>
          <w:rFonts w:ascii="Times New Roman" w:hAnsi="Times New Roman" w:cs="Times New Roman" w:hint="cs"/>
          <w:sz w:val="28"/>
          <w:szCs w:val="28"/>
          <w:rtl/>
        </w:rPr>
        <w:lastRenderedPageBreak/>
        <w:t xml:space="preserve">جدول (3-2) يوضح </w:t>
      </w:r>
      <w:r>
        <w:rPr>
          <w:rFonts w:ascii="Times New Roman" w:hAnsi="Times New Roman" w:cs="Times New Roman" w:hint="cs"/>
          <w:sz w:val="28"/>
          <w:szCs w:val="28"/>
          <w:rtl/>
          <w:lang w:bidi="ar-EG"/>
        </w:rPr>
        <w:t>الارتباط لفقرات التوظيف الانتقائي مع محورها المجمع:</w:t>
      </w:r>
    </w:p>
    <w:tbl>
      <w:tblPr>
        <w:bidiVisual/>
        <w:tblW w:w="10069" w:type="dxa"/>
        <w:tblLook w:val="04A0" w:firstRow="1" w:lastRow="0" w:firstColumn="1" w:lastColumn="0" w:noHBand="0" w:noVBand="1"/>
      </w:tblPr>
      <w:tblGrid>
        <w:gridCol w:w="1988"/>
        <w:gridCol w:w="1417"/>
        <w:gridCol w:w="1418"/>
        <w:gridCol w:w="1417"/>
        <w:gridCol w:w="1560"/>
        <w:gridCol w:w="1417"/>
        <w:gridCol w:w="852"/>
      </w:tblGrid>
      <w:tr w:rsidR="004275AD" w:rsidRPr="004275AD" w14:paraId="5BD68E7B" w14:textId="77777777" w:rsidTr="00637B0E">
        <w:trPr>
          <w:trHeight w:val="288"/>
        </w:trPr>
        <w:tc>
          <w:tcPr>
            <w:tcW w:w="10069" w:type="dxa"/>
            <w:gridSpan w:val="7"/>
            <w:tcBorders>
              <w:top w:val="nil"/>
              <w:left w:val="nil"/>
              <w:bottom w:val="nil"/>
              <w:right w:val="nil"/>
            </w:tcBorders>
            <w:vAlign w:val="center"/>
            <w:hideMark/>
          </w:tcPr>
          <w:p w14:paraId="55489059" w14:textId="77777777" w:rsidR="004275AD" w:rsidRPr="004275AD" w:rsidRDefault="004275AD" w:rsidP="004275AD">
            <w:pPr>
              <w:spacing w:after="0" w:line="240" w:lineRule="auto"/>
              <w:jc w:val="center"/>
              <w:rPr>
                <w:rFonts w:ascii="Arial Bold" w:eastAsia="Times New Roman" w:hAnsi="Arial Bold" w:cs="Times New Roman"/>
                <w:b/>
                <w:bCs/>
                <w:color w:val="000000"/>
                <w:kern w:val="0"/>
                <w:sz w:val="18"/>
                <w:szCs w:val="18"/>
                <w:lang w:val="en-GB" w:eastAsia="en-GB"/>
                <w14:ligatures w14:val="none"/>
              </w:rPr>
            </w:pPr>
            <w:r w:rsidRPr="004275AD">
              <w:rPr>
                <w:rFonts w:ascii="Arial Bold" w:eastAsia="Times New Roman" w:hAnsi="Arial Bold" w:cs="Times New Roman"/>
                <w:b/>
                <w:bCs/>
                <w:color w:val="000000"/>
                <w:kern w:val="0"/>
                <w:sz w:val="18"/>
                <w:szCs w:val="18"/>
                <w:lang w:val="en-GB" w:eastAsia="en-GB"/>
                <w14:ligatures w14:val="none"/>
              </w:rPr>
              <w:t>Correlations</w:t>
            </w:r>
          </w:p>
        </w:tc>
      </w:tr>
      <w:tr w:rsidR="00637B0E" w:rsidRPr="004275AD" w14:paraId="36C84954" w14:textId="77777777" w:rsidTr="00637B0E">
        <w:trPr>
          <w:trHeight w:val="708"/>
        </w:trPr>
        <w:tc>
          <w:tcPr>
            <w:tcW w:w="3405" w:type="dxa"/>
            <w:gridSpan w:val="2"/>
            <w:tcBorders>
              <w:top w:val="single" w:sz="12" w:space="0" w:color="000000"/>
              <w:left w:val="single" w:sz="12" w:space="0" w:color="000000"/>
              <w:bottom w:val="single" w:sz="12" w:space="0" w:color="000000"/>
              <w:right w:val="single" w:sz="12" w:space="0" w:color="000000"/>
            </w:tcBorders>
            <w:vAlign w:val="center"/>
            <w:hideMark/>
          </w:tcPr>
          <w:p w14:paraId="5124F0F4"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8" w:type="dxa"/>
            <w:tcBorders>
              <w:top w:val="single" w:sz="12" w:space="0" w:color="000000"/>
              <w:left w:val="single" w:sz="12" w:space="0" w:color="000000"/>
              <w:bottom w:val="single" w:sz="12" w:space="0" w:color="000000"/>
              <w:right w:val="single" w:sz="4" w:space="0" w:color="000000"/>
            </w:tcBorders>
            <w:vAlign w:val="center"/>
            <w:hideMark/>
          </w:tcPr>
          <w:p w14:paraId="113CAC8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 </w:t>
            </w:r>
            <w:r w:rsidRPr="004275AD">
              <w:rPr>
                <w:rFonts w:ascii="Arial" w:eastAsia="Times New Roman" w:hAnsi="Arial" w:cs="Arial"/>
                <w:color w:val="000000"/>
                <w:kern w:val="0"/>
                <w:sz w:val="18"/>
                <w:szCs w:val="18"/>
                <w:rtl/>
                <w:lang w:val="en-GB" w:eastAsia="en-GB"/>
                <w14:ligatures w14:val="none"/>
              </w:rPr>
              <w:t>يتم اختيار الموظفين</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بناءً على معايير دقيقة تتوافق مع متطلبات الوظيفة</w:t>
            </w:r>
            <w:r w:rsidRPr="004275AD">
              <w:rPr>
                <w:rFonts w:ascii="Arial" w:eastAsia="Times New Roman" w:hAnsi="Arial" w:cs="Arial"/>
                <w:color w:val="000000"/>
                <w:kern w:val="0"/>
                <w:sz w:val="18"/>
                <w:szCs w:val="18"/>
                <w:lang w:val="en-GB" w:eastAsia="en-GB"/>
                <w14:ligatures w14:val="none"/>
              </w:rPr>
              <w:t>.</w:t>
            </w:r>
          </w:p>
        </w:tc>
        <w:tc>
          <w:tcPr>
            <w:tcW w:w="1417" w:type="dxa"/>
            <w:tcBorders>
              <w:top w:val="single" w:sz="12" w:space="0" w:color="000000"/>
              <w:left w:val="single" w:sz="4" w:space="0" w:color="000000"/>
              <w:bottom w:val="single" w:sz="12" w:space="0" w:color="000000"/>
              <w:right w:val="single" w:sz="4" w:space="0" w:color="000000"/>
            </w:tcBorders>
            <w:vAlign w:val="center"/>
            <w:hideMark/>
          </w:tcPr>
          <w:p w14:paraId="5FB3F330"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2. </w:t>
            </w:r>
            <w:r w:rsidRPr="004275AD">
              <w:rPr>
                <w:rFonts w:ascii="Arial" w:eastAsia="Times New Roman" w:hAnsi="Arial" w:cs="Arial"/>
                <w:color w:val="000000"/>
                <w:kern w:val="0"/>
                <w:sz w:val="18"/>
                <w:szCs w:val="18"/>
                <w:rtl/>
                <w:lang w:val="en-GB" w:eastAsia="en-GB"/>
                <w14:ligatures w14:val="none"/>
              </w:rPr>
              <w:t>تخضع عملية التوظيف</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لمقابلات متعددة لتقييم الكفاءة والسلوك المهني</w:t>
            </w:r>
            <w:r w:rsidRPr="004275AD">
              <w:rPr>
                <w:rFonts w:ascii="Arial" w:eastAsia="Times New Roman" w:hAnsi="Arial" w:cs="Arial"/>
                <w:color w:val="000000"/>
                <w:kern w:val="0"/>
                <w:sz w:val="18"/>
                <w:szCs w:val="18"/>
                <w:lang w:val="en-GB" w:eastAsia="en-GB"/>
                <w14:ligatures w14:val="none"/>
              </w:rPr>
              <w:t>.</w:t>
            </w:r>
          </w:p>
        </w:tc>
        <w:tc>
          <w:tcPr>
            <w:tcW w:w="1560" w:type="dxa"/>
            <w:tcBorders>
              <w:top w:val="single" w:sz="12" w:space="0" w:color="000000"/>
              <w:left w:val="single" w:sz="4" w:space="0" w:color="000000"/>
              <w:bottom w:val="single" w:sz="12" w:space="0" w:color="000000"/>
              <w:right w:val="single" w:sz="4" w:space="0" w:color="000000"/>
            </w:tcBorders>
            <w:vAlign w:val="center"/>
            <w:hideMark/>
          </w:tcPr>
          <w:p w14:paraId="1585561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3. </w:t>
            </w:r>
            <w:r w:rsidRPr="004275AD">
              <w:rPr>
                <w:rFonts w:ascii="Arial" w:eastAsia="Times New Roman" w:hAnsi="Arial" w:cs="Arial"/>
                <w:color w:val="000000"/>
                <w:kern w:val="0"/>
                <w:sz w:val="18"/>
                <w:szCs w:val="18"/>
                <w:rtl/>
                <w:lang w:val="en-GB" w:eastAsia="en-GB"/>
                <w14:ligatures w14:val="none"/>
              </w:rPr>
              <w:t>يتم التركيز على</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مهارات الإبداع والابتكار عند اختيار الموظفين الجدد</w:t>
            </w:r>
            <w:r w:rsidRPr="004275AD">
              <w:rPr>
                <w:rFonts w:ascii="Arial" w:eastAsia="Times New Roman" w:hAnsi="Arial" w:cs="Arial"/>
                <w:color w:val="000000"/>
                <w:kern w:val="0"/>
                <w:sz w:val="18"/>
                <w:szCs w:val="18"/>
                <w:lang w:val="en-GB" w:eastAsia="en-GB"/>
                <w14:ligatures w14:val="none"/>
              </w:rPr>
              <w:t>.</w:t>
            </w:r>
          </w:p>
        </w:tc>
        <w:tc>
          <w:tcPr>
            <w:tcW w:w="1417" w:type="dxa"/>
            <w:tcBorders>
              <w:top w:val="single" w:sz="12" w:space="0" w:color="000000"/>
              <w:left w:val="single" w:sz="4" w:space="0" w:color="000000"/>
              <w:bottom w:val="single" w:sz="12" w:space="0" w:color="000000"/>
              <w:right w:val="single" w:sz="4" w:space="0" w:color="000000"/>
            </w:tcBorders>
            <w:vAlign w:val="center"/>
            <w:hideMark/>
          </w:tcPr>
          <w:p w14:paraId="3744D8D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4. </w:t>
            </w:r>
            <w:r w:rsidRPr="004275AD">
              <w:rPr>
                <w:rFonts w:ascii="Arial" w:eastAsia="Times New Roman" w:hAnsi="Arial" w:cs="Arial"/>
                <w:color w:val="000000"/>
                <w:kern w:val="0"/>
                <w:sz w:val="18"/>
                <w:szCs w:val="18"/>
                <w:rtl/>
                <w:lang w:val="en-GB" w:eastAsia="en-GB"/>
                <w14:ligatures w14:val="none"/>
              </w:rPr>
              <w:t>تشارك الإدارة العليا</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في قرارات التعيين لضمان جودة الاختيار</w:t>
            </w:r>
            <w:r w:rsidRPr="004275AD">
              <w:rPr>
                <w:rFonts w:ascii="Arial" w:eastAsia="Times New Roman" w:hAnsi="Arial" w:cs="Arial"/>
                <w:color w:val="000000"/>
                <w:kern w:val="0"/>
                <w:sz w:val="18"/>
                <w:szCs w:val="18"/>
                <w:lang w:val="en-GB" w:eastAsia="en-GB"/>
                <w14:ligatures w14:val="none"/>
              </w:rPr>
              <w:t>.</w:t>
            </w:r>
          </w:p>
        </w:tc>
        <w:tc>
          <w:tcPr>
            <w:tcW w:w="852" w:type="dxa"/>
            <w:tcBorders>
              <w:top w:val="single" w:sz="12" w:space="0" w:color="000000"/>
              <w:left w:val="single" w:sz="4" w:space="0" w:color="000000"/>
              <w:bottom w:val="single" w:sz="12" w:space="0" w:color="000000"/>
              <w:right w:val="single" w:sz="12" w:space="0" w:color="000000"/>
            </w:tcBorders>
            <w:vAlign w:val="center"/>
            <w:hideMark/>
          </w:tcPr>
          <w:p w14:paraId="6740AA0B" w14:textId="77777777" w:rsidR="004275AD" w:rsidRPr="004275AD" w:rsidRDefault="004275AD" w:rsidP="004275AD">
            <w:pPr>
              <w:bidi/>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rtl/>
                <w:lang w:val="en-GB" w:eastAsia="en-GB"/>
                <w14:ligatures w14:val="none"/>
              </w:rPr>
              <w:t>أولاً: التوظيف الانتقائي</w:t>
            </w:r>
          </w:p>
        </w:tc>
      </w:tr>
      <w:tr w:rsidR="004275AD" w:rsidRPr="004275AD" w14:paraId="2E84E6FE" w14:textId="77777777" w:rsidTr="00637B0E">
        <w:trPr>
          <w:trHeight w:val="228"/>
        </w:trPr>
        <w:tc>
          <w:tcPr>
            <w:tcW w:w="1988" w:type="dxa"/>
            <w:vMerge w:val="restart"/>
            <w:tcBorders>
              <w:top w:val="nil"/>
              <w:left w:val="single" w:sz="12" w:space="0" w:color="000000"/>
              <w:bottom w:val="single" w:sz="4" w:space="0" w:color="000000"/>
              <w:right w:val="nil"/>
            </w:tcBorders>
            <w:vAlign w:val="center"/>
            <w:hideMark/>
          </w:tcPr>
          <w:p w14:paraId="3CB1F37B" w14:textId="77777777" w:rsidR="004275AD" w:rsidRPr="004275AD" w:rsidRDefault="004275AD" w:rsidP="004275AD">
            <w:pPr>
              <w:spacing w:after="0" w:line="240" w:lineRule="auto"/>
              <w:jc w:val="center"/>
              <w:rPr>
                <w:rFonts w:ascii="Arial" w:eastAsia="Times New Roman" w:hAnsi="Arial" w:cs="Arial"/>
                <w:color w:val="000000"/>
                <w:kern w:val="0"/>
                <w:sz w:val="18"/>
                <w:szCs w:val="18"/>
                <w:rtl/>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 </w:t>
            </w:r>
            <w:r w:rsidRPr="004275AD">
              <w:rPr>
                <w:rFonts w:ascii="Arial" w:eastAsia="Times New Roman" w:hAnsi="Arial" w:cs="Arial"/>
                <w:color w:val="000000"/>
                <w:kern w:val="0"/>
                <w:sz w:val="18"/>
                <w:szCs w:val="18"/>
                <w:rtl/>
                <w:lang w:val="en-GB" w:eastAsia="en-GB"/>
                <w14:ligatures w14:val="none"/>
              </w:rPr>
              <w:t>يتم اختيار الموظفين بناءً على معايير دقيقة</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تتوافق مع متطلبات الوظيفة</w:t>
            </w:r>
            <w:r w:rsidRPr="004275AD">
              <w:rPr>
                <w:rFonts w:ascii="Arial" w:eastAsia="Times New Roman" w:hAnsi="Arial" w:cs="Arial"/>
                <w:color w:val="000000"/>
                <w:kern w:val="0"/>
                <w:sz w:val="18"/>
                <w:szCs w:val="18"/>
                <w:lang w:val="en-GB" w:eastAsia="en-GB"/>
                <w14:ligatures w14:val="none"/>
              </w:rPr>
              <w:t>.</w:t>
            </w:r>
          </w:p>
        </w:tc>
        <w:tc>
          <w:tcPr>
            <w:tcW w:w="1417" w:type="dxa"/>
            <w:tcBorders>
              <w:top w:val="nil"/>
              <w:left w:val="nil"/>
              <w:bottom w:val="nil"/>
              <w:right w:val="single" w:sz="12" w:space="0" w:color="000000"/>
            </w:tcBorders>
            <w:vAlign w:val="center"/>
            <w:hideMark/>
          </w:tcPr>
          <w:p w14:paraId="11D698F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1418" w:type="dxa"/>
            <w:tcBorders>
              <w:top w:val="nil"/>
              <w:left w:val="single" w:sz="12" w:space="0" w:color="000000"/>
              <w:bottom w:val="nil"/>
              <w:right w:val="single" w:sz="4" w:space="0" w:color="000000"/>
            </w:tcBorders>
            <w:noWrap/>
            <w:vAlign w:val="center"/>
            <w:hideMark/>
          </w:tcPr>
          <w:p w14:paraId="70B7090E"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1417" w:type="dxa"/>
            <w:tcBorders>
              <w:top w:val="nil"/>
              <w:left w:val="single" w:sz="4" w:space="0" w:color="000000"/>
              <w:bottom w:val="nil"/>
              <w:right w:val="single" w:sz="4" w:space="0" w:color="000000"/>
            </w:tcBorders>
            <w:noWrap/>
            <w:vAlign w:val="center"/>
            <w:hideMark/>
          </w:tcPr>
          <w:p w14:paraId="38E3494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560" w:type="dxa"/>
            <w:tcBorders>
              <w:top w:val="nil"/>
              <w:left w:val="single" w:sz="4" w:space="0" w:color="000000"/>
              <w:bottom w:val="nil"/>
              <w:right w:val="single" w:sz="4" w:space="0" w:color="000000"/>
            </w:tcBorders>
            <w:noWrap/>
            <w:vAlign w:val="center"/>
            <w:hideMark/>
          </w:tcPr>
          <w:p w14:paraId="028032D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7" w:type="dxa"/>
            <w:tcBorders>
              <w:top w:val="nil"/>
              <w:left w:val="single" w:sz="4" w:space="0" w:color="000000"/>
              <w:bottom w:val="nil"/>
              <w:right w:val="single" w:sz="4" w:space="0" w:color="000000"/>
            </w:tcBorders>
            <w:noWrap/>
            <w:vAlign w:val="center"/>
            <w:hideMark/>
          </w:tcPr>
          <w:p w14:paraId="0B2B457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2" w:type="dxa"/>
            <w:tcBorders>
              <w:top w:val="nil"/>
              <w:left w:val="single" w:sz="4" w:space="0" w:color="000000"/>
              <w:bottom w:val="nil"/>
              <w:right w:val="single" w:sz="12" w:space="0" w:color="000000"/>
            </w:tcBorders>
            <w:noWrap/>
            <w:vAlign w:val="center"/>
            <w:hideMark/>
          </w:tcPr>
          <w:p w14:paraId="1614942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6CF98A3E" w14:textId="77777777" w:rsidTr="00637B0E">
        <w:trPr>
          <w:trHeight w:val="276"/>
        </w:trPr>
        <w:tc>
          <w:tcPr>
            <w:tcW w:w="1988" w:type="dxa"/>
            <w:vMerge/>
            <w:tcBorders>
              <w:top w:val="nil"/>
              <w:left w:val="single" w:sz="12" w:space="0" w:color="000000"/>
              <w:bottom w:val="single" w:sz="4" w:space="0" w:color="000000"/>
              <w:right w:val="nil"/>
            </w:tcBorders>
            <w:vAlign w:val="center"/>
            <w:hideMark/>
          </w:tcPr>
          <w:p w14:paraId="3B9E5D67"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7" w:type="dxa"/>
            <w:tcBorders>
              <w:top w:val="nil"/>
              <w:left w:val="nil"/>
              <w:bottom w:val="nil"/>
              <w:right w:val="single" w:sz="12" w:space="0" w:color="000000"/>
            </w:tcBorders>
            <w:vAlign w:val="center"/>
            <w:hideMark/>
          </w:tcPr>
          <w:p w14:paraId="45720050"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1418" w:type="dxa"/>
            <w:tcBorders>
              <w:top w:val="nil"/>
              <w:left w:val="single" w:sz="12" w:space="0" w:color="000000"/>
              <w:bottom w:val="nil"/>
              <w:right w:val="single" w:sz="4" w:space="0" w:color="000000"/>
            </w:tcBorders>
            <w:vAlign w:val="center"/>
            <w:hideMark/>
          </w:tcPr>
          <w:p w14:paraId="4182CE96"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7" w:type="dxa"/>
            <w:tcBorders>
              <w:top w:val="nil"/>
              <w:left w:val="single" w:sz="4" w:space="0" w:color="000000"/>
              <w:bottom w:val="nil"/>
              <w:right w:val="single" w:sz="4" w:space="0" w:color="000000"/>
            </w:tcBorders>
            <w:noWrap/>
            <w:vAlign w:val="center"/>
            <w:hideMark/>
          </w:tcPr>
          <w:p w14:paraId="523C1BF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560" w:type="dxa"/>
            <w:tcBorders>
              <w:top w:val="nil"/>
              <w:left w:val="single" w:sz="4" w:space="0" w:color="000000"/>
              <w:bottom w:val="nil"/>
              <w:right w:val="single" w:sz="4" w:space="0" w:color="000000"/>
            </w:tcBorders>
            <w:noWrap/>
            <w:vAlign w:val="center"/>
            <w:hideMark/>
          </w:tcPr>
          <w:p w14:paraId="6708E961"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7" w:type="dxa"/>
            <w:tcBorders>
              <w:top w:val="nil"/>
              <w:left w:val="single" w:sz="4" w:space="0" w:color="000000"/>
              <w:bottom w:val="nil"/>
              <w:right w:val="single" w:sz="4" w:space="0" w:color="000000"/>
            </w:tcBorders>
            <w:noWrap/>
            <w:vAlign w:val="center"/>
            <w:hideMark/>
          </w:tcPr>
          <w:p w14:paraId="5BEE1F9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2" w:type="dxa"/>
            <w:tcBorders>
              <w:top w:val="nil"/>
              <w:left w:val="single" w:sz="4" w:space="0" w:color="000000"/>
              <w:bottom w:val="nil"/>
              <w:right w:val="single" w:sz="12" w:space="0" w:color="000000"/>
            </w:tcBorders>
            <w:noWrap/>
            <w:vAlign w:val="center"/>
            <w:hideMark/>
          </w:tcPr>
          <w:p w14:paraId="593F5054"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63A8D2BC" w14:textId="77777777" w:rsidTr="00637B0E">
        <w:trPr>
          <w:trHeight w:val="252"/>
        </w:trPr>
        <w:tc>
          <w:tcPr>
            <w:tcW w:w="1988" w:type="dxa"/>
            <w:vMerge w:val="restart"/>
            <w:tcBorders>
              <w:top w:val="nil"/>
              <w:left w:val="single" w:sz="12" w:space="0" w:color="000000"/>
              <w:bottom w:val="single" w:sz="4" w:space="0" w:color="000000"/>
              <w:right w:val="nil"/>
            </w:tcBorders>
            <w:vAlign w:val="center"/>
            <w:hideMark/>
          </w:tcPr>
          <w:p w14:paraId="3C3963A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2. </w:t>
            </w:r>
            <w:r w:rsidRPr="004275AD">
              <w:rPr>
                <w:rFonts w:ascii="Arial" w:eastAsia="Times New Roman" w:hAnsi="Arial" w:cs="Arial"/>
                <w:color w:val="000000"/>
                <w:kern w:val="0"/>
                <w:sz w:val="18"/>
                <w:szCs w:val="18"/>
                <w:rtl/>
                <w:lang w:val="en-GB" w:eastAsia="en-GB"/>
                <w14:ligatures w14:val="none"/>
              </w:rPr>
              <w:t>تخضع عملية التوظيف لمقابلات متعددة لتقييم الكفاءة والسلوك</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المهني</w:t>
            </w:r>
            <w:r w:rsidRPr="004275AD">
              <w:rPr>
                <w:rFonts w:ascii="Arial" w:eastAsia="Times New Roman" w:hAnsi="Arial" w:cs="Arial"/>
                <w:color w:val="000000"/>
                <w:kern w:val="0"/>
                <w:sz w:val="18"/>
                <w:szCs w:val="18"/>
                <w:lang w:val="en-GB" w:eastAsia="en-GB"/>
                <w14:ligatures w14:val="none"/>
              </w:rPr>
              <w:t>.</w:t>
            </w:r>
          </w:p>
        </w:tc>
        <w:tc>
          <w:tcPr>
            <w:tcW w:w="1417" w:type="dxa"/>
            <w:tcBorders>
              <w:top w:val="nil"/>
              <w:left w:val="nil"/>
              <w:bottom w:val="nil"/>
              <w:right w:val="single" w:sz="12" w:space="0" w:color="000000"/>
            </w:tcBorders>
            <w:vAlign w:val="center"/>
            <w:hideMark/>
          </w:tcPr>
          <w:p w14:paraId="00B11D0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1418" w:type="dxa"/>
            <w:tcBorders>
              <w:top w:val="nil"/>
              <w:left w:val="single" w:sz="12" w:space="0" w:color="000000"/>
              <w:bottom w:val="nil"/>
              <w:right w:val="single" w:sz="4" w:space="0" w:color="000000"/>
            </w:tcBorders>
            <w:noWrap/>
            <w:vAlign w:val="center"/>
            <w:hideMark/>
          </w:tcPr>
          <w:p w14:paraId="25B3EFE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.691</w:t>
            </w:r>
            <w:r w:rsidRPr="004275AD">
              <w:rPr>
                <w:rFonts w:ascii="Arial" w:eastAsia="Times New Roman" w:hAnsi="Arial" w:cs="Arial"/>
                <w:color w:val="000000"/>
                <w:kern w:val="0"/>
                <w:sz w:val="18"/>
                <w:szCs w:val="18"/>
                <w:vertAlign w:val="superscript"/>
                <w:lang w:val="en-GB" w:eastAsia="en-GB"/>
                <w14:ligatures w14:val="none"/>
              </w:rPr>
              <w:t>**</w:t>
            </w:r>
          </w:p>
        </w:tc>
        <w:tc>
          <w:tcPr>
            <w:tcW w:w="1417" w:type="dxa"/>
            <w:tcBorders>
              <w:top w:val="nil"/>
              <w:left w:val="single" w:sz="4" w:space="0" w:color="000000"/>
              <w:bottom w:val="nil"/>
              <w:right w:val="single" w:sz="4" w:space="0" w:color="000000"/>
            </w:tcBorders>
            <w:noWrap/>
            <w:vAlign w:val="center"/>
            <w:hideMark/>
          </w:tcPr>
          <w:p w14:paraId="0306967C"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1560" w:type="dxa"/>
            <w:tcBorders>
              <w:top w:val="nil"/>
              <w:left w:val="single" w:sz="4" w:space="0" w:color="000000"/>
              <w:bottom w:val="nil"/>
              <w:right w:val="single" w:sz="4" w:space="0" w:color="000000"/>
            </w:tcBorders>
            <w:noWrap/>
            <w:vAlign w:val="center"/>
            <w:hideMark/>
          </w:tcPr>
          <w:p w14:paraId="2EC7C8C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7" w:type="dxa"/>
            <w:tcBorders>
              <w:top w:val="nil"/>
              <w:left w:val="single" w:sz="4" w:space="0" w:color="000000"/>
              <w:bottom w:val="nil"/>
              <w:right w:val="single" w:sz="4" w:space="0" w:color="000000"/>
            </w:tcBorders>
            <w:noWrap/>
            <w:vAlign w:val="center"/>
            <w:hideMark/>
          </w:tcPr>
          <w:p w14:paraId="416F806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2" w:type="dxa"/>
            <w:tcBorders>
              <w:top w:val="nil"/>
              <w:left w:val="single" w:sz="4" w:space="0" w:color="000000"/>
              <w:bottom w:val="nil"/>
              <w:right w:val="single" w:sz="12" w:space="0" w:color="000000"/>
            </w:tcBorders>
            <w:noWrap/>
            <w:vAlign w:val="center"/>
            <w:hideMark/>
          </w:tcPr>
          <w:p w14:paraId="6D9E0EC0"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64048FBE" w14:textId="77777777" w:rsidTr="00637B0E">
        <w:trPr>
          <w:trHeight w:val="276"/>
        </w:trPr>
        <w:tc>
          <w:tcPr>
            <w:tcW w:w="1988" w:type="dxa"/>
            <w:vMerge/>
            <w:tcBorders>
              <w:top w:val="nil"/>
              <w:left w:val="single" w:sz="12" w:space="0" w:color="000000"/>
              <w:bottom w:val="single" w:sz="4" w:space="0" w:color="000000"/>
              <w:right w:val="nil"/>
            </w:tcBorders>
            <w:vAlign w:val="center"/>
            <w:hideMark/>
          </w:tcPr>
          <w:p w14:paraId="5EA96138"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7" w:type="dxa"/>
            <w:tcBorders>
              <w:top w:val="nil"/>
              <w:left w:val="nil"/>
              <w:bottom w:val="nil"/>
              <w:right w:val="single" w:sz="12" w:space="0" w:color="000000"/>
            </w:tcBorders>
            <w:vAlign w:val="center"/>
            <w:hideMark/>
          </w:tcPr>
          <w:p w14:paraId="230382E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1418" w:type="dxa"/>
            <w:tcBorders>
              <w:top w:val="nil"/>
              <w:left w:val="single" w:sz="12" w:space="0" w:color="000000"/>
              <w:bottom w:val="nil"/>
              <w:right w:val="single" w:sz="4" w:space="0" w:color="000000"/>
            </w:tcBorders>
            <w:noWrap/>
            <w:vAlign w:val="center"/>
            <w:hideMark/>
          </w:tcPr>
          <w:p w14:paraId="58C19E6D"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417" w:type="dxa"/>
            <w:tcBorders>
              <w:top w:val="nil"/>
              <w:left w:val="single" w:sz="4" w:space="0" w:color="000000"/>
              <w:bottom w:val="nil"/>
              <w:right w:val="single" w:sz="4" w:space="0" w:color="000000"/>
            </w:tcBorders>
            <w:vAlign w:val="center"/>
            <w:hideMark/>
          </w:tcPr>
          <w:p w14:paraId="16E79284"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560" w:type="dxa"/>
            <w:tcBorders>
              <w:top w:val="nil"/>
              <w:left w:val="single" w:sz="4" w:space="0" w:color="000000"/>
              <w:bottom w:val="nil"/>
              <w:right w:val="single" w:sz="4" w:space="0" w:color="000000"/>
            </w:tcBorders>
            <w:noWrap/>
            <w:vAlign w:val="center"/>
            <w:hideMark/>
          </w:tcPr>
          <w:p w14:paraId="4CECA06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7" w:type="dxa"/>
            <w:tcBorders>
              <w:top w:val="nil"/>
              <w:left w:val="single" w:sz="4" w:space="0" w:color="000000"/>
              <w:bottom w:val="nil"/>
              <w:right w:val="single" w:sz="4" w:space="0" w:color="000000"/>
            </w:tcBorders>
            <w:noWrap/>
            <w:vAlign w:val="center"/>
            <w:hideMark/>
          </w:tcPr>
          <w:p w14:paraId="2CD27014"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2" w:type="dxa"/>
            <w:tcBorders>
              <w:top w:val="nil"/>
              <w:left w:val="single" w:sz="4" w:space="0" w:color="000000"/>
              <w:bottom w:val="nil"/>
              <w:right w:val="single" w:sz="12" w:space="0" w:color="000000"/>
            </w:tcBorders>
            <w:noWrap/>
            <w:vAlign w:val="center"/>
            <w:hideMark/>
          </w:tcPr>
          <w:p w14:paraId="20226EE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154AC078" w14:textId="77777777" w:rsidTr="00637B0E">
        <w:trPr>
          <w:trHeight w:val="312"/>
        </w:trPr>
        <w:tc>
          <w:tcPr>
            <w:tcW w:w="1988" w:type="dxa"/>
            <w:vMerge w:val="restart"/>
            <w:tcBorders>
              <w:top w:val="nil"/>
              <w:left w:val="single" w:sz="12" w:space="0" w:color="000000"/>
              <w:bottom w:val="single" w:sz="4" w:space="0" w:color="000000"/>
              <w:right w:val="nil"/>
            </w:tcBorders>
            <w:vAlign w:val="center"/>
            <w:hideMark/>
          </w:tcPr>
          <w:p w14:paraId="1E0B5C5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3. </w:t>
            </w:r>
            <w:r w:rsidRPr="004275AD">
              <w:rPr>
                <w:rFonts w:ascii="Arial" w:eastAsia="Times New Roman" w:hAnsi="Arial" w:cs="Arial"/>
                <w:color w:val="000000"/>
                <w:kern w:val="0"/>
                <w:sz w:val="18"/>
                <w:szCs w:val="18"/>
                <w:rtl/>
                <w:lang w:val="en-GB" w:eastAsia="en-GB"/>
                <w14:ligatures w14:val="none"/>
              </w:rPr>
              <w:t>يتم التركيز على مهارات الإبداع والابتكار عند اختيار الموظفين</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الجدد</w:t>
            </w:r>
            <w:r w:rsidRPr="004275AD">
              <w:rPr>
                <w:rFonts w:ascii="Arial" w:eastAsia="Times New Roman" w:hAnsi="Arial" w:cs="Arial"/>
                <w:color w:val="000000"/>
                <w:kern w:val="0"/>
                <w:sz w:val="18"/>
                <w:szCs w:val="18"/>
                <w:lang w:val="en-GB" w:eastAsia="en-GB"/>
                <w14:ligatures w14:val="none"/>
              </w:rPr>
              <w:t>.</w:t>
            </w:r>
          </w:p>
        </w:tc>
        <w:tc>
          <w:tcPr>
            <w:tcW w:w="1417" w:type="dxa"/>
            <w:tcBorders>
              <w:top w:val="nil"/>
              <w:left w:val="nil"/>
              <w:bottom w:val="nil"/>
              <w:right w:val="single" w:sz="12" w:space="0" w:color="000000"/>
            </w:tcBorders>
            <w:vAlign w:val="center"/>
            <w:hideMark/>
          </w:tcPr>
          <w:p w14:paraId="34E25A2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1418" w:type="dxa"/>
            <w:tcBorders>
              <w:top w:val="nil"/>
              <w:left w:val="single" w:sz="12" w:space="0" w:color="000000"/>
              <w:bottom w:val="nil"/>
              <w:right w:val="single" w:sz="4" w:space="0" w:color="000000"/>
            </w:tcBorders>
            <w:noWrap/>
            <w:vAlign w:val="center"/>
            <w:hideMark/>
          </w:tcPr>
          <w:p w14:paraId="6AA9A79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.599</w:t>
            </w:r>
            <w:r w:rsidRPr="004275AD">
              <w:rPr>
                <w:rFonts w:ascii="Arial" w:eastAsia="Times New Roman" w:hAnsi="Arial" w:cs="Arial"/>
                <w:color w:val="000000"/>
                <w:kern w:val="0"/>
                <w:sz w:val="18"/>
                <w:szCs w:val="18"/>
                <w:vertAlign w:val="superscript"/>
                <w:lang w:val="en-GB" w:eastAsia="en-GB"/>
                <w14:ligatures w14:val="none"/>
              </w:rPr>
              <w:t>**</w:t>
            </w:r>
          </w:p>
        </w:tc>
        <w:tc>
          <w:tcPr>
            <w:tcW w:w="1417" w:type="dxa"/>
            <w:tcBorders>
              <w:top w:val="nil"/>
              <w:left w:val="single" w:sz="4" w:space="0" w:color="000000"/>
              <w:bottom w:val="nil"/>
              <w:right w:val="single" w:sz="4" w:space="0" w:color="000000"/>
            </w:tcBorders>
            <w:noWrap/>
            <w:vAlign w:val="center"/>
            <w:hideMark/>
          </w:tcPr>
          <w:p w14:paraId="098F3DC0"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.616</w:t>
            </w:r>
            <w:r w:rsidRPr="004275AD">
              <w:rPr>
                <w:rFonts w:ascii="Arial" w:eastAsia="Times New Roman" w:hAnsi="Arial" w:cs="Arial"/>
                <w:color w:val="000000"/>
                <w:kern w:val="0"/>
                <w:sz w:val="18"/>
                <w:szCs w:val="18"/>
                <w:vertAlign w:val="superscript"/>
                <w:lang w:val="en-GB" w:eastAsia="en-GB"/>
                <w14:ligatures w14:val="none"/>
              </w:rPr>
              <w:t>**</w:t>
            </w:r>
          </w:p>
        </w:tc>
        <w:tc>
          <w:tcPr>
            <w:tcW w:w="1560" w:type="dxa"/>
            <w:tcBorders>
              <w:top w:val="nil"/>
              <w:left w:val="single" w:sz="4" w:space="0" w:color="000000"/>
              <w:bottom w:val="nil"/>
              <w:right w:val="single" w:sz="4" w:space="0" w:color="000000"/>
            </w:tcBorders>
            <w:noWrap/>
            <w:vAlign w:val="center"/>
            <w:hideMark/>
          </w:tcPr>
          <w:p w14:paraId="5740A5D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1417" w:type="dxa"/>
            <w:tcBorders>
              <w:top w:val="nil"/>
              <w:left w:val="single" w:sz="4" w:space="0" w:color="000000"/>
              <w:bottom w:val="nil"/>
              <w:right w:val="single" w:sz="4" w:space="0" w:color="000000"/>
            </w:tcBorders>
            <w:noWrap/>
            <w:vAlign w:val="center"/>
            <w:hideMark/>
          </w:tcPr>
          <w:p w14:paraId="6626568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2" w:type="dxa"/>
            <w:tcBorders>
              <w:top w:val="nil"/>
              <w:left w:val="single" w:sz="4" w:space="0" w:color="000000"/>
              <w:bottom w:val="nil"/>
              <w:right w:val="single" w:sz="12" w:space="0" w:color="000000"/>
            </w:tcBorders>
            <w:noWrap/>
            <w:vAlign w:val="center"/>
            <w:hideMark/>
          </w:tcPr>
          <w:p w14:paraId="67D2992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2EAB22AB" w14:textId="77777777" w:rsidTr="00637B0E">
        <w:trPr>
          <w:trHeight w:val="240"/>
        </w:trPr>
        <w:tc>
          <w:tcPr>
            <w:tcW w:w="1988" w:type="dxa"/>
            <w:vMerge/>
            <w:tcBorders>
              <w:top w:val="nil"/>
              <w:left w:val="single" w:sz="12" w:space="0" w:color="000000"/>
              <w:bottom w:val="single" w:sz="4" w:space="0" w:color="000000"/>
              <w:right w:val="nil"/>
            </w:tcBorders>
            <w:vAlign w:val="center"/>
            <w:hideMark/>
          </w:tcPr>
          <w:p w14:paraId="6FC677C2"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7" w:type="dxa"/>
            <w:tcBorders>
              <w:top w:val="nil"/>
              <w:left w:val="nil"/>
              <w:bottom w:val="nil"/>
              <w:right w:val="single" w:sz="12" w:space="0" w:color="000000"/>
            </w:tcBorders>
            <w:vAlign w:val="center"/>
            <w:hideMark/>
          </w:tcPr>
          <w:p w14:paraId="2BED4836"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1418" w:type="dxa"/>
            <w:tcBorders>
              <w:top w:val="nil"/>
              <w:left w:val="single" w:sz="12" w:space="0" w:color="000000"/>
              <w:bottom w:val="nil"/>
              <w:right w:val="single" w:sz="4" w:space="0" w:color="000000"/>
            </w:tcBorders>
            <w:noWrap/>
            <w:vAlign w:val="center"/>
            <w:hideMark/>
          </w:tcPr>
          <w:p w14:paraId="48F8077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417" w:type="dxa"/>
            <w:tcBorders>
              <w:top w:val="nil"/>
              <w:left w:val="single" w:sz="4" w:space="0" w:color="000000"/>
              <w:bottom w:val="nil"/>
              <w:right w:val="single" w:sz="4" w:space="0" w:color="000000"/>
            </w:tcBorders>
            <w:noWrap/>
            <w:vAlign w:val="center"/>
            <w:hideMark/>
          </w:tcPr>
          <w:p w14:paraId="6E438E36"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560" w:type="dxa"/>
            <w:tcBorders>
              <w:top w:val="nil"/>
              <w:left w:val="single" w:sz="4" w:space="0" w:color="000000"/>
              <w:bottom w:val="nil"/>
              <w:right w:val="single" w:sz="4" w:space="0" w:color="000000"/>
            </w:tcBorders>
            <w:vAlign w:val="center"/>
            <w:hideMark/>
          </w:tcPr>
          <w:p w14:paraId="30B3A4F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7" w:type="dxa"/>
            <w:tcBorders>
              <w:top w:val="nil"/>
              <w:left w:val="single" w:sz="4" w:space="0" w:color="000000"/>
              <w:bottom w:val="nil"/>
              <w:right w:val="single" w:sz="4" w:space="0" w:color="000000"/>
            </w:tcBorders>
            <w:noWrap/>
            <w:vAlign w:val="center"/>
            <w:hideMark/>
          </w:tcPr>
          <w:p w14:paraId="76CCF24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2" w:type="dxa"/>
            <w:tcBorders>
              <w:top w:val="nil"/>
              <w:left w:val="single" w:sz="4" w:space="0" w:color="000000"/>
              <w:bottom w:val="nil"/>
              <w:right w:val="single" w:sz="12" w:space="0" w:color="000000"/>
            </w:tcBorders>
            <w:noWrap/>
            <w:vAlign w:val="center"/>
            <w:hideMark/>
          </w:tcPr>
          <w:p w14:paraId="2F78218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4DF9092D" w14:textId="77777777" w:rsidTr="00637B0E">
        <w:trPr>
          <w:trHeight w:val="276"/>
        </w:trPr>
        <w:tc>
          <w:tcPr>
            <w:tcW w:w="1988" w:type="dxa"/>
            <w:vMerge w:val="restart"/>
            <w:tcBorders>
              <w:top w:val="nil"/>
              <w:left w:val="single" w:sz="12" w:space="0" w:color="000000"/>
              <w:bottom w:val="single" w:sz="4" w:space="0" w:color="000000"/>
              <w:right w:val="nil"/>
            </w:tcBorders>
            <w:vAlign w:val="center"/>
            <w:hideMark/>
          </w:tcPr>
          <w:p w14:paraId="765DBFCD"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4. </w:t>
            </w:r>
            <w:r w:rsidRPr="004275AD">
              <w:rPr>
                <w:rFonts w:ascii="Arial" w:eastAsia="Times New Roman" w:hAnsi="Arial" w:cs="Arial"/>
                <w:color w:val="000000"/>
                <w:kern w:val="0"/>
                <w:sz w:val="18"/>
                <w:szCs w:val="18"/>
                <w:rtl/>
                <w:lang w:val="en-GB" w:eastAsia="en-GB"/>
                <w14:ligatures w14:val="none"/>
              </w:rPr>
              <w:t>تشارك الإدارة العليا في قرارات التعيين لضمان جودة الاختيار</w:t>
            </w:r>
            <w:r w:rsidRPr="004275AD">
              <w:rPr>
                <w:rFonts w:ascii="Arial" w:eastAsia="Times New Roman" w:hAnsi="Arial" w:cs="Arial"/>
                <w:color w:val="000000"/>
                <w:kern w:val="0"/>
                <w:sz w:val="18"/>
                <w:szCs w:val="18"/>
                <w:lang w:val="en-GB" w:eastAsia="en-GB"/>
                <w14:ligatures w14:val="none"/>
              </w:rPr>
              <w:t>.</w:t>
            </w:r>
          </w:p>
        </w:tc>
        <w:tc>
          <w:tcPr>
            <w:tcW w:w="1417" w:type="dxa"/>
            <w:tcBorders>
              <w:top w:val="nil"/>
              <w:left w:val="nil"/>
              <w:bottom w:val="nil"/>
              <w:right w:val="single" w:sz="12" w:space="0" w:color="000000"/>
            </w:tcBorders>
            <w:vAlign w:val="center"/>
            <w:hideMark/>
          </w:tcPr>
          <w:p w14:paraId="059418D5"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1418" w:type="dxa"/>
            <w:tcBorders>
              <w:top w:val="nil"/>
              <w:left w:val="single" w:sz="12" w:space="0" w:color="000000"/>
              <w:bottom w:val="nil"/>
              <w:right w:val="single" w:sz="4" w:space="0" w:color="000000"/>
            </w:tcBorders>
            <w:noWrap/>
            <w:vAlign w:val="center"/>
            <w:hideMark/>
          </w:tcPr>
          <w:p w14:paraId="1D89528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.623</w:t>
            </w:r>
            <w:r w:rsidRPr="004275AD">
              <w:rPr>
                <w:rFonts w:ascii="Arial" w:eastAsia="Times New Roman" w:hAnsi="Arial" w:cs="Arial"/>
                <w:color w:val="000000"/>
                <w:kern w:val="0"/>
                <w:sz w:val="18"/>
                <w:szCs w:val="18"/>
                <w:vertAlign w:val="superscript"/>
                <w:lang w:val="en-GB" w:eastAsia="en-GB"/>
                <w14:ligatures w14:val="none"/>
              </w:rPr>
              <w:t>**</w:t>
            </w:r>
          </w:p>
        </w:tc>
        <w:tc>
          <w:tcPr>
            <w:tcW w:w="1417" w:type="dxa"/>
            <w:tcBorders>
              <w:top w:val="nil"/>
              <w:left w:val="single" w:sz="4" w:space="0" w:color="000000"/>
              <w:bottom w:val="nil"/>
              <w:right w:val="single" w:sz="4" w:space="0" w:color="000000"/>
            </w:tcBorders>
            <w:noWrap/>
            <w:vAlign w:val="center"/>
            <w:hideMark/>
          </w:tcPr>
          <w:p w14:paraId="382F28B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.616</w:t>
            </w:r>
            <w:r w:rsidRPr="004275AD">
              <w:rPr>
                <w:rFonts w:ascii="Arial" w:eastAsia="Times New Roman" w:hAnsi="Arial" w:cs="Arial"/>
                <w:color w:val="000000"/>
                <w:kern w:val="0"/>
                <w:sz w:val="18"/>
                <w:szCs w:val="18"/>
                <w:vertAlign w:val="superscript"/>
                <w:lang w:val="en-GB" w:eastAsia="en-GB"/>
                <w14:ligatures w14:val="none"/>
              </w:rPr>
              <w:t>**</w:t>
            </w:r>
          </w:p>
        </w:tc>
        <w:tc>
          <w:tcPr>
            <w:tcW w:w="1560" w:type="dxa"/>
            <w:tcBorders>
              <w:top w:val="nil"/>
              <w:left w:val="single" w:sz="4" w:space="0" w:color="000000"/>
              <w:bottom w:val="nil"/>
              <w:right w:val="single" w:sz="4" w:space="0" w:color="000000"/>
            </w:tcBorders>
            <w:noWrap/>
            <w:vAlign w:val="center"/>
            <w:hideMark/>
          </w:tcPr>
          <w:p w14:paraId="043A702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.686</w:t>
            </w:r>
            <w:r w:rsidRPr="004275AD">
              <w:rPr>
                <w:rFonts w:ascii="Arial" w:eastAsia="Times New Roman" w:hAnsi="Arial" w:cs="Arial"/>
                <w:color w:val="000000"/>
                <w:kern w:val="0"/>
                <w:sz w:val="18"/>
                <w:szCs w:val="18"/>
                <w:vertAlign w:val="superscript"/>
                <w:lang w:val="en-GB" w:eastAsia="en-GB"/>
                <w14:ligatures w14:val="none"/>
              </w:rPr>
              <w:t>**</w:t>
            </w:r>
          </w:p>
        </w:tc>
        <w:tc>
          <w:tcPr>
            <w:tcW w:w="1417" w:type="dxa"/>
            <w:tcBorders>
              <w:top w:val="nil"/>
              <w:left w:val="single" w:sz="4" w:space="0" w:color="000000"/>
              <w:bottom w:val="nil"/>
              <w:right w:val="single" w:sz="4" w:space="0" w:color="000000"/>
            </w:tcBorders>
            <w:noWrap/>
            <w:vAlign w:val="center"/>
            <w:hideMark/>
          </w:tcPr>
          <w:p w14:paraId="50EDDA1E"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852" w:type="dxa"/>
            <w:tcBorders>
              <w:top w:val="nil"/>
              <w:left w:val="single" w:sz="4" w:space="0" w:color="000000"/>
              <w:bottom w:val="nil"/>
              <w:right w:val="single" w:sz="12" w:space="0" w:color="000000"/>
            </w:tcBorders>
            <w:noWrap/>
            <w:vAlign w:val="center"/>
            <w:hideMark/>
          </w:tcPr>
          <w:p w14:paraId="4FD5891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77BEB893" w14:textId="77777777" w:rsidTr="00637B0E">
        <w:trPr>
          <w:trHeight w:val="276"/>
        </w:trPr>
        <w:tc>
          <w:tcPr>
            <w:tcW w:w="1988" w:type="dxa"/>
            <w:vMerge/>
            <w:tcBorders>
              <w:top w:val="nil"/>
              <w:left w:val="single" w:sz="12" w:space="0" w:color="000000"/>
              <w:bottom w:val="single" w:sz="4" w:space="0" w:color="000000"/>
              <w:right w:val="nil"/>
            </w:tcBorders>
            <w:vAlign w:val="center"/>
            <w:hideMark/>
          </w:tcPr>
          <w:p w14:paraId="65E1EAAC"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7" w:type="dxa"/>
            <w:tcBorders>
              <w:top w:val="nil"/>
              <w:left w:val="nil"/>
              <w:bottom w:val="nil"/>
              <w:right w:val="single" w:sz="12" w:space="0" w:color="000000"/>
            </w:tcBorders>
            <w:vAlign w:val="center"/>
            <w:hideMark/>
          </w:tcPr>
          <w:p w14:paraId="26F4B4D5"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1418" w:type="dxa"/>
            <w:tcBorders>
              <w:top w:val="nil"/>
              <w:left w:val="single" w:sz="12" w:space="0" w:color="000000"/>
              <w:bottom w:val="nil"/>
              <w:right w:val="single" w:sz="4" w:space="0" w:color="000000"/>
            </w:tcBorders>
            <w:noWrap/>
            <w:vAlign w:val="center"/>
            <w:hideMark/>
          </w:tcPr>
          <w:p w14:paraId="14CA1BE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417" w:type="dxa"/>
            <w:tcBorders>
              <w:top w:val="nil"/>
              <w:left w:val="single" w:sz="4" w:space="0" w:color="000000"/>
              <w:bottom w:val="nil"/>
              <w:right w:val="single" w:sz="4" w:space="0" w:color="000000"/>
            </w:tcBorders>
            <w:noWrap/>
            <w:vAlign w:val="center"/>
            <w:hideMark/>
          </w:tcPr>
          <w:p w14:paraId="289C720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560" w:type="dxa"/>
            <w:tcBorders>
              <w:top w:val="nil"/>
              <w:left w:val="single" w:sz="4" w:space="0" w:color="000000"/>
              <w:bottom w:val="nil"/>
              <w:right w:val="single" w:sz="4" w:space="0" w:color="000000"/>
            </w:tcBorders>
            <w:noWrap/>
            <w:vAlign w:val="center"/>
            <w:hideMark/>
          </w:tcPr>
          <w:p w14:paraId="14CFA14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417" w:type="dxa"/>
            <w:tcBorders>
              <w:top w:val="nil"/>
              <w:left w:val="single" w:sz="4" w:space="0" w:color="000000"/>
              <w:bottom w:val="nil"/>
              <w:right w:val="single" w:sz="4" w:space="0" w:color="000000"/>
            </w:tcBorders>
            <w:vAlign w:val="center"/>
            <w:hideMark/>
          </w:tcPr>
          <w:p w14:paraId="7C6C059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2" w:type="dxa"/>
            <w:tcBorders>
              <w:top w:val="nil"/>
              <w:left w:val="single" w:sz="4" w:space="0" w:color="000000"/>
              <w:bottom w:val="nil"/>
              <w:right w:val="single" w:sz="12" w:space="0" w:color="000000"/>
            </w:tcBorders>
            <w:noWrap/>
            <w:vAlign w:val="center"/>
            <w:hideMark/>
          </w:tcPr>
          <w:p w14:paraId="571FBDBC"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3EA08BF6" w14:textId="77777777" w:rsidTr="00637B0E">
        <w:trPr>
          <w:trHeight w:val="312"/>
        </w:trPr>
        <w:tc>
          <w:tcPr>
            <w:tcW w:w="1988" w:type="dxa"/>
            <w:vMerge w:val="restart"/>
            <w:tcBorders>
              <w:top w:val="nil"/>
              <w:left w:val="single" w:sz="12" w:space="0" w:color="000000"/>
              <w:bottom w:val="single" w:sz="4" w:space="0" w:color="000000"/>
              <w:right w:val="nil"/>
            </w:tcBorders>
            <w:vAlign w:val="center"/>
            <w:hideMark/>
          </w:tcPr>
          <w:p w14:paraId="6ABBD317" w14:textId="77777777" w:rsidR="004275AD" w:rsidRPr="004275AD" w:rsidRDefault="004275AD" w:rsidP="004275AD">
            <w:pPr>
              <w:bidi/>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rtl/>
                <w:lang w:val="en-GB" w:eastAsia="en-GB"/>
                <w14:ligatures w14:val="none"/>
              </w:rPr>
              <w:t>أولاً: التوظيف الانتقائي</w:t>
            </w:r>
          </w:p>
        </w:tc>
        <w:tc>
          <w:tcPr>
            <w:tcW w:w="1417" w:type="dxa"/>
            <w:tcBorders>
              <w:top w:val="nil"/>
              <w:left w:val="nil"/>
              <w:bottom w:val="nil"/>
              <w:right w:val="single" w:sz="12" w:space="0" w:color="000000"/>
            </w:tcBorders>
            <w:vAlign w:val="center"/>
            <w:hideMark/>
          </w:tcPr>
          <w:p w14:paraId="429E0494" w14:textId="77777777" w:rsidR="004275AD" w:rsidRPr="004275AD" w:rsidRDefault="004275AD" w:rsidP="004275AD">
            <w:pPr>
              <w:spacing w:after="0" w:line="240" w:lineRule="auto"/>
              <w:jc w:val="center"/>
              <w:rPr>
                <w:rFonts w:ascii="Arial" w:eastAsia="Times New Roman" w:hAnsi="Arial" w:cs="Arial"/>
                <w:color w:val="000000"/>
                <w:kern w:val="0"/>
                <w:sz w:val="18"/>
                <w:szCs w:val="18"/>
                <w:rtl/>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1418" w:type="dxa"/>
            <w:tcBorders>
              <w:top w:val="nil"/>
              <w:left w:val="single" w:sz="12" w:space="0" w:color="000000"/>
              <w:bottom w:val="nil"/>
              <w:right w:val="single" w:sz="4" w:space="0" w:color="000000"/>
            </w:tcBorders>
            <w:noWrap/>
            <w:vAlign w:val="center"/>
            <w:hideMark/>
          </w:tcPr>
          <w:p w14:paraId="432278D5"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.836</w:t>
            </w:r>
            <w:r w:rsidRPr="004275AD">
              <w:rPr>
                <w:rFonts w:ascii="Arial" w:eastAsia="Times New Roman" w:hAnsi="Arial" w:cs="Arial"/>
                <w:color w:val="000000"/>
                <w:kern w:val="0"/>
                <w:sz w:val="18"/>
                <w:szCs w:val="18"/>
                <w:vertAlign w:val="superscript"/>
                <w:lang w:val="en-GB" w:eastAsia="en-GB"/>
                <w14:ligatures w14:val="none"/>
              </w:rPr>
              <w:t>**</w:t>
            </w:r>
          </w:p>
        </w:tc>
        <w:tc>
          <w:tcPr>
            <w:tcW w:w="1417" w:type="dxa"/>
            <w:tcBorders>
              <w:top w:val="nil"/>
              <w:left w:val="single" w:sz="4" w:space="0" w:color="000000"/>
              <w:bottom w:val="nil"/>
              <w:right w:val="single" w:sz="4" w:space="0" w:color="000000"/>
            </w:tcBorders>
            <w:noWrap/>
            <w:vAlign w:val="center"/>
            <w:hideMark/>
          </w:tcPr>
          <w:p w14:paraId="1C825FC5"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.851</w:t>
            </w:r>
            <w:r w:rsidRPr="004275AD">
              <w:rPr>
                <w:rFonts w:ascii="Arial" w:eastAsia="Times New Roman" w:hAnsi="Arial" w:cs="Arial"/>
                <w:color w:val="000000"/>
                <w:kern w:val="0"/>
                <w:sz w:val="18"/>
                <w:szCs w:val="18"/>
                <w:vertAlign w:val="superscript"/>
                <w:lang w:val="en-GB" w:eastAsia="en-GB"/>
                <w14:ligatures w14:val="none"/>
              </w:rPr>
              <w:t>**</w:t>
            </w:r>
          </w:p>
        </w:tc>
        <w:tc>
          <w:tcPr>
            <w:tcW w:w="1560" w:type="dxa"/>
            <w:tcBorders>
              <w:top w:val="nil"/>
              <w:left w:val="single" w:sz="4" w:space="0" w:color="000000"/>
              <w:bottom w:val="nil"/>
              <w:right w:val="single" w:sz="4" w:space="0" w:color="000000"/>
            </w:tcBorders>
            <w:noWrap/>
            <w:vAlign w:val="center"/>
            <w:hideMark/>
          </w:tcPr>
          <w:p w14:paraId="50A0BA9E"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.856</w:t>
            </w:r>
            <w:r w:rsidRPr="004275AD">
              <w:rPr>
                <w:rFonts w:ascii="Arial" w:eastAsia="Times New Roman" w:hAnsi="Arial" w:cs="Arial"/>
                <w:color w:val="000000"/>
                <w:kern w:val="0"/>
                <w:sz w:val="18"/>
                <w:szCs w:val="18"/>
                <w:vertAlign w:val="superscript"/>
                <w:lang w:val="en-GB" w:eastAsia="en-GB"/>
                <w14:ligatures w14:val="none"/>
              </w:rPr>
              <w:t>**</w:t>
            </w:r>
          </w:p>
        </w:tc>
        <w:tc>
          <w:tcPr>
            <w:tcW w:w="1417" w:type="dxa"/>
            <w:tcBorders>
              <w:top w:val="nil"/>
              <w:left w:val="single" w:sz="4" w:space="0" w:color="000000"/>
              <w:bottom w:val="nil"/>
              <w:right w:val="single" w:sz="4" w:space="0" w:color="000000"/>
            </w:tcBorders>
            <w:noWrap/>
            <w:vAlign w:val="center"/>
            <w:hideMark/>
          </w:tcPr>
          <w:p w14:paraId="41242620"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.870</w:t>
            </w:r>
            <w:r w:rsidRPr="004275AD">
              <w:rPr>
                <w:rFonts w:ascii="Arial" w:eastAsia="Times New Roman" w:hAnsi="Arial" w:cs="Arial"/>
                <w:color w:val="000000"/>
                <w:kern w:val="0"/>
                <w:sz w:val="18"/>
                <w:szCs w:val="18"/>
                <w:vertAlign w:val="superscript"/>
                <w:lang w:val="en-GB" w:eastAsia="en-GB"/>
                <w14:ligatures w14:val="none"/>
              </w:rPr>
              <w:t>**</w:t>
            </w:r>
          </w:p>
        </w:tc>
        <w:tc>
          <w:tcPr>
            <w:tcW w:w="852" w:type="dxa"/>
            <w:tcBorders>
              <w:top w:val="nil"/>
              <w:left w:val="single" w:sz="4" w:space="0" w:color="000000"/>
              <w:bottom w:val="nil"/>
              <w:right w:val="single" w:sz="12" w:space="0" w:color="000000"/>
            </w:tcBorders>
            <w:noWrap/>
            <w:vAlign w:val="center"/>
            <w:hideMark/>
          </w:tcPr>
          <w:p w14:paraId="22D7749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r>
      <w:tr w:rsidR="004275AD" w:rsidRPr="004275AD" w14:paraId="496AA91D" w14:textId="77777777" w:rsidTr="00637B0E">
        <w:trPr>
          <w:trHeight w:val="240"/>
        </w:trPr>
        <w:tc>
          <w:tcPr>
            <w:tcW w:w="1988" w:type="dxa"/>
            <w:vMerge/>
            <w:tcBorders>
              <w:top w:val="nil"/>
              <w:left w:val="single" w:sz="12" w:space="0" w:color="000000"/>
              <w:bottom w:val="single" w:sz="4" w:space="0" w:color="000000"/>
              <w:right w:val="nil"/>
            </w:tcBorders>
            <w:vAlign w:val="center"/>
            <w:hideMark/>
          </w:tcPr>
          <w:p w14:paraId="302644AB"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7" w:type="dxa"/>
            <w:tcBorders>
              <w:top w:val="nil"/>
              <w:left w:val="nil"/>
              <w:bottom w:val="nil"/>
              <w:right w:val="single" w:sz="12" w:space="0" w:color="000000"/>
            </w:tcBorders>
            <w:vAlign w:val="center"/>
            <w:hideMark/>
          </w:tcPr>
          <w:p w14:paraId="472527F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1418" w:type="dxa"/>
            <w:tcBorders>
              <w:top w:val="nil"/>
              <w:left w:val="single" w:sz="12" w:space="0" w:color="000000"/>
              <w:bottom w:val="nil"/>
              <w:right w:val="single" w:sz="4" w:space="0" w:color="000000"/>
            </w:tcBorders>
            <w:noWrap/>
            <w:vAlign w:val="center"/>
            <w:hideMark/>
          </w:tcPr>
          <w:p w14:paraId="777B126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417" w:type="dxa"/>
            <w:tcBorders>
              <w:top w:val="nil"/>
              <w:left w:val="single" w:sz="4" w:space="0" w:color="000000"/>
              <w:bottom w:val="nil"/>
              <w:right w:val="single" w:sz="4" w:space="0" w:color="000000"/>
            </w:tcBorders>
            <w:noWrap/>
            <w:vAlign w:val="center"/>
            <w:hideMark/>
          </w:tcPr>
          <w:p w14:paraId="477D29C5"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560" w:type="dxa"/>
            <w:tcBorders>
              <w:top w:val="nil"/>
              <w:left w:val="single" w:sz="4" w:space="0" w:color="000000"/>
              <w:bottom w:val="nil"/>
              <w:right w:val="single" w:sz="4" w:space="0" w:color="000000"/>
            </w:tcBorders>
            <w:noWrap/>
            <w:vAlign w:val="center"/>
            <w:hideMark/>
          </w:tcPr>
          <w:p w14:paraId="27B8414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417" w:type="dxa"/>
            <w:tcBorders>
              <w:top w:val="nil"/>
              <w:left w:val="single" w:sz="4" w:space="0" w:color="000000"/>
              <w:bottom w:val="nil"/>
              <w:right w:val="single" w:sz="4" w:space="0" w:color="000000"/>
            </w:tcBorders>
            <w:noWrap/>
            <w:vAlign w:val="center"/>
            <w:hideMark/>
          </w:tcPr>
          <w:p w14:paraId="62AC60E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852" w:type="dxa"/>
            <w:tcBorders>
              <w:top w:val="nil"/>
              <w:left w:val="single" w:sz="4" w:space="0" w:color="000000"/>
              <w:bottom w:val="nil"/>
              <w:right w:val="single" w:sz="12" w:space="0" w:color="000000"/>
            </w:tcBorders>
            <w:vAlign w:val="center"/>
            <w:hideMark/>
          </w:tcPr>
          <w:p w14:paraId="0A0DAB20"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7B18AF36" w14:textId="77777777" w:rsidTr="00637B0E">
        <w:trPr>
          <w:trHeight w:val="276"/>
        </w:trPr>
        <w:tc>
          <w:tcPr>
            <w:tcW w:w="10069" w:type="dxa"/>
            <w:gridSpan w:val="7"/>
            <w:tcBorders>
              <w:top w:val="nil"/>
              <w:left w:val="nil"/>
              <w:bottom w:val="nil"/>
              <w:right w:val="nil"/>
            </w:tcBorders>
            <w:hideMark/>
          </w:tcPr>
          <w:p w14:paraId="1BE6AA1C"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Correlation is significant at the 0.01 level (2-tailed).</w:t>
            </w:r>
          </w:p>
        </w:tc>
      </w:tr>
    </w:tbl>
    <w:p w14:paraId="289D394E" w14:textId="306DF72C" w:rsidR="004275AD" w:rsidRDefault="004275AD" w:rsidP="004275AD">
      <w:pPr>
        <w:bidi/>
        <w:rPr>
          <w:rFonts w:ascii="Times New Roman" w:hAnsi="Times New Roman" w:cs="Times New Roman"/>
          <w:sz w:val="28"/>
          <w:szCs w:val="28"/>
          <w:rtl/>
          <w:lang w:bidi="ar-EG"/>
        </w:rPr>
      </w:pPr>
      <w:r>
        <w:rPr>
          <w:rFonts w:ascii="Times New Roman" w:hAnsi="Times New Roman" w:cs="Times New Roman" w:hint="cs"/>
          <w:sz w:val="28"/>
          <w:szCs w:val="28"/>
          <w:rtl/>
        </w:rPr>
        <w:t xml:space="preserve">جدول (3-3) يوضح </w:t>
      </w:r>
      <w:r>
        <w:rPr>
          <w:rFonts w:ascii="Times New Roman" w:hAnsi="Times New Roman" w:cs="Times New Roman" w:hint="cs"/>
          <w:sz w:val="28"/>
          <w:szCs w:val="28"/>
          <w:rtl/>
          <w:lang w:bidi="ar-EG"/>
        </w:rPr>
        <w:t>الارتباط لفقرات التدريب والتطوير المستمر مع محورها المجمع:</w:t>
      </w:r>
    </w:p>
    <w:tbl>
      <w:tblPr>
        <w:bidiVisual/>
        <w:tblW w:w="10069" w:type="dxa"/>
        <w:tblLook w:val="04A0" w:firstRow="1" w:lastRow="0" w:firstColumn="1" w:lastColumn="0" w:noHBand="0" w:noVBand="1"/>
      </w:tblPr>
      <w:tblGrid>
        <w:gridCol w:w="1988"/>
        <w:gridCol w:w="1417"/>
        <w:gridCol w:w="1418"/>
        <w:gridCol w:w="1417"/>
        <w:gridCol w:w="1418"/>
        <w:gridCol w:w="1417"/>
        <w:gridCol w:w="994"/>
      </w:tblGrid>
      <w:tr w:rsidR="004275AD" w:rsidRPr="004275AD" w14:paraId="701EF93B" w14:textId="77777777" w:rsidTr="00637B0E">
        <w:trPr>
          <w:trHeight w:val="288"/>
        </w:trPr>
        <w:tc>
          <w:tcPr>
            <w:tcW w:w="10069" w:type="dxa"/>
            <w:gridSpan w:val="7"/>
            <w:tcBorders>
              <w:top w:val="nil"/>
              <w:left w:val="nil"/>
              <w:bottom w:val="nil"/>
              <w:right w:val="nil"/>
            </w:tcBorders>
            <w:vAlign w:val="center"/>
            <w:hideMark/>
          </w:tcPr>
          <w:p w14:paraId="53DD6956" w14:textId="77777777" w:rsidR="004275AD" w:rsidRPr="004275AD" w:rsidRDefault="004275AD" w:rsidP="004275AD">
            <w:pPr>
              <w:spacing w:after="0" w:line="240" w:lineRule="auto"/>
              <w:jc w:val="center"/>
              <w:rPr>
                <w:rFonts w:ascii="Arial Bold" w:eastAsia="Times New Roman" w:hAnsi="Arial Bold" w:cs="Times New Roman"/>
                <w:b/>
                <w:bCs/>
                <w:color w:val="000000"/>
                <w:kern w:val="0"/>
                <w:sz w:val="18"/>
                <w:szCs w:val="18"/>
                <w:lang w:val="en-GB" w:eastAsia="en-GB"/>
                <w14:ligatures w14:val="none"/>
              </w:rPr>
            </w:pPr>
            <w:r w:rsidRPr="004275AD">
              <w:rPr>
                <w:rFonts w:ascii="Arial Bold" w:eastAsia="Times New Roman" w:hAnsi="Arial Bold" w:cs="Times New Roman"/>
                <w:b/>
                <w:bCs/>
                <w:color w:val="000000"/>
                <w:kern w:val="0"/>
                <w:sz w:val="18"/>
                <w:szCs w:val="18"/>
                <w:lang w:val="en-GB" w:eastAsia="en-GB"/>
                <w14:ligatures w14:val="none"/>
              </w:rPr>
              <w:t>Correlations</w:t>
            </w:r>
          </w:p>
        </w:tc>
      </w:tr>
      <w:tr w:rsidR="00637B0E" w:rsidRPr="004275AD" w14:paraId="413CDB6D" w14:textId="77777777" w:rsidTr="00637B0E">
        <w:trPr>
          <w:trHeight w:val="480"/>
        </w:trPr>
        <w:tc>
          <w:tcPr>
            <w:tcW w:w="3405" w:type="dxa"/>
            <w:gridSpan w:val="2"/>
            <w:tcBorders>
              <w:top w:val="single" w:sz="12" w:space="0" w:color="000000"/>
              <w:left w:val="single" w:sz="12" w:space="0" w:color="000000"/>
              <w:bottom w:val="single" w:sz="12" w:space="0" w:color="000000"/>
              <w:right w:val="single" w:sz="12" w:space="0" w:color="000000"/>
            </w:tcBorders>
            <w:vAlign w:val="center"/>
            <w:hideMark/>
          </w:tcPr>
          <w:p w14:paraId="6F4C4956"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8" w:type="dxa"/>
            <w:tcBorders>
              <w:top w:val="single" w:sz="12" w:space="0" w:color="000000"/>
              <w:left w:val="single" w:sz="12" w:space="0" w:color="000000"/>
              <w:bottom w:val="single" w:sz="12" w:space="0" w:color="000000"/>
              <w:right w:val="single" w:sz="4" w:space="0" w:color="000000"/>
            </w:tcBorders>
            <w:vAlign w:val="center"/>
            <w:hideMark/>
          </w:tcPr>
          <w:p w14:paraId="5CA660A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5. </w:t>
            </w:r>
            <w:r w:rsidRPr="004275AD">
              <w:rPr>
                <w:rFonts w:ascii="Arial" w:eastAsia="Times New Roman" w:hAnsi="Arial" w:cs="Arial"/>
                <w:color w:val="000000"/>
                <w:kern w:val="0"/>
                <w:sz w:val="18"/>
                <w:szCs w:val="18"/>
                <w:rtl/>
                <w:lang w:val="en-GB" w:eastAsia="en-GB"/>
                <w14:ligatures w14:val="none"/>
              </w:rPr>
              <w:t>توفر المنظمة برامج</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تدريب منتظمة لتحسين مهارات الموظفين</w:t>
            </w:r>
            <w:r w:rsidRPr="004275AD">
              <w:rPr>
                <w:rFonts w:ascii="Arial" w:eastAsia="Times New Roman" w:hAnsi="Arial" w:cs="Arial"/>
                <w:color w:val="000000"/>
                <w:kern w:val="0"/>
                <w:sz w:val="18"/>
                <w:szCs w:val="18"/>
                <w:lang w:val="en-GB" w:eastAsia="en-GB"/>
                <w14:ligatures w14:val="none"/>
              </w:rPr>
              <w:t>.</w:t>
            </w:r>
          </w:p>
        </w:tc>
        <w:tc>
          <w:tcPr>
            <w:tcW w:w="1417" w:type="dxa"/>
            <w:tcBorders>
              <w:top w:val="single" w:sz="12" w:space="0" w:color="000000"/>
              <w:left w:val="single" w:sz="4" w:space="0" w:color="000000"/>
              <w:bottom w:val="single" w:sz="12" w:space="0" w:color="000000"/>
              <w:right w:val="single" w:sz="4" w:space="0" w:color="000000"/>
            </w:tcBorders>
            <w:vAlign w:val="center"/>
            <w:hideMark/>
          </w:tcPr>
          <w:p w14:paraId="75D6BC9C"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6. </w:t>
            </w:r>
            <w:r w:rsidRPr="004275AD">
              <w:rPr>
                <w:rFonts w:ascii="Arial" w:eastAsia="Times New Roman" w:hAnsi="Arial" w:cs="Arial"/>
                <w:color w:val="000000"/>
                <w:kern w:val="0"/>
                <w:sz w:val="18"/>
                <w:szCs w:val="18"/>
                <w:rtl/>
                <w:lang w:val="en-GB" w:eastAsia="en-GB"/>
                <w14:ligatures w14:val="none"/>
              </w:rPr>
              <w:t>يتم ربط التدريب</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بأهداف العمل ومتطلبات التطوير المستقبلية</w:t>
            </w:r>
            <w:r w:rsidRPr="004275AD">
              <w:rPr>
                <w:rFonts w:ascii="Arial" w:eastAsia="Times New Roman" w:hAnsi="Arial" w:cs="Arial"/>
                <w:color w:val="000000"/>
                <w:kern w:val="0"/>
                <w:sz w:val="18"/>
                <w:szCs w:val="18"/>
                <w:lang w:val="en-GB" w:eastAsia="en-GB"/>
                <w14:ligatures w14:val="none"/>
              </w:rPr>
              <w:t>.</w:t>
            </w:r>
          </w:p>
        </w:tc>
        <w:tc>
          <w:tcPr>
            <w:tcW w:w="1418" w:type="dxa"/>
            <w:tcBorders>
              <w:top w:val="single" w:sz="12" w:space="0" w:color="000000"/>
              <w:left w:val="single" w:sz="4" w:space="0" w:color="000000"/>
              <w:bottom w:val="single" w:sz="12" w:space="0" w:color="000000"/>
              <w:right w:val="single" w:sz="4" w:space="0" w:color="000000"/>
            </w:tcBorders>
            <w:vAlign w:val="center"/>
            <w:hideMark/>
          </w:tcPr>
          <w:p w14:paraId="4A0E93A0"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7. </w:t>
            </w:r>
            <w:r w:rsidRPr="004275AD">
              <w:rPr>
                <w:rFonts w:ascii="Arial" w:eastAsia="Times New Roman" w:hAnsi="Arial" w:cs="Arial"/>
                <w:color w:val="000000"/>
                <w:kern w:val="0"/>
                <w:sz w:val="18"/>
                <w:szCs w:val="18"/>
                <w:rtl/>
                <w:lang w:val="en-GB" w:eastAsia="en-GB"/>
                <w14:ligatures w14:val="none"/>
              </w:rPr>
              <w:t>يتم تشجيع الموظفين</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على حضور الدورات الداخلية والخارجية</w:t>
            </w:r>
            <w:r w:rsidRPr="004275AD">
              <w:rPr>
                <w:rFonts w:ascii="Arial" w:eastAsia="Times New Roman" w:hAnsi="Arial" w:cs="Arial"/>
                <w:color w:val="000000"/>
                <w:kern w:val="0"/>
                <w:sz w:val="18"/>
                <w:szCs w:val="18"/>
                <w:lang w:val="en-GB" w:eastAsia="en-GB"/>
                <w14:ligatures w14:val="none"/>
              </w:rPr>
              <w:t>.</w:t>
            </w:r>
          </w:p>
        </w:tc>
        <w:tc>
          <w:tcPr>
            <w:tcW w:w="1417" w:type="dxa"/>
            <w:tcBorders>
              <w:top w:val="single" w:sz="12" w:space="0" w:color="000000"/>
              <w:left w:val="single" w:sz="4" w:space="0" w:color="000000"/>
              <w:bottom w:val="single" w:sz="12" w:space="0" w:color="000000"/>
              <w:right w:val="single" w:sz="4" w:space="0" w:color="000000"/>
            </w:tcBorders>
            <w:vAlign w:val="center"/>
            <w:hideMark/>
          </w:tcPr>
          <w:p w14:paraId="2C422AC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8. </w:t>
            </w:r>
            <w:r w:rsidRPr="004275AD">
              <w:rPr>
                <w:rFonts w:ascii="Arial" w:eastAsia="Times New Roman" w:hAnsi="Arial" w:cs="Arial"/>
                <w:color w:val="000000"/>
                <w:kern w:val="0"/>
                <w:sz w:val="18"/>
                <w:szCs w:val="18"/>
                <w:rtl/>
                <w:lang w:val="en-GB" w:eastAsia="en-GB"/>
                <w14:ligatures w14:val="none"/>
              </w:rPr>
              <w:t>تقيّم الإدارة</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احتياجات التدريب بناءً على نتائج الأداء</w:t>
            </w:r>
            <w:r w:rsidRPr="004275AD">
              <w:rPr>
                <w:rFonts w:ascii="Arial" w:eastAsia="Times New Roman" w:hAnsi="Arial" w:cs="Arial"/>
                <w:color w:val="000000"/>
                <w:kern w:val="0"/>
                <w:sz w:val="18"/>
                <w:szCs w:val="18"/>
                <w:lang w:val="en-GB" w:eastAsia="en-GB"/>
                <w14:ligatures w14:val="none"/>
              </w:rPr>
              <w:t>.</w:t>
            </w:r>
          </w:p>
        </w:tc>
        <w:tc>
          <w:tcPr>
            <w:tcW w:w="994" w:type="dxa"/>
            <w:tcBorders>
              <w:top w:val="single" w:sz="12" w:space="0" w:color="000000"/>
              <w:left w:val="single" w:sz="4" w:space="0" w:color="000000"/>
              <w:bottom w:val="single" w:sz="12" w:space="0" w:color="000000"/>
              <w:right w:val="single" w:sz="12" w:space="0" w:color="000000"/>
            </w:tcBorders>
            <w:vAlign w:val="center"/>
            <w:hideMark/>
          </w:tcPr>
          <w:p w14:paraId="01700357" w14:textId="77777777" w:rsidR="004275AD" w:rsidRPr="004275AD" w:rsidRDefault="004275AD" w:rsidP="004275AD">
            <w:pPr>
              <w:bidi/>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rtl/>
                <w:lang w:val="en-GB" w:eastAsia="en-GB"/>
                <w14:ligatures w14:val="none"/>
              </w:rPr>
              <w:t>ثانيًا: التدريب والتطوير المستمر</w:t>
            </w:r>
          </w:p>
        </w:tc>
      </w:tr>
      <w:tr w:rsidR="008410A6" w:rsidRPr="004275AD" w14:paraId="7181AD86" w14:textId="77777777" w:rsidTr="00637B0E">
        <w:trPr>
          <w:trHeight w:val="288"/>
        </w:trPr>
        <w:tc>
          <w:tcPr>
            <w:tcW w:w="1988" w:type="dxa"/>
            <w:vMerge w:val="restart"/>
            <w:tcBorders>
              <w:top w:val="nil"/>
              <w:left w:val="single" w:sz="12" w:space="0" w:color="000000"/>
              <w:bottom w:val="nil"/>
              <w:right w:val="nil"/>
            </w:tcBorders>
            <w:vAlign w:val="center"/>
            <w:hideMark/>
          </w:tcPr>
          <w:p w14:paraId="56BAAEA0" w14:textId="77777777" w:rsidR="004275AD" w:rsidRPr="004275AD" w:rsidRDefault="004275AD" w:rsidP="004275AD">
            <w:pPr>
              <w:spacing w:after="0" w:line="240" w:lineRule="auto"/>
              <w:jc w:val="center"/>
              <w:rPr>
                <w:rFonts w:ascii="Arial" w:eastAsia="Times New Roman" w:hAnsi="Arial" w:cs="Arial"/>
                <w:color w:val="000000"/>
                <w:kern w:val="0"/>
                <w:sz w:val="18"/>
                <w:szCs w:val="18"/>
                <w:rtl/>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5. </w:t>
            </w:r>
            <w:r w:rsidRPr="004275AD">
              <w:rPr>
                <w:rFonts w:ascii="Arial" w:eastAsia="Times New Roman" w:hAnsi="Arial" w:cs="Arial"/>
                <w:color w:val="000000"/>
                <w:kern w:val="0"/>
                <w:sz w:val="18"/>
                <w:szCs w:val="18"/>
                <w:rtl/>
                <w:lang w:val="en-GB" w:eastAsia="en-GB"/>
                <w14:ligatures w14:val="none"/>
              </w:rPr>
              <w:t>توفر المنظمة برامج تدريب منتظمة لتحسين مهارات</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الموظفين</w:t>
            </w:r>
            <w:r w:rsidRPr="004275AD">
              <w:rPr>
                <w:rFonts w:ascii="Arial" w:eastAsia="Times New Roman" w:hAnsi="Arial" w:cs="Arial"/>
                <w:color w:val="000000"/>
                <w:kern w:val="0"/>
                <w:sz w:val="18"/>
                <w:szCs w:val="18"/>
                <w:lang w:val="en-GB" w:eastAsia="en-GB"/>
                <w14:ligatures w14:val="none"/>
              </w:rPr>
              <w:t>.</w:t>
            </w:r>
          </w:p>
        </w:tc>
        <w:tc>
          <w:tcPr>
            <w:tcW w:w="1417" w:type="dxa"/>
            <w:tcBorders>
              <w:top w:val="nil"/>
              <w:left w:val="nil"/>
              <w:bottom w:val="nil"/>
              <w:right w:val="single" w:sz="12" w:space="0" w:color="000000"/>
            </w:tcBorders>
            <w:vAlign w:val="center"/>
            <w:hideMark/>
          </w:tcPr>
          <w:p w14:paraId="52CA271C"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1418" w:type="dxa"/>
            <w:tcBorders>
              <w:top w:val="nil"/>
              <w:left w:val="single" w:sz="12" w:space="0" w:color="000000"/>
              <w:bottom w:val="nil"/>
              <w:right w:val="single" w:sz="4" w:space="0" w:color="000000"/>
            </w:tcBorders>
            <w:noWrap/>
            <w:vAlign w:val="center"/>
            <w:hideMark/>
          </w:tcPr>
          <w:p w14:paraId="304B481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1417" w:type="dxa"/>
            <w:tcBorders>
              <w:top w:val="nil"/>
              <w:left w:val="single" w:sz="4" w:space="0" w:color="000000"/>
              <w:bottom w:val="nil"/>
              <w:right w:val="single" w:sz="4" w:space="0" w:color="000000"/>
            </w:tcBorders>
            <w:noWrap/>
            <w:vAlign w:val="center"/>
            <w:hideMark/>
          </w:tcPr>
          <w:p w14:paraId="5319A246"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8" w:type="dxa"/>
            <w:tcBorders>
              <w:top w:val="nil"/>
              <w:left w:val="single" w:sz="4" w:space="0" w:color="000000"/>
              <w:bottom w:val="nil"/>
              <w:right w:val="single" w:sz="4" w:space="0" w:color="000000"/>
            </w:tcBorders>
            <w:noWrap/>
            <w:vAlign w:val="center"/>
            <w:hideMark/>
          </w:tcPr>
          <w:p w14:paraId="1973444E"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7" w:type="dxa"/>
            <w:tcBorders>
              <w:top w:val="nil"/>
              <w:left w:val="single" w:sz="4" w:space="0" w:color="000000"/>
              <w:bottom w:val="nil"/>
              <w:right w:val="single" w:sz="4" w:space="0" w:color="000000"/>
            </w:tcBorders>
            <w:noWrap/>
            <w:vAlign w:val="center"/>
            <w:hideMark/>
          </w:tcPr>
          <w:p w14:paraId="761014E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994" w:type="dxa"/>
            <w:tcBorders>
              <w:top w:val="nil"/>
              <w:left w:val="single" w:sz="4" w:space="0" w:color="000000"/>
              <w:bottom w:val="nil"/>
              <w:right w:val="single" w:sz="12" w:space="0" w:color="000000"/>
            </w:tcBorders>
            <w:noWrap/>
            <w:vAlign w:val="center"/>
            <w:hideMark/>
          </w:tcPr>
          <w:p w14:paraId="61FE3D4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7C57A637" w14:textId="77777777" w:rsidTr="00637B0E">
        <w:trPr>
          <w:trHeight w:val="247"/>
        </w:trPr>
        <w:tc>
          <w:tcPr>
            <w:tcW w:w="1988" w:type="dxa"/>
            <w:vMerge/>
            <w:tcBorders>
              <w:top w:val="nil"/>
              <w:left w:val="single" w:sz="12" w:space="0" w:color="000000"/>
              <w:bottom w:val="nil"/>
              <w:right w:val="nil"/>
            </w:tcBorders>
            <w:vAlign w:val="center"/>
            <w:hideMark/>
          </w:tcPr>
          <w:p w14:paraId="16EADAA1"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7" w:type="dxa"/>
            <w:tcBorders>
              <w:top w:val="nil"/>
              <w:left w:val="nil"/>
              <w:bottom w:val="nil"/>
              <w:right w:val="single" w:sz="12" w:space="0" w:color="000000"/>
            </w:tcBorders>
            <w:vAlign w:val="center"/>
            <w:hideMark/>
          </w:tcPr>
          <w:p w14:paraId="4AD20A29" w14:textId="1B5D188F"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w:t>
            </w:r>
          </w:p>
        </w:tc>
        <w:tc>
          <w:tcPr>
            <w:tcW w:w="1418" w:type="dxa"/>
            <w:tcBorders>
              <w:top w:val="nil"/>
              <w:left w:val="single" w:sz="12" w:space="0" w:color="000000"/>
              <w:bottom w:val="nil"/>
              <w:right w:val="single" w:sz="4" w:space="0" w:color="000000"/>
            </w:tcBorders>
            <w:vAlign w:val="center"/>
            <w:hideMark/>
          </w:tcPr>
          <w:p w14:paraId="76DC9F2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7" w:type="dxa"/>
            <w:tcBorders>
              <w:top w:val="nil"/>
              <w:left w:val="single" w:sz="4" w:space="0" w:color="000000"/>
              <w:bottom w:val="nil"/>
              <w:right w:val="single" w:sz="4" w:space="0" w:color="000000"/>
            </w:tcBorders>
            <w:noWrap/>
            <w:vAlign w:val="center"/>
            <w:hideMark/>
          </w:tcPr>
          <w:p w14:paraId="08D2C0B0"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8" w:type="dxa"/>
            <w:tcBorders>
              <w:top w:val="nil"/>
              <w:left w:val="single" w:sz="4" w:space="0" w:color="000000"/>
              <w:bottom w:val="nil"/>
              <w:right w:val="single" w:sz="4" w:space="0" w:color="000000"/>
            </w:tcBorders>
            <w:noWrap/>
            <w:vAlign w:val="center"/>
            <w:hideMark/>
          </w:tcPr>
          <w:p w14:paraId="1836DCD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7" w:type="dxa"/>
            <w:tcBorders>
              <w:top w:val="nil"/>
              <w:left w:val="single" w:sz="4" w:space="0" w:color="000000"/>
              <w:bottom w:val="nil"/>
              <w:right w:val="single" w:sz="4" w:space="0" w:color="000000"/>
            </w:tcBorders>
            <w:noWrap/>
            <w:vAlign w:val="center"/>
            <w:hideMark/>
          </w:tcPr>
          <w:p w14:paraId="0BC38AE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994" w:type="dxa"/>
            <w:tcBorders>
              <w:top w:val="nil"/>
              <w:left w:val="single" w:sz="4" w:space="0" w:color="000000"/>
              <w:bottom w:val="nil"/>
              <w:right w:val="single" w:sz="12" w:space="0" w:color="000000"/>
            </w:tcBorders>
            <w:noWrap/>
            <w:vAlign w:val="center"/>
            <w:hideMark/>
          </w:tcPr>
          <w:p w14:paraId="67B3EB5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13043615" w14:textId="77777777" w:rsidTr="00637B0E">
        <w:trPr>
          <w:trHeight w:val="276"/>
        </w:trPr>
        <w:tc>
          <w:tcPr>
            <w:tcW w:w="1988" w:type="dxa"/>
            <w:vMerge w:val="restart"/>
            <w:tcBorders>
              <w:top w:val="single" w:sz="4" w:space="0" w:color="000000"/>
              <w:left w:val="single" w:sz="12" w:space="0" w:color="000000"/>
              <w:bottom w:val="nil"/>
              <w:right w:val="nil"/>
            </w:tcBorders>
            <w:vAlign w:val="center"/>
            <w:hideMark/>
          </w:tcPr>
          <w:p w14:paraId="49908EB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6. </w:t>
            </w:r>
            <w:r w:rsidRPr="004275AD">
              <w:rPr>
                <w:rFonts w:ascii="Arial" w:eastAsia="Times New Roman" w:hAnsi="Arial" w:cs="Arial"/>
                <w:color w:val="000000"/>
                <w:kern w:val="0"/>
                <w:sz w:val="18"/>
                <w:szCs w:val="18"/>
                <w:rtl/>
                <w:lang w:val="en-GB" w:eastAsia="en-GB"/>
                <w14:ligatures w14:val="none"/>
              </w:rPr>
              <w:t>يتم ربط التدريب بأهداف العمل ومتطلبات التطوير المستقبلية</w:t>
            </w:r>
            <w:r w:rsidRPr="004275AD">
              <w:rPr>
                <w:rFonts w:ascii="Arial" w:eastAsia="Times New Roman" w:hAnsi="Arial" w:cs="Arial"/>
                <w:color w:val="000000"/>
                <w:kern w:val="0"/>
                <w:sz w:val="18"/>
                <w:szCs w:val="18"/>
                <w:lang w:val="en-GB" w:eastAsia="en-GB"/>
                <w14:ligatures w14:val="none"/>
              </w:rPr>
              <w:t>.</w:t>
            </w:r>
          </w:p>
        </w:tc>
        <w:tc>
          <w:tcPr>
            <w:tcW w:w="1417" w:type="dxa"/>
            <w:tcBorders>
              <w:top w:val="nil"/>
              <w:left w:val="nil"/>
              <w:bottom w:val="nil"/>
              <w:right w:val="single" w:sz="12" w:space="0" w:color="000000"/>
            </w:tcBorders>
            <w:vAlign w:val="center"/>
            <w:hideMark/>
          </w:tcPr>
          <w:p w14:paraId="49C0746C"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1418" w:type="dxa"/>
            <w:tcBorders>
              <w:top w:val="nil"/>
              <w:left w:val="single" w:sz="12" w:space="0" w:color="000000"/>
              <w:bottom w:val="nil"/>
              <w:right w:val="single" w:sz="4" w:space="0" w:color="000000"/>
            </w:tcBorders>
            <w:noWrap/>
            <w:vAlign w:val="center"/>
            <w:hideMark/>
          </w:tcPr>
          <w:p w14:paraId="773F40ED"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.582</w:t>
            </w:r>
            <w:r w:rsidRPr="004275AD">
              <w:rPr>
                <w:rFonts w:ascii="Arial" w:eastAsia="Times New Roman" w:hAnsi="Arial" w:cs="Arial"/>
                <w:color w:val="000000"/>
                <w:kern w:val="0"/>
                <w:sz w:val="18"/>
                <w:szCs w:val="18"/>
                <w:vertAlign w:val="superscript"/>
                <w:lang w:val="en-GB" w:eastAsia="en-GB"/>
                <w14:ligatures w14:val="none"/>
              </w:rPr>
              <w:t>**</w:t>
            </w:r>
          </w:p>
        </w:tc>
        <w:tc>
          <w:tcPr>
            <w:tcW w:w="1417" w:type="dxa"/>
            <w:tcBorders>
              <w:top w:val="nil"/>
              <w:left w:val="single" w:sz="4" w:space="0" w:color="000000"/>
              <w:bottom w:val="nil"/>
              <w:right w:val="single" w:sz="4" w:space="0" w:color="000000"/>
            </w:tcBorders>
            <w:noWrap/>
            <w:vAlign w:val="center"/>
            <w:hideMark/>
          </w:tcPr>
          <w:p w14:paraId="50AAC14D"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1418" w:type="dxa"/>
            <w:tcBorders>
              <w:top w:val="nil"/>
              <w:left w:val="single" w:sz="4" w:space="0" w:color="000000"/>
              <w:bottom w:val="nil"/>
              <w:right w:val="single" w:sz="4" w:space="0" w:color="000000"/>
            </w:tcBorders>
            <w:noWrap/>
            <w:vAlign w:val="center"/>
            <w:hideMark/>
          </w:tcPr>
          <w:p w14:paraId="41C694E5"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7" w:type="dxa"/>
            <w:tcBorders>
              <w:top w:val="nil"/>
              <w:left w:val="single" w:sz="4" w:space="0" w:color="000000"/>
              <w:bottom w:val="nil"/>
              <w:right w:val="single" w:sz="4" w:space="0" w:color="000000"/>
            </w:tcBorders>
            <w:noWrap/>
            <w:vAlign w:val="center"/>
            <w:hideMark/>
          </w:tcPr>
          <w:p w14:paraId="7A4ADA9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994" w:type="dxa"/>
            <w:tcBorders>
              <w:top w:val="nil"/>
              <w:left w:val="single" w:sz="4" w:space="0" w:color="000000"/>
              <w:bottom w:val="nil"/>
              <w:right w:val="single" w:sz="12" w:space="0" w:color="000000"/>
            </w:tcBorders>
            <w:noWrap/>
            <w:vAlign w:val="center"/>
            <w:hideMark/>
          </w:tcPr>
          <w:p w14:paraId="24B01AE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159EE83E" w14:textId="77777777" w:rsidTr="00637B0E">
        <w:trPr>
          <w:trHeight w:val="276"/>
        </w:trPr>
        <w:tc>
          <w:tcPr>
            <w:tcW w:w="1988" w:type="dxa"/>
            <w:vMerge/>
            <w:tcBorders>
              <w:top w:val="single" w:sz="4" w:space="0" w:color="000000"/>
              <w:left w:val="single" w:sz="12" w:space="0" w:color="000000"/>
              <w:bottom w:val="nil"/>
              <w:right w:val="nil"/>
            </w:tcBorders>
            <w:vAlign w:val="center"/>
            <w:hideMark/>
          </w:tcPr>
          <w:p w14:paraId="239B7F46"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7" w:type="dxa"/>
            <w:tcBorders>
              <w:top w:val="nil"/>
              <w:left w:val="nil"/>
              <w:bottom w:val="nil"/>
              <w:right w:val="single" w:sz="12" w:space="0" w:color="000000"/>
            </w:tcBorders>
            <w:vAlign w:val="center"/>
            <w:hideMark/>
          </w:tcPr>
          <w:p w14:paraId="1F6E6A6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1418" w:type="dxa"/>
            <w:tcBorders>
              <w:top w:val="nil"/>
              <w:left w:val="single" w:sz="12" w:space="0" w:color="000000"/>
              <w:bottom w:val="nil"/>
              <w:right w:val="single" w:sz="4" w:space="0" w:color="000000"/>
            </w:tcBorders>
            <w:noWrap/>
            <w:vAlign w:val="center"/>
            <w:hideMark/>
          </w:tcPr>
          <w:p w14:paraId="69F4162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417" w:type="dxa"/>
            <w:tcBorders>
              <w:top w:val="nil"/>
              <w:left w:val="single" w:sz="4" w:space="0" w:color="000000"/>
              <w:bottom w:val="nil"/>
              <w:right w:val="single" w:sz="4" w:space="0" w:color="000000"/>
            </w:tcBorders>
            <w:vAlign w:val="center"/>
            <w:hideMark/>
          </w:tcPr>
          <w:p w14:paraId="5402CD3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8" w:type="dxa"/>
            <w:tcBorders>
              <w:top w:val="nil"/>
              <w:left w:val="single" w:sz="4" w:space="0" w:color="000000"/>
              <w:bottom w:val="nil"/>
              <w:right w:val="single" w:sz="4" w:space="0" w:color="000000"/>
            </w:tcBorders>
            <w:noWrap/>
            <w:vAlign w:val="center"/>
            <w:hideMark/>
          </w:tcPr>
          <w:p w14:paraId="0A881BF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7" w:type="dxa"/>
            <w:tcBorders>
              <w:top w:val="nil"/>
              <w:left w:val="single" w:sz="4" w:space="0" w:color="000000"/>
              <w:bottom w:val="nil"/>
              <w:right w:val="single" w:sz="4" w:space="0" w:color="000000"/>
            </w:tcBorders>
            <w:noWrap/>
            <w:vAlign w:val="center"/>
            <w:hideMark/>
          </w:tcPr>
          <w:p w14:paraId="22A589CE"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994" w:type="dxa"/>
            <w:tcBorders>
              <w:top w:val="nil"/>
              <w:left w:val="single" w:sz="4" w:space="0" w:color="000000"/>
              <w:bottom w:val="nil"/>
              <w:right w:val="single" w:sz="12" w:space="0" w:color="000000"/>
            </w:tcBorders>
            <w:noWrap/>
            <w:vAlign w:val="center"/>
            <w:hideMark/>
          </w:tcPr>
          <w:p w14:paraId="43A46AB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1D0735BE" w14:textId="77777777" w:rsidTr="00637B0E">
        <w:trPr>
          <w:trHeight w:val="276"/>
        </w:trPr>
        <w:tc>
          <w:tcPr>
            <w:tcW w:w="1988" w:type="dxa"/>
            <w:vMerge w:val="restart"/>
            <w:tcBorders>
              <w:top w:val="single" w:sz="4" w:space="0" w:color="000000"/>
              <w:left w:val="single" w:sz="12" w:space="0" w:color="000000"/>
              <w:bottom w:val="nil"/>
              <w:right w:val="nil"/>
            </w:tcBorders>
            <w:vAlign w:val="center"/>
            <w:hideMark/>
          </w:tcPr>
          <w:p w14:paraId="0C404C5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7. </w:t>
            </w:r>
            <w:r w:rsidRPr="004275AD">
              <w:rPr>
                <w:rFonts w:ascii="Arial" w:eastAsia="Times New Roman" w:hAnsi="Arial" w:cs="Arial"/>
                <w:color w:val="000000"/>
                <w:kern w:val="0"/>
                <w:sz w:val="18"/>
                <w:szCs w:val="18"/>
                <w:rtl/>
                <w:lang w:val="en-GB" w:eastAsia="en-GB"/>
                <w14:ligatures w14:val="none"/>
              </w:rPr>
              <w:t>يتم تشجيع الموظفين على حضور الدورات الداخلية والخارجية</w:t>
            </w:r>
            <w:r w:rsidRPr="004275AD">
              <w:rPr>
                <w:rFonts w:ascii="Arial" w:eastAsia="Times New Roman" w:hAnsi="Arial" w:cs="Arial"/>
                <w:color w:val="000000"/>
                <w:kern w:val="0"/>
                <w:sz w:val="18"/>
                <w:szCs w:val="18"/>
                <w:lang w:val="en-GB" w:eastAsia="en-GB"/>
                <w14:ligatures w14:val="none"/>
              </w:rPr>
              <w:t>.</w:t>
            </w:r>
          </w:p>
        </w:tc>
        <w:tc>
          <w:tcPr>
            <w:tcW w:w="1417" w:type="dxa"/>
            <w:tcBorders>
              <w:top w:val="nil"/>
              <w:left w:val="nil"/>
              <w:bottom w:val="nil"/>
              <w:right w:val="single" w:sz="12" w:space="0" w:color="000000"/>
            </w:tcBorders>
            <w:vAlign w:val="center"/>
            <w:hideMark/>
          </w:tcPr>
          <w:p w14:paraId="19BE94A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1418" w:type="dxa"/>
            <w:tcBorders>
              <w:top w:val="nil"/>
              <w:left w:val="single" w:sz="12" w:space="0" w:color="000000"/>
              <w:bottom w:val="nil"/>
              <w:right w:val="single" w:sz="4" w:space="0" w:color="000000"/>
            </w:tcBorders>
            <w:noWrap/>
            <w:vAlign w:val="center"/>
            <w:hideMark/>
          </w:tcPr>
          <w:p w14:paraId="3F5AAB95"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.563</w:t>
            </w:r>
            <w:r w:rsidRPr="004275AD">
              <w:rPr>
                <w:rFonts w:ascii="Arial" w:eastAsia="Times New Roman" w:hAnsi="Arial" w:cs="Arial"/>
                <w:color w:val="000000"/>
                <w:kern w:val="0"/>
                <w:sz w:val="18"/>
                <w:szCs w:val="18"/>
                <w:vertAlign w:val="superscript"/>
                <w:lang w:val="en-GB" w:eastAsia="en-GB"/>
                <w14:ligatures w14:val="none"/>
              </w:rPr>
              <w:t>**</w:t>
            </w:r>
          </w:p>
        </w:tc>
        <w:tc>
          <w:tcPr>
            <w:tcW w:w="1417" w:type="dxa"/>
            <w:tcBorders>
              <w:top w:val="nil"/>
              <w:left w:val="single" w:sz="4" w:space="0" w:color="000000"/>
              <w:bottom w:val="nil"/>
              <w:right w:val="single" w:sz="4" w:space="0" w:color="000000"/>
            </w:tcBorders>
            <w:noWrap/>
            <w:vAlign w:val="center"/>
            <w:hideMark/>
          </w:tcPr>
          <w:p w14:paraId="14753AD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.516</w:t>
            </w:r>
            <w:r w:rsidRPr="004275AD">
              <w:rPr>
                <w:rFonts w:ascii="Arial" w:eastAsia="Times New Roman" w:hAnsi="Arial" w:cs="Arial"/>
                <w:color w:val="000000"/>
                <w:kern w:val="0"/>
                <w:sz w:val="18"/>
                <w:szCs w:val="18"/>
                <w:vertAlign w:val="superscript"/>
                <w:lang w:val="en-GB" w:eastAsia="en-GB"/>
                <w14:ligatures w14:val="none"/>
              </w:rPr>
              <w:t>**</w:t>
            </w:r>
          </w:p>
        </w:tc>
        <w:tc>
          <w:tcPr>
            <w:tcW w:w="1418" w:type="dxa"/>
            <w:tcBorders>
              <w:top w:val="nil"/>
              <w:left w:val="single" w:sz="4" w:space="0" w:color="000000"/>
              <w:bottom w:val="nil"/>
              <w:right w:val="single" w:sz="4" w:space="0" w:color="000000"/>
            </w:tcBorders>
            <w:noWrap/>
            <w:vAlign w:val="center"/>
            <w:hideMark/>
          </w:tcPr>
          <w:p w14:paraId="705EF70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1417" w:type="dxa"/>
            <w:tcBorders>
              <w:top w:val="nil"/>
              <w:left w:val="single" w:sz="4" w:space="0" w:color="000000"/>
              <w:bottom w:val="nil"/>
              <w:right w:val="single" w:sz="4" w:space="0" w:color="000000"/>
            </w:tcBorders>
            <w:noWrap/>
            <w:vAlign w:val="center"/>
            <w:hideMark/>
          </w:tcPr>
          <w:p w14:paraId="0638FA0E"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994" w:type="dxa"/>
            <w:tcBorders>
              <w:top w:val="nil"/>
              <w:left w:val="single" w:sz="4" w:space="0" w:color="000000"/>
              <w:bottom w:val="nil"/>
              <w:right w:val="single" w:sz="12" w:space="0" w:color="000000"/>
            </w:tcBorders>
            <w:noWrap/>
            <w:vAlign w:val="center"/>
            <w:hideMark/>
          </w:tcPr>
          <w:p w14:paraId="52DDAB7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53270DC4" w14:textId="77777777" w:rsidTr="00637B0E">
        <w:trPr>
          <w:trHeight w:val="276"/>
        </w:trPr>
        <w:tc>
          <w:tcPr>
            <w:tcW w:w="1988" w:type="dxa"/>
            <w:vMerge/>
            <w:tcBorders>
              <w:top w:val="single" w:sz="4" w:space="0" w:color="000000"/>
              <w:left w:val="single" w:sz="12" w:space="0" w:color="000000"/>
              <w:bottom w:val="nil"/>
              <w:right w:val="nil"/>
            </w:tcBorders>
            <w:vAlign w:val="center"/>
            <w:hideMark/>
          </w:tcPr>
          <w:p w14:paraId="38A58122"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7" w:type="dxa"/>
            <w:tcBorders>
              <w:top w:val="nil"/>
              <w:left w:val="nil"/>
              <w:bottom w:val="nil"/>
              <w:right w:val="single" w:sz="12" w:space="0" w:color="000000"/>
            </w:tcBorders>
            <w:vAlign w:val="center"/>
            <w:hideMark/>
          </w:tcPr>
          <w:p w14:paraId="4057B74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1418" w:type="dxa"/>
            <w:tcBorders>
              <w:top w:val="nil"/>
              <w:left w:val="single" w:sz="12" w:space="0" w:color="000000"/>
              <w:bottom w:val="nil"/>
              <w:right w:val="single" w:sz="4" w:space="0" w:color="000000"/>
            </w:tcBorders>
            <w:noWrap/>
            <w:vAlign w:val="center"/>
            <w:hideMark/>
          </w:tcPr>
          <w:p w14:paraId="001F65B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417" w:type="dxa"/>
            <w:tcBorders>
              <w:top w:val="nil"/>
              <w:left w:val="single" w:sz="4" w:space="0" w:color="000000"/>
              <w:bottom w:val="nil"/>
              <w:right w:val="single" w:sz="4" w:space="0" w:color="000000"/>
            </w:tcBorders>
            <w:noWrap/>
            <w:vAlign w:val="center"/>
            <w:hideMark/>
          </w:tcPr>
          <w:p w14:paraId="4F8E743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418" w:type="dxa"/>
            <w:tcBorders>
              <w:top w:val="nil"/>
              <w:left w:val="single" w:sz="4" w:space="0" w:color="000000"/>
              <w:bottom w:val="nil"/>
              <w:right w:val="single" w:sz="4" w:space="0" w:color="000000"/>
            </w:tcBorders>
            <w:vAlign w:val="center"/>
            <w:hideMark/>
          </w:tcPr>
          <w:p w14:paraId="270D9EE1"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417" w:type="dxa"/>
            <w:tcBorders>
              <w:top w:val="nil"/>
              <w:left w:val="single" w:sz="4" w:space="0" w:color="000000"/>
              <w:bottom w:val="nil"/>
              <w:right w:val="single" w:sz="4" w:space="0" w:color="000000"/>
            </w:tcBorders>
            <w:noWrap/>
            <w:vAlign w:val="center"/>
            <w:hideMark/>
          </w:tcPr>
          <w:p w14:paraId="5094DC61"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994" w:type="dxa"/>
            <w:tcBorders>
              <w:top w:val="nil"/>
              <w:left w:val="single" w:sz="4" w:space="0" w:color="000000"/>
              <w:bottom w:val="nil"/>
              <w:right w:val="single" w:sz="12" w:space="0" w:color="000000"/>
            </w:tcBorders>
            <w:noWrap/>
            <w:vAlign w:val="center"/>
            <w:hideMark/>
          </w:tcPr>
          <w:p w14:paraId="79D74961"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1CEE7729" w14:textId="77777777" w:rsidTr="00637B0E">
        <w:trPr>
          <w:trHeight w:val="276"/>
        </w:trPr>
        <w:tc>
          <w:tcPr>
            <w:tcW w:w="1988" w:type="dxa"/>
            <w:vMerge w:val="restart"/>
            <w:tcBorders>
              <w:top w:val="single" w:sz="4" w:space="0" w:color="000000"/>
              <w:left w:val="single" w:sz="12" w:space="0" w:color="000000"/>
              <w:bottom w:val="nil"/>
              <w:right w:val="nil"/>
            </w:tcBorders>
            <w:vAlign w:val="center"/>
            <w:hideMark/>
          </w:tcPr>
          <w:p w14:paraId="1C47F80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8. </w:t>
            </w:r>
            <w:r w:rsidRPr="004275AD">
              <w:rPr>
                <w:rFonts w:ascii="Arial" w:eastAsia="Times New Roman" w:hAnsi="Arial" w:cs="Arial"/>
                <w:color w:val="000000"/>
                <w:kern w:val="0"/>
                <w:sz w:val="18"/>
                <w:szCs w:val="18"/>
                <w:rtl/>
                <w:lang w:val="en-GB" w:eastAsia="en-GB"/>
                <w14:ligatures w14:val="none"/>
              </w:rPr>
              <w:t>تقيّم الإدارة احتياجات التدريب بناءً على نتائج الأداء</w:t>
            </w:r>
            <w:r w:rsidRPr="004275AD">
              <w:rPr>
                <w:rFonts w:ascii="Arial" w:eastAsia="Times New Roman" w:hAnsi="Arial" w:cs="Arial"/>
                <w:color w:val="000000"/>
                <w:kern w:val="0"/>
                <w:sz w:val="18"/>
                <w:szCs w:val="18"/>
                <w:lang w:val="en-GB" w:eastAsia="en-GB"/>
                <w14:ligatures w14:val="none"/>
              </w:rPr>
              <w:t>.</w:t>
            </w:r>
          </w:p>
        </w:tc>
        <w:tc>
          <w:tcPr>
            <w:tcW w:w="1417" w:type="dxa"/>
            <w:tcBorders>
              <w:top w:val="nil"/>
              <w:left w:val="nil"/>
              <w:bottom w:val="nil"/>
              <w:right w:val="single" w:sz="12" w:space="0" w:color="000000"/>
            </w:tcBorders>
            <w:vAlign w:val="center"/>
            <w:hideMark/>
          </w:tcPr>
          <w:p w14:paraId="1003575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1418" w:type="dxa"/>
            <w:tcBorders>
              <w:top w:val="nil"/>
              <w:left w:val="single" w:sz="12" w:space="0" w:color="000000"/>
              <w:bottom w:val="nil"/>
              <w:right w:val="single" w:sz="4" w:space="0" w:color="000000"/>
            </w:tcBorders>
            <w:noWrap/>
            <w:vAlign w:val="center"/>
            <w:hideMark/>
          </w:tcPr>
          <w:p w14:paraId="6B39CDC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.545</w:t>
            </w:r>
            <w:r w:rsidRPr="004275AD">
              <w:rPr>
                <w:rFonts w:ascii="Arial" w:eastAsia="Times New Roman" w:hAnsi="Arial" w:cs="Arial"/>
                <w:color w:val="000000"/>
                <w:kern w:val="0"/>
                <w:sz w:val="18"/>
                <w:szCs w:val="18"/>
                <w:vertAlign w:val="superscript"/>
                <w:lang w:val="en-GB" w:eastAsia="en-GB"/>
                <w14:ligatures w14:val="none"/>
              </w:rPr>
              <w:t>**</w:t>
            </w:r>
          </w:p>
        </w:tc>
        <w:tc>
          <w:tcPr>
            <w:tcW w:w="1417" w:type="dxa"/>
            <w:tcBorders>
              <w:top w:val="nil"/>
              <w:left w:val="single" w:sz="4" w:space="0" w:color="000000"/>
              <w:bottom w:val="nil"/>
              <w:right w:val="single" w:sz="4" w:space="0" w:color="000000"/>
            </w:tcBorders>
            <w:noWrap/>
            <w:vAlign w:val="center"/>
            <w:hideMark/>
          </w:tcPr>
          <w:p w14:paraId="23979E0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.501</w:t>
            </w:r>
            <w:r w:rsidRPr="004275AD">
              <w:rPr>
                <w:rFonts w:ascii="Arial" w:eastAsia="Times New Roman" w:hAnsi="Arial" w:cs="Arial"/>
                <w:color w:val="000000"/>
                <w:kern w:val="0"/>
                <w:sz w:val="18"/>
                <w:szCs w:val="18"/>
                <w:vertAlign w:val="superscript"/>
                <w:lang w:val="en-GB" w:eastAsia="en-GB"/>
                <w14:ligatures w14:val="none"/>
              </w:rPr>
              <w:t>**</w:t>
            </w:r>
          </w:p>
        </w:tc>
        <w:tc>
          <w:tcPr>
            <w:tcW w:w="1418" w:type="dxa"/>
            <w:tcBorders>
              <w:top w:val="nil"/>
              <w:left w:val="single" w:sz="4" w:space="0" w:color="000000"/>
              <w:bottom w:val="nil"/>
              <w:right w:val="single" w:sz="4" w:space="0" w:color="000000"/>
            </w:tcBorders>
            <w:noWrap/>
            <w:vAlign w:val="center"/>
            <w:hideMark/>
          </w:tcPr>
          <w:p w14:paraId="0A96A434"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.560</w:t>
            </w:r>
            <w:r w:rsidRPr="004275AD">
              <w:rPr>
                <w:rFonts w:ascii="Arial" w:eastAsia="Times New Roman" w:hAnsi="Arial" w:cs="Arial"/>
                <w:color w:val="000000"/>
                <w:kern w:val="0"/>
                <w:sz w:val="18"/>
                <w:szCs w:val="18"/>
                <w:vertAlign w:val="superscript"/>
                <w:lang w:val="en-GB" w:eastAsia="en-GB"/>
                <w14:ligatures w14:val="none"/>
              </w:rPr>
              <w:t>**</w:t>
            </w:r>
          </w:p>
        </w:tc>
        <w:tc>
          <w:tcPr>
            <w:tcW w:w="1417" w:type="dxa"/>
            <w:tcBorders>
              <w:top w:val="nil"/>
              <w:left w:val="single" w:sz="4" w:space="0" w:color="000000"/>
              <w:bottom w:val="nil"/>
              <w:right w:val="single" w:sz="4" w:space="0" w:color="000000"/>
            </w:tcBorders>
            <w:noWrap/>
            <w:vAlign w:val="center"/>
            <w:hideMark/>
          </w:tcPr>
          <w:p w14:paraId="502605B4"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994" w:type="dxa"/>
            <w:tcBorders>
              <w:top w:val="nil"/>
              <w:left w:val="single" w:sz="4" w:space="0" w:color="000000"/>
              <w:bottom w:val="nil"/>
              <w:right w:val="single" w:sz="12" w:space="0" w:color="000000"/>
            </w:tcBorders>
            <w:noWrap/>
            <w:vAlign w:val="center"/>
            <w:hideMark/>
          </w:tcPr>
          <w:p w14:paraId="5DB5A7AD"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189A4B5B" w14:textId="77777777" w:rsidTr="00637B0E">
        <w:trPr>
          <w:trHeight w:val="276"/>
        </w:trPr>
        <w:tc>
          <w:tcPr>
            <w:tcW w:w="1988" w:type="dxa"/>
            <w:vMerge/>
            <w:tcBorders>
              <w:top w:val="single" w:sz="4" w:space="0" w:color="000000"/>
              <w:left w:val="single" w:sz="12" w:space="0" w:color="000000"/>
              <w:bottom w:val="nil"/>
              <w:right w:val="nil"/>
            </w:tcBorders>
            <w:vAlign w:val="center"/>
            <w:hideMark/>
          </w:tcPr>
          <w:p w14:paraId="035E152C"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7" w:type="dxa"/>
            <w:tcBorders>
              <w:top w:val="nil"/>
              <w:left w:val="nil"/>
              <w:bottom w:val="nil"/>
              <w:right w:val="single" w:sz="12" w:space="0" w:color="000000"/>
            </w:tcBorders>
            <w:vAlign w:val="center"/>
            <w:hideMark/>
          </w:tcPr>
          <w:p w14:paraId="4B5EF214"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1418" w:type="dxa"/>
            <w:tcBorders>
              <w:top w:val="nil"/>
              <w:left w:val="single" w:sz="12" w:space="0" w:color="000000"/>
              <w:bottom w:val="nil"/>
              <w:right w:val="single" w:sz="4" w:space="0" w:color="000000"/>
            </w:tcBorders>
            <w:noWrap/>
            <w:vAlign w:val="center"/>
            <w:hideMark/>
          </w:tcPr>
          <w:p w14:paraId="1479D2D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417" w:type="dxa"/>
            <w:tcBorders>
              <w:top w:val="nil"/>
              <w:left w:val="single" w:sz="4" w:space="0" w:color="000000"/>
              <w:bottom w:val="nil"/>
              <w:right w:val="single" w:sz="4" w:space="0" w:color="000000"/>
            </w:tcBorders>
            <w:noWrap/>
            <w:vAlign w:val="center"/>
            <w:hideMark/>
          </w:tcPr>
          <w:p w14:paraId="209A595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418" w:type="dxa"/>
            <w:tcBorders>
              <w:top w:val="nil"/>
              <w:left w:val="single" w:sz="4" w:space="0" w:color="000000"/>
              <w:bottom w:val="nil"/>
              <w:right w:val="single" w:sz="4" w:space="0" w:color="000000"/>
            </w:tcBorders>
            <w:noWrap/>
            <w:vAlign w:val="center"/>
            <w:hideMark/>
          </w:tcPr>
          <w:p w14:paraId="5C61891C"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417" w:type="dxa"/>
            <w:tcBorders>
              <w:top w:val="nil"/>
              <w:left w:val="single" w:sz="4" w:space="0" w:color="000000"/>
              <w:bottom w:val="nil"/>
              <w:right w:val="single" w:sz="4" w:space="0" w:color="000000"/>
            </w:tcBorders>
            <w:vAlign w:val="center"/>
            <w:hideMark/>
          </w:tcPr>
          <w:p w14:paraId="24D5EDB6"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994" w:type="dxa"/>
            <w:tcBorders>
              <w:top w:val="nil"/>
              <w:left w:val="single" w:sz="4" w:space="0" w:color="000000"/>
              <w:bottom w:val="nil"/>
              <w:right w:val="single" w:sz="12" w:space="0" w:color="000000"/>
            </w:tcBorders>
            <w:noWrap/>
            <w:vAlign w:val="center"/>
            <w:hideMark/>
          </w:tcPr>
          <w:p w14:paraId="3E0D203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632298BB" w14:textId="77777777" w:rsidTr="00637B0E">
        <w:trPr>
          <w:trHeight w:val="456"/>
        </w:trPr>
        <w:tc>
          <w:tcPr>
            <w:tcW w:w="1988" w:type="dxa"/>
            <w:vMerge w:val="restart"/>
            <w:tcBorders>
              <w:top w:val="single" w:sz="4" w:space="0" w:color="000000"/>
              <w:left w:val="single" w:sz="12" w:space="0" w:color="000000"/>
              <w:bottom w:val="nil"/>
              <w:right w:val="nil"/>
            </w:tcBorders>
            <w:vAlign w:val="center"/>
            <w:hideMark/>
          </w:tcPr>
          <w:p w14:paraId="7249A651" w14:textId="77777777" w:rsidR="004275AD" w:rsidRPr="004275AD" w:rsidRDefault="004275AD" w:rsidP="004275AD">
            <w:pPr>
              <w:bidi/>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rtl/>
                <w:lang w:val="en-GB" w:eastAsia="en-GB"/>
                <w14:ligatures w14:val="none"/>
              </w:rPr>
              <w:t>ثانيًا: التدريب والتطوير المستمر</w:t>
            </w:r>
          </w:p>
        </w:tc>
        <w:tc>
          <w:tcPr>
            <w:tcW w:w="1417" w:type="dxa"/>
            <w:tcBorders>
              <w:top w:val="nil"/>
              <w:left w:val="nil"/>
              <w:bottom w:val="nil"/>
              <w:right w:val="single" w:sz="12" w:space="0" w:color="000000"/>
            </w:tcBorders>
            <w:vAlign w:val="center"/>
            <w:hideMark/>
          </w:tcPr>
          <w:p w14:paraId="0E7E5D7A" w14:textId="77777777" w:rsidR="004275AD" w:rsidRPr="004275AD" w:rsidRDefault="004275AD" w:rsidP="004275AD">
            <w:pPr>
              <w:spacing w:after="0" w:line="240" w:lineRule="auto"/>
              <w:jc w:val="center"/>
              <w:rPr>
                <w:rFonts w:ascii="Arial" w:eastAsia="Times New Roman" w:hAnsi="Arial" w:cs="Arial"/>
                <w:color w:val="000000"/>
                <w:kern w:val="0"/>
                <w:sz w:val="18"/>
                <w:szCs w:val="18"/>
                <w:rtl/>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1418" w:type="dxa"/>
            <w:tcBorders>
              <w:top w:val="nil"/>
              <w:left w:val="single" w:sz="12" w:space="0" w:color="000000"/>
              <w:bottom w:val="nil"/>
              <w:right w:val="single" w:sz="4" w:space="0" w:color="000000"/>
            </w:tcBorders>
            <w:noWrap/>
            <w:vAlign w:val="center"/>
            <w:hideMark/>
          </w:tcPr>
          <w:p w14:paraId="20D4C21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.825</w:t>
            </w:r>
            <w:r w:rsidRPr="004275AD">
              <w:rPr>
                <w:rFonts w:ascii="Arial" w:eastAsia="Times New Roman" w:hAnsi="Arial" w:cs="Arial"/>
                <w:color w:val="000000"/>
                <w:kern w:val="0"/>
                <w:sz w:val="18"/>
                <w:szCs w:val="18"/>
                <w:vertAlign w:val="superscript"/>
                <w:lang w:val="en-GB" w:eastAsia="en-GB"/>
                <w14:ligatures w14:val="none"/>
              </w:rPr>
              <w:t>**</w:t>
            </w:r>
          </w:p>
        </w:tc>
        <w:tc>
          <w:tcPr>
            <w:tcW w:w="1417" w:type="dxa"/>
            <w:tcBorders>
              <w:top w:val="nil"/>
              <w:left w:val="single" w:sz="4" w:space="0" w:color="000000"/>
              <w:bottom w:val="nil"/>
              <w:right w:val="single" w:sz="4" w:space="0" w:color="000000"/>
            </w:tcBorders>
            <w:noWrap/>
            <w:vAlign w:val="center"/>
            <w:hideMark/>
          </w:tcPr>
          <w:p w14:paraId="1D271C70"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.799</w:t>
            </w:r>
            <w:r w:rsidRPr="004275AD">
              <w:rPr>
                <w:rFonts w:ascii="Arial" w:eastAsia="Times New Roman" w:hAnsi="Arial" w:cs="Arial"/>
                <w:color w:val="000000"/>
                <w:kern w:val="0"/>
                <w:sz w:val="18"/>
                <w:szCs w:val="18"/>
                <w:vertAlign w:val="superscript"/>
                <w:lang w:val="en-GB" w:eastAsia="en-GB"/>
                <w14:ligatures w14:val="none"/>
              </w:rPr>
              <w:t>**</w:t>
            </w:r>
          </w:p>
        </w:tc>
        <w:tc>
          <w:tcPr>
            <w:tcW w:w="1418" w:type="dxa"/>
            <w:tcBorders>
              <w:top w:val="nil"/>
              <w:left w:val="single" w:sz="4" w:space="0" w:color="000000"/>
              <w:bottom w:val="nil"/>
              <w:right w:val="single" w:sz="4" w:space="0" w:color="000000"/>
            </w:tcBorders>
            <w:noWrap/>
            <w:vAlign w:val="center"/>
            <w:hideMark/>
          </w:tcPr>
          <w:p w14:paraId="007AC8FC"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.827</w:t>
            </w:r>
            <w:r w:rsidRPr="004275AD">
              <w:rPr>
                <w:rFonts w:ascii="Arial" w:eastAsia="Times New Roman" w:hAnsi="Arial" w:cs="Arial"/>
                <w:color w:val="000000"/>
                <w:kern w:val="0"/>
                <w:sz w:val="18"/>
                <w:szCs w:val="18"/>
                <w:vertAlign w:val="superscript"/>
                <w:lang w:val="en-GB" w:eastAsia="en-GB"/>
                <w14:ligatures w14:val="none"/>
              </w:rPr>
              <w:t>**</w:t>
            </w:r>
          </w:p>
        </w:tc>
        <w:tc>
          <w:tcPr>
            <w:tcW w:w="1417" w:type="dxa"/>
            <w:tcBorders>
              <w:top w:val="nil"/>
              <w:left w:val="single" w:sz="4" w:space="0" w:color="000000"/>
              <w:bottom w:val="nil"/>
              <w:right w:val="single" w:sz="4" w:space="0" w:color="000000"/>
            </w:tcBorders>
            <w:noWrap/>
            <w:vAlign w:val="center"/>
            <w:hideMark/>
          </w:tcPr>
          <w:p w14:paraId="017D2C4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.793</w:t>
            </w:r>
            <w:r w:rsidRPr="004275AD">
              <w:rPr>
                <w:rFonts w:ascii="Arial" w:eastAsia="Times New Roman" w:hAnsi="Arial" w:cs="Arial"/>
                <w:color w:val="000000"/>
                <w:kern w:val="0"/>
                <w:sz w:val="18"/>
                <w:szCs w:val="18"/>
                <w:vertAlign w:val="superscript"/>
                <w:lang w:val="en-GB" w:eastAsia="en-GB"/>
                <w14:ligatures w14:val="none"/>
              </w:rPr>
              <w:t>**</w:t>
            </w:r>
          </w:p>
        </w:tc>
        <w:tc>
          <w:tcPr>
            <w:tcW w:w="994" w:type="dxa"/>
            <w:tcBorders>
              <w:top w:val="nil"/>
              <w:left w:val="single" w:sz="4" w:space="0" w:color="000000"/>
              <w:bottom w:val="nil"/>
              <w:right w:val="single" w:sz="12" w:space="0" w:color="000000"/>
            </w:tcBorders>
            <w:noWrap/>
            <w:vAlign w:val="center"/>
            <w:hideMark/>
          </w:tcPr>
          <w:p w14:paraId="3A18C3F6"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r>
      <w:tr w:rsidR="008410A6" w:rsidRPr="004275AD" w14:paraId="0E39915E" w14:textId="77777777" w:rsidTr="00637B0E">
        <w:trPr>
          <w:trHeight w:val="276"/>
        </w:trPr>
        <w:tc>
          <w:tcPr>
            <w:tcW w:w="1988" w:type="dxa"/>
            <w:vMerge/>
            <w:tcBorders>
              <w:top w:val="single" w:sz="4" w:space="0" w:color="000000"/>
              <w:left w:val="single" w:sz="12" w:space="0" w:color="000000"/>
              <w:bottom w:val="nil"/>
              <w:right w:val="nil"/>
            </w:tcBorders>
            <w:vAlign w:val="center"/>
            <w:hideMark/>
          </w:tcPr>
          <w:p w14:paraId="414A1FCA"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7" w:type="dxa"/>
            <w:tcBorders>
              <w:top w:val="nil"/>
              <w:left w:val="nil"/>
              <w:bottom w:val="nil"/>
              <w:right w:val="single" w:sz="12" w:space="0" w:color="000000"/>
            </w:tcBorders>
            <w:vAlign w:val="center"/>
            <w:hideMark/>
          </w:tcPr>
          <w:p w14:paraId="53B26AC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1418" w:type="dxa"/>
            <w:tcBorders>
              <w:top w:val="nil"/>
              <w:left w:val="single" w:sz="12" w:space="0" w:color="000000"/>
              <w:bottom w:val="nil"/>
              <w:right w:val="single" w:sz="4" w:space="0" w:color="000000"/>
            </w:tcBorders>
            <w:noWrap/>
            <w:vAlign w:val="center"/>
            <w:hideMark/>
          </w:tcPr>
          <w:p w14:paraId="7EB6A7A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417" w:type="dxa"/>
            <w:tcBorders>
              <w:top w:val="nil"/>
              <w:left w:val="single" w:sz="4" w:space="0" w:color="000000"/>
              <w:bottom w:val="nil"/>
              <w:right w:val="single" w:sz="4" w:space="0" w:color="000000"/>
            </w:tcBorders>
            <w:noWrap/>
            <w:vAlign w:val="center"/>
            <w:hideMark/>
          </w:tcPr>
          <w:p w14:paraId="4049E82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418" w:type="dxa"/>
            <w:tcBorders>
              <w:top w:val="nil"/>
              <w:left w:val="single" w:sz="4" w:space="0" w:color="000000"/>
              <w:bottom w:val="nil"/>
              <w:right w:val="single" w:sz="4" w:space="0" w:color="000000"/>
            </w:tcBorders>
            <w:noWrap/>
            <w:vAlign w:val="center"/>
            <w:hideMark/>
          </w:tcPr>
          <w:p w14:paraId="6E5C65E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417" w:type="dxa"/>
            <w:tcBorders>
              <w:top w:val="nil"/>
              <w:left w:val="single" w:sz="4" w:space="0" w:color="000000"/>
              <w:bottom w:val="nil"/>
              <w:right w:val="single" w:sz="4" w:space="0" w:color="000000"/>
            </w:tcBorders>
            <w:noWrap/>
            <w:vAlign w:val="center"/>
            <w:hideMark/>
          </w:tcPr>
          <w:p w14:paraId="69BE362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994" w:type="dxa"/>
            <w:tcBorders>
              <w:top w:val="nil"/>
              <w:left w:val="single" w:sz="4" w:space="0" w:color="000000"/>
              <w:bottom w:val="nil"/>
              <w:right w:val="single" w:sz="12" w:space="0" w:color="000000"/>
            </w:tcBorders>
            <w:vAlign w:val="center"/>
            <w:hideMark/>
          </w:tcPr>
          <w:p w14:paraId="4130F526"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4948DA89" w14:textId="77777777" w:rsidTr="00637B0E">
        <w:trPr>
          <w:trHeight w:val="276"/>
        </w:trPr>
        <w:tc>
          <w:tcPr>
            <w:tcW w:w="10069" w:type="dxa"/>
            <w:gridSpan w:val="7"/>
            <w:tcBorders>
              <w:top w:val="nil"/>
              <w:left w:val="nil"/>
              <w:bottom w:val="nil"/>
              <w:right w:val="nil"/>
            </w:tcBorders>
            <w:hideMark/>
          </w:tcPr>
          <w:p w14:paraId="518A7F77"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Correlation is significant at the 0.01 level (2-tailed).</w:t>
            </w:r>
          </w:p>
        </w:tc>
      </w:tr>
    </w:tbl>
    <w:p w14:paraId="55653FD3" w14:textId="5E018335" w:rsidR="004275AD" w:rsidRDefault="004275AD" w:rsidP="004275AD">
      <w:pPr>
        <w:bidi/>
        <w:rPr>
          <w:rFonts w:ascii="Times New Roman" w:hAnsi="Times New Roman" w:cs="Times New Roman"/>
          <w:sz w:val="28"/>
          <w:szCs w:val="28"/>
          <w:rtl/>
          <w:lang w:bidi="ar-EG"/>
        </w:rPr>
      </w:pPr>
      <w:r>
        <w:rPr>
          <w:rFonts w:ascii="Times New Roman" w:hAnsi="Times New Roman" w:cs="Times New Roman" w:hint="cs"/>
          <w:sz w:val="28"/>
          <w:szCs w:val="28"/>
          <w:rtl/>
        </w:rPr>
        <w:t xml:space="preserve">جدول (3-4) يوضح </w:t>
      </w:r>
      <w:r>
        <w:rPr>
          <w:rFonts w:ascii="Times New Roman" w:hAnsi="Times New Roman" w:cs="Times New Roman" w:hint="cs"/>
          <w:sz w:val="28"/>
          <w:szCs w:val="28"/>
          <w:rtl/>
          <w:lang w:bidi="ar-EG"/>
        </w:rPr>
        <w:t xml:space="preserve">الارتباط لفقرات نظم الحوافز </w:t>
      </w:r>
      <w:proofErr w:type="gramStart"/>
      <w:r>
        <w:rPr>
          <w:rFonts w:ascii="Times New Roman" w:hAnsi="Times New Roman" w:cs="Times New Roman" w:hint="cs"/>
          <w:sz w:val="28"/>
          <w:szCs w:val="28"/>
          <w:rtl/>
          <w:lang w:bidi="ar-EG"/>
        </w:rPr>
        <w:t>و المكافات</w:t>
      </w:r>
      <w:proofErr w:type="gramEnd"/>
      <w:r>
        <w:rPr>
          <w:rFonts w:ascii="Times New Roman" w:hAnsi="Times New Roman" w:cs="Times New Roman" w:hint="cs"/>
          <w:sz w:val="28"/>
          <w:szCs w:val="28"/>
          <w:rtl/>
          <w:lang w:bidi="ar-EG"/>
        </w:rPr>
        <w:t xml:space="preserve"> مع محورها المجمع:</w:t>
      </w:r>
    </w:p>
    <w:tbl>
      <w:tblPr>
        <w:bidiVisual/>
        <w:tblW w:w="0" w:type="auto"/>
        <w:tblLook w:val="04A0" w:firstRow="1" w:lastRow="0" w:firstColumn="1" w:lastColumn="0" w:noHBand="0" w:noVBand="1"/>
      </w:tblPr>
      <w:tblGrid>
        <w:gridCol w:w="1618"/>
        <w:gridCol w:w="1290"/>
        <w:gridCol w:w="1307"/>
        <w:gridCol w:w="1538"/>
        <w:gridCol w:w="1226"/>
        <w:gridCol w:w="1332"/>
        <w:gridCol w:w="1049"/>
      </w:tblGrid>
      <w:tr w:rsidR="004275AD" w:rsidRPr="004275AD" w14:paraId="7A6A14F3" w14:textId="77777777" w:rsidTr="008410A6">
        <w:trPr>
          <w:trHeight w:val="288"/>
        </w:trPr>
        <w:tc>
          <w:tcPr>
            <w:tcW w:w="0" w:type="auto"/>
            <w:gridSpan w:val="7"/>
            <w:tcBorders>
              <w:top w:val="nil"/>
              <w:left w:val="nil"/>
              <w:bottom w:val="nil"/>
              <w:right w:val="nil"/>
            </w:tcBorders>
            <w:vAlign w:val="center"/>
            <w:hideMark/>
          </w:tcPr>
          <w:p w14:paraId="1FFE50AF" w14:textId="77777777" w:rsidR="004275AD" w:rsidRPr="004275AD" w:rsidRDefault="004275AD" w:rsidP="004275AD">
            <w:pPr>
              <w:spacing w:after="0" w:line="240" w:lineRule="auto"/>
              <w:jc w:val="center"/>
              <w:rPr>
                <w:rFonts w:ascii="Arial Bold" w:eastAsia="Times New Roman" w:hAnsi="Arial Bold" w:cs="Times New Roman"/>
                <w:b/>
                <w:bCs/>
                <w:color w:val="000000"/>
                <w:kern w:val="0"/>
                <w:sz w:val="18"/>
                <w:szCs w:val="18"/>
                <w:lang w:val="en-GB" w:eastAsia="en-GB"/>
                <w14:ligatures w14:val="none"/>
              </w:rPr>
            </w:pPr>
            <w:r w:rsidRPr="004275AD">
              <w:rPr>
                <w:rFonts w:ascii="Arial Bold" w:eastAsia="Times New Roman" w:hAnsi="Arial Bold" w:cs="Times New Roman"/>
                <w:b/>
                <w:bCs/>
                <w:color w:val="000000"/>
                <w:kern w:val="0"/>
                <w:sz w:val="18"/>
                <w:szCs w:val="18"/>
                <w:lang w:val="en-GB" w:eastAsia="en-GB"/>
                <w14:ligatures w14:val="none"/>
              </w:rPr>
              <w:t>Correlations</w:t>
            </w:r>
          </w:p>
        </w:tc>
      </w:tr>
      <w:tr w:rsidR="004275AD" w:rsidRPr="004275AD" w14:paraId="0627AFDA" w14:textId="77777777" w:rsidTr="008410A6">
        <w:trPr>
          <w:trHeight w:val="480"/>
        </w:trPr>
        <w:tc>
          <w:tcPr>
            <w:tcW w:w="0" w:type="auto"/>
            <w:gridSpan w:val="2"/>
            <w:tcBorders>
              <w:top w:val="single" w:sz="12" w:space="0" w:color="000000"/>
              <w:left w:val="single" w:sz="12" w:space="0" w:color="000000"/>
              <w:bottom w:val="single" w:sz="12" w:space="0" w:color="000000"/>
              <w:right w:val="single" w:sz="12" w:space="0" w:color="000000"/>
            </w:tcBorders>
            <w:vAlign w:val="center"/>
            <w:hideMark/>
          </w:tcPr>
          <w:p w14:paraId="52B2A424"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single" w:sz="12" w:space="0" w:color="000000"/>
              <w:left w:val="single" w:sz="12" w:space="0" w:color="000000"/>
              <w:bottom w:val="single" w:sz="12" w:space="0" w:color="000000"/>
              <w:right w:val="single" w:sz="4" w:space="0" w:color="000000"/>
            </w:tcBorders>
            <w:vAlign w:val="center"/>
            <w:hideMark/>
          </w:tcPr>
          <w:p w14:paraId="2A4FC84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9. </w:t>
            </w:r>
            <w:r w:rsidRPr="004275AD">
              <w:rPr>
                <w:rFonts w:ascii="Arial" w:eastAsia="Times New Roman" w:hAnsi="Arial" w:cs="Arial"/>
                <w:color w:val="000000"/>
                <w:kern w:val="0"/>
                <w:sz w:val="18"/>
                <w:szCs w:val="18"/>
                <w:rtl/>
                <w:lang w:val="en-GB" w:eastAsia="en-GB"/>
                <w14:ligatures w14:val="none"/>
              </w:rPr>
              <w:t>تُقدَّم المكافآت</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بناءً على الأداء الفردي المتميز</w:t>
            </w:r>
            <w:r w:rsidRPr="004275AD">
              <w:rPr>
                <w:rFonts w:ascii="Arial" w:eastAsia="Times New Roman" w:hAnsi="Arial" w:cs="Arial"/>
                <w:color w:val="000000"/>
                <w:kern w:val="0"/>
                <w:sz w:val="18"/>
                <w:szCs w:val="18"/>
                <w:lang w:val="en-GB" w:eastAsia="en-GB"/>
                <w14:ligatures w14:val="none"/>
              </w:rPr>
              <w:t>.</w:t>
            </w:r>
          </w:p>
        </w:tc>
        <w:tc>
          <w:tcPr>
            <w:tcW w:w="0" w:type="auto"/>
            <w:tcBorders>
              <w:top w:val="single" w:sz="12" w:space="0" w:color="000000"/>
              <w:left w:val="single" w:sz="4" w:space="0" w:color="000000"/>
              <w:bottom w:val="single" w:sz="12" w:space="0" w:color="000000"/>
              <w:right w:val="single" w:sz="4" w:space="0" w:color="000000"/>
            </w:tcBorders>
            <w:vAlign w:val="center"/>
            <w:hideMark/>
          </w:tcPr>
          <w:p w14:paraId="51C3256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10. </w:t>
            </w:r>
            <w:r w:rsidRPr="004275AD">
              <w:rPr>
                <w:rFonts w:ascii="Arial" w:eastAsia="Times New Roman" w:hAnsi="Arial" w:cs="Arial"/>
                <w:color w:val="000000"/>
                <w:kern w:val="0"/>
                <w:sz w:val="18"/>
                <w:szCs w:val="18"/>
                <w:rtl/>
                <w:lang w:val="en-GB" w:eastAsia="en-GB"/>
                <w14:ligatures w14:val="none"/>
              </w:rPr>
              <w:t>يتم تحفيز العاملين</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على الإبداع من خلال نظام مكافآت عادل</w:t>
            </w:r>
            <w:r w:rsidRPr="004275AD">
              <w:rPr>
                <w:rFonts w:ascii="Arial" w:eastAsia="Times New Roman" w:hAnsi="Arial" w:cs="Arial"/>
                <w:color w:val="000000"/>
                <w:kern w:val="0"/>
                <w:sz w:val="18"/>
                <w:szCs w:val="18"/>
                <w:lang w:val="en-GB" w:eastAsia="en-GB"/>
                <w14:ligatures w14:val="none"/>
              </w:rPr>
              <w:t>.</w:t>
            </w:r>
          </w:p>
        </w:tc>
        <w:tc>
          <w:tcPr>
            <w:tcW w:w="0" w:type="auto"/>
            <w:tcBorders>
              <w:top w:val="single" w:sz="12" w:space="0" w:color="000000"/>
              <w:left w:val="single" w:sz="4" w:space="0" w:color="000000"/>
              <w:bottom w:val="single" w:sz="12" w:space="0" w:color="000000"/>
              <w:right w:val="single" w:sz="4" w:space="0" w:color="000000"/>
            </w:tcBorders>
            <w:vAlign w:val="center"/>
            <w:hideMark/>
          </w:tcPr>
          <w:p w14:paraId="467EE9E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11. </w:t>
            </w:r>
            <w:r w:rsidRPr="004275AD">
              <w:rPr>
                <w:rFonts w:ascii="Arial" w:eastAsia="Times New Roman" w:hAnsi="Arial" w:cs="Arial"/>
                <w:color w:val="000000"/>
                <w:kern w:val="0"/>
                <w:sz w:val="18"/>
                <w:szCs w:val="18"/>
                <w:rtl/>
                <w:lang w:val="en-GB" w:eastAsia="en-GB"/>
                <w14:ligatures w14:val="none"/>
              </w:rPr>
              <w:t>تشمل الحوافز مكافآت</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مالية وغير مالية</w:t>
            </w:r>
            <w:r w:rsidRPr="004275AD">
              <w:rPr>
                <w:rFonts w:ascii="Arial" w:eastAsia="Times New Roman" w:hAnsi="Arial" w:cs="Arial"/>
                <w:color w:val="000000"/>
                <w:kern w:val="0"/>
                <w:sz w:val="18"/>
                <w:szCs w:val="18"/>
                <w:lang w:val="en-GB" w:eastAsia="en-GB"/>
                <w14:ligatures w14:val="none"/>
              </w:rPr>
              <w:t>.</w:t>
            </w:r>
          </w:p>
        </w:tc>
        <w:tc>
          <w:tcPr>
            <w:tcW w:w="0" w:type="auto"/>
            <w:tcBorders>
              <w:top w:val="single" w:sz="12" w:space="0" w:color="000000"/>
              <w:left w:val="single" w:sz="4" w:space="0" w:color="000000"/>
              <w:bottom w:val="single" w:sz="12" w:space="0" w:color="000000"/>
              <w:right w:val="single" w:sz="4" w:space="0" w:color="000000"/>
            </w:tcBorders>
            <w:vAlign w:val="center"/>
            <w:hideMark/>
          </w:tcPr>
          <w:p w14:paraId="0DE0756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12. </w:t>
            </w:r>
            <w:r w:rsidRPr="004275AD">
              <w:rPr>
                <w:rFonts w:ascii="Arial" w:eastAsia="Times New Roman" w:hAnsi="Arial" w:cs="Arial"/>
                <w:color w:val="000000"/>
                <w:kern w:val="0"/>
                <w:sz w:val="18"/>
                <w:szCs w:val="18"/>
                <w:rtl/>
                <w:lang w:val="en-GB" w:eastAsia="en-GB"/>
                <w14:ligatures w14:val="none"/>
              </w:rPr>
              <w:t>تُمنح الترقيات بناءً</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على الأداء وليس الأقدمية</w:t>
            </w:r>
            <w:r w:rsidRPr="004275AD">
              <w:rPr>
                <w:rFonts w:ascii="Arial" w:eastAsia="Times New Roman" w:hAnsi="Arial" w:cs="Arial"/>
                <w:color w:val="000000"/>
                <w:kern w:val="0"/>
                <w:sz w:val="18"/>
                <w:szCs w:val="18"/>
                <w:lang w:val="en-GB" w:eastAsia="en-GB"/>
                <w14:ligatures w14:val="none"/>
              </w:rPr>
              <w:t>.</w:t>
            </w:r>
          </w:p>
        </w:tc>
        <w:tc>
          <w:tcPr>
            <w:tcW w:w="0" w:type="auto"/>
            <w:tcBorders>
              <w:top w:val="single" w:sz="12" w:space="0" w:color="000000"/>
              <w:left w:val="single" w:sz="4" w:space="0" w:color="000000"/>
              <w:bottom w:val="single" w:sz="12" w:space="0" w:color="000000"/>
              <w:right w:val="single" w:sz="12" w:space="0" w:color="000000"/>
            </w:tcBorders>
            <w:vAlign w:val="center"/>
            <w:hideMark/>
          </w:tcPr>
          <w:p w14:paraId="77049727" w14:textId="77777777" w:rsidR="004275AD" w:rsidRPr="004275AD" w:rsidRDefault="004275AD" w:rsidP="004275AD">
            <w:pPr>
              <w:bidi/>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rtl/>
                <w:lang w:val="en-GB" w:eastAsia="en-GB"/>
                <w14:ligatures w14:val="none"/>
              </w:rPr>
              <w:t>ثالثًا: نظم الحوافز والمكافآت</w:t>
            </w:r>
          </w:p>
        </w:tc>
      </w:tr>
      <w:tr w:rsidR="008410A6" w:rsidRPr="004275AD" w14:paraId="1E9CD470" w14:textId="77777777" w:rsidTr="008410A6">
        <w:trPr>
          <w:trHeight w:val="228"/>
        </w:trPr>
        <w:tc>
          <w:tcPr>
            <w:tcW w:w="0" w:type="auto"/>
            <w:vMerge w:val="restart"/>
            <w:tcBorders>
              <w:top w:val="nil"/>
              <w:left w:val="single" w:sz="12" w:space="0" w:color="000000"/>
              <w:bottom w:val="single" w:sz="4" w:space="0" w:color="000000"/>
              <w:right w:val="nil"/>
            </w:tcBorders>
            <w:vAlign w:val="center"/>
            <w:hideMark/>
          </w:tcPr>
          <w:p w14:paraId="3B91FB43" w14:textId="77777777" w:rsidR="004275AD" w:rsidRPr="004275AD" w:rsidRDefault="004275AD" w:rsidP="004275AD">
            <w:pPr>
              <w:spacing w:after="0" w:line="240" w:lineRule="auto"/>
              <w:jc w:val="center"/>
              <w:rPr>
                <w:rFonts w:ascii="Arial" w:eastAsia="Times New Roman" w:hAnsi="Arial" w:cs="Arial"/>
                <w:color w:val="000000"/>
                <w:kern w:val="0"/>
                <w:sz w:val="18"/>
                <w:szCs w:val="18"/>
                <w:rtl/>
                <w:lang w:val="en-GB" w:eastAsia="en-GB"/>
                <w14:ligatures w14:val="none"/>
              </w:rPr>
            </w:pPr>
            <w:r w:rsidRPr="004275AD">
              <w:rPr>
                <w:rFonts w:ascii="Arial" w:eastAsia="Times New Roman" w:hAnsi="Arial" w:cs="Arial"/>
                <w:color w:val="000000"/>
                <w:kern w:val="0"/>
                <w:sz w:val="18"/>
                <w:szCs w:val="18"/>
                <w:lang w:val="en-GB" w:eastAsia="en-GB"/>
                <w14:ligatures w14:val="none"/>
              </w:rPr>
              <w:lastRenderedPageBreak/>
              <w:t xml:space="preserve">9. </w:t>
            </w:r>
            <w:r w:rsidRPr="004275AD">
              <w:rPr>
                <w:rFonts w:ascii="Arial" w:eastAsia="Times New Roman" w:hAnsi="Arial" w:cs="Arial"/>
                <w:color w:val="000000"/>
                <w:kern w:val="0"/>
                <w:sz w:val="18"/>
                <w:szCs w:val="18"/>
                <w:rtl/>
                <w:lang w:val="en-GB" w:eastAsia="en-GB"/>
                <w14:ligatures w14:val="none"/>
              </w:rPr>
              <w:t>تُقدَّم المكافآت بناءً على الأداء الفردي</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المتميز</w:t>
            </w:r>
            <w:r w:rsidRPr="004275AD">
              <w:rPr>
                <w:rFonts w:ascii="Arial" w:eastAsia="Times New Roman" w:hAnsi="Arial" w:cs="Arial"/>
                <w:color w:val="000000"/>
                <w:kern w:val="0"/>
                <w:sz w:val="18"/>
                <w:szCs w:val="18"/>
                <w:lang w:val="en-GB" w:eastAsia="en-GB"/>
                <w14:ligatures w14:val="none"/>
              </w:rPr>
              <w:t>.</w:t>
            </w:r>
          </w:p>
        </w:tc>
        <w:tc>
          <w:tcPr>
            <w:tcW w:w="0" w:type="auto"/>
            <w:tcBorders>
              <w:top w:val="nil"/>
              <w:left w:val="nil"/>
              <w:bottom w:val="nil"/>
              <w:right w:val="single" w:sz="12" w:space="0" w:color="000000"/>
            </w:tcBorders>
            <w:vAlign w:val="center"/>
            <w:hideMark/>
          </w:tcPr>
          <w:p w14:paraId="6A61149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0" w:type="auto"/>
            <w:tcBorders>
              <w:top w:val="nil"/>
              <w:left w:val="single" w:sz="12" w:space="0" w:color="000000"/>
              <w:bottom w:val="nil"/>
              <w:right w:val="single" w:sz="4" w:space="0" w:color="000000"/>
            </w:tcBorders>
            <w:noWrap/>
            <w:vAlign w:val="center"/>
            <w:hideMark/>
          </w:tcPr>
          <w:p w14:paraId="29603AED"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0" w:type="auto"/>
            <w:tcBorders>
              <w:top w:val="nil"/>
              <w:left w:val="single" w:sz="4" w:space="0" w:color="000000"/>
              <w:bottom w:val="nil"/>
              <w:right w:val="single" w:sz="4" w:space="0" w:color="000000"/>
            </w:tcBorders>
            <w:noWrap/>
            <w:vAlign w:val="center"/>
            <w:hideMark/>
          </w:tcPr>
          <w:p w14:paraId="6BC16DE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76A27F5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52FC7556"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3A2E55C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2CA73A9E" w14:textId="77777777" w:rsidTr="008410A6">
        <w:trPr>
          <w:trHeight w:val="276"/>
        </w:trPr>
        <w:tc>
          <w:tcPr>
            <w:tcW w:w="0" w:type="auto"/>
            <w:vMerge/>
            <w:tcBorders>
              <w:top w:val="nil"/>
              <w:left w:val="single" w:sz="12" w:space="0" w:color="000000"/>
              <w:bottom w:val="single" w:sz="4" w:space="0" w:color="000000"/>
              <w:right w:val="nil"/>
            </w:tcBorders>
            <w:vAlign w:val="center"/>
            <w:hideMark/>
          </w:tcPr>
          <w:p w14:paraId="018E81D1"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0" w:type="auto"/>
            <w:tcBorders>
              <w:top w:val="nil"/>
              <w:left w:val="nil"/>
              <w:bottom w:val="nil"/>
              <w:right w:val="single" w:sz="12" w:space="0" w:color="000000"/>
            </w:tcBorders>
            <w:vAlign w:val="center"/>
            <w:hideMark/>
          </w:tcPr>
          <w:p w14:paraId="5316DA15"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0" w:type="auto"/>
            <w:tcBorders>
              <w:top w:val="nil"/>
              <w:left w:val="single" w:sz="12" w:space="0" w:color="000000"/>
              <w:bottom w:val="nil"/>
              <w:right w:val="single" w:sz="4" w:space="0" w:color="000000"/>
            </w:tcBorders>
            <w:vAlign w:val="center"/>
            <w:hideMark/>
          </w:tcPr>
          <w:p w14:paraId="2EB9497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15437C5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59062551"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5BD27D1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35161EC5"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2AB3E7F2" w14:textId="77777777" w:rsidTr="008410A6">
        <w:trPr>
          <w:trHeight w:val="276"/>
        </w:trPr>
        <w:tc>
          <w:tcPr>
            <w:tcW w:w="0" w:type="auto"/>
            <w:vMerge w:val="restart"/>
            <w:tcBorders>
              <w:top w:val="nil"/>
              <w:left w:val="single" w:sz="12" w:space="0" w:color="000000"/>
              <w:bottom w:val="single" w:sz="4" w:space="0" w:color="000000"/>
              <w:right w:val="nil"/>
            </w:tcBorders>
            <w:vAlign w:val="center"/>
            <w:hideMark/>
          </w:tcPr>
          <w:p w14:paraId="26808B14"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10. </w:t>
            </w:r>
            <w:r w:rsidRPr="004275AD">
              <w:rPr>
                <w:rFonts w:ascii="Arial" w:eastAsia="Times New Roman" w:hAnsi="Arial" w:cs="Arial"/>
                <w:color w:val="000000"/>
                <w:kern w:val="0"/>
                <w:sz w:val="18"/>
                <w:szCs w:val="18"/>
                <w:rtl/>
                <w:lang w:val="en-GB" w:eastAsia="en-GB"/>
                <w14:ligatures w14:val="none"/>
              </w:rPr>
              <w:t>يتم تحفيز العاملين على الإبداع من خلال نظام مكافآت عادل</w:t>
            </w:r>
            <w:r w:rsidRPr="004275AD">
              <w:rPr>
                <w:rFonts w:ascii="Arial" w:eastAsia="Times New Roman" w:hAnsi="Arial" w:cs="Arial"/>
                <w:color w:val="000000"/>
                <w:kern w:val="0"/>
                <w:sz w:val="18"/>
                <w:szCs w:val="18"/>
                <w:lang w:val="en-GB" w:eastAsia="en-GB"/>
                <w14:ligatures w14:val="none"/>
              </w:rPr>
              <w:t>.</w:t>
            </w:r>
          </w:p>
        </w:tc>
        <w:tc>
          <w:tcPr>
            <w:tcW w:w="0" w:type="auto"/>
            <w:tcBorders>
              <w:top w:val="nil"/>
              <w:left w:val="nil"/>
              <w:bottom w:val="nil"/>
              <w:right w:val="single" w:sz="12" w:space="0" w:color="000000"/>
            </w:tcBorders>
            <w:vAlign w:val="center"/>
            <w:hideMark/>
          </w:tcPr>
          <w:p w14:paraId="2C64434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0" w:type="auto"/>
            <w:tcBorders>
              <w:top w:val="nil"/>
              <w:left w:val="single" w:sz="12" w:space="0" w:color="000000"/>
              <w:bottom w:val="nil"/>
              <w:right w:val="single" w:sz="4" w:space="0" w:color="000000"/>
            </w:tcBorders>
            <w:noWrap/>
            <w:vAlign w:val="center"/>
            <w:hideMark/>
          </w:tcPr>
          <w:p w14:paraId="1D75B96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.594</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4857AB7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0" w:type="auto"/>
            <w:tcBorders>
              <w:top w:val="nil"/>
              <w:left w:val="single" w:sz="4" w:space="0" w:color="000000"/>
              <w:bottom w:val="nil"/>
              <w:right w:val="single" w:sz="4" w:space="0" w:color="000000"/>
            </w:tcBorders>
            <w:noWrap/>
            <w:vAlign w:val="center"/>
            <w:hideMark/>
          </w:tcPr>
          <w:p w14:paraId="6659F3C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23E9392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4542B20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43BC588A" w14:textId="77777777" w:rsidTr="008410A6">
        <w:trPr>
          <w:trHeight w:val="276"/>
        </w:trPr>
        <w:tc>
          <w:tcPr>
            <w:tcW w:w="0" w:type="auto"/>
            <w:vMerge/>
            <w:tcBorders>
              <w:top w:val="nil"/>
              <w:left w:val="single" w:sz="12" w:space="0" w:color="000000"/>
              <w:bottom w:val="single" w:sz="4" w:space="0" w:color="000000"/>
              <w:right w:val="nil"/>
            </w:tcBorders>
            <w:vAlign w:val="center"/>
            <w:hideMark/>
          </w:tcPr>
          <w:p w14:paraId="52D5F3FF"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0" w:type="auto"/>
            <w:tcBorders>
              <w:top w:val="nil"/>
              <w:left w:val="nil"/>
              <w:bottom w:val="nil"/>
              <w:right w:val="single" w:sz="12" w:space="0" w:color="000000"/>
            </w:tcBorders>
            <w:vAlign w:val="center"/>
            <w:hideMark/>
          </w:tcPr>
          <w:p w14:paraId="74FE699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0" w:type="auto"/>
            <w:tcBorders>
              <w:top w:val="nil"/>
              <w:left w:val="single" w:sz="12" w:space="0" w:color="000000"/>
              <w:bottom w:val="nil"/>
              <w:right w:val="single" w:sz="4" w:space="0" w:color="000000"/>
            </w:tcBorders>
            <w:noWrap/>
            <w:vAlign w:val="center"/>
            <w:hideMark/>
          </w:tcPr>
          <w:p w14:paraId="5F2655B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vAlign w:val="center"/>
            <w:hideMark/>
          </w:tcPr>
          <w:p w14:paraId="5CB26734"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432E120D"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5977669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54A7C84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4CB9B6FF" w14:textId="77777777" w:rsidTr="008410A6">
        <w:trPr>
          <w:trHeight w:val="240"/>
        </w:trPr>
        <w:tc>
          <w:tcPr>
            <w:tcW w:w="0" w:type="auto"/>
            <w:vMerge w:val="restart"/>
            <w:tcBorders>
              <w:top w:val="nil"/>
              <w:left w:val="single" w:sz="12" w:space="0" w:color="000000"/>
              <w:bottom w:val="single" w:sz="4" w:space="0" w:color="000000"/>
              <w:right w:val="nil"/>
            </w:tcBorders>
            <w:vAlign w:val="center"/>
            <w:hideMark/>
          </w:tcPr>
          <w:p w14:paraId="2B9D77CE"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11. </w:t>
            </w:r>
            <w:r w:rsidRPr="004275AD">
              <w:rPr>
                <w:rFonts w:ascii="Arial" w:eastAsia="Times New Roman" w:hAnsi="Arial" w:cs="Arial"/>
                <w:color w:val="000000"/>
                <w:kern w:val="0"/>
                <w:sz w:val="18"/>
                <w:szCs w:val="18"/>
                <w:rtl/>
                <w:lang w:val="en-GB" w:eastAsia="en-GB"/>
                <w14:ligatures w14:val="none"/>
              </w:rPr>
              <w:t>تشمل الحوافز مكافآت مالية وغير مالية</w:t>
            </w:r>
            <w:r w:rsidRPr="004275AD">
              <w:rPr>
                <w:rFonts w:ascii="Arial" w:eastAsia="Times New Roman" w:hAnsi="Arial" w:cs="Arial"/>
                <w:color w:val="000000"/>
                <w:kern w:val="0"/>
                <w:sz w:val="18"/>
                <w:szCs w:val="18"/>
                <w:lang w:val="en-GB" w:eastAsia="en-GB"/>
                <w14:ligatures w14:val="none"/>
              </w:rPr>
              <w:t>.</w:t>
            </w:r>
          </w:p>
        </w:tc>
        <w:tc>
          <w:tcPr>
            <w:tcW w:w="0" w:type="auto"/>
            <w:tcBorders>
              <w:top w:val="nil"/>
              <w:left w:val="nil"/>
              <w:bottom w:val="nil"/>
              <w:right w:val="single" w:sz="12" w:space="0" w:color="000000"/>
            </w:tcBorders>
            <w:vAlign w:val="center"/>
            <w:hideMark/>
          </w:tcPr>
          <w:p w14:paraId="5309F33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0" w:type="auto"/>
            <w:tcBorders>
              <w:top w:val="nil"/>
              <w:left w:val="single" w:sz="12" w:space="0" w:color="000000"/>
              <w:bottom w:val="nil"/>
              <w:right w:val="single" w:sz="4" w:space="0" w:color="000000"/>
            </w:tcBorders>
            <w:noWrap/>
            <w:vAlign w:val="center"/>
            <w:hideMark/>
          </w:tcPr>
          <w:p w14:paraId="3FC4C64C"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.530</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7AF81D5C"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.619</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1B8B44C4"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0" w:type="auto"/>
            <w:tcBorders>
              <w:top w:val="nil"/>
              <w:left w:val="single" w:sz="4" w:space="0" w:color="000000"/>
              <w:bottom w:val="nil"/>
              <w:right w:val="single" w:sz="4" w:space="0" w:color="000000"/>
            </w:tcBorders>
            <w:noWrap/>
            <w:vAlign w:val="center"/>
            <w:hideMark/>
          </w:tcPr>
          <w:p w14:paraId="48D9CDD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66BBC67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021E52CC" w14:textId="77777777" w:rsidTr="008410A6">
        <w:trPr>
          <w:trHeight w:val="252"/>
        </w:trPr>
        <w:tc>
          <w:tcPr>
            <w:tcW w:w="0" w:type="auto"/>
            <w:vMerge/>
            <w:tcBorders>
              <w:top w:val="nil"/>
              <w:left w:val="single" w:sz="12" w:space="0" w:color="000000"/>
              <w:bottom w:val="single" w:sz="4" w:space="0" w:color="000000"/>
              <w:right w:val="nil"/>
            </w:tcBorders>
            <w:vAlign w:val="center"/>
            <w:hideMark/>
          </w:tcPr>
          <w:p w14:paraId="0BAE2078"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0" w:type="auto"/>
            <w:tcBorders>
              <w:top w:val="nil"/>
              <w:left w:val="nil"/>
              <w:bottom w:val="nil"/>
              <w:right w:val="single" w:sz="12" w:space="0" w:color="000000"/>
            </w:tcBorders>
            <w:vAlign w:val="center"/>
            <w:hideMark/>
          </w:tcPr>
          <w:p w14:paraId="3220482D"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0" w:type="auto"/>
            <w:tcBorders>
              <w:top w:val="nil"/>
              <w:left w:val="single" w:sz="12" w:space="0" w:color="000000"/>
              <w:bottom w:val="nil"/>
              <w:right w:val="single" w:sz="4" w:space="0" w:color="000000"/>
            </w:tcBorders>
            <w:noWrap/>
            <w:vAlign w:val="center"/>
            <w:hideMark/>
          </w:tcPr>
          <w:p w14:paraId="1B7DC31D"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noWrap/>
            <w:vAlign w:val="center"/>
            <w:hideMark/>
          </w:tcPr>
          <w:p w14:paraId="42B2DE11"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vAlign w:val="center"/>
            <w:hideMark/>
          </w:tcPr>
          <w:p w14:paraId="62FE044C"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45F7B47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4AD2554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309B6087" w14:textId="77777777" w:rsidTr="008410A6">
        <w:trPr>
          <w:trHeight w:val="276"/>
        </w:trPr>
        <w:tc>
          <w:tcPr>
            <w:tcW w:w="0" w:type="auto"/>
            <w:vMerge w:val="restart"/>
            <w:tcBorders>
              <w:top w:val="nil"/>
              <w:left w:val="single" w:sz="12" w:space="0" w:color="000000"/>
              <w:bottom w:val="single" w:sz="4" w:space="0" w:color="000000"/>
              <w:right w:val="nil"/>
            </w:tcBorders>
            <w:vAlign w:val="center"/>
            <w:hideMark/>
          </w:tcPr>
          <w:p w14:paraId="605B12F5"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12. </w:t>
            </w:r>
            <w:r w:rsidRPr="004275AD">
              <w:rPr>
                <w:rFonts w:ascii="Arial" w:eastAsia="Times New Roman" w:hAnsi="Arial" w:cs="Arial"/>
                <w:color w:val="000000"/>
                <w:kern w:val="0"/>
                <w:sz w:val="18"/>
                <w:szCs w:val="18"/>
                <w:rtl/>
                <w:lang w:val="en-GB" w:eastAsia="en-GB"/>
                <w14:ligatures w14:val="none"/>
              </w:rPr>
              <w:t>تُمنح الترقيات بناءً على الأداء وليس الأقدمية</w:t>
            </w:r>
            <w:r w:rsidRPr="004275AD">
              <w:rPr>
                <w:rFonts w:ascii="Arial" w:eastAsia="Times New Roman" w:hAnsi="Arial" w:cs="Arial"/>
                <w:color w:val="000000"/>
                <w:kern w:val="0"/>
                <w:sz w:val="18"/>
                <w:szCs w:val="18"/>
                <w:lang w:val="en-GB" w:eastAsia="en-GB"/>
                <w14:ligatures w14:val="none"/>
              </w:rPr>
              <w:t>.</w:t>
            </w:r>
          </w:p>
        </w:tc>
        <w:tc>
          <w:tcPr>
            <w:tcW w:w="0" w:type="auto"/>
            <w:tcBorders>
              <w:top w:val="nil"/>
              <w:left w:val="nil"/>
              <w:bottom w:val="nil"/>
              <w:right w:val="single" w:sz="12" w:space="0" w:color="000000"/>
            </w:tcBorders>
            <w:vAlign w:val="center"/>
            <w:hideMark/>
          </w:tcPr>
          <w:p w14:paraId="20F3195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0" w:type="auto"/>
            <w:tcBorders>
              <w:top w:val="nil"/>
              <w:left w:val="single" w:sz="12" w:space="0" w:color="000000"/>
              <w:bottom w:val="nil"/>
              <w:right w:val="single" w:sz="4" w:space="0" w:color="000000"/>
            </w:tcBorders>
            <w:noWrap/>
            <w:vAlign w:val="center"/>
            <w:hideMark/>
          </w:tcPr>
          <w:p w14:paraId="29203BB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.535</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54A04AF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.563</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24683A3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.608</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4D8D7BE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0" w:type="auto"/>
            <w:tcBorders>
              <w:top w:val="nil"/>
              <w:left w:val="single" w:sz="4" w:space="0" w:color="000000"/>
              <w:bottom w:val="nil"/>
              <w:right w:val="single" w:sz="12" w:space="0" w:color="000000"/>
            </w:tcBorders>
            <w:noWrap/>
            <w:vAlign w:val="center"/>
            <w:hideMark/>
          </w:tcPr>
          <w:p w14:paraId="47D77B20"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16113A9C" w14:textId="77777777" w:rsidTr="008410A6">
        <w:trPr>
          <w:trHeight w:val="276"/>
        </w:trPr>
        <w:tc>
          <w:tcPr>
            <w:tcW w:w="0" w:type="auto"/>
            <w:vMerge/>
            <w:tcBorders>
              <w:top w:val="nil"/>
              <w:left w:val="single" w:sz="12" w:space="0" w:color="000000"/>
              <w:bottom w:val="single" w:sz="4" w:space="0" w:color="000000"/>
              <w:right w:val="nil"/>
            </w:tcBorders>
            <w:vAlign w:val="center"/>
            <w:hideMark/>
          </w:tcPr>
          <w:p w14:paraId="53D2F614"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0" w:type="auto"/>
            <w:tcBorders>
              <w:top w:val="nil"/>
              <w:left w:val="nil"/>
              <w:bottom w:val="nil"/>
              <w:right w:val="single" w:sz="12" w:space="0" w:color="000000"/>
            </w:tcBorders>
            <w:vAlign w:val="center"/>
            <w:hideMark/>
          </w:tcPr>
          <w:p w14:paraId="5F3751B4"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0" w:type="auto"/>
            <w:tcBorders>
              <w:top w:val="nil"/>
              <w:left w:val="single" w:sz="12" w:space="0" w:color="000000"/>
              <w:bottom w:val="nil"/>
              <w:right w:val="single" w:sz="4" w:space="0" w:color="000000"/>
            </w:tcBorders>
            <w:noWrap/>
            <w:vAlign w:val="center"/>
            <w:hideMark/>
          </w:tcPr>
          <w:p w14:paraId="68464A91"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noWrap/>
            <w:vAlign w:val="center"/>
            <w:hideMark/>
          </w:tcPr>
          <w:p w14:paraId="6BA7974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noWrap/>
            <w:vAlign w:val="center"/>
            <w:hideMark/>
          </w:tcPr>
          <w:p w14:paraId="17629F1D"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vAlign w:val="center"/>
            <w:hideMark/>
          </w:tcPr>
          <w:p w14:paraId="3D7ED0C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451D74A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2FBE6437" w14:textId="77777777" w:rsidTr="008410A6">
        <w:trPr>
          <w:trHeight w:val="276"/>
        </w:trPr>
        <w:tc>
          <w:tcPr>
            <w:tcW w:w="0" w:type="auto"/>
            <w:vMerge w:val="restart"/>
            <w:tcBorders>
              <w:top w:val="nil"/>
              <w:left w:val="single" w:sz="12" w:space="0" w:color="000000"/>
              <w:bottom w:val="single" w:sz="4" w:space="0" w:color="000000"/>
              <w:right w:val="nil"/>
            </w:tcBorders>
            <w:vAlign w:val="center"/>
            <w:hideMark/>
          </w:tcPr>
          <w:p w14:paraId="2E022387" w14:textId="77777777" w:rsidR="004275AD" w:rsidRPr="004275AD" w:rsidRDefault="004275AD" w:rsidP="004275AD">
            <w:pPr>
              <w:bidi/>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rtl/>
                <w:lang w:val="en-GB" w:eastAsia="en-GB"/>
                <w14:ligatures w14:val="none"/>
              </w:rPr>
              <w:t>ثالثًا: نظم الحوافز والمكافآت</w:t>
            </w:r>
          </w:p>
        </w:tc>
        <w:tc>
          <w:tcPr>
            <w:tcW w:w="0" w:type="auto"/>
            <w:tcBorders>
              <w:top w:val="nil"/>
              <w:left w:val="nil"/>
              <w:bottom w:val="nil"/>
              <w:right w:val="single" w:sz="12" w:space="0" w:color="000000"/>
            </w:tcBorders>
            <w:vAlign w:val="center"/>
            <w:hideMark/>
          </w:tcPr>
          <w:p w14:paraId="2319B601" w14:textId="77777777" w:rsidR="004275AD" w:rsidRPr="004275AD" w:rsidRDefault="004275AD" w:rsidP="004275AD">
            <w:pPr>
              <w:spacing w:after="0" w:line="240" w:lineRule="auto"/>
              <w:jc w:val="center"/>
              <w:rPr>
                <w:rFonts w:ascii="Arial" w:eastAsia="Times New Roman" w:hAnsi="Arial" w:cs="Arial"/>
                <w:color w:val="000000"/>
                <w:kern w:val="0"/>
                <w:sz w:val="18"/>
                <w:szCs w:val="18"/>
                <w:rtl/>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0" w:type="auto"/>
            <w:tcBorders>
              <w:top w:val="nil"/>
              <w:left w:val="single" w:sz="12" w:space="0" w:color="000000"/>
              <w:bottom w:val="nil"/>
              <w:right w:val="single" w:sz="4" w:space="0" w:color="000000"/>
            </w:tcBorders>
            <w:noWrap/>
            <w:vAlign w:val="center"/>
            <w:hideMark/>
          </w:tcPr>
          <w:p w14:paraId="2C68148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.793</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2FE8B33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.845</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0D314BC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.837</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37360876"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.824</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12" w:space="0" w:color="000000"/>
            </w:tcBorders>
            <w:noWrap/>
            <w:vAlign w:val="center"/>
            <w:hideMark/>
          </w:tcPr>
          <w:p w14:paraId="2EEF5C8D"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r>
      <w:tr w:rsidR="008410A6" w:rsidRPr="004275AD" w14:paraId="4284F92B" w14:textId="77777777" w:rsidTr="008410A6">
        <w:trPr>
          <w:trHeight w:val="276"/>
        </w:trPr>
        <w:tc>
          <w:tcPr>
            <w:tcW w:w="0" w:type="auto"/>
            <w:vMerge/>
            <w:tcBorders>
              <w:top w:val="nil"/>
              <w:left w:val="single" w:sz="12" w:space="0" w:color="000000"/>
              <w:bottom w:val="single" w:sz="4" w:space="0" w:color="000000"/>
              <w:right w:val="nil"/>
            </w:tcBorders>
            <w:vAlign w:val="center"/>
            <w:hideMark/>
          </w:tcPr>
          <w:p w14:paraId="36176766"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0" w:type="auto"/>
            <w:tcBorders>
              <w:top w:val="nil"/>
              <w:left w:val="nil"/>
              <w:bottom w:val="nil"/>
              <w:right w:val="single" w:sz="12" w:space="0" w:color="000000"/>
            </w:tcBorders>
            <w:vAlign w:val="center"/>
            <w:hideMark/>
          </w:tcPr>
          <w:p w14:paraId="3AE6909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0" w:type="auto"/>
            <w:tcBorders>
              <w:top w:val="nil"/>
              <w:left w:val="single" w:sz="12" w:space="0" w:color="000000"/>
              <w:bottom w:val="nil"/>
              <w:right w:val="single" w:sz="4" w:space="0" w:color="000000"/>
            </w:tcBorders>
            <w:noWrap/>
            <w:vAlign w:val="center"/>
            <w:hideMark/>
          </w:tcPr>
          <w:p w14:paraId="3A45D735"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noWrap/>
            <w:vAlign w:val="center"/>
            <w:hideMark/>
          </w:tcPr>
          <w:p w14:paraId="245DEABE"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noWrap/>
            <w:vAlign w:val="center"/>
            <w:hideMark/>
          </w:tcPr>
          <w:p w14:paraId="4203305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noWrap/>
            <w:vAlign w:val="center"/>
            <w:hideMark/>
          </w:tcPr>
          <w:p w14:paraId="0F6392F1"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12" w:space="0" w:color="000000"/>
            </w:tcBorders>
            <w:vAlign w:val="center"/>
            <w:hideMark/>
          </w:tcPr>
          <w:p w14:paraId="7A08E6A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7D736A08" w14:textId="77777777" w:rsidTr="008410A6">
        <w:trPr>
          <w:trHeight w:val="276"/>
        </w:trPr>
        <w:tc>
          <w:tcPr>
            <w:tcW w:w="0" w:type="auto"/>
            <w:gridSpan w:val="7"/>
            <w:tcBorders>
              <w:top w:val="nil"/>
              <w:left w:val="nil"/>
              <w:bottom w:val="nil"/>
              <w:right w:val="nil"/>
            </w:tcBorders>
            <w:hideMark/>
          </w:tcPr>
          <w:p w14:paraId="0257CD80"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Correlation is significant at the 0.01 level (2-tailed).</w:t>
            </w:r>
          </w:p>
        </w:tc>
      </w:tr>
    </w:tbl>
    <w:p w14:paraId="321CDF17" w14:textId="47A12F75" w:rsidR="004275AD" w:rsidRDefault="004275AD" w:rsidP="004275AD">
      <w:pPr>
        <w:bidi/>
        <w:rPr>
          <w:rFonts w:ascii="Times New Roman" w:hAnsi="Times New Roman" w:cs="Times New Roman"/>
          <w:sz w:val="28"/>
          <w:szCs w:val="28"/>
          <w:rtl/>
          <w:lang w:bidi="ar-EG"/>
        </w:rPr>
      </w:pPr>
      <w:r>
        <w:rPr>
          <w:rFonts w:ascii="Times New Roman" w:hAnsi="Times New Roman" w:cs="Times New Roman" w:hint="cs"/>
          <w:sz w:val="28"/>
          <w:szCs w:val="28"/>
          <w:rtl/>
        </w:rPr>
        <w:t xml:space="preserve">جدول (3-5) يوضح </w:t>
      </w:r>
      <w:r>
        <w:rPr>
          <w:rFonts w:ascii="Times New Roman" w:hAnsi="Times New Roman" w:cs="Times New Roman" w:hint="cs"/>
          <w:sz w:val="28"/>
          <w:szCs w:val="28"/>
          <w:rtl/>
          <w:lang w:bidi="ar-EG"/>
        </w:rPr>
        <w:t>الارتباط لفقرات المشاركة في اتخاذ القرار مع محورها المجمع:</w:t>
      </w:r>
    </w:p>
    <w:tbl>
      <w:tblPr>
        <w:bidiVisual/>
        <w:tblW w:w="0" w:type="auto"/>
        <w:tblLook w:val="04A0" w:firstRow="1" w:lastRow="0" w:firstColumn="1" w:lastColumn="0" w:noHBand="0" w:noVBand="1"/>
      </w:tblPr>
      <w:tblGrid>
        <w:gridCol w:w="1857"/>
        <w:gridCol w:w="1302"/>
        <w:gridCol w:w="1693"/>
        <w:gridCol w:w="1585"/>
        <w:gridCol w:w="1827"/>
        <w:gridCol w:w="1096"/>
      </w:tblGrid>
      <w:tr w:rsidR="004275AD" w:rsidRPr="004275AD" w14:paraId="27885A50" w14:textId="77777777" w:rsidTr="008410A6">
        <w:trPr>
          <w:trHeight w:val="288"/>
        </w:trPr>
        <w:tc>
          <w:tcPr>
            <w:tcW w:w="0" w:type="auto"/>
            <w:gridSpan w:val="6"/>
            <w:tcBorders>
              <w:top w:val="nil"/>
              <w:left w:val="nil"/>
              <w:bottom w:val="nil"/>
              <w:right w:val="nil"/>
            </w:tcBorders>
            <w:vAlign w:val="center"/>
            <w:hideMark/>
          </w:tcPr>
          <w:p w14:paraId="5616109E" w14:textId="77777777" w:rsidR="004275AD" w:rsidRPr="004275AD" w:rsidRDefault="004275AD" w:rsidP="004275AD">
            <w:pPr>
              <w:spacing w:after="0" w:line="240" w:lineRule="auto"/>
              <w:jc w:val="center"/>
              <w:rPr>
                <w:rFonts w:ascii="Arial Bold" w:eastAsia="Times New Roman" w:hAnsi="Arial Bold" w:cs="Times New Roman"/>
                <w:b/>
                <w:bCs/>
                <w:color w:val="000000"/>
                <w:kern w:val="0"/>
                <w:sz w:val="18"/>
                <w:szCs w:val="18"/>
                <w:lang w:val="en-GB" w:eastAsia="en-GB"/>
                <w14:ligatures w14:val="none"/>
              </w:rPr>
            </w:pPr>
            <w:r w:rsidRPr="004275AD">
              <w:rPr>
                <w:rFonts w:ascii="Arial Bold" w:eastAsia="Times New Roman" w:hAnsi="Arial Bold" w:cs="Times New Roman"/>
                <w:b/>
                <w:bCs/>
                <w:color w:val="000000"/>
                <w:kern w:val="0"/>
                <w:sz w:val="18"/>
                <w:szCs w:val="18"/>
                <w:lang w:val="en-GB" w:eastAsia="en-GB"/>
                <w14:ligatures w14:val="none"/>
              </w:rPr>
              <w:t>Correlations</w:t>
            </w:r>
          </w:p>
        </w:tc>
      </w:tr>
      <w:tr w:rsidR="004275AD" w:rsidRPr="004275AD" w14:paraId="624F4D6D" w14:textId="77777777" w:rsidTr="008410A6">
        <w:trPr>
          <w:trHeight w:val="708"/>
        </w:trPr>
        <w:tc>
          <w:tcPr>
            <w:tcW w:w="0" w:type="auto"/>
            <w:gridSpan w:val="2"/>
            <w:tcBorders>
              <w:top w:val="single" w:sz="12" w:space="0" w:color="000000"/>
              <w:left w:val="single" w:sz="12" w:space="0" w:color="000000"/>
              <w:bottom w:val="single" w:sz="12" w:space="0" w:color="000000"/>
              <w:right w:val="single" w:sz="12" w:space="0" w:color="000000"/>
            </w:tcBorders>
            <w:vAlign w:val="center"/>
            <w:hideMark/>
          </w:tcPr>
          <w:p w14:paraId="34FD6B8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single" w:sz="12" w:space="0" w:color="000000"/>
              <w:left w:val="single" w:sz="12" w:space="0" w:color="000000"/>
              <w:bottom w:val="single" w:sz="12" w:space="0" w:color="000000"/>
              <w:right w:val="single" w:sz="4" w:space="0" w:color="000000"/>
            </w:tcBorders>
            <w:vAlign w:val="center"/>
            <w:hideMark/>
          </w:tcPr>
          <w:p w14:paraId="79130A4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13. </w:t>
            </w:r>
            <w:r w:rsidRPr="004275AD">
              <w:rPr>
                <w:rFonts w:ascii="Arial" w:eastAsia="Times New Roman" w:hAnsi="Arial" w:cs="Arial"/>
                <w:color w:val="000000"/>
                <w:kern w:val="0"/>
                <w:sz w:val="18"/>
                <w:szCs w:val="18"/>
                <w:rtl/>
                <w:lang w:val="en-GB" w:eastAsia="en-GB"/>
                <w14:ligatures w14:val="none"/>
              </w:rPr>
              <w:t>تُشرك الإدارة</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الموظفين في مناقشة القرارات التي تخص عملهم</w:t>
            </w:r>
            <w:r w:rsidRPr="004275AD">
              <w:rPr>
                <w:rFonts w:ascii="Arial" w:eastAsia="Times New Roman" w:hAnsi="Arial" w:cs="Arial"/>
                <w:color w:val="000000"/>
                <w:kern w:val="0"/>
                <w:sz w:val="18"/>
                <w:szCs w:val="18"/>
                <w:lang w:val="en-GB" w:eastAsia="en-GB"/>
                <w14:ligatures w14:val="none"/>
              </w:rPr>
              <w:t>.</w:t>
            </w:r>
          </w:p>
        </w:tc>
        <w:tc>
          <w:tcPr>
            <w:tcW w:w="0" w:type="auto"/>
            <w:tcBorders>
              <w:top w:val="single" w:sz="12" w:space="0" w:color="000000"/>
              <w:left w:val="single" w:sz="4" w:space="0" w:color="000000"/>
              <w:bottom w:val="single" w:sz="12" w:space="0" w:color="000000"/>
              <w:right w:val="single" w:sz="4" w:space="0" w:color="000000"/>
            </w:tcBorders>
            <w:vAlign w:val="center"/>
            <w:hideMark/>
          </w:tcPr>
          <w:p w14:paraId="6A7E701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14. </w:t>
            </w:r>
            <w:r w:rsidRPr="004275AD">
              <w:rPr>
                <w:rFonts w:ascii="Arial" w:eastAsia="Times New Roman" w:hAnsi="Arial" w:cs="Arial"/>
                <w:color w:val="000000"/>
                <w:kern w:val="0"/>
                <w:sz w:val="18"/>
                <w:szCs w:val="18"/>
                <w:rtl/>
                <w:lang w:val="en-GB" w:eastAsia="en-GB"/>
                <w14:ligatures w14:val="none"/>
              </w:rPr>
              <w:t>يُشجَّع العاملون على</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طرح أفكار ومقترحات تطويرية</w:t>
            </w:r>
            <w:r w:rsidRPr="004275AD">
              <w:rPr>
                <w:rFonts w:ascii="Arial" w:eastAsia="Times New Roman" w:hAnsi="Arial" w:cs="Arial"/>
                <w:color w:val="000000"/>
                <w:kern w:val="0"/>
                <w:sz w:val="18"/>
                <w:szCs w:val="18"/>
                <w:lang w:val="en-GB" w:eastAsia="en-GB"/>
                <w14:ligatures w14:val="none"/>
              </w:rPr>
              <w:t>.</w:t>
            </w:r>
          </w:p>
        </w:tc>
        <w:tc>
          <w:tcPr>
            <w:tcW w:w="0" w:type="auto"/>
            <w:tcBorders>
              <w:top w:val="single" w:sz="12" w:space="0" w:color="000000"/>
              <w:left w:val="single" w:sz="4" w:space="0" w:color="000000"/>
              <w:bottom w:val="single" w:sz="12" w:space="0" w:color="000000"/>
              <w:right w:val="single" w:sz="4" w:space="0" w:color="000000"/>
            </w:tcBorders>
            <w:vAlign w:val="center"/>
            <w:hideMark/>
          </w:tcPr>
          <w:p w14:paraId="0F9F90B5"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15. </w:t>
            </w:r>
            <w:r w:rsidRPr="004275AD">
              <w:rPr>
                <w:rFonts w:ascii="Arial" w:eastAsia="Times New Roman" w:hAnsi="Arial" w:cs="Arial"/>
                <w:color w:val="000000"/>
                <w:kern w:val="0"/>
                <w:sz w:val="18"/>
                <w:szCs w:val="18"/>
                <w:rtl/>
                <w:lang w:val="en-GB" w:eastAsia="en-GB"/>
                <w14:ligatures w14:val="none"/>
              </w:rPr>
              <w:t>تتبنى الإدارة أسلوب</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الحوار المفتوح مع الموظفين عند اتخاذ القرارات</w:t>
            </w:r>
            <w:r w:rsidRPr="004275AD">
              <w:rPr>
                <w:rFonts w:ascii="Arial" w:eastAsia="Times New Roman" w:hAnsi="Arial" w:cs="Arial"/>
                <w:color w:val="000000"/>
                <w:kern w:val="0"/>
                <w:sz w:val="18"/>
                <w:szCs w:val="18"/>
                <w:lang w:val="en-GB" w:eastAsia="en-GB"/>
                <w14:ligatures w14:val="none"/>
              </w:rPr>
              <w:t>.</w:t>
            </w:r>
          </w:p>
        </w:tc>
        <w:tc>
          <w:tcPr>
            <w:tcW w:w="0" w:type="auto"/>
            <w:tcBorders>
              <w:top w:val="single" w:sz="12" w:space="0" w:color="000000"/>
              <w:left w:val="single" w:sz="4" w:space="0" w:color="000000"/>
              <w:bottom w:val="single" w:sz="12" w:space="0" w:color="000000"/>
              <w:right w:val="single" w:sz="12" w:space="0" w:color="000000"/>
            </w:tcBorders>
            <w:vAlign w:val="center"/>
            <w:hideMark/>
          </w:tcPr>
          <w:p w14:paraId="777F1B82" w14:textId="77777777" w:rsidR="004275AD" w:rsidRPr="004275AD" w:rsidRDefault="004275AD" w:rsidP="004275AD">
            <w:pPr>
              <w:bidi/>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rtl/>
                <w:lang w:val="en-GB" w:eastAsia="en-GB"/>
                <w14:ligatures w14:val="none"/>
              </w:rPr>
              <w:t>رابعًا: المشاركة في اتخاذ القرار</w:t>
            </w:r>
          </w:p>
        </w:tc>
      </w:tr>
      <w:tr w:rsidR="008410A6" w:rsidRPr="004275AD" w14:paraId="703D4FC8" w14:textId="77777777" w:rsidTr="008410A6">
        <w:trPr>
          <w:trHeight w:val="288"/>
        </w:trPr>
        <w:tc>
          <w:tcPr>
            <w:tcW w:w="0" w:type="auto"/>
            <w:vMerge w:val="restart"/>
            <w:tcBorders>
              <w:top w:val="nil"/>
              <w:left w:val="single" w:sz="12" w:space="0" w:color="000000"/>
              <w:bottom w:val="single" w:sz="4" w:space="0" w:color="000000"/>
              <w:right w:val="nil"/>
            </w:tcBorders>
            <w:vAlign w:val="center"/>
            <w:hideMark/>
          </w:tcPr>
          <w:p w14:paraId="175A2A8A" w14:textId="77777777" w:rsidR="004275AD" w:rsidRPr="004275AD" w:rsidRDefault="004275AD" w:rsidP="004275AD">
            <w:pPr>
              <w:spacing w:after="0" w:line="240" w:lineRule="auto"/>
              <w:jc w:val="center"/>
              <w:rPr>
                <w:rFonts w:ascii="Arial" w:eastAsia="Times New Roman" w:hAnsi="Arial" w:cs="Arial"/>
                <w:color w:val="000000"/>
                <w:kern w:val="0"/>
                <w:sz w:val="18"/>
                <w:szCs w:val="18"/>
                <w:rtl/>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13. </w:t>
            </w:r>
            <w:r w:rsidRPr="004275AD">
              <w:rPr>
                <w:rFonts w:ascii="Arial" w:eastAsia="Times New Roman" w:hAnsi="Arial" w:cs="Arial"/>
                <w:color w:val="000000"/>
                <w:kern w:val="0"/>
                <w:sz w:val="18"/>
                <w:szCs w:val="18"/>
                <w:rtl/>
                <w:lang w:val="en-GB" w:eastAsia="en-GB"/>
                <w14:ligatures w14:val="none"/>
              </w:rPr>
              <w:t>تُشرك الإدارة الموظفين في مناقشة القرارات</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التي تخص عملهم</w:t>
            </w:r>
            <w:r w:rsidRPr="004275AD">
              <w:rPr>
                <w:rFonts w:ascii="Arial" w:eastAsia="Times New Roman" w:hAnsi="Arial" w:cs="Arial"/>
                <w:color w:val="000000"/>
                <w:kern w:val="0"/>
                <w:sz w:val="18"/>
                <w:szCs w:val="18"/>
                <w:lang w:val="en-GB" w:eastAsia="en-GB"/>
                <w14:ligatures w14:val="none"/>
              </w:rPr>
              <w:t>.</w:t>
            </w:r>
          </w:p>
        </w:tc>
        <w:tc>
          <w:tcPr>
            <w:tcW w:w="0" w:type="auto"/>
            <w:tcBorders>
              <w:top w:val="nil"/>
              <w:left w:val="nil"/>
              <w:bottom w:val="nil"/>
              <w:right w:val="single" w:sz="12" w:space="0" w:color="000000"/>
            </w:tcBorders>
            <w:vAlign w:val="center"/>
            <w:hideMark/>
          </w:tcPr>
          <w:p w14:paraId="791E9EBC"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0" w:type="auto"/>
            <w:tcBorders>
              <w:top w:val="nil"/>
              <w:left w:val="single" w:sz="12" w:space="0" w:color="000000"/>
              <w:bottom w:val="nil"/>
              <w:right w:val="single" w:sz="4" w:space="0" w:color="000000"/>
            </w:tcBorders>
            <w:noWrap/>
            <w:vAlign w:val="center"/>
            <w:hideMark/>
          </w:tcPr>
          <w:p w14:paraId="26BC91C0"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0" w:type="auto"/>
            <w:tcBorders>
              <w:top w:val="nil"/>
              <w:left w:val="single" w:sz="4" w:space="0" w:color="000000"/>
              <w:bottom w:val="nil"/>
              <w:right w:val="single" w:sz="4" w:space="0" w:color="000000"/>
            </w:tcBorders>
            <w:noWrap/>
            <w:vAlign w:val="center"/>
            <w:hideMark/>
          </w:tcPr>
          <w:p w14:paraId="2B304B8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76CED056"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771B5FF6"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23B786D2" w14:textId="77777777" w:rsidTr="008410A6">
        <w:trPr>
          <w:trHeight w:val="276"/>
        </w:trPr>
        <w:tc>
          <w:tcPr>
            <w:tcW w:w="0" w:type="auto"/>
            <w:vMerge/>
            <w:tcBorders>
              <w:top w:val="nil"/>
              <w:left w:val="single" w:sz="12" w:space="0" w:color="000000"/>
              <w:bottom w:val="single" w:sz="4" w:space="0" w:color="000000"/>
              <w:right w:val="nil"/>
            </w:tcBorders>
            <w:vAlign w:val="center"/>
            <w:hideMark/>
          </w:tcPr>
          <w:p w14:paraId="7B2AAFC0"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0" w:type="auto"/>
            <w:tcBorders>
              <w:top w:val="nil"/>
              <w:left w:val="nil"/>
              <w:bottom w:val="nil"/>
              <w:right w:val="single" w:sz="12" w:space="0" w:color="000000"/>
            </w:tcBorders>
            <w:vAlign w:val="center"/>
            <w:hideMark/>
          </w:tcPr>
          <w:p w14:paraId="2FA561F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0" w:type="auto"/>
            <w:tcBorders>
              <w:top w:val="nil"/>
              <w:left w:val="single" w:sz="12" w:space="0" w:color="000000"/>
              <w:bottom w:val="nil"/>
              <w:right w:val="single" w:sz="4" w:space="0" w:color="000000"/>
            </w:tcBorders>
            <w:vAlign w:val="center"/>
            <w:hideMark/>
          </w:tcPr>
          <w:p w14:paraId="76AB4ADE"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24640B34"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2D0E9ABD"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24531E20"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08BC75F0" w14:textId="77777777" w:rsidTr="008410A6">
        <w:trPr>
          <w:trHeight w:val="276"/>
        </w:trPr>
        <w:tc>
          <w:tcPr>
            <w:tcW w:w="0" w:type="auto"/>
            <w:vMerge w:val="restart"/>
            <w:tcBorders>
              <w:top w:val="nil"/>
              <w:left w:val="single" w:sz="12" w:space="0" w:color="000000"/>
              <w:bottom w:val="single" w:sz="4" w:space="0" w:color="000000"/>
              <w:right w:val="nil"/>
            </w:tcBorders>
            <w:vAlign w:val="center"/>
            <w:hideMark/>
          </w:tcPr>
          <w:p w14:paraId="52BBEDE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14. </w:t>
            </w:r>
            <w:r w:rsidRPr="004275AD">
              <w:rPr>
                <w:rFonts w:ascii="Arial" w:eastAsia="Times New Roman" w:hAnsi="Arial" w:cs="Arial"/>
                <w:color w:val="000000"/>
                <w:kern w:val="0"/>
                <w:sz w:val="18"/>
                <w:szCs w:val="18"/>
                <w:rtl/>
                <w:lang w:val="en-GB" w:eastAsia="en-GB"/>
                <w14:ligatures w14:val="none"/>
              </w:rPr>
              <w:t>يُشجَّع العاملون على طرح أفكار ومقترحات تطويرية</w:t>
            </w:r>
            <w:r w:rsidRPr="004275AD">
              <w:rPr>
                <w:rFonts w:ascii="Arial" w:eastAsia="Times New Roman" w:hAnsi="Arial" w:cs="Arial"/>
                <w:color w:val="000000"/>
                <w:kern w:val="0"/>
                <w:sz w:val="18"/>
                <w:szCs w:val="18"/>
                <w:lang w:val="en-GB" w:eastAsia="en-GB"/>
                <w14:ligatures w14:val="none"/>
              </w:rPr>
              <w:t>.</w:t>
            </w:r>
          </w:p>
        </w:tc>
        <w:tc>
          <w:tcPr>
            <w:tcW w:w="0" w:type="auto"/>
            <w:tcBorders>
              <w:top w:val="nil"/>
              <w:left w:val="nil"/>
              <w:bottom w:val="nil"/>
              <w:right w:val="single" w:sz="12" w:space="0" w:color="000000"/>
            </w:tcBorders>
            <w:vAlign w:val="center"/>
            <w:hideMark/>
          </w:tcPr>
          <w:p w14:paraId="0EA3431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0" w:type="auto"/>
            <w:tcBorders>
              <w:top w:val="nil"/>
              <w:left w:val="single" w:sz="12" w:space="0" w:color="000000"/>
              <w:bottom w:val="nil"/>
              <w:right w:val="single" w:sz="4" w:space="0" w:color="000000"/>
            </w:tcBorders>
            <w:noWrap/>
            <w:vAlign w:val="center"/>
            <w:hideMark/>
          </w:tcPr>
          <w:p w14:paraId="2851805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.587</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59B5E2F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0" w:type="auto"/>
            <w:tcBorders>
              <w:top w:val="nil"/>
              <w:left w:val="single" w:sz="4" w:space="0" w:color="000000"/>
              <w:bottom w:val="nil"/>
              <w:right w:val="single" w:sz="4" w:space="0" w:color="000000"/>
            </w:tcBorders>
            <w:noWrap/>
            <w:vAlign w:val="center"/>
            <w:hideMark/>
          </w:tcPr>
          <w:p w14:paraId="31D141F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43DCCD4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1DB8893B" w14:textId="77777777" w:rsidTr="008410A6">
        <w:trPr>
          <w:trHeight w:val="276"/>
        </w:trPr>
        <w:tc>
          <w:tcPr>
            <w:tcW w:w="0" w:type="auto"/>
            <w:vMerge/>
            <w:tcBorders>
              <w:top w:val="nil"/>
              <w:left w:val="single" w:sz="12" w:space="0" w:color="000000"/>
              <w:bottom w:val="single" w:sz="4" w:space="0" w:color="000000"/>
              <w:right w:val="nil"/>
            </w:tcBorders>
            <w:vAlign w:val="center"/>
            <w:hideMark/>
          </w:tcPr>
          <w:p w14:paraId="41053ACD"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0" w:type="auto"/>
            <w:tcBorders>
              <w:top w:val="nil"/>
              <w:left w:val="nil"/>
              <w:bottom w:val="nil"/>
              <w:right w:val="single" w:sz="12" w:space="0" w:color="000000"/>
            </w:tcBorders>
            <w:vAlign w:val="center"/>
            <w:hideMark/>
          </w:tcPr>
          <w:p w14:paraId="00AD904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0" w:type="auto"/>
            <w:tcBorders>
              <w:top w:val="nil"/>
              <w:left w:val="single" w:sz="12" w:space="0" w:color="000000"/>
              <w:bottom w:val="nil"/>
              <w:right w:val="single" w:sz="4" w:space="0" w:color="000000"/>
            </w:tcBorders>
            <w:noWrap/>
            <w:vAlign w:val="center"/>
            <w:hideMark/>
          </w:tcPr>
          <w:p w14:paraId="1D85E544"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vAlign w:val="center"/>
            <w:hideMark/>
          </w:tcPr>
          <w:p w14:paraId="34B92EE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3F48568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552C40A3"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7319E46A" w14:textId="77777777" w:rsidTr="008410A6">
        <w:trPr>
          <w:trHeight w:val="276"/>
        </w:trPr>
        <w:tc>
          <w:tcPr>
            <w:tcW w:w="0" w:type="auto"/>
            <w:vMerge w:val="restart"/>
            <w:tcBorders>
              <w:top w:val="nil"/>
              <w:left w:val="single" w:sz="12" w:space="0" w:color="000000"/>
              <w:bottom w:val="single" w:sz="4" w:space="0" w:color="000000"/>
              <w:right w:val="nil"/>
            </w:tcBorders>
            <w:vAlign w:val="center"/>
            <w:hideMark/>
          </w:tcPr>
          <w:p w14:paraId="4B75520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15. </w:t>
            </w:r>
            <w:r w:rsidRPr="004275AD">
              <w:rPr>
                <w:rFonts w:ascii="Arial" w:eastAsia="Times New Roman" w:hAnsi="Arial" w:cs="Arial"/>
                <w:color w:val="000000"/>
                <w:kern w:val="0"/>
                <w:sz w:val="18"/>
                <w:szCs w:val="18"/>
                <w:rtl/>
                <w:lang w:val="en-GB" w:eastAsia="en-GB"/>
                <w14:ligatures w14:val="none"/>
              </w:rPr>
              <w:t>تتبنى الإدارة أسلوب الحوار المفتوح مع الموظفين عند اتخاذ</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القرارات</w:t>
            </w:r>
            <w:r w:rsidRPr="004275AD">
              <w:rPr>
                <w:rFonts w:ascii="Arial" w:eastAsia="Times New Roman" w:hAnsi="Arial" w:cs="Arial"/>
                <w:color w:val="000000"/>
                <w:kern w:val="0"/>
                <w:sz w:val="18"/>
                <w:szCs w:val="18"/>
                <w:lang w:val="en-GB" w:eastAsia="en-GB"/>
                <w14:ligatures w14:val="none"/>
              </w:rPr>
              <w:t>.</w:t>
            </w:r>
          </w:p>
        </w:tc>
        <w:tc>
          <w:tcPr>
            <w:tcW w:w="0" w:type="auto"/>
            <w:tcBorders>
              <w:top w:val="nil"/>
              <w:left w:val="nil"/>
              <w:bottom w:val="nil"/>
              <w:right w:val="single" w:sz="12" w:space="0" w:color="000000"/>
            </w:tcBorders>
            <w:vAlign w:val="center"/>
            <w:hideMark/>
          </w:tcPr>
          <w:p w14:paraId="6ED7EBB1"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0" w:type="auto"/>
            <w:tcBorders>
              <w:top w:val="nil"/>
              <w:left w:val="single" w:sz="12" w:space="0" w:color="000000"/>
              <w:bottom w:val="nil"/>
              <w:right w:val="single" w:sz="4" w:space="0" w:color="000000"/>
            </w:tcBorders>
            <w:noWrap/>
            <w:vAlign w:val="center"/>
            <w:hideMark/>
          </w:tcPr>
          <w:p w14:paraId="6C79E4C0"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.554</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1B4998E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.604</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717BB93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0" w:type="auto"/>
            <w:tcBorders>
              <w:top w:val="nil"/>
              <w:left w:val="single" w:sz="4" w:space="0" w:color="000000"/>
              <w:bottom w:val="nil"/>
              <w:right w:val="single" w:sz="12" w:space="0" w:color="000000"/>
            </w:tcBorders>
            <w:noWrap/>
            <w:vAlign w:val="center"/>
            <w:hideMark/>
          </w:tcPr>
          <w:p w14:paraId="327CA6D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4FAF801E" w14:textId="77777777" w:rsidTr="008410A6">
        <w:trPr>
          <w:trHeight w:val="276"/>
        </w:trPr>
        <w:tc>
          <w:tcPr>
            <w:tcW w:w="0" w:type="auto"/>
            <w:vMerge/>
            <w:tcBorders>
              <w:top w:val="nil"/>
              <w:left w:val="single" w:sz="12" w:space="0" w:color="000000"/>
              <w:bottom w:val="single" w:sz="4" w:space="0" w:color="000000"/>
              <w:right w:val="nil"/>
            </w:tcBorders>
            <w:vAlign w:val="center"/>
            <w:hideMark/>
          </w:tcPr>
          <w:p w14:paraId="435CB3F0"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0" w:type="auto"/>
            <w:tcBorders>
              <w:top w:val="nil"/>
              <w:left w:val="nil"/>
              <w:bottom w:val="nil"/>
              <w:right w:val="single" w:sz="12" w:space="0" w:color="000000"/>
            </w:tcBorders>
            <w:vAlign w:val="center"/>
            <w:hideMark/>
          </w:tcPr>
          <w:p w14:paraId="566FDAB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0" w:type="auto"/>
            <w:tcBorders>
              <w:top w:val="nil"/>
              <w:left w:val="single" w:sz="12" w:space="0" w:color="000000"/>
              <w:bottom w:val="nil"/>
              <w:right w:val="single" w:sz="4" w:space="0" w:color="000000"/>
            </w:tcBorders>
            <w:noWrap/>
            <w:vAlign w:val="center"/>
            <w:hideMark/>
          </w:tcPr>
          <w:p w14:paraId="1C26D190"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noWrap/>
            <w:vAlign w:val="center"/>
            <w:hideMark/>
          </w:tcPr>
          <w:p w14:paraId="18423970"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vAlign w:val="center"/>
            <w:hideMark/>
          </w:tcPr>
          <w:p w14:paraId="3FA2330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4C8CC6B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64463E11" w14:textId="77777777" w:rsidTr="008410A6">
        <w:trPr>
          <w:trHeight w:val="276"/>
        </w:trPr>
        <w:tc>
          <w:tcPr>
            <w:tcW w:w="0" w:type="auto"/>
            <w:vMerge w:val="restart"/>
            <w:tcBorders>
              <w:top w:val="nil"/>
              <w:left w:val="single" w:sz="12" w:space="0" w:color="000000"/>
              <w:bottom w:val="single" w:sz="4" w:space="0" w:color="000000"/>
              <w:right w:val="nil"/>
            </w:tcBorders>
            <w:vAlign w:val="center"/>
            <w:hideMark/>
          </w:tcPr>
          <w:p w14:paraId="1AD2D67E" w14:textId="77777777" w:rsidR="004275AD" w:rsidRPr="004275AD" w:rsidRDefault="004275AD" w:rsidP="004275AD">
            <w:pPr>
              <w:bidi/>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rtl/>
                <w:lang w:val="en-GB" w:eastAsia="en-GB"/>
                <w14:ligatures w14:val="none"/>
              </w:rPr>
              <w:t>رابعًا: المشاركة في اتخاذ القرار</w:t>
            </w:r>
          </w:p>
        </w:tc>
        <w:tc>
          <w:tcPr>
            <w:tcW w:w="0" w:type="auto"/>
            <w:tcBorders>
              <w:top w:val="nil"/>
              <w:left w:val="nil"/>
              <w:bottom w:val="nil"/>
              <w:right w:val="single" w:sz="12" w:space="0" w:color="000000"/>
            </w:tcBorders>
            <w:vAlign w:val="center"/>
            <w:hideMark/>
          </w:tcPr>
          <w:p w14:paraId="257B6037" w14:textId="77777777" w:rsidR="004275AD" w:rsidRPr="004275AD" w:rsidRDefault="004275AD" w:rsidP="004275AD">
            <w:pPr>
              <w:spacing w:after="0" w:line="240" w:lineRule="auto"/>
              <w:jc w:val="center"/>
              <w:rPr>
                <w:rFonts w:ascii="Arial" w:eastAsia="Times New Roman" w:hAnsi="Arial" w:cs="Arial"/>
                <w:color w:val="000000"/>
                <w:kern w:val="0"/>
                <w:sz w:val="18"/>
                <w:szCs w:val="18"/>
                <w:rtl/>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0" w:type="auto"/>
            <w:tcBorders>
              <w:top w:val="nil"/>
              <w:left w:val="single" w:sz="12" w:space="0" w:color="000000"/>
              <w:bottom w:val="nil"/>
              <w:right w:val="single" w:sz="4" w:space="0" w:color="000000"/>
            </w:tcBorders>
            <w:noWrap/>
            <w:vAlign w:val="center"/>
            <w:hideMark/>
          </w:tcPr>
          <w:p w14:paraId="0926D98D"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.836</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3274B936"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.863</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42F20EEE"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.848</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12" w:space="0" w:color="000000"/>
            </w:tcBorders>
            <w:noWrap/>
            <w:vAlign w:val="center"/>
            <w:hideMark/>
          </w:tcPr>
          <w:p w14:paraId="5B3390C8"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r>
      <w:tr w:rsidR="008410A6" w:rsidRPr="004275AD" w14:paraId="3BFF9DE5" w14:textId="77777777" w:rsidTr="008410A6">
        <w:trPr>
          <w:trHeight w:val="276"/>
        </w:trPr>
        <w:tc>
          <w:tcPr>
            <w:tcW w:w="0" w:type="auto"/>
            <w:vMerge/>
            <w:tcBorders>
              <w:top w:val="nil"/>
              <w:left w:val="single" w:sz="12" w:space="0" w:color="000000"/>
              <w:bottom w:val="single" w:sz="4" w:space="0" w:color="000000"/>
              <w:right w:val="nil"/>
            </w:tcBorders>
            <w:vAlign w:val="center"/>
            <w:hideMark/>
          </w:tcPr>
          <w:p w14:paraId="75C80437"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0" w:type="auto"/>
            <w:tcBorders>
              <w:top w:val="nil"/>
              <w:left w:val="nil"/>
              <w:bottom w:val="nil"/>
              <w:right w:val="single" w:sz="12" w:space="0" w:color="000000"/>
            </w:tcBorders>
            <w:vAlign w:val="center"/>
            <w:hideMark/>
          </w:tcPr>
          <w:p w14:paraId="15569D5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0" w:type="auto"/>
            <w:tcBorders>
              <w:top w:val="nil"/>
              <w:left w:val="single" w:sz="12" w:space="0" w:color="000000"/>
              <w:bottom w:val="nil"/>
              <w:right w:val="single" w:sz="4" w:space="0" w:color="000000"/>
            </w:tcBorders>
            <w:noWrap/>
            <w:vAlign w:val="center"/>
            <w:hideMark/>
          </w:tcPr>
          <w:p w14:paraId="36DF6AC6"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noWrap/>
            <w:vAlign w:val="center"/>
            <w:hideMark/>
          </w:tcPr>
          <w:p w14:paraId="3410090B"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noWrap/>
            <w:vAlign w:val="center"/>
            <w:hideMark/>
          </w:tcPr>
          <w:p w14:paraId="6637C00A"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12" w:space="0" w:color="000000"/>
            </w:tcBorders>
            <w:vAlign w:val="center"/>
            <w:hideMark/>
          </w:tcPr>
          <w:p w14:paraId="03CF1FB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719843CA" w14:textId="77777777" w:rsidTr="008410A6">
        <w:trPr>
          <w:trHeight w:val="276"/>
        </w:trPr>
        <w:tc>
          <w:tcPr>
            <w:tcW w:w="0" w:type="auto"/>
            <w:gridSpan w:val="6"/>
            <w:tcBorders>
              <w:top w:val="nil"/>
              <w:left w:val="nil"/>
              <w:bottom w:val="nil"/>
              <w:right w:val="nil"/>
            </w:tcBorders>
            <w:hideMark/>
          </w:tcPr>
          <w:p w14:paraId="585936CD"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Correlation is significant at the 0.01 level (2-tailed).</w:t>
            </w:r>
          </w:p>
        </w:tc>
      </w:tr>
    </w:tbl>
    <w:p w14:paraId="41B24EDD" w14:textId="77777777" w:rsidR="00637B0E" w:rsidRDefault="00637B0E" w:rsidP="004275AD">
      <w:pPr>
        <w:bidi/>
        <w:rPr>
          <w:rFonts w:ascii="Times New Roman" w:hAnsi="Times New Roman" w:cs="Times New Roman"/>
          <w:sz w:val="28"/>
          <w:szCs w:val="28"/>
          <w:rtl/>
        </w:rPr>
      </w:pPr>
    </w:p>
    <w:p w14:paraId="390FE8F4" w14:textId="77777777" w:rsidR="00637B0E" w:rsidRDefault="00637B0E" w:rsidP="00637B0E">
      <w:pPr>
        <w:bidi/>
        <w:rPr>
          <w:rFonts w:ascii="Times New Roman" w:hAnsi="Times New Roman" w:cs="Times New Roman"/>
          <w:sz w:val="28"/>
          <w:szCs w:val="28"/>
          <w:rtl/>
        </w:rPr>
      </w:pPr>
    </w:p>
    <w:p w14:paraId="721E922F" w14:textId="77777777" w:rsidR="00637B0E" w:rsidRDefault="00637B0E" w:rsidP="00637B0E">
      <w:pPr>
        <w:bidi/>
        <w:rPr>
          <w:rFonts w:ascii="Times New Roman" w:hAnsi="Times New Roman" w:cs="Times New Roman"/>
          <w:sz w:val="28"/>
          <w:szCs w:val="28"/>
          <w:rtl/>
        </w:rPr>
      </w:pPr>
    </w:p>
    <w:p w14:paraId="053951A1" w14:textId="77777777" w:rsidR="00637B0E" w:rsidRDefault="00637B0E" w:rsidP="00637B0E">
      <w:pPr>
        <w:bidi/>
        <w:rPr>
          <w:rFonts w:ascii="Times New Roman" w:hAnsi="Times New Roman" w:cs="Times New Roman"/>
          <w:sz w:val="28"/>
          <w:szCs w:val="28"/>
          <w:rtl/>
        </w:rPr>
      </w:pPr>
    </w:p>
    <w:p w14:paraId="49336F95" w14:textId="77777777" w:rsidR="00637B0E" w:rsidRDefault="00637B0E" w:rsidP="00637B0E">
      <w:pPr>
        <w:bidi/>
        <w:rPr>
          <w:rFonts w:ascii="Times New Roman" w:hAnsi="Times New Roman" w:cs="Times New Roman"/>
          <w:sz w:val="28"/>
          <w:szCs w:val="28"/>
          <w:rtl/>
        </w:rPr>
      </w:pPr>
    </w:p>
    <w:p w14:paraId="7D934903" w14:textId="02FD4457" w:rsidR="004275AD" w:rsidRDefault="004275AD" w:rsidP="00637B0E">
      <w:pPr>
        <w:bidi/>
        <w:rPr>
          <w:rFonts w:ascii="Times New Roman" w:hAnsi="Times New Roman" w:cs="Times New Roman"/>
          <w:sz w:val="28"/>
          <w:szCs w:val="28"/>
          <w:rtl/>
          <w:lang w:bidi="ar-EG"/>
        </w:rPr>
      </w:pPr>
      <w:r>
        <w:rPr>
          <w:rFonts w:ascii="Times New Roman" w:hAnsi="Times New Roman" w:cs="Times New Roman" w:hint="cs"/>
          <w:sz w:val="28"/>
          <w:szCs w:val="28"/>
          <w:rtl/>
        </w:rPr>
        <w:t xml:space="preserve">جدول (3-5) يوضح </w:t>
      </w:r>
      <w:r>
        <w:rPr>
          <w:rFonts w:ascii="Times New Roman" w:hAnsi="Times New Roman" w:cs="Times New Roman" w:hint="cs"/>
          <w:sz w:val="28"/>
          <w:szCs w:val="28"/>
          <w:rtl/>
          <w:lang w:bidi="ar-EG"/>
        </w:rPr>
        <w:t>الارتباط لفقرات تقييم الأداء العادل مع محورها المجمع:</w:t>
      </w:r>
    </w:p>
    <w:tbl>
      <w:tblPr>
        <w:bidiVisual/>
        <w:tblW w:w="0" w:type="auto"/>
        <w:tblLook w:val="04A0" w:firstRow="1" w:lastRow="0" w:firstColumn="1" w:lastColumn="0" w:noHBand="0" w:noVBand="1"/>
      </w:tblPr>
      <w:tblGrid>
        <w:gridCol w:w="1795"/>
        <w:gridCol w:w="1344"/>
        <w:gridCol w:w="1750"/>
        <w:gridCol w:w="1772"/>
        <w:gridCol w:w="1733"/>
        <w:gridCol w:w="966"/>
      </w:tblGrid>
      <w:tr w:rsidR="004275AD" w:rsidRPr="004275AD" w14:paraId="3B6F777D" w14:textId="77777777" w:rsidTr="008410A6">
        <w:trPr>
          <w:trHeight w:val="288"/>
        </w:trPr>
        <w:tc>
          <w:tcPr>
            <w:tcW w:w="0" w:type="auto"/>
            <w:gridSpan w:val="6"/>
            <w:tcBorders>
              <w:top w:val="nil"/>
              <w:left w:val="nil"/>
              <w:bottom w:val="nil"/>
              <w:right w:val="nil"/>
            </w:tcBorders>
            <w:vAlign w:val="center"/>
            <w:hideMark/>
          </w:tcPr>
          <w:p w14:paraId="55E4892D" w14:textId="77777777" w:rsidR="004275AD" w:rsidRPr="004275AD" w:rsidRDefault="004275AD" w:rsidP="004275AD">
            <w:pPr>
              <w:spacing w:after="0" w:line="240" w:lineRule="auto"/>
              <w:jc w:val="center"/>
              <w:rPr>
                <w:rFonts w:ascii="Arial Bold" w:eastAsia="Times New Roman" w:hAnsi="Arial Bold" w:cs="Times New Roman"/>
                <w:b/>
                <w:bCs/>
                <w:color w:val="000000"/>
                <w:kern w:val="0"/>
                <w:sz w:val="18"/>
                <w:szCs w:val="18"/>
                <w:lang w:val="en-GB" w:eastAsia="en-GB"/>
                <w14:ligatures w14:val="none"/>
              </w:rPr>
            </w:pPr>
            <w:r w:rsidRPr="004275AD">
              <w:rPr>
                <w:rFonts w:ascii="Arial Bold" w:eastAsia="Times New Roman" w:hAnsi="Arial Bold" w:cs="Times New Roman"/>
                <w:b/>
                <w:bCs/>
                <w:color w:val="000000"/>
                <w:kern w:val="0"/>
                <w:sz w:val="18"/>
                <w:szCs w:val="18"/>
                <w:lang w:val="en-GB" w:eastAsia="en-GB"/>
                <w14:ligatures w14:val="none"/>
              </w:rPr>
              <w:t>Correlations</w:t>
            </w:r>
          </w:p>
        </w:tc>
      </w:tr>
      <w:tr w:rsidR="004275AD" w:rsidRPr="004275AD" w14:paraId="60CD9825" w14:textId="77777777" w:rsidTr="008410A6">
        <w:trPr>
          <w:trHeight w:val="492"/>
        </w:trPr>
        <w:tc>
          <w:tcPr>
            <w:tcW w:w="0" w:type="auto"/>
            <w:gridSpan w:val="2"/>
            <w:tcBorders>
              <w:top w:val="single" w:sz="12" w:space="0" w:color="000000"/>
              <w:left w:val="single" w:sz="12" w:space="0" w:color="000000"/>
              <w:bottom w:val="single" w:sz="12" w:space="0" w:color="000000"/>
              <w:right w:val="single" w:sz="12" w:space="0" w:color="000000"/>
            </w:tcBorders>
            <w:vAlign w:val="bottom"/>
            <w:hideMark/>
          </w:tcPr>
          <w:p w14:paraId="3E47BEB7"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single" w:sz="12" w:space="0" w:color="000000"/>
              <w:left w:val="single" w:sz="12" w:space="0" w:color="000000"/>
              <w:bottom w:val="single" w:sz="12" w:space="0" w:color="000000"/>
              <w:right w:val="single" w:sz="4" w:space="0" w:color="000000"/>
            </w:tcBorders>
            <w:vAlign w:val="bottom"/>
            <w:hideMark/>
          </w:tcPr>
          <w:p w14:paraId="616C572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16. </w:t>
            </w:r>
            <w:r w:rsidRPr="004275AD">
              <w:rPr>
                <w:rFonts w:ascii="Arial" w:eastAsia="Times New Roman" w:hAnsi="Arial" w:cs="Arial"/>
                <w:color w:val="000000"/>
                <w:kern w:val="0"/>
                <w:sz w:val="18"/>
                <w:szCs w:val="18"/>
                <w:rtl/>
                <w:lang w:val="en-GB" w:eastAsia="en-GB"/>
                <w14:ligatures w14:val="none"/>
              </w:rPr>
              <w:t>يتم تقييم أداء</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الموظفين وفق معايير موضوعية ومعلنة</w:t>
            </w:r>
            <w:r w:rsidRPr="004275AD">
              <w:rPr>
                <w:rFonts w:ascii="Arial" w:eastAsia="Times New Roman" w:hAnsi="Arial" w:cs="Arial"/>
                <w:color w:val="000000"/>
                <w:kern w:val="0"/>
                <w:sz w:val="18"/>
                <w:szCs w:val="18"/>
                <w:lang w:val="en-GB" w:eastAsia="en-GB"/>
                <w14:ligatures w14:val="none"/>
              </w:rPr>
              <w:t>.</w:t>
            </w:r>
          </w:p>
        </w:tc>
        <w:tc>
          <w:tcPr>
            <w:tcW w:w="0" w:type="auto"/>
            <w:tcBorders>
              <w:top w:val="single" w:sz="12" w:space="0" w:color="000000"/>
              <w:left w:val="single" w:sz="4" w:space="0" w:color="000000"/>
              <w:bottom w:val="single" w:sz="12" w:space="0" w:color="000000"/>
              <w:right w:val="single" w:sz="4" w:space="0" w:color="000000"/>
            </w:tcBorders>
            <w:vAlign w:val="bottom"/>
            <w:hideMark/>
          </w:tcPr>
          <w:p w14:paraId="145984B6"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17. </w:t>
            </w:r>
            <w:r w:rsidRPr="004275AD">
              <w:rPr>
                <w:rFonts w:ascii="Arial" w:eastAsia="Times New Roman" w:hAnsi="Arial" w:cs="Arial"/>
                <w:color w:val="000000"/>
                <w:kern w:val="0"/>
                <w:sz w:val="18"/>
                <w:szCs w:val="18"/>
                <w:rtl/>
                <w:lang w:val="en-GB" w:eastAsia="en-GB"/>
                <w14:ligatures w14:val="none"/>
              </w:rPr>
              <w:t>يحصل الموظفون على</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تغذية راجعة منتظمة حول أدائهم</w:t>
            </w:r>
            <w:r w:rsidRPr="004275AD">
              <w:rPr>
                <w:rFonts w:ascii="Arial" w:eastAsia="Times New Roman" w:hAnsi="Arial" w:cs="Arial"/>
                <w:color w:val="000000"/>
                <w:kern w:val="0"/>
                <w:sz w:val="18"/>
                <w:szCs w:val="18"/>
                <w:lang w:val="en-GB" w:eastAsia="en-GB"/>
                <w14:ligatures w14:val="none"/>
              </w:rPr>
              <w:t>.</w:t>
            </w:r>
          </w:p>
        </w:tc>
        <w:tc>
          <w:tcPr>
            <w:tcW w:w="0" w:type="auto"/>
            <w:tcBorders>
              <w:top w:val="single" w:sz="12" w:space="0" w:color="000000"/>
              <w:left w:val="single" w:sz="4" w:space="0" w:color="000000"/>
              <w:bottom w:val="single" w:sz="12" w:space="0" w:color="000000"/>
              <w:right w:val="single" w:sz="4" w:space="0" w:color="000000"/>
            </w:tcBorders>
            <w:vAlign w:val="bottom"/>
            <w:hideMark/>
          </w:tcPr>
          <w:p w14:paraId="4944FD67"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18. </w:t>
            </w:r>
            <w:r w:rsidRPr="004275AD">
              <w:rPr>
                <w:rFonts w:ascii="Arial" w:eastAsia="Times New Roman" w:hAnsi="Arial" w:cs="Arial"/>
                <w:color w:val="000000"/>
                <w:kern w:val="0"/>
                <w:sz w:val="18"/>
                <w:szCs w:val="18"/>
                <w:rtl/>
                <w:lang w:val="en-GB" w:eastAsia="en-GB"/>
                <w14:ligatures w14:val="none"/>
              </w:rPr>
              <w:t>تُستخدم نتائج</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التقييم في تحديد فرص الترقية والتطوير</w:t>
            </w:r>
            <w:r w:rsidRPr="004275AD">
              <w:rPr>
                <w:rFonts w:ascii="Arial" w:eastAsia="Times New Roman" w:hAnsi="Arial" w:cs="Arial"/>
                <w:color w:val="000000"/>
                <w:kern w:val="0"/>
                <w:sz w:val="18"/>
                <w:szCs w:val="18"/>
                <w:lang w:val="en-GB" w:eastAsia="en-GB"/>
                <w14:ligatures w14:val="none"/>
              </w:rPr>
              <w:t>.</w:t>
            </w:r>
          </w:p>
        </w:tc>
        <w:tc>
          <w:tcPr>
            <w:tcW w:w="0" w:type="auto"/>
            <w:tcBorders>
              <w:top w:val="single" w:sz="12" w:space="0" w:color="000000"/>
              <w:left w:val="single" w:sz="4" w:space="0" w:color="000000"/>
              <w:bottom w:val="single" w:sz="12" w:space="0" w:color="000000"/>
              <w:right w:val="single" w:sz="12" w:space="0" w:color="000000"/>
            </w:tcBorders>
            <w:vAlign w:val="bottom"/>
            <w:hideMark/>
          </w:tcPr>
          <w:p w14:paraId="76BA369A" w14:textId="77777777" w:rsidR="004275AD" w:rsidRPr="004275AD" w:rsidRDefault="004275AD" w:rsidP="004275AD">
            <w:pPr>
              <w:bidi/>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rtl/>
                <w:lang w:val="en-GB" w:eastAsia="en-GB"/>
                <w14:ligatures w14:val="none"/>
              </w:rPr>
              <w:t>خامسًا: تقييم الأداء العادل</w:t>
            </w:r>
          </w:p>
        </w:tc>
      </w:tr>
      <w:tr w:rsidR="008410A6" w:rsidRPr="004275AD" w14:paraId="2F8A2035" w14:textId="77777777" w:rsidTr="008410A6">
        <w:trPr>
          <w:trHeight w:val="288"/>
        </w:trPr>
        <w:tc>
          <w:tcPr>
            <w:tcW w:w="0" w:type="auto"/>
            <w:vMerge w:val="restart"/>
            <w:tcBorders>
              <w:top w:val="nil"/>
              <w:left w:val="single" w:sz="12" w:space="0" w:color="000000"/>
              <w:bottom w:val="single" w:sz="4" w:space="0" w:color="000000"/>
              <w:right w:val="nil"/>
            </w:tcBorders>
            <w:hideMark/>
          </w:tcPr>
          <w:p w14:paraId="4A52BA5A" w14:textId="77777777" w:rsidR="004275AD" w:rsidRPr="004275AD" w:rsidRDefault="004275AD" w:rsidP="004275AD">
            <w:pPr>
              <w:spacing w:after="0" w:line="240" w:lineRule="auto"/>
              <w:rPr>
                <w:rFonts w:ascii="Arial" w:eastAsia="Times New Roman" w:hAnsi="Arial" w:cs="Arial"/>
                <w:color w:val="000000"/>
                <w:kern w:val="0"/>
                <w:sz w:val="18"/>
                <w:szCs w:val="18"/>
                <w:rtl/>
                <w:lang w:val="en-GB" w:eastAsia="en-GB"/>
                <w14:ligatures w14:val="none"/>
              </w:rPr>
            </w:pPr>
            <w:r w:rsidRPr="004275AD">
              <w:rPr>
                <w:rFonts w:ascii="Arial" w:eastAsia="Times New Roman" w:hAnsi="Arial" w:cs="Arial"/>
                <w:color w:val="000000"/>
                <w:kern w:val="0"/>
                <w:sz w:val="18"/>
                <w:szCs w:val="18"/>
                <w:lang w:val="en-GB" w:eastAsia="en-GB"/>
                <w14:ligatures w14:val="none"/>
              </w:rPr>
              <w:lastRenderedPageBreak/>
              <w:t xml:space="preserve">16. </w:t>
            </w:r>
            <w:r w:rsidRPr="004275AD">
              <w:rPr>
                <w:rFonts w:ascii="Arial" w:eastAsia="Times New Roman" w:hAnsi="Arial" w:cs="Arial"/>
                <w:color w:val="000000"/>
                <w:kern w:val="0"/>
                <w:sz w:val="18"/>
                <w:szCs w:val="18"/>
                <w:rtl/>
                <w:lang w:val="en-GB" w:eastAsia="en-GB"/>
                <w14:ligatures w14:val="none"/>
              </w:rPr>
              <w:t>يتم تقييم أداء الموظفين وفق معايير موضوعية</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ومعلنة</w:t>
            </w:r>
            <w:r w:rsidRPr="004275AD">
              <w:rPr>
                <w:rFonts w:ascii="Arial" w:eastAsia="Times New Roman" w:hAnsi="Arial" w:cs="Arial"/>
                <w:color w:val="000000"/>
                <w:kern w:val="0"/>
                <w:sz w:val="18"/>
                <w:szCs w:val="18"/>
                <w:lang w:val="en-GB" w:eastAsia="en-GB"/>
                <w14:ligatures w14:val="none"/>
              </w:rPr>
              <w:t>.</w:t>
            </w:r>
          </w:p>
        </w:tc>
        <w:tc>
          <w:tcPr>
            <w:tcW w:w="0" w:type="auto"/>
            <w:tcBorders>
              <w:top w:val="nil"/>
              <w:left w:val="nil"/>
              <w:bottom w:val="nil"/>
              <w:right w:val="single" w:sz="12" w:space="0" w:color="000000"/>
            </w:tcBorders>
            <w:hideMark/>
          </w:tcPr>
          <w:p w14:paraId="62C3F2A6"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0" w:type="auto"/>
            <w:tcBorders>
              <w:top w:val="nil"/>
              <w:left w:val="single" w:sz="12" w:space="0" w:color="000000"/>
              <w:bottom w:val="nil"/>
              <w:right w:val="single" w:sz="4" w:space="0" w:color="000000"/>
            </w:tcBorders>
            <w:noWrap/>
            <w:vAlign w:val="center"/>
            <w:hideMark/>
          </w:tcPr>
          <w:p w14:paraId="1240AFFC"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0" w:type="auto"/>
            <w:tcBorders>
              <w:top w:val="nil"/>
              <w:left w:val="single" w:sz="4" w:space="0" w:color="000000"/>
              <w:bottom w:val="nil"/>
              <w:right w:val="single" w:sz="4" w:space="0" w:color="000000"/>
            </w:tcBorders>
            <w:noWrap/>
            <w:vAlign w:val="center"/>
            <w:hideMark/>
          </w:tcPr>
          <w:p w14:paraId="56AC1CAE"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23D519A7"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4145D85C"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1538ABD5" w14:textId="77777777" w:rsidTr="008410A6">
        <w:trPr>
          <w:trHeight w:val="276"/>
        </w:trPr>
        <w:tc>
          <w:tcPr>
            <w:tcW w:w="0" w:type="auto"/>
            <w:vMerge/>
            <w:tcBorders>
              <w:top w:val="nil"/>
              <w:left w:val="single" w:sz="12" w:space="0" w:color="000000"/>
              <w:bottom w:val="single" w:sz="4" w:space="0" w:color="000000"/>
              <w:right w:val="nil"/>
            </w:tcBorders>
            <w:vAlign w:val="center"/>
            <w:hideMark/>
          </w:tcPr>
          <w:p w14:paraId="61026279"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0" w:type="auto"/>
            <w:tcBorders>
              <w:top w:val="nil"/>
              <w:left w:val="nil"/>
              <w:bottom w:val="nil"/>
              <w:right w:val="single" w:sz="12" w:space="0" w:color="000000"/>
            </w:tcBorders>
            <w:hideMark/>
          </w:tcPr>
          <w:p w14:paraId="3388B844"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0" w:type="auto"/>
            <w:tcBorders>
              <w:top w:val="nil"/>
              <w:left w:val="single" w:sz="12" w:space="0" w:color="000000"/>
              <w:bottom w:val="nil"/>
              <w:right w:val="single" w:sz="4" w:space="0" w:color="000000"/>
            </w:tcBorders>
            <w:vAlign w:val="center"/>
            <w:hideMark/>
          </w:tcPr>
          <w:p w14:paraId="1F11C94B"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08640BC1"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0123A5DC"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4F9EABFB"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6918BE27" w14:textId="77777777" w:rsidTr="008410A6">
        <w:trPr>
          <w:trHeight w:val="276"/>
        </w:trPr>
        <w:tc>
          <w:tcPr>
            <w:tcW w:w="0" w:type="auto"/>
            <w:vMerge w:val="restart"/>
            <w:tcBorders>
              <w:top w:val="nil"/>
              <w:left w:val="single" w:sz="12" w:space="0" w:color="000000"/>
              <w:bottom w:val="single" w:sz="4" w:space="0" w:color="000000"/>
              <w:right w:val="nil"/>
            </w:tcBorders>
            <w:hideMark/>
          </w:tcPr>
          <w:p w14:paraId="3A24BBAF"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17. </w:t>
            </w:r>
            <w:r w:rsidRPr="004275AD">
              <w:rPr>
                <w:rFonts w:ascii="Arial" w:eastAsia="Times New Roman" w:hAnsi="Arial" w:cs="Arial"/>
                <w:color w:val="000000"/>
                <w:kern w:val="0"/>
                <w:sz w:val="18"/>
                <w:szCs w:val="18"/>
                <w:rtl/>
                <w:lang w:val="en-GB" w:eastAsia="en-GB"/>
                <w14:ligatures w14:val="none"/>
              </w:rPr>
              <w:t>يحصل الموظفون على تغذية راجعة منتظمة حول أدائهم</w:t>
            </w:r>
            <w:r w:rsidRPr="004275AD">
              <w:rPr>
                <w:rFonts w:ascii="Arial" w:eastAsia="Times New Roman" w:hAnsi="Arial" w:cs="Arial"/>
                <w:color w:val="000000"/>
                <w:kern w:val="0"/>
                <w:sz w:val="18"/>
                <w:szCs w:val="18"/>
                <w:lang w:val="en-GB" w:eastAsia="en-GB"/>
                <w14:ligatures w14:val="none"/>
              </w:rPr>
              <w:t>.</w:t>
            </w:r>
          </w:p>
        </w:tc>
        <w:tc>
          <w:tcPr>
            <w:tcW w:w="0" w:type="auto"/>
            <w:tcBorders>
              <w:top w:val="nil"/>
              <w:left w:val="nil"/>
              <w:bottom w:val="nil"/>
              <w:right w:val="single" w:sz="12" w:space="0" w:color="000000"/>
            </w:tcBorders>
            <w:hideMark/>
          </w:tcPr>
          <w:p w14:paraId="2E40EFFB"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0" w:type="auto"/>
            <w:tcBorders>
              <w:top w:val="nil"/>
              <w:left w:val="single" w:sz="12" w:space="0" w:color="000000"/>
              <w:bottom w:val="nil"/>
              <w:right w:val="single" w:sz="4" w:space="0" w:color="000000"/>
            </w:tcBorders>
            <w:noWrap/>
            <w:vAlign w:val="center"/>
            <w:hideMark/>
          </w:tcPr>
          <w:p w14:paraId="0C434DFF"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.522</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0D13F300"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0" w:type="auto"/>
            <w:tcBorders>
              <w:top w:val="nil"/>
              <w:left w:val="single" w:sz="4" w:space="0" w:color="000000"/>
              <w:bottom w:val="nil"/>
              <w:right w:val="single" w:sz="4" w:space="0" w:color="000000"/>
            </w:tcBorders>
            <w:noWrap/>
            <w:vAlign w:val="center"/>
            <w:hideMark/>
          </w:tcPr>
          <w:p w14:paraId="515E05CA"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1F10F877"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32623CB8" w14:textId="77777777" w:rsidTr="008410A6">
        <w:trPr>
          <w:trHeight w:val="276"/>
        </w:trPr>
        <w:tc>
          <w:tcPr>
            <w:tcW w:w="0" w:type="auto"/>
            <w:vMerge/>
            <w:tcBorders>
              <w:top w:val="nil"/>
              <w:left w:val="single" w:sz="12" w:space="0" w:color="000000"/>
              <w:bottom w:val="single" w:sz="4" w:space="0" w:color="000000"/>
              <w:right w:val="nil"/>
            </w:tcBorders>
            <w:vAlign w:val="center"/>
            <w:hideMark/>
          </w:tcPr>
          <w:p w14:paraId="7543BE99"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0" w:type="auto"/>
            <w:tcBorders>
              <w:top w:val="nil"/>
              <w:left w:val="nil"/>
              <w:bottom w:val="nil"/>
              <w:right w:val="single" w:sz="12" w:space="0" w:color="000000"/>
            </w:tcBorders>
            <w:hideMark/>
          </w:tcPr>
          <w:p w14:paraId="42F3EB05"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0" w:type="auto"/>
            <w:tcBorders>
              <w:top w:val="nil"/>
              <w:left w:val="single" w:sz="12" w:space="0" w:color="000000"/>
              <w:bottom w:val="nil"/>
              <w:right w:val="single" w:sz="4" w:space="0" w:color="000000"/>
            </w:tcBorders>
            <w:noWrap/>
            <w:vAlign w:val="center"/>
            <w:hideMark/>
          </w:tcPr>
          <w:p w14:paraId="228BE6F9"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vAlign w:val="center"/>
            <w:hideMark/>
          </w:tcPr>
          <w:p w14:paraId="6C28B539"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4" w:space="0" w:color="000000"/>
            </w:tcBorders>
            <w:noWrap/>
            <w:vAlign w:val="center"/>
            <w:hideMark/>
          </w:tcPr>
          <w:p w14:paraId="70BD3295"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254A671B"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20C802A1" w14:textId="77777777" w:rsidTr="008410A6">
        <w:trPr>
          <w:trHeight w:val="276"/>
        </w:trPr>
        <w:tc>
          <w:tcPr>
            <w:tcW w:w="0" w:type="auto"/>
            <w:vMerge w:val="restart"/>
            <w:tcBorders>
              <w:top w:val="nil"/>
              <w:left w:val="single" w:sz="12" w:space="0" w:color="000000"/>
              <w:bottom w:val="single" w:sz="4" w:space="0" w:color="000000"/>
              <w:right w:val="nil"/>
            </w:tcBorders>
            <w:hideMark/>
          </w:tcPr>
          <w:p w14:paraId="7DC02460"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18. </w:t>
            </w:r>
            <w:r w:rsidRPr="004275AD">
              <w:rPr>
                <w:rFonts w:ascii="Arial" w:eastAsia="Times New Roman" w:hAnsi="Arial" w:cs="Arial"/>
                <w:color w:val="000000"/>
                <w:kern w:val="0"/>
                <w:sz w:val="18"/>
                <w:szCs w:val="18"/>
                <w:rtl/>
                <w:lang w:val="en-GB" w:eastAsia="en-GB"/>
                <w14:ligatures w14:val="none"/>
              </w:rPr>
              <w:t>تُستخدم نتائج التقييم في تحديد فرص الترقية والتطوير</w:t>
            </w:r>
            <w:r w:rsidRPr="004275AD">
              <w:rPr>
                <w:rFonts w:ascii="Arial" w:eastAsia="Times New Roman" w:hAnsi="Arial" w:cs="Arial"/>
                <w:color w:val="000000"/>
                <w:kern w:val="0"/>
                <w:sz w:val="18"/>
                <w:szCs w:val="18"/>
                <w:lang w:val="en-GB" w:eastAsia="en-GB"/>
                <w14:ligatures w14:val="none"/>
              </w:rPr>
              <w:t>.</w:t>
            </w:r>
          </w:p>
        </w:tc>
        <w:tc>
          <w:tcPr>
            <w:tcW w:w="0" w:type="auto"/>
            <w:tcBorders>
              <w:top w:val="nil"/>
              <w:left w:val="nil"/>
              <w:bottom w:val="nil"/>
              <w:right w:val="single" w:sz="12" w:space="0" w:color="000000"/>
            </w:tcBorders>
            <w:hideMark/>
          </w:tcPr>
          <w:p w14:paraId="4F40664B"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0" w:type="auto"/>
            <w:tcBorders>
              <w:top w:val="nil"/>
              <w:left w:val="single" w:sz="12" w:space="0" w:color="000000"/>
              <w:bottom w:val="nil"/>
              <w:right w:val="single" w:sz="4" w:space="0" w:color="000000"/>
            </w:tcBorders>
            <w:noWrap/>
            <w:vAlign w:val="center"/>
            <w:hideMark/>
          </w:tcPr>
          <w:p w14:paraId="74A128FA"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.462</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65AE07F0"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.549</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60736B9C"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0" w:type="auto"/>
            <w:tcBorders>
              <w:top w:val="nil"/>
              <w:left w:val="single" w:sz="4" w:space="0" w:color="000000"/>
              <w:bottom w:val="nil"/>
              <w:right w:val="single" w:sz="12" w:space="0" w:color="000000"/>
            </w:tcBorders>
            <w:noWrap/>
            <w:vAlign w:val="center"/>
            <w:hideMark/>
          </w:tcPr>
          <w:p w14:paraId="46F42F51"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70398F0D" w14:textId="77777777" w:rsidTr="008410A6">
        <w:trPr>
          <w:trHeight w:val="276"/>
        </w:trPr>
        <w:tc>
          <w:tcPr>
            <w:tcW w:w="0" w:type="auto"/>
            <w:vMerge/>
            <w:tcBorders>
              <w:top w:val="nil"/>
              <w:left w:val="single" w:sz="12" w:space="0" w:color="000000"/>
              <w:bottom w:val="single" w:sz="4" w:space="0" w:color="000000"/>
              <w:right w:val="nil"/>
            </w:tcBorders>
            <w:vAlign w:val="center"/>
            <w:hideMark/>
          </w:tcPr>
          <w:p w14:paraId="3419A9EA"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0" w:type="auto"/>
            <w:tcBorders>
              <w:top w:val="nil"/>
              <w:left w:val="nil"/>
              <w:bottom w:val="nil"/>
              <w:right w:val="single" w:sz="12" w:space="0" w:color="000000"/>
            </w:tcBorders>
            <w:hideMark/>
          </w:tcPr>
          <w:p w14:paraId="57983E2A"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0" w:type="auto"/>
            <w:tcBorders>
              <w:top w:val="nil"/>
              <w:left w:val="single" w:sz="12" w:space="0" w:color="000000"/>
              <w:bottom w:val="nil"/>
              <w:right w:val="single" w:sz="4" w:space="0" w:color="000000"/>
            </w:tcBorders>
            <w:noWrap/>
            <w:vAlign w:val="center"/>
            <w:hideMark/>
          </w:tcPr>
          <w:p w14:paraId="0695A807"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noWrap/>
            <w:vAlign w:val="center"/>
            <w:hideMark/>
          </w:tcPr>
          <w:p w14:paraId="365BD50F"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vAlign w:val="center"/>
            <w:hideMark/>
          </w:tcPr>
          <w:p w14:paraId="7C0962FB"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0" w:type="auto"/>
            <w:tcBorders>
              <w:top w:val="nil"/>
              <w:left w:val="single" w:sz="4" w:space="0" w:color="000000"/>
              <w:bottom w:val="nil"/>
              <w:right w:val="single" w:sz="12" w:space="0" w:color="000000"/>
            </w:tcBorders>
            <w:noWrap/>
            <w:vAlign w:val="center"/>
            <w:hideMark/>
          </w:tcPr>
          <w:p w14:paraId="0F2742C7"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27CCED57" w14:textId="77777777" w:rsidTr="008410A6">
        <w:trPr>
          <w:trHeight w:val="276"/>
        </w:trPr>
        <w:tc>
          <w:tcPr>
            <w:tcW w:w="0" w:type="auto"/>
            <w:vMerge w:val="restart"/>
            <w:tcBorders>
              <w:top w:val="nil"/>
              <w:left w:val="single" w:sz="12" w:space="0" w:color="000000"/>
              <w:bottom w:val="single" w:sz="4" w:space="0" w:color="000000"/>
              <w:right w:val="nil"/>
            </w:tcBorders>
            <w:hideMark/>
          </w:tcPr>
          <w:p w14:paraId="6B31DFDA" w14:textId="77777777" w:rsidR="004275AD" w:rsidRPr="004275AD" w:rsidRDefault="004275AD" w:rsidP="004275AD">
            <w:pPr>
              <w:bidi/>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rtl/>
                <w:lang w:val="en-GB" w:eastAsia="en-GB"/>
                <w14:ligatures w14:val="none"/>
              </w:rPr>
              <w:t>خامسًا: تقييم الأداء العادل</w:t>
            </w:r>
          </w:p>
        </w:tc>
        <w:tc>
          <w:tcPr>
            <w:tcW w:w="0" w:type="auto"/>
            <w:tcBorders>
              <w:top w:val="nil"/>
              <w:left w:val="nil"/>
              <w:bottom w:val="nil"/>
              <w:right w:val="single" w:sz="12" w:space="0" w:color="000000"/>
            </w:tcBorders>
            <w:hideMark/>
          </w:tcPr>
          <w:p w14:paraId="7365B164" w14:textId="77777777" w:rsidR="004275AD" w:rsidRPr="004275AD" w:rsidRDefault="004275AD" w:rsidP="004275AD">
            <w:pPr>
              <w:spacing w:after="0" w:line="240" w:lineRule="auto"/>
              <w:rPr>
                <w:rFonts w:ascii="Arial" w:eastAsia="Times New Roman" w:hAnsi="Arial" w:cs="Arial"/>
                <w:color w:val="000000"/>
                <w:kern w:val="0"/>
                <w:sz w:val="18"/>
                <w:szCs w:val="18"/>
                <w:rtl/>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0" w:type="auto"/>
            <w:tcBorders>
              <w:top w:val="nil"/>
              <w:left w:val="single" w:sz="12" w:space="0" w:color="000000"/>
              <w:bottom w:val="nil"/>
              <w:right w:val="single" w:sz="4" w:space="0" w:color="000000"/>
            </w:tcBorders>
            <w:noWrap/>
            <w:vAlign w:val="center"/>
            <w:hideMark/>
          </w:tcPr>
          <w:p w14:paraId="1F534BA1"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.797</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59893488"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.841</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4" w:space="0" w:color="000000"/>
            </w:tcBorders>
            <w:noWrap/>
            <w:vAlign w:val="center"/>
            <w:hideMark/>
          </w:tcPr>
          <w:p w14:paraId="7FB12576"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.825</w:t>
            </w:r>
            <w:r w:rsidRPr="004275AD">
              <w:rPr>
                <w:rFonts w:ascii="Arial" w:eastAsia="Times New Roman" w:hAnsi="Arial" w:cs="Arial"/>
                <w:color w:val="000000"/>
                <w:kern w:val="0"/>
                <w:sz w:val="18"/>
                <w:szCs w:val="18"/>
                <w:vertAlign w:val="superscript"/>
                <w:lang w:val="en-GB" w:eastAsia="en-GB"/>
                <w14:ligatures w14:val="none"/>
              </w:rPr>
              <w:t>**</w:t>
            </w:r>
          </w:p>
        </w:tc>
        <w:tc>
          <w:tcPr>
            <w:tcW w:w="0" w:type="auto"/>
            <w:tcBorders>
              <w:top w:val="nil"/>
              <w:left w:val="single" w:sz="4" w:space="0" w:color="000000"/>
              <w:bottom w:val="nil"/>
              <w:right w:val="single" w:sz="12" w:space="0" w:color="000000"/>
            </w:tcBorders>
            <w:noWrap/>
            <w:vAlign w:val="center"/>
            <w:hideMark/>
          </w:tcPr>
          <w:p w14:paraId="49F71AD3"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r>
      <w:tr w:rsidR="008410A6" w:rsidRPr="004275AD" w14:paraId="7213AE0E" w14:textId="77777777" w:rsidTr="008410A6">
        <w:trPr>
          <w:trHeight w:val="276"/>
        </w:trPr>
        <w:tc>
          <w:tcPr>
            <w:tcW w:w="0" w:type="auto"/>
            <w:vMerge/>
            <w:tcBorders>
              <w:top w:val="nil"/>
              <w:left w:val="single" w:sz="12" w:space="0" w:color="000000"/>
              <w:bottom w:val="single" w:sz="4" w:space="0" w:color="000000"/>
              <w:right w:val="nil"/>
            </w:tcBorders>
            <w:vAlign w:val="center"/>
            <w:hideMark/>
          </w:tcPr>
          <w:p w14:paraId="7BB9F087"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0" w:type="auto"/>
            <w:tcBorders>
              <w:top w:val="nil"/>
              <w:left w:val="nil"/>
              <w:bottom w:val="nil"/>
              <w:right w:val="single" w:sz="12" w:space="0" w:color="000000"/>
            </w:tcBorders>
            <w:hideMark/>
          </w:tcPr>
          <w:p w14:paraId="274D67A7"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0" w:type="auto"/>
            <w:tcBorders>
              <w:top w:val="nil"/>
              <w:left w:val="single" w:sz="12" w:space="0" w:color="000000"/>
              <w:bottom w:val="nil"/>
              <w:right w:val="single" w:sz="4" w:space="0" w:color="000000"/>
            </w:tcBorders>
            <w:noWrap/>
            <w:vAlign w:val="center"/>
            <w:hideMark/>
          </w:tcPr>
          <w:p w14:paraId="5F8E27D7"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noWrap/>
            <w:vAlign w:val="center"/>
            <w:hideMark/>
          </w:tcPr>
          <w:p w14:paraId="6B9B4975"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4" w:space="0" w:color="000000"/>
            </w:tcBorders>
            <w:noWrap/>
            <w:vAlign w:val="center"/>
            <w:hideMark/>
          </w:tcPr>
          <w:p w14:paraId="3F5DEBFD"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0" w:type="auto"/>
            <w:tcBorders>
              <w:top w:val="nil"/>
              <w:left w:val="single" w:sz="4" w:space="0" w:color="000000"/>
              <w:bottom w:val="nil"/>
              <w:right w:val="single" w:sz="12" w:space="0" w:color="000000"/>
            </w:tcBorders>
            <w:vAlign w:val="center"/>
            <w:hideMark/>
          </w:tcPr>
          <w:p w14:paraId="113324B3"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19530EB3" w14:textId="77777777" w:rsidTr="008410A6">
        <w:trPr>
          <w:trHeight w:val="276"/>
        </w:trPr>
        <w:tc>
          <w:tcPr>
            <w:tcW w:w="0" w:type="auto"/>
            <w:gridSpan w:val="6"/>
            <w:tcBorders>
              <w:top w:val="nil"/>
              <w:left w:val="nil"/>
              <w:bottom w:val="nil"/>
              <w:right w:val="nil"/>
            </w:tcBorders>
            <w:hideMark/>
          </w:tcPr>
          <w:p w14:paraId="780956C7"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Correlation is significant at the 0.01 level (2-tailed).</w:t>
            </w:r>
          </w:p>
        </w:tc>
      </w:tr>
    </w:tbl>
    <w:p w14:paraId="34B1C8E7" w14:textId="084D840C" w:rsidR="004275AD" w:rsidRDefault="004275AD" w:rsidP="004275AD">
      <w:pPr>
        <w:bidi/>
        <w:rPr>
          <w:rFonts w:ascii="Times New Roman" w:hAnsi="Times New Roman" w:cs="Times New Roman"/>
          <w:sz w:val="28"/>
          <w:szCs w:val="28"/>
          <w:rtl/>
          <w:lang w:bidi="ar-EG"/>
        </w:rPr>
      </w:pPr>
      <w:r>
        <w:rPr>
          <w:rFonts w:ascii="Times New Roman" w:hAnsi="Times New Roman" w:cs="Times New Roman" w:hint="cs"/>
          <w:sz w:val="28"/>
          <w:szCs w:val="28"/>
          <w:rtl/>
        </w:rPr>
        <w:t xml:space="preserve">جدول (3-6) يوضح </w:t>
      </w:r>
      <w:r>
        <w:rPr>
          <w:rFonts w:ascii="Times New Roman" w:hAnsi="Times New Roman" w:cs="Times New Roman" w:hint="cs"/>
          <w:sz w:val="28"/>
          <w:szCs w:val="28"/>
          <w:rtl/>
          <w:lang w:bidi="ar-EG"/>
        </w:rPr>
        <w:t>الارتباط لفقرات تمكين الموظفين مع محورها المجمع:</w:t>
      </w:r>
    </w:p>
    <w:tbl>
      <w:tblPr>
        <w:bidiVisual/>
        <w:tblW w:w="9927" w:type="dxa"/>
        <w:tblLook w:val="04A0" w:firstRow="1" w:lastRow="0" w:firstColumn="1" w:lastColumn="0" w:noHBand="0" w:noVBand="1"/>
      </w:tblPr>
      <w:tblGrid>
        <w:gridCol w:w="2269"/>
        <w:gridCol w:w="1418"/>
        <w:gridCol w:w="992"/>
        <w:gridCol w:w="992"/>
        <w:gridCol w:w="1276"/>
        <w:gridCol w:w="992"/>
        <w:gridCol w:w="1134"/>
        <w:gridCol w:w="854"/>
      </w:tblGrid>
      <w:tr w:rsidR="004275AD" w:rsidRPr="004275AD" w14:paraId="070DA143" w14:textId="77777777" w:rsidTr="008410A6">
        <w:trPr>
          <w:trHeight w:val="288"/>
        </w:trPr>
        <w:tc>
          <w:tcPr>
            <w:tcW w:w="9927" w:type="dxa"/>
            <w:gridSpan w:val="8"/>
            <w:tcBorders>
              <w:top w:val="nil"/>
              <w:left w:val="nil"/>
              <w:bottom w:val="nil"/>
              <w:right w:val="nil"/>
            </w:tcBorders>
            <w:vAlign w:val="center"/>
            <w:hideMark/>
          </w:tcPr>
          <w:p w14:paraId="16CE6537" w14:textId="77777777" w:rsidR="004275AD" w:rsidRPr="004275AD" w:rsidRDefault="004275AD" w:rsidP="004275AD">
            <w:pPr>
              <w:spacing w:after="0" w:line="240" w:lineRule="auto"/>
              <w:jc w:val="center"/>
              <w:rPr>
                <w:rFonts w:ascii="Arial Bold" w:eastAsia="Times New Roman" w:hAnsi="Arial Bold" w:cs="Times New Roman"/>
                <w:b/>
                <w:bCs/>
                <w:color w:val="000000"/>
                <w:kern w:val="0"/>
                <w:sz w:val="18"/>
                <w:szCs w:val="18"/>
                <w:lang w:val="en-GB" w:eastAsia="en-GB"/>
                <w14:ligatures w14:val="none"/>
              </w:rPr>
            </w:pPr>
            <w:r w:rsidRPr="004275AD">
              <w:rPr>
                <w:rFonts w:ascii="Arial Bold" w:eastAsia="Times New Roman" w:hAnsi="Arial Bold" w:cs="Times New Roman"/>
                <w:b/>
                <w:bCs/>
                <w:color w:val="000000"/>
                <w:kern w:val="0"/>
                <w:sz w:val="18"/>
                <w:szCs w:val="18"/>
                <w:lang w:val="en-GB" w:eastAsia="en-GB"/>
                <w14:ligatures w14:val="none"/>
              </w:rPr>
              <w:t>Correlations</w:t>
            </w:r>
          </w:p>
        </w:tc>
      </w:tr>
      <w:tr w:rsidR="008410A6" w:rsidRPr="004275AD" w14:paraId="5B1C3606" w14:textId="77777777" w:rsidTr="00637B0E">
        <w:trPr>
          <w:trHeight w:val="720"/>
        </w:trPr>
        <w:tc>
          <w:tcPr>
            <w:tcW w:w="3687" w:type="dxa"/>
            <w:gridSpan w:val="2"/>
            <w:tcBorders>
              <w:top w:val="single" w:sz="12" w:space="0" w:color="000000"/>
              <w:left w:val="single" w:sz="12" w:space="0" w:color="000000"/>
              <w:bottom w:val="single" w:sz="12" w:space="0" w:color="000000"/>
              <w:right w:val="single" w:sz="12" w:space="0" w:color="000000"/>
            </w:tcBorders>
            <w:vAlign w:val="bottom"/>
            <w:hideMark/>
          </w:tcPr>
          <w:p w14:paraId="30F0363F"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992" w:type="dxa"/>
            <w:tcBorders>
              <w:top w:val="single" w:sz="12" w:space="0" w:color="000000"/>
              <w:left w:val="single" w:sz="12" w:space="0" w:color="000000"/>
              <w:bottom w:val="single" w:sz="12" w:space="0" w:color="000000"/>
              <w:right w:val="single" w:sz="4" w:space="0" w:color="000000"/>
            </w:tcBorders>
            <w:vAlign w:val="bottom"/>
            <w:hideMark/>
          </w:tcPr>
          <w:p w14:paraId="0A5DDD7D"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19. </w:t>
            </w:r>
            <w:r w:rsidRPr="004275AD">
              <w:rPr>
                <w:rFonts w:ascii="Arial" w:eastAsia="Times New Roman" w:hAnsi="Arial" w:cs="Arial"/>
                <w:color w:val="000000"/>
                <w:kern w:val="0"/>
                <w:sz w:val="18"/>
                <w:szCs w:val="18"/>
                <w:rtl/>
                <w:lang w:val="en-GB" w:eastAsia="en-GB"/>
                <w14:ligatures w14:val="none"/>
              </w:rPr>
              <w:t>تُمنح للموظفين</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الصلاحيات اللازمة لإنجاز مهامهم بكفاءة</w:t>
            </w:r>
            <w:r w:rsidRPr="004275AD">
              <w:rPr>
                <w:rFonts w:ascii="Arial" w:eastAsia="Times New Roman" w:hAnsi="Arial" w:cs="Arial"/>
                <w:color w:val="000000"/>
                <w:kern w:val="0"/>
                <w:sz w:val="18"/>
                <w:szCs w:val="18"/>
                <w:lang w:val="en-GB" w:eastAsia="en-GB"/>
                <w14:ligatures w14:val="none"/>
              </w:rPr>
              <w:t>.</w:t>
            </w:r>
          </w:p>
        </w:tc>
        <w:tc>
          <w:tcPr>
            <w:tcW w:w="992" w:type="dxa"/>
            <w:tcBorders>
              <w:top w:val="single" w:sz="12" w:space="0" w:color="000000"/>
              <w:left w:val="single" w:sz="4" w:space="0" w:color="000000"/>
              <w:bottom w:val="single" w:sz="12" w:space="0" w:color="000000"/>
              <w:right w:val="single" w:sz="4" w:space="0" w:color="000000"/>
            </w:tcBorders>
            <w:vAlign w:val="bottom"/>
            <w:hideMark/>
          </w:tcPr>
          <w:p w14:paraId="4E06CCA4"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20. </w:t>
            </w:r>
            <w:r w:rsidRPr="004275AD">
              <w:rPr>
                <w:rFonts w:ascii="Arial" w:eastAsia="Times New Roman" w:hAnsi="Arial" w:cs="Arial"/>
                <w:color w:val="000000"/>
                <w:kern w:val="0"/>
                <w:sz w:val="18"/>
                <w:szCs w:val="18"/>
                <w:rtl/>
                <w:lang w:val="en-GB" w:eastAsia="en-GB"/>
                <w14:ligatures w14:val="none"/>
              </w:rPr>
              <w:t>تُشجّع الإدارة</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العاملين على اتخاذ القرارات المناسبة لأعمالهم</w:t>
            </w:r>
            <w:r w:rsidRPr="004275AD">
              <w:rPr>
                <w:rFonts w:ascii="Arial" w:eastAsia="Times New Roman" w:hAnsi="Arial" w:cs="Arial"/>
                <w:color w:val="000000"/>
                <w:kern w:val="0"/>
                <w:sz w:val="18"/>
                <w:szCs w:val="18"/>
                <w:lang w:val="en-GB" w:eastAsia="en-GB"/>
                <w14:ligatures w14:val="none"/>
              </w:rPr>
              <w:t>.</w:t>
            </w:r>
          </w:p>
        </w:tc>
        <w:tc>
          <w:tcPr>
            <w:tcW w:w="1276" w:type="dxa"/>
            <w:tcBorders>
              <w:top w:val="single" w:sz="12" w:space="0" w:color="000000"/>
              <w:left w:val="single" w:sz="4" w:space="0" w:color="000000"/>
              <w:bottom w:val="single" w:sz="12" w:space="0" w:color="000000"/>
              <w:right w:val="single" w:sz="4" w:space="0" w:color="000000"/>
            </w:tcBorders>
            <w:vAlign w:val="bottom"/>
            <w:hideMark/>
          </w:tcPr>
          <w:p w14:paraId="75E58D4F"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21. </w:t>
            </w:r>
            <w:r w:rsidRPr="004275AD">
              <w:rPr>
                <w:rFonts w:ascii="Arial" w:eastAsia="Times New Roman" w:hAnsi="Arial" w:cs="Arial"/>
                <w:color w:val="000000"/>
                <w:kern w:val="0"/>
                <w:sz w:val="18"/>
                <w:szCs w:val="18"/>
                <w:rtl/>
                <w:lang w:val="en-GB" w:eastAsia="en-GB"/>
                <w14:ligatures w14:val="none"/>
              </w:rPr>
              <w:t>يشعر الموظفون بأنهم</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موثوق بهم وقادرون على المبادرة الذاتية</w:t>
            </w:r>
            <w:r w:rsidRPr="004275AD">
              <w:rPr>
                <w:rFonts w:ascii="Arial" w:eastAsia="Times New Roman" w:hAnsi="Arial" w:cs="Arial"/>
                <w:color w:val="000000"/>
                <w:kern w:val="0"/>
                <w:sz w:val="18"/>
                <w:szCs w:val="18"/>
                <w:lang w:val="en-GB" w:eastAsia="en-GB"/>
                <w14:ligatures w14:val="none"/>
              </w:rPr>
              <w:t>.</w:t>
            </w:r>
          </w:p>
        </w:tc>
        <w:tc>
          <w:tcPr>
            <w:tcW w:w="992" w:type="dxa"/>
            <w:tcBorders>
              <w:top w:val="single" w:sz="12" w:space="0" w:color="000000"/>
              <w:left w:val="single" w:sz="4" w:space="0" w:color="000000"/>
              <w:bottom w:val="single" w:sz="12" w:space="0" w:color="000000"/>
              <w:right w:val="single" w:sz="4" w:space="0" w:color="000000"/>
            </w:tcBorders>
            <w:vAlign w:val="bottom"/>
            <w:hideMark/>
          </w:tcPr>
          <w:p w14:paraId="026B18D2"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22. </w:t>
            </w:r>
            <w:r w:rsidRPr="004275AD">
              <w:rPr>
                <w:rFonts w:ascii="Arial" w:eastAsia="Times New Roman" w:hAnsi="Arial" w:cs="Arial"/>
                <w:color w:val="000000"/>
                <w:kern w:val="0"/>
                <w:sz w:val="18"/>
                <w:szCs w:val="18"/>
                <w:rtl/>
                <w:lang w:val="en-GB" w:eastAsia="en-GB"/>
                <w14:ligatures w14:val="none"/>
              </w:rPr>
              <w:t>يتم الاعتراف</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بمساهمات الموظفين في تحسين الأداء التنظيمي</w:t>
            </w:r>
            <w:r w:rsidRPr="004275AD">
              <w:rPr>
                <w:rFonts w:ascii="Arial" w:eastAsia="Times New Roman" w:hAnsi="Arial" w:cs="Arial"/>
                <w:color w:val="000000"/>
                <w:kern w:val="0"/>
                <w:sz w:val="18"/>
                <w:szCs w:val="18"/>
                <w:lang w:val="en-GB" w:eastAsia="en-GB"/>
                <w14:ligatures w14:val="none"/>
              </w:rPr>
              <w:t>.</w:t>
            </w:r>
          </w:p>
        </w:tc>
        <w:tc>
          <w:tcPr>
            <w:tcW w:w="1134" w:type="dxa"/>
            <w:tcBorders>
              <w:top w:val="single" w:sz="12" w:space="0" w:color="000000"/>
              <w:left w:val="single" w:sz="4" w:space="0" w:color="000000"/>
              <w:bottom w:val="single" w:sz="12" w:space="0" w:color="000000"/>
              <w:right w:val="single" w:sz="4" w:space="0" w:color="000000"/>
            </w:tcBorders>
            <w:vAlign w:val="bottom"/>
            <w:hideMark/>
          </w:tcPr>
          <w:p w14:paraId="61A3F359" w14:textId="77777777" w:rsidR="004275AD" w:rsidRPr="004275AD" w:rsidRDefault="004275AD" w:rsidP="004275AD">
            <w:pPr>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23. </w:t>
            </w:r>
            <w:r w:rsidRPr="004275AD">
              <w:rPr>
                <w:rFonts w:ascii="Arial" w:eastAsia="Times New Roman" w:hAnsi="Arial" w:cs="Arial"/>
                <w:color w:val="000000"/>
                <w:kern w:val="0"/>
                <w:sz w:val="18"/>
                <w:szCs w:val="18"/>
                <w:rtl/>
                <w:lang w:val="en-GB" w:eastAsia="en-GB"/>
                <w14:ligatures w14:val="none"/>
              </w:rPr>
              <w:t>يتم دعم العاملين في</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تحمل المسؤولية عن نتائج أعمالهم</w:t>
            </w:r>
            <w:r w:rsidRPr="004275AD">
              <w:rPr>
                <w:rFonts w:ascii="Arial" w:eastAsia="Times New Roman" w:hAnsi="Arial" w:cs="Arial"/>
                <w:color w:val="000000"/>
                <w:kern w:val="0"/>
                <w:sz w:val="18"/>
                <w:szCs w:val="18"/>
                <w:lang w:val="en-GB" w:eastAsia="en-GB"/>
                <w14:ligatures w14:val="none"/>
              </w:rPr>
              <w:t>.</w:t>
            </w:r>
          </w:p>
        </w:tc>
        <w:tc>
          <w:tcPr>
            <w:tcW w:w="854" w:type="dxa"/>
            <w:tcBorders>
              <w:top w:val="single" w:sz="12" w:space="0" w:color="000000"/>
              <w:left w:val="single" w:sz="4" w:space="0" w:color="000000"/>
              <w:bottom w:val="single" w:sz="12" w:space="0" w:color="000000"/>
              <w:right w:val="single" w:sz="12" w:space="0" w:color="000000"/>
            </w:tcBorders>
            <w:vAlign w:val="bottom"/>
            <w:hideMark/>
          </w:tcPr>
          <w:p w14:paraId="69BB8CFA" w14:textId="77777777" w:rsidR="004275AD" w:rsidRPr="004275AD" w:rsidRDefault="004275AD" w:rsidP="004275AD">
            <w:pPr>
              <w:bidi/>
              <w:spacing w:after="0" w:line="240" w:lineRule="auto"/>
              <w:jc w:val="center"/>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rtl/>
                <w:lang w:val="en-GB" w:eastAsia="en-GB"/>
                <w14:ligatures w14:val="none"/>
              </w:rPr>
              <w:t>سادسًا: تمكين الموظفين</w:t>
            </w:r>
          </w:p>
        </w:tc>
      </w:tr>
      <w:tr w:rsidR="008410A6" w:rsidRPr="004275AD" w14:paraId="72BD327D" w14:textId="77777777" w:rsidTr="00637B0E">
        <w:trPr>
          <w:trHeight w:val="288"/>
        </w:trPr>
        <w:tc>
          <w:tcPr>
            <w:tcW w:w="2269" w:type="dxa"/>
            <w:vMerge w:val="restart"/>
            <w:tcBorders>
              <w:top w:val="nil"/>
              <w:left w:val="single" w:sz="12" w:space="0" w:color="000000"/>
              <w:bottom w:val="single" w:sz="4" w:space="0" w:color="000000"/>
              <w:right w:val="nil"/>
            </w:tcBorders>
            <w:hideMark/>
          </w:tcPr>
          <w:p w14:paraId="645170E6" w14:textId="77777777" w:rsidR="004275AD" w:rsidRPr="004275AD" w:rsidRDefault="004275AD" w:rsidP="004275AD">
            <w:pPr>
              <w:spacing w:after="0" w:line="240" w:lineRule="auto"/>
              <w:rPr>
                <w:rFonts w:ascii="Arial" w:eastAsia="Times New Roman" w:hAnsi="Arial" w:cs="Arial"/>
                <w:color w:val="000000"/>
                <w:kern w:val="0"/>
                <w:sz w:val="18"/>
                <w:szCs w:val="18"/>
                <w:rtl/>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19. </w:t>
            </w:r>
            <w:r w:rsidRPr="004275AD">
              <w:rPr>
                <w:rFonts w:ascii="Arial" w:eastAsia="Times New Roman" w:hAnsi="Arial" w:cs="Arial"/>
                <w:color w:val="000000"/>
                <w:kern w:val="0"/>
                <w:sz w:val="18"/>
                <w:szCs w:val="18"/>
                <w:rtl/>
                <w:lang w:val="en-GB" w:eastAsia="en-GB"/>
                <w14:ligatures w14:val="none"/>
              </w:rPr>
              <w:t>تُمنح للموظفين الصلاحيات اللازمة لإنجاز</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مهامهم بكفاءة</w:t>
            </w:r>
            <w:r w:rsidRPr="004275AD">
              <w:rPr>
                <w:rFonts w:ascii="Arial" w:eastAsia="Times New Roman" w:hAnsi="Arial" w:cs="Arial"/>
                <w:color w:val="000000"/>
                <w:kern w:val="0"/>
                <w:sz w:val="18"/>
                <w:szCs w:val="18"/>
                <w:lang w:val="en-GB" w:eastAsia="en-GB"/>
                <w14:ligatures w14:val="none"/>
              </w:rPr>
              <w:t>.</w:t>
            </w:r>
          </w:p>
        </w:tc>
        <w:tc>
          <w:tcPr>
            <w:tcW w:w="1418" w:type="dxa"/>
            <w:tcBorders>
              <w:top w:val="nil"/>
              <w:left w:val="nil"/>
              <w:bottom w:val="nil"/>
              <w:right w:val="single" w:sz="12" w:space="0" w:color="000000"/>
            </w:tcBorders>
            <w:hideMark/>
          </w:tcPr>
          <w:p w14:paraId="236516E6"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992" w:type="dxa"/>
            <w:tcBorders>
              <w:top w:val="nil"/>
              <w:left w:val="single" w:sz="12" w:space="0" w:color="000000"/>
              <w:bottom w:val="nil"/>
              <w:right w:val="single" w:sz="4" w:space="0" w:color="000000"/>
            </w:tcBorders>
            <w:noWrap/>
            <w:vAlign w:val="center"/>
            <w:hideMark/>
          </w:tcPr>
          <w:p w14:paraId="782C4C3E"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992" w:type="dxa"/>
            <w:tcBorders>
              <w:top w:val="nil"/>
              <w:left w:val="single" w:sz="4" w:space="0" w:color="000000"/>
              <w:bottom w:val="nil"/>
              <w:right w:val="single" w:sz="4" w:space="0" w:color="000000"/>
            </w:tcBorders>
            <w:noWrap/>
            <w:vAlign w:val="center"/>
            <w:hideMark/>
          </w:tcPr>
          <w:p w14:paraId="5675ECCB"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276" w:type="dxa"/>
            <w:tcBorders>
              <w:top w:val="nil"/>
              <w:left w:val="single" w:sz="4" w:space="0" w:color="000000"/>
              <w:bottom w:val="nil"/>
              <w:right w:val="single" w:sz="4" w:space="0" w:color="000000"/>
            </w:tcBorders>
            <w:noWrap/>
            <w:vAlign w:val="center"/>
            <w:hideMark/>
          </w:tcPr>
          <w:p w14:paraId="050A14C5"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992" w:type="dxa"/>
            <w:tcBorders>
              <w:top w:val="nil"/>
              <w:left w:val="single" w:sz="4" w:space="0" w:color="000000"/>
              <w:bottom w:val="nil"/>
              <w:right w:val="single" w:sz="4" w:space="0" w:color="000000"/>
            </w:tcBorders>
            <w:noWrap/>
            <w:vAlign w:val="center"/>
            <w:hideMark/>
          </w:tcPr>
          <w:p w14:paraId="6ECB880E"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134" w:type="dxa"/>
            <w:tcBorders>
              <w:top w:val="nil"/>
              <w:left w:val="single" w:sz="4" w:space="0" w:color="000000"/>
              <w:bottom w:val="nil"/>
              <w:right w:val="single" w:sz="4" w:space="0" w:color="000000"/>
            </w:tcBorders>
            <w:noWrap/>
            <w:vAlign w:val="center"/>
            <w:hideMark/>
          </w:tcPr>
          <w:p w14:paraId="112F6DA9"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4" w:type="dxa"/>
            <w:tcBorders>
              <w:top w:val="nil"/>
              <w:left w:val="single" w:sz="4" w:space="0" w:color="000000"/>
              <w:bottom w:val="nil"/>
              <w:right w:val="single" w:sz="12" w:space="0" w:color="000000"/>
            </w:tcBorders>
            <w:noWrap/>
            <w:vAlign w:val="center"/>
            <w:hideMark/>
          </w:tcPr>
          <w:p w14:paraId="638EA783"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52D0ADED" w14:textId="77777777" w:rsidTr="00637B0E">
        <w:trPr>
          <w:trHeight w:val="276"/>
        </w:trPr>
        <w:tc>
          <w:tcPr>
            <w:tcW w:w="2269" w:type="dxa"/>
            <w:vMerge/>
            <w:tcBorders>
              <w:top w:val="nil"/>
              <w:left w:val="single" w:sz="12" w:space="0" w:color="000000"/>
              <w:bottom w:val="single" w:sz="4" w:space="0" w:color="000000"/>
              <w:right w:val="nil"/>
            </w:tcBorders>
            <w:vAlign w:val="center"/>
            <w:hideMark/>
          </w:tcPr>
          <w:p w14:paraId="5F46E6CF"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8" w:type="dxa"/>
            <w:tcBorders>
              <w:top w:val="nil"/>
              <w:left w:val="nil"/>
              <w:bottom w:val="nil"/>
              <w:right w:val="single" w:sz="12" w:space="0" w:color="000000"/>
            </w:tcBorders>
            <w:hideMark/>
          </w:tcPr>
          <w:p w14:paraId="3E1187B7"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992" w:type="dxa"/>
            <w:tcBorders>
              <w:top w:val="nil"/>
              <w:left w:val="single" w:sz="12" w:space="0" w:color="000000"/>
              <w:bottom w:val="nil"/>
              <w:right w:val="single" w:sz="4" w:space="0" w:color="000000"/>
            </w:tcBorders>
            <w:vAlign w:val="center"/>
            <w:hideMark/>
          </w:tcPr>
          <w:p w14:paraId="41903C44"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992" w:type="dxa"/>
            <w:tcBorders>
              <w:top w:val="nil"/>
              <w:left w:val="single" w:sz="4" w:space="0" w:color="000000"/>
              <w:bottom w:val="nil"/>
              <w:right w:val="single" w:sz="4" w:space="0" w:color="000000"/>
            </w:tcBorders>
            <w:noWrap/>
            <w:vAlign w:val="center"/>
            <w:hideMark/>
          </w:tcPr>
          <w:p w14:paraId="5564CCCD"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276" w:type="dxa"/>
            <w:tcBorders>
              <w:top w:val="nil"/>
              <w:left w:val="single" w:sz="4" w:space="0" w:color="000000"/>
              <w:bottom w:val="nil"/>
              <w:right w:val="single" w:sz="4" w:space="0" w:color="000000"/>
            </w:tcBorders>
            <w:noWrap/>
            <w:vAlign w:val="center"/>
            <w:hideMark/>
          </w:tcPr>
          <w:p w14:paraId="1711B4FC"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992" w:type="dxa"/>
            <w:tcBorders>
              <w:top w:val="nil"/>
              <w:left w:val="single" w:sz="4" w:space="0" w:color="000000"/>
              <w:bottom w:val="nil"/>
              <w:right w:val="single" w:sz="4" w:space="0" w:color="000000"/>
            </w:tcBorders>
            <w:noWrap/>
            <w:vAlign w:val="center"/>
            <w:hideMark/>
          </w:tcPr>
          <w:p w14:paraId="1D58D93A"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134" w:type="dxa"/>
            <w:tcBorders>
              <w:top w:val="nil"/>
              <w:left w:val="single" w:sz="4" w:space="0" w:color="000000"/>
              <w:bottom w:val="nil"/>
              <w:right w:val="single" w:sz="4" w:space="0" w:color="000000"/>
            </w:tcBorders>
            <w:noWrap/>
            <w:vAlign w:val="center"/>
            <w:hideMark/>
          </w:tcPr>
          <w:p w14:paraId="749249F4"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4" w:type="dxa"/>
            <w:tcBorders>
              <w:top w:val="nil"/>
              <w:left w:val="single" w:sz="4" w:space="0" w:color="000000"/>
              <w:bottom w:val="nil"/>
              <w:right w:val="single" w:sz="12" w:space="0" w:color="000000"/>
            </w:tcBorders>
            <w:noWrap/>
            <w:vAlign w:val="center"/>
            <w:hideMark/>
          </w:tcPr>
          <w:p w14:paraId="2B2C0536"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7008E58A" w14:textId="77777777" w:rsidTr="00637B0E">
        <w:trPr>
          <w:trHeight w:val="276"/>
        </w:trPr>
        <w:tc>
          <w:tcPr>
            <w:tcW w:w="2269" w:type="dxa"/>
            <w:vMerge w:val="restart"/>
            <w:tcBorders>
              <w:top w:val="nil"/>
              <w:left w:val="single" w:sz="12" w:space="0" w:color="000000"/>
              <w:bottom w:val="single" w:sz="4" w:space="0" w:color="000000"/>
              <w:right w:val="nil"/>
            </w:tcBorders>
            <w:hideMark/>
          </w:tcPr>
          <w:p w14:paraId="2AAD379D"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20. </w:t>
            </w:r>
            <w:r w:rsidRPr="004275AD">
              <w:rPr>
                <w:rFonts w:ascii="Arial" w:eastAsia="Times New Roman" w:hAnsi="Arial" w:cs="Arial"/>
                <w:color w:val="000000"/>
                <w:kern w:val="0"/>
                <w:sz w:val="18"/>
                <w:szCs w:val="18"/>
                <w:rtl/>
                <w:lang w:val="en-GB" w:eastAsia="en-GB"/>
                <w14:ligatures w14:val="none"/>
              </w:rPr>
              <w:t>تُشجّع الإدارة العاملين على اتخاذ القرارات المناسبة</w:t>
            </w:r>
            <w:r w:rsidRPr="004275AD">
              <w:rPr>
                <w:rFonts w:ascii="Arial" w:eastAsia="Times New Roman" w:hAnsi="Arial" w:cs="Arial"/>
                <w:color w:val="000000"/>
                <w:kern w:val="0"/>
                <w:sz w:val="18"/>
                <w:szCs w:val="18"/>
                <w:lang w:val="en-GB" w:eastAsia="en-GB"/>
                <w14:ligatures w14:val="none"/>
              </w:rPr>
              <w:t xml:space="preserve"> </w:t>
            </w:r>
            <w:r w:rsidRPr="004275AD">
              <w:rPr>
                <w:rFonts w:ascii="Arial" w:eastAsia="Times New Roman" w:hAnsi="Arial" w:cs="Arial"/>
                <w:color w:val="000000"/>
                <w:kern w:val="0"/>
                <w:sz w:val="18"/>
                <w:szCs w:val="18"/>
                <w:rtl/>
                <w:lang w:val="en-GB" w:eastAsia="en-GB"/>
                <w14:ligatures w14:val="none"/>
              </w:rPr>
              <w:t>لأعمالهم</w:t>
            </w:r>
            <w:r w:rsidRPr="004275AD">
              <w:rPr>
                <w:rFonts w:ascii="Arial" w:eastAsia="Times New Roman" w:hAnsi="Arial" w:cs="Arial"/>
                <w:color w:val="000000"/>
                <w:kern w:val="0"/>
                <w:sz w:val="18"/>
                <w:szCs w:val="18"/>
                <w:lang w:val="en-GB" w:eastAsia="en-GB"/>
                <w14:ligatures w14:val="none"/>
              </w:rPr>
              <w:t>.</w:t>
            </w:r>
          </w:p>
        </w:tc>
        <w:tc>
          <w:tcPr>
            <w:tcW w:w="1418" w:type="dxa"/>
            <w:tcBorders>
              <w:top w:val="nil"/>
              <w:left w:val="nil"/>
              <w:bottom w:val="nil"/>
              <w:right w:val="single" w:sz="12" w:space="0" w:color="000000"/>
            </w:tcBorders>
            <w:hideMark/>
          </w:tcPr>
          <w:p w14:paraId="523B45B2"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992" w:type="dxa"/>
            <w:tcBorders>
              <w:top w:val="nil"/>
              <w:left w:val="single" w:sz="12" w:space="0" w:color="000000"/>
              <w:bottom w:val="nil"/>
              <w:right w:val="single" w:sz="4" w:space="0" w:color="000000"/>
            </w:tcBorders>
            <w:noWrap/>
            <w:vAlign w:val="center"/>
            <w:hideMark/>
          </w:tcPr>
          <w:p w14:paraId="46ED9854"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.585</w:t>
            </w:r>
            <w:r w:rsidRPr="004275AD">
              <w:rPr>
                <w:rFonts w:ascii="Arial" w:eastAsia="Times New Roman" w:hAnsi="Arial" w:cs="Arial"/>
                <w:color w:val="000000"/>
                <w:kern w:val="0"/>
                <w:sz w:val="18"/>
                <w:szCs w:val="18"/>
                <w:vertAlign w:val="superscript"/>
                <w:lang w:val="en-GB" w:eastAsia="en-GB"/>
                <w14:ligatures w14:val="none"/>
              </w:rPr>
              <w:t>**</w:t>
            </w:r>
          </w:p>
        </w:tc>
        <w:tc>
          <w:tcPr>
            <w:tcW w:w="992" w:type="dxa"/>
            <w:tcBorders>
              <w:top w:val="nil"/>
              <w:left w:val="single" w:sz="4" w:space="0" w:color="000000"/>
              <w:bottom w:val="nil"/>
              <w:right w:val="single" w:sz="4" w:space="0" w:color="000000"/>
            </w:tcBorders>
            <w:noWrap/>
            <w:vAlign w:val="center"/>
            <w:hideMark/>
          </w:tcPr>
          <w:p w14:paraId="23F9A01D"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1276" w:type="dxa"/>
            <w:tcBorders>
              <w:top w:val="nil"/>
              <w:left w:val="single" w:sz="4" w:space="0" w:color="000000"/>
              <w:bottom w:val="nil"/>
              <w:right w:val="single" w:sz="4" w:space="0" w:color="000000"/>
            </w:tcBorders>
            <w:noWrap/>
            <w:vAlign w:val="center"/>
            <w:hideMark/>
          </w:tcPr>
          <w:p w14:paraId="3A804AF5"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992" w:type="dxa"/>
            <w:tcBorders>
              <w:top w:val="nil"/>
              <w:left w:val="single" w:sz="4" w:space="0" w:color="000000"/>
              <w:bottom w:val="nil"/>
              <w:right w:val="single" w:sz="4" w:space="0" w:color="000000"/>
            </w:tcBorders>
            <w:noWrap/>
            <w:vAlign w:val="center"/>
            <w:hideMark/>
          </w:tcPr>
          <w:p w14:paraId="66C86B59"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134" w:type="dxa"/>
            <w:tcBorders>
              <w:top w:val="nil"/>
              <w:left w:val="single" w:sz="4" w:space="0" w:color="000000"/>
              <w:bottom w:val="nil"/>
              <w:right w:val="single" w:sz="4" w:space="0" w:color="000000"/>
            </w:tcBorders>
            <w:noWrap/>
            <w:vAlign w:val="center"/>
            <w:hideMark/>
          </w:tcPr>
          <w:p w14:paraId="31CB2713"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4" w:type="dxa"/>
            <w:tcBorders>
              <w:top w:val="nil"/>
              <w:left w:val="single" w:sz="4" w:space="0" w:color="000000"/>
              <w:bottom w:val="nil"/>
              <w:right w:val="single" w:sz="12" w:space="0" w:color="000000"/>
            </w:tcBorders>
            <w:noWrap/>
            <w:vAlign w:val="center"/>
            <w:hideMark/>
          </w:tcPr>
          <w:p w14:paraId="59A6D366"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2AC149D8" w14:textId="77777777" w:rsidTr="00637B0E">
        <w:trPr>
          <w:trHeight w:val="276"/>
        </w:trPr>
        <w:tc>
          <w:tcPr>
            <w:tcW w:w="2269" w:type="dxa"/>
            <w:vMerge/>
            <w:tcBorders>
              <w:top w:val="nil"/>
              <w:left w:val="single" w:sz="12" w:space="0" w:color="000000"/>
              <w:bottom w:val="single" w:sz="4" w:space="0" w:color="000000"/>
              <w:right w:val="nil"/>
            </w:tcBorders>
            <w:vAlign w:val="center"/>
            <w:hideMark/>
          </w:tcPr>
          <w:p w14:paraId="205AD825"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8" w:type="dxa"/>
            <w:tcBorders>
              <w:top w:val="nil"/>
              <w:left w:val="nil"/>
              <w:bottom w:val="nil"/>
              <w:right w:val="single" w:sz="12" w:space="0" w:color="000000"/>
            </w:tcBorders>
            <w:hideMark/>
          </w:tcPr>
          <w:p w14:paraId="5822C467"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992" w:type="dxa"/>
            <w:tcBorders>
              <w:top w:val="nil"/>
              <w:left w:val="single" w:sz="12" w:space="0" w:color="000000"/>
              <w:bottom w:val="nil"/>
              <w:right w:val="single" w:sz="4" w:space="0" w:color="000000"/>
            </w:tcBorders>
            <w:noWrap/>
            <w:vAlign w:val="center"/>
            <w:hideMark/>
          </w:tcPr>
          <w:p w14:paraId="48D58FC4"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992" w:type="dxa"/>
            <w:tcBorders>
              <w:top w:val="nil"/>
              <w:left w:val="single" w:sz="4" w:space="0" w:color="000000"/>
              <w:bottom w:val="nil"/>
              <w:right w:val="single" w:sz="4" w:space="0" w:color="000000"/>
            </w:tcBorders>
            <w:vAlign w:val="center"/>
            <w:hideMark/>
          </w:tcPr>
          <w:p w14:paraId="43F91EB4"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276" w:type="dxa"/>
            <w:tcBorders>
              <w:top w:val="nil"/>
              <w:left w:val="single" w:sz="4" w:space="0" w:color="000000"/>
              <w:bottom w:val="nil"/>
              <w:right w:val="single" w:sz="4" w:space="0" w:color="000000"/>
            </w:tcBorders>
            <w:noWrap/>
            <w:vAlign w:val="center"/>
            <w:hideMark/>
          </w:tcPr>
          <w:p w14:paraId="471BCAB0"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992" w:type="dxa"/>
            <w:tcBorders>
              <w:top w:val="nil"/>
              <w:left w:val="single" w:sz="4" w:space="0" w:color="000000"/>
              <w:bottom w:val="nil"/>
              <w:right w:val="single" w:sz="4" w:space="0" w:color="000000"/>
            </w:tcBorders>
            <w:noWrap/>
            <w:vAlign w:val="center"/>
            <w:hideMark/>
          </w:tcPr>
          <w:p w14:paraId="103B9FFA"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134" w:type="dxa"/>
            <w:tcBorders>
              <w:top w:val="nil"/>
              <w:left w:val="single" w:sz="4" w:space="0" w:color="000000"/>
              <w:bottom w:val="nil"/>
              <w:right w:val="single" w:sz="4" w:space="0" w:color="000000"/>
            </w:tcBorders>
            <w:noWrap/>
            <w:vAlign w:val="center"/>
            <w:hideMark/>
          </w:tcPr>
          <w:p w14:paraId="5A74EBB9"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4" w:type="dxa"/>
            <w:tcBorders>
              <w:top w:val="nil"/>
              <w:left w:val="single" w:sz="4" w:space="0" w:color="000000"/>
              <w:bottom w:val="nil"/>
              <w:right w:val="single" w:sz="12" w:space="0" w:color="000000"/>
            </w:tcBorders>
            <w:noWrap/>
            <w:vAlign w:val="center"/>
            <w:hideMark/>
          </w:tcPr>
          <w:p w14:paraId="5283F0FF"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19D417AD" w14:textId="77777777" w:rsidTr="00637B0E">
        <w:trPr>
          <w:trHeight w:val="276"/>
        </w:trPr>
        <w:tc>
          <w:tcPr>
            <w:tcW w:w="2269" w:type="dxa"/>
            <w:vMerge w:val="restart"/>
            <w:tcBorders>
              <w:top w:val="nil"/>
              <w:left w:val="single" w:sz="12" w:space="0" w:color="000000"/>
              <w:bottom w:val="single" w:sz="4" w:space="0" w:color="000000"/>
              <w:right w:val="nil"/>
            </w:tcBorders>
            <w:hideMark/>
          </w:tcPr>
          <w:p w14:paraId="543AA9D3"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21. </w:t>
            </w:r>
            <w:r w:rsidRPr="004275AD">
              <w:rPr>
                <w:rFonts w:ascii="Arial" w:eastAsia="Times New Roman" w:hAnsi="Arial" w:cs="Arial"/>
                <w:color w:val="000000"/>
                <w:kern w:val="0"/>
                <w:sz w:val="18"/>
                <w:szCs w:val="18"/>
                <w:rtl/>
                <w:lang w:val="en-GB" w:eastAsia="en-GB"/>
                <w14:ligatures w14:val="none"/>
              </w:rPr>
              <w:t>يشعر الموظفون بأنهم موثوق بهم وقادرون على المبادرة الذاتية</w:t>
            </w:r>
            <w:r w:rsidRPr="004275AD">
              <w:rPr>
                <w:rFonts w:ascii="Arial" w:eastAsia="Times New Roman" w:hAnsi="Arial" w:cs="Arial"/>
                <w:color w:val="000000"/>
                <w:kern w:val="0"/>
                <w:sz w:val="18"/>
                <w:szCs w:val="18"/>
                <w:lang w:val="en-GB" w:eastAsia="en-GB"/>
                <w14:ligatures w14:val="none"/>
              </w:rPr>
              <w:t>.</w:t>
            </w:r>
          </w:p>
        </w:tc>
        <w:tc>
          <w:tcPr>
            <w:tcW w:w="1418" w:type="dxa"/>
            <w:tcBorders>
              <w:top w:val="nil"/>
              <w:left w:val="nil"/>
              <w:bottom w:val="nil"/>
              <w:right w:val="single" w:sz="12" w:space="0" w:color="000000"/>
            </w:tcBorders>
            <w:hideMark/>
          </w:tcPr>
          <w:p w14:paraId="6991F2FE"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992" w:type="dxa"/>
            <w:tcBorders>
              <w:top w:val="nil"/>
              <w:left w:val="single" w:sz="12" w:space="0" w:color="000000"/>
              <w:bottom w:val="nil"/>
              <w:right w:val="single" w:sz="4" w:space="0" w:color="000000"/>
            </w:tcBorders>
            <w:noWrap/>
            <w:vAlign w:val="center"/>
            <w:hideMark/>
          </w:tcPr>
          <w:p w14:paraId="1F23F755"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.500</w:t>
            </w:r>
            <w:r w:rsidRPr="004275AD">
              <w:rPr>
                <w:rFonts w:ascii="Arial" w:eastAsia="Times New Roman" w:hAnsi="Arial" w:cs="Arial"/>
                <w:color w:val="000000"/>
                <w:kern w:val="0"/>
                <w:sz w:val="18"/>
                <w:szCs w:val="18"/>
                <w:vertAlign w:val="superscript"/>
                <w:lang w:val="en-GB" w:eastAsia="en-GB"/>
                <w14:ligatures w14:val="none"/>
              </w:rPr>
              <w:t>**</w:t>
            </w:r>
          </w:p>
        </w:tc>
        <w:tc>
          <w:tcPr>
            <w:tcW w:w="992" w:type="dxa"/>
            <w:tcBorders>
              <w:top w:val="nil"/>
              <w:left w:val="single" w:sz="4" w:space="0" w:color="000000"/>
              <w:bottom w:val="nil"/>
              <w:right w:val="single" w:sz="4" w:space="0" w:color="000000"/>
            </w:tcBorders>
            <w:noWrap/>
            <w:vAlign w:val="center"/>
            <w:hideMark/>
          </w:tcPr>
          <w:p w14:paraId="41D4316D"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.621</w:t>
            </w:r>
            <w:r w:rsidRPr="004275AD">
              <w:rPr>
                <w:rFonts w:ascii="Arial" w:eastAsia="Times New Roman" w:hAnsi="Arial" w:cs="Arial"/>
                <w:color w:val="000000"/>
                <w:kern w:val="0"/>
                <w:sz w:val="18"/>
                <w:szCs w:val="18"/>
                <w:vertAlign w:val="superscript"/>
                <w:lang w:val="en-GB" w:eastAsia="en-GB"/>
                <w14:ligatures w14:val="none"/>
              </w:rPr>
              <w:t>**</w:t>
            </w:r>
          </w:p>
        </w:tc>
        <w:tc>
          <w:tcPr>
            <w:tcW w:w="1276" w:type="dxa"/>
            <w:tcBorders>
              <w:top w:val="nil"/>
              <w:left w:val="single" w:sz="4" w:space="0" w:color="000000"/>
              <w:bottom w:val="nil"/>
              <w:right w:val="single" w:sz="4" w:space="0" w:color="000000"/>
            </w:tcBorders>
            <w:noWrap/>
            <w:vAlign w:val="center"/>
            <w:hideMark/>
          </w:tcPr>
          <w:p w14:paraId="0478E942"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992" w:type="dxa"/>
            <w:tcBorders>
              <w:top w:val="nil"/>
              <w:left w:val="single" w:sz="4" w:space="0" w:color="000000"/>
              <w:bottom w:val="nil"/>
              <w:right w:val="single" w:sz="4" w:space="0" w:color="000000"/>
            </w:tcBorders>
            <w:noWrap/>
            <w:vAlign w:val="center"/>
            <w:hideMark/>
          </w:tcPr>
          <w:p w14:paraId="2D994778"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134" w:type="dxa"/>
            <w:tcBorders>
              <w:top w:val="nil"/>
              <w:left w:val="single" w:sz="4" w:space="0" w:color="000000"/>
              <w:bottom w:val="nil"/>
              <w:right w:val="single" w:sz="4" w:space="0" w:color="000000"/>
            </w:tcBorders>
            <w:noWrap/>
            <w:vAlign w:val="center"/>
            <w:hideMark/>
          </w:tcPr>
          <w:p w14:paraId="6C578CCD"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4" w:type="dxa"/>
            <w:tcBorders>
              <w:top w:val="nil"/>
              <w:left w:val="single" w:sz="4" w:space="0" w:color="000000"/>
              <w:bottom w:val="nil"/>
              <w:right w:val="single" w:sz="12" w:space="0" w:color="000000"/>
            </w:tcBorders>
            <w:noWrap/>
            <w:vAlign w:val="center"/>
            <w:hideMark/>
          </w:tcPr>
          <w:p w14:paraId="75C175E0"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79F7FD5F" w14:textId="77777777" w:rsidTr="00637B0E">
        <w:trPr>
          <w:trHeight w:val="276"/>
        </w:trPr>
        <w:tc>
          <w:tcPr>
            <w:tcW w:w="2269" w:type="dxa"/>
            <w:vMerge/>
            <w:tcBorders>
              <w:top w:val="nil"/>
              <w:left w:val="single" w:sz="12" w:space="0" w:color="000000"/>
              <w:bottom w:val="single" w:sz="4" w:space="0" w:color="000000"/>
              <w:right w:val="nil"/>
            </w:tcBorders>
            <w:vAlign w:val="center"/>
            <w:hideMark/>
          </w:tcPr>
          <w:p w14:paraId="789D00B7"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8" w:type="dxa"/>
            <w:tcBorders>
              <w:top w:val="nil"/>
              <w:left w:val="nil"/>
              <w:bottom w:val="nil"/>
              <w:right w:val="single" w:sz="12" w:space="0" w:color="000000"/>
            </w:tcBorders>
            <w:hideMark/>
          </w:tcPr>
          <w:p w14:paraId="3A316783"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992" w:type="dxa"/>
            <w:tcBorders>
              <w:top w:val="nil"/>
              <w:left w:val="single" w:sz="12" w:space="0" w:color="000000"/>
              <w:bottom w:val="nil"/>
              <w:right w:val="single" w:sz="4" w:space="0" w:color="000000"/>
            </w:tcBorders>
            <w:noWrap/>
            <w:vAlign w:val="center"/>
            <w:hideMark/>
          </w:tcPr>
          <w:p w14:paraId="145CF053"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992" w:type="dxa"/>
            <w:tcBorders>
              <w:top w:val="nil"/>
              <w:left w:val="single" w:sz="4" w:space="0" w:color="000000"/>
              <w:bottom w:val="nil"/>
              <w:right w:val="single" w:sz="4" w:space="0" w:color="000000"/>
            </w:tcBorders>
            <w:noWrap/>
            <w:vAlign w:val="center"/>
            <w:hideMark/>
          </w:tcPr>
          <w:p w14:paraId="4C7C4A90"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276" w:type="dxa"/>
            <w:tcBorders>
              <w:top w:val="nil"/>
              <w:left w:val="single" w:sz="4" w:space="0" w:color="000000"/>
              <w:bottom w:val="nil"/>
              <w:right w:val="single" w:sz="4" w:space="0" w:color="000000"/>
            </w:tcBorders>
            <w:vAlign w:val="center"/>
            <w:hideMark/>
          </w:tcPr>
          <w:p w14:paraId="574548CF"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992" w:type="dxa"/>
            <w:tcBorders>
              <w:top w:val="nil"/>
              <w:left w:val="single" w:sz="4" w:space="0" w:color="000000"/>
              <w:bottom w:val="nil"/>
              <w:right w:val="single" w:sz="4" w:space="0" w:color="000000"/>
            </w:tcBorders>
            <w:noWrap/>
            <w:vAlign w:val="center"/>
            <w:hideMark/>
          </w:tcPr>
          <w:p w14:paraId="18070684"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134" w:type="dxa"/>
            <w:tcBorders>
              <w:top w:val="nil"/>
              <w:left w:val="single" w:sz="4" w:space="0" w:color="000000"/>
              <w:bottom w:val="nil"/>
              <w:right w:val="single" w:sz="4" w:space="0" w:color="000000"/>
            </w:tcBorders>
            <w:noWrap/>
            <w:vAlign w:val="center"/>
            <w:hideMark/>
          </w:tcPr>
          <w:p w14:paraId="6091BD35"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4" w:type="dxa"/>
            <w:tcBorders>
              <w:top w:val="nil"/>
              <w:left w:val="single" w:sz="4" w:space="0" w:color="000000"/>
              <w:bottom w:val="nil"/>
              <w:right w:val="single" w:sz="12" w:space="0" w:color="000000"/>
            </w:tcBorders>
            <w:noWrap/>
            <w:vAlign w:val="center"/>
            <w:hideMark/>
          </w:tcPr>
          <w:p w14:paraId="5214907D"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171F4D61" w14:textId="77777777" w:rsidTr="00637B0E">
        <w:trPr>
          <w:trHeight w:val="276"/>
        </w:trPr>
        <w:tc>
          <w:tcPr>
            <w:tcW w:w="2269" w:type="dxa"/>
            <w:vMerge w:val="restart"/>
            <w:tcBorders>
              <w:top w:val="nil"/>
              <w:left w:val="single" w:sz="12" w:space="0" w:color="000000"/>
              <w:bottom w:val="single" w:sz="4" w:space="0" w:color="000000"/>
              <w:right w:val="nil"/>
            </w:tcBorders>
            <w:hideMark/>
          </w:tcPr>
          <w:p w14:paraId="39C03048"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22. </w:t>
            </w:r>
            <w:r w:rsidRPr="004275AD">
              <w:rPr>
                <w:rFonts w:ascii="Arial" w:eastAsia="Times New Roman" w:hAnsi="Arial" w:cs="Arial"/>
                <w:color w:val="000000"/>
                <w:kern w:val="0"/>
                <w:sz w:val="18"/>
                <w:szCs w:val="18"/>
                <w:rtl/>
                <w:lang w:val="en-GB" w:eastAsia="en-GB"/>
                <w14:ligatures w14:val="none"/>
              </w:rPr>
              <w:t>يتم الاعتراف بمساهمات الموظفين في تحسين الأداء التنظيمي</w:t>
            </w:r>
            <w:r w:rsidRPr="004275AD">
              <w:rPr>
                <w:rFonts w:ascii="Arial" w:eastAsia="Times New Roman" w:hAnsi="Arial" w:cs="Arial"/>
                <w:color w:val="000000"/>
                <w:kern w:val="0"/>
                <w:sz w:val="18"/>
                <w:szCs w:val="18"/>
                <w:lang w:val="en-GB" w:eastAsia="en-GB"/>
                <w14:ligatures w14:val="none"/>
              </w:rPr>
              <w:t>.</w:t>
            </w:r>
          </w:p>
        </w:tc>
        <w:tc>
          <w:tcPr>
            <w:tcW w:w="1418" w:type="dxa"/>
            <w:tcBorders>
              <w:top w:val="nil"/>
              <w:left w:val="nil"/>
              <w:bottom w:val="nil"/>
              <w:right w:val="single" w:sz="12" w:space="0" w:color="000000"/>
            </w:tcBorders>
            <w:hideMark/>
          </w:tcPr>
          <w:p w14:paraId="1D08FCEB"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992" w:type="dxa"/>
            <w:tcBorders>
              <w:top w:val="nil"/>
              <w:left w:val="single" w:sz="12" w:space="0" w:color="000000"/>
              <w:bottom w:val="nil"/>
              <w:right w:val="single" w:sz="4" w:space="0" w:color="000000"/>
            </w:tcBorders>
            <w:noWrap/>
            <w:vAlign w:val="center"/>
            <w:hideMark/>
          </w:tcPr>
          <w:p w14:paraId="7CDB9723"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.456</w:t>
            </w:r>
            <w:r w:rsidRPr="004275AD">
              <w:rPr>
                <w:rFonts w:ascii="Arial" w:eastAsia="Times New Roman" w:hAnsi="Arial" w:cs="Arial"/>
                <w:color w:val="000000"/>
                <w:kern w:val="0"/>
                <w:sz w:val="18"/>
                <w:szCs w:val="18"/>
                <w:vertAlign w:val="superscript"/>
                <w:lang w:val="en-GB" w:eastAsia="en-GB"/>
                <w14:ligatures w14:val="none"/>
              </w:rPr>
              <w:t>**</w:t>
            </w:r>
          </w:p>
        </w:tc>
        <w:tc>
          <w:tcPr>
            <w:tcW w:w="992" w:type="dxa"/>
            <w:tcBorders>
              <w:top w:val="nil"/>
              <w:left w:val="single" w:sz="4" w:space="0" w:color="000000"/>
              <w:bottom w:val="nil"/>
              <w:right w:val="single" w:sz="4" w:space="0" w:color="000000"/>
            </w:tcBorders>
            <w:noWrap/>
            <w:vAlign w:val="center"/>
            <w:hideMark/>
          </w:tcPr>
          <w:p w14:paraId="0F421CC5"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.537</w:t>
            </w:r>
            <w:r w:rsidRPr="004275AD">
              <w:rPr>
                <w:rFonts w:ascii="Arial" w:eastAsia="Times New Roman" w:hAnsi="Arial" w:cs="Arial"/>
                <w:color w:val="000000"/>
                <w:kern w:val="0"/>
                <w:sz w:val="18"/>
                <w:szCs w:val="18"/>
                <w:vertAlign w:val="superscript"/>
                <w:lang w:val="en-GB" w:eastAsia="en-GB"/>
                <w14:ligatures w14:val="none"/>
              </w:rPr>
              <w:t>**</w:t>
            </w:r>
          </w:p>
        </w:tc>
        <w:tc>
          <w:tcPr>
            <w:tcW w:w="1276" w:type="dxa"/>
            <w:tcBorders>
              <w:top w:val="nil"/>
              <w:left w:val="single" w:sz="4" w:space="0" w:color="000000"/>
              <w:bottom w:val="nil"/>
              <w:right w:val="single" w:sz="4" w:space="0" w:color="000000"/>
            </w:tcBorders>
            <w:noWrap/>
            <w:vAlign w:val="center"/>
            <w:hideMark/>
          </w:tcPr>
          <w:p w14:paraId="76565933"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.583</w:t>
            </w:r>
            <w:r w:rsidRPr="004275AD">
              <w:rPr>
                <w:rFonts w:ascii="Arial" w:eastAsia="Times New Roman" w:hAnsi="Arial" w:cs="Arial"/>
                <w:color w:val="000000"/>
                <w:kern w:val="0"/>
                <w:sz w:val="18"/>
                <w:szCs w:val="18"/>
                <w:vertAlign w:val="superscript"/>
                <w:lang w:val="en-GB" w:eastAsia="en-GB"/>
                <w14:ligatures w14:val="none"/>
              </w:rPr>
              <w:t>**</w:t>
            </w:r>
          </w:p>
        </w:tc>
        <w:tc>
          <w:tcPr>
            <w:tcW w:w="992" w:type="dxa"/>
            <w:tcBorders>
              <w:top w:val="nil"/>
              <w:left w:val="single" w:sz="4" w:space="0" w:color="000000"/>
              <w:bottom w:val="nil"/>
              <w:right w:val="single" w:sz="4" w:space="0" w:color="000000"/>
            </w:tcBorders>
            <w:noWrap/>
            <w:vAlign w:val="center"/>
            <w:hideMark/>
          </w:tcPr>
          <w:p w14:paraId="69A8FD19"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1134" w:type="dxa"/>
            <w:tcBorders>
              <w:top w:val="nil"/>
              <w:left w:val="single" w:sz="4" w:space="0" w:color="000000"/>
              <w:bottom w:val="nil"/>
              <w:right w:val="single" w:sz="4" w:space="0" w:color="000000"/>
            </w:tcBorders>
            <w:noWrap/>
            <w:vAlign w:val="center"/>
            <w:hideMark/>
          </w:tcPr>
          <w:p w14:paraId="1302A6CA"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4" w:type="dxa"/>
            <w:tcBorders>
              <w:top w:val="nil"/>
              <w:left w:val="single" w:sz="4" w:space="0" w:color="000000"/>
              <w:bottom w:val="nil"/>
              <w:right w:val="single" w:sz="12" w:space="0" w:color="000000"/>
            </w:tcBorders>
            <w:noWrap/>
            <w:vAlign w:val="center"/>
            <w:hideMark/>
          </w:tcPr>
          <w:p w14:paraId="67C54CC7"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1E48A6A2" w14:textId="77777777" w:rsidTr="00637B0E">
        <w:trPr>
          <w:trHeight w:val="276"/>
        </w:trPr>
        <w:tc>
          <w:tcPr>
            <w:tcW w:w="2269" w:type="dxa"/>
            <w:vMerge/>
            <w:tcBorders>
              <w:top w:val="nil"/>
              <w:left w:val="single" w:sz="12" w:space="0" w:color="000000"/>
              <w:bottom w:val="single" w:sz="4" w:space="0" w:color="000000"/>
              <w:right w:val="nil"/>
            </w:tcBorders>
            <w:vAlign w:val="center"/>
            <w:hideMark/>
          </w:tcPr>
          <w:p w14:paraId="26E848F9"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8" w:type="dxa"/>
            <w:tcBorders>
              <w:top w:val="nil"/>
              <w:left w:val="nil"/>
              <w:bottom w:val="nil"/>
              <w:right w:val="single" w:sz="12" w:space="0" w:color="000000"/>
            </w:tcBorders>
            <w:hideMark/>
          </w:tcPr>
          <w:p w14:paraId="38443DEB"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992" w:type="dxa"/>
            <w:tcBorders>
              <w:top w:val="nil"/>
              <w:left w:val="single" w:sz="12" w:space="0" w:color="000000"/>
              <w:bottom w:val="nil"/>
              <w:right w:val="single" w:sz="4" w:space="0" w:color="000000"/>
            </w:tcBorders>
            <w:noWrap/>
            <w:vAlign w:val="center"/>
            <w:hideMark/>
          </w:tcPr>
          <w:p w14:paraId="2D082276"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992" w:type="dxa"/>
            <w:tcBorders>
              <w:top w:val="nil"/>
              <w:left w:val="single" w:sz="4" w:space="0" w:color="000000"/>
              <w:bottom w:val="nil"/>
              <w:right w:val="single" w:sz="4" w:space="0" w:color="000000"/>
            </w:tcBorders>
            <w:noWrap/>
            <w:vAlign w:val="center"/>
            <w:hideMark/>
          </w:tcPr>
          <w:p w14:paraId="2C1EC449"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276" w:type="dxa"/>
            <w:tcBorders>
              <w:top w:val="nil"/>
              <w:left w:val="single" w:sz="4" w:space="0" w:color="000000"/>
              <w:bottom w:val="nil"/>
              <w:right w:val="single" w:sz="4" w:space="0" w:color="000000"/>
            </w:tcBorders>
            <w:noWrap/>
            <w:vAlign w:val="center"/>
            <w:hideMark/>
          </w:tcPr>
          <w:p w14:paraId="335CFFEF"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992" w:type="dxa"/>
            <w:tcBorders>
              <w:top w:val="nil"/>
              <w:left w:val="single" w:sz="4" w:space="0" w:color="000000"/>
              <w:bottom w:val="nil"/>
              <w:right w:val="single" w:sz="4" w:space="0" w:color="000000"/>
            </w:tcBorders>
            <w:vAlign w:val="center"/>
            <w:hideMark/>
          </w:tcPr>
          <w:p w14:paraId="11D33E62"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1134" w:type="dxa"/>
            <w:tcBorders>
              <w:top w:val="nil"/>
              <w:left w:val="single" w:sz="4" w:space="0" w:color="000000"/>
              <w:bottom w:val="nil"/>
              <w:right w:val="single" w:sz="4" w:space="0" w:color="000000"/>
            </w:tcBorders>
            <w:noWrap/>
            <w:vAlign w:val="center"/>
            <w:hideMark/>
          </w:tcPr>
          <w:p w14:paraId="700CDECF"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4" w:type="dxa"/>
            <w:tcBorders>
              <w:top w:val="nil"/>
              <w:left w:val="single" w:sz="4" w:space="0" w:color="000000"/>
              <w:bottom w:val="nil"/>
              <w:right w:val="single" w:sz="12" w:space="0" w:color="000000"/>
            </w:tcBorders>
            <w:noWrap/>
            <w:vAlign w:val="center"/>
            <w:hideMark/>
          </w:tcPr>
          <w:p w14:paraId="38CCA7A8"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5144C753" w14:textId="77777777" w:rsidTr="00637B0E">
        <w:trPr>
          <w:trHeight w:val="276"/>
        </w:trPr>
        <w:tc>
          <w:tcPr>
            <w:tcW w:w="2269" w:type="dxa"/>
            <w:vMerge w:val="restart"/>
            <w:tcBorders>
              <w:top w:val="nil"/>
              <w:left w:val="single" w:sz="12" w:space="0" w:color="000000"/>
              <w:bottom w:val="single" w:sz="4" w:space="0" w:color="000000"/>
              <w:right w:val="nil"/>
            </w:tcBorders>
            <w:hideMark/>
          </w:tcPr>
          <w:p w14:paraId="642D5D15"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xml:space="preserve">23. </w:t>
            </w:r>
            <w:r w:rsidRPr="004275AD">
              <w:rPr>
                <w:rFonts w:ascii="Arial" w:eastAsia="Times New Roman" w:hAnsi="Arial" w:cs="Arial"/>
                <w:color w:val="000000"/>
                <w:kern w:val="0"/>
                <w:sz w:val="18"/>
                <w:szCs w:val="18"/>
                <w:rtl/>
                <w:lang w:val="en-GB" w:eastAsia="en-GB"/>
                <w14:ligatures w14:val="none"/>
              </w:rPr>
              <w:t>يتم دعم العاملين في تحمل المسؤولية عن نتائج أعمالهم</w:t>
            </w:r>
            <w:r w:rsidRPr="004275AD">
              <w:rPr>
                <w:rFonts w:ascii="Arial" w:eastAsia="Times New Roman" w:hAnsi="Arial" w:cs="Arial"/>
                <w:color w:val="000000"/>
                <w:kern w:val="0"/>
                <w:sz w:val="18"/>
                <w:szCs w:val="18"/>
                <w:lang w:val="en-GB" w:eastAsia="en-GB"/>
                <w14:ligatures w14:val="none"/>
              </w:rPr>
              <w:t>.</w:t>
            </w:r>
          </w:p>
        </w:tc>
        <w:tc>
          <w:tcPr>
            <w:tcW w:w="1418" w:type="dxa"/>
            <w:tcBorders>
              <w:top w:val="nil"/>
              <w:left w:val="nil"/>
              <w:bottom w:val="nil"/>
              <w:right w:val="single" w:sz="12" w:space="0" w:color="000000"/>
            </w:tcBorders>
            <w:hideMark/>
          </w:tcPr>
          <w:p w14:paraId="3B58CC5D"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992" w:type="dxa"/>
            <w:tcBorders>
              <w:top w:val="nil"/>
              <w:left w:val="single" w:sz="12" w:space="0" w:color="000000"/>
              <w:bottom w:val="nil"/>
              <w:right w:val="single" w:sz="4" w:space="0" w:color="000000"/>
            </w:tcBorders>
            <w:noWrap/>
            <w:vAlign w:val="center"/>
            <w:hideMark/>
          </w:tcPr>
          <w:p w14:paraId="58A4EE8A"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.501</w:t>
            </w:r>
            <w:r w:rsidRPr="004275AD">
              <w:rPr>
                <w:rFonts w:ascii="Arial" w:eastAsia="Times New Roman" w:hAnsi="Arial" w:cs="Arial"/>
                <w:color w:val="000000"/>
                <w:kern w:val="0"/>
                <w:sz w:val="18"/>
                <w:szCs w:val="18"/>
                <w:vertAlign w:val="superscript"/>
                <w:lang w:val="en-GB" w:eastAsia="en-GB"/>
                <w14:ligatures w14:val="none"/>
              </w:rPr>
              <w:t>**</w:t>
            </w:r>
          </w:p>
        </w:tc>
        <w:tc>
          <w:tcPr>
            <w:tcW w:w="992" w:type="dxa"/>
            <w:tcBorders>
              <w:top w:val="nil"/>
              <w:left w:val="single" w:sz="4" w:space="0" w:color="000000"/>
              <w:bottom w:val="nil"/>
              <w:right w:val="single" w:sz="4" w:space="0" w:color="000000"/>
            </w:tcBorders>
            <w:noWrap/>
            <w:vAlign w:val="center"/>
            <w:hideMark/>
          </w:tcPr>
          <w:p w14:paraId="4A600D68"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.491</w:t>
            </w:r>
            <w:r w:rsidRPr="004275AD">
              <w:rPr>
                <w:rFonts w:ascii="Arial" w:eastAsia="Times New Roman" w:hAnsi="Arial" w:cs="Arial"/>
                <w:color w:val="000000"/>
                <w:kern w:val="0"/>
                <w:sz w:val="18"/>
                <w:szCs w:val="18"/>
                <w:vertAlign w:val="superscript"/>
                <w:lang w:val="en-GB" w:eastAsia="en-GB"/>
                <w14:ligatures w14:val="none"/>
              </w:rPr>
              <w:t>**</w:t>
            </w:r>
          </w:p>
        </w:tc>
        <w:tc>
          <w:tcPr>
            <w:tcW w:w="1276" w:type="dxa"/>
            <w:tcBorders>
              <w:top w:val="nil"/>
              <w:left w:val="single" w:sz="4" w:space="0" w:color="000000"/>
              <w:bottom w:val="nil"/>
              <w:right w:val="single" w:sz="4" w:space="0" w:color="000000"/>
            </w:tcBorders>
            <w:noWrap/>
            <w:vAlign w:val="center"/>
            <w:hideMark/>
          </w:tcPr>
          <w:p w14:paraId="61EF307C"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.503</w:t>
            </w:r>
            <w:r w:rsidRPr="004275AD">
              <w:rPr>
                <w:rFonts w:ascii="Arial" w:eastAsia="Times New Roman" w:hAnsi="Arial" w:cs="Arial"/>
                <w:color w:val="000000"/>
                <w:kern w:val="0"/>
                <w:sz w:val="18"/>
                <w:szCs w:val="18"/>
                <w:vertAlign w:val="superscript"/>
                <w:lang w:val="en-GB" w:eastAsia="en-GB"/>
                <w14:ligatures w14:val="none"/>
              </w:rPr>
              <w:t>**</w:t>
            </w:r>
          </w:p>
        </w:tc>
        <w:tc>
          <w:tcPr>
            <w:tcW w:w="992" w:type="dxa"/>
            <w:tcBorders>
              <w:top w:val="nil"/>
              <w:left w:val="single" w:sz="4" w:space="0" w:color="000000"/>
              <w:bottom w:val="nil"/>
              <w:right w:val="single" w:sz="4" w:space="0" w:color="000000"/>
            </w:tcBorders>
            <w:noWrap/>
            <w:vAlign w:val="center"/>
            <w:hideMark/>
          </w:tcPr>
          <w:p w14:paraId="3023FFDB"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.558</w:t>
            </w:r>
            <w:r w:rsidRPr="004275AD">
              <w:rPr>
                <w:rFonts w:ascii="Arial" w:eastAsia="Times New Roman" w:hAnsi="Arial" w:cs="Arial"/>
                <w:color w:val="000000"/>
                <w:kern w:val="0"/>
                <w:sz w:val="18"/>
                <w:szCs w:val="18"/>
                <w:vertAlign w:val="superscript"/>
                <w:lang w:val="en-GB" w:eastAsia="en-GB"/>
                <w14:ligatures w14:val="none"/>
              </w:rPr>
              <w:t>**</w:t>
            </w:r>
          </w:p>
        </w:tc>
        <w:tc>
          <w:tcPr>
            <w:tcW w:w="1134" w:type="dxa"/>
            <w:tcBorders>
              <w:top w:val="nil"/>
              <w:left w:val="single" w:sz="4" w:space="0" w:color="000000"/>
              <w:bottom w:val="nil"/>
              <w:right w:val="single" w:sz="4" w:space="0" w:color="000000"/>
            </w:tcBorders>
            <w:noWrap/>
            <w:vAlign w:val="center"/>
            <w:hideMark/>
          </w:tcPr>
          <w:p w14:paraId="701B433B"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c>
          <w:tcPr>
            <w:tcW w:w="854" w:type="dxa"/>
            <w:tcBorders>
              <w:top w:val="nil"/>
              <w:left w:val="single" w:sz="4" w:space="0" w:color="000000"/>
              <w:bottom w:val="nil"/>
              <w:right w:val="single" w:sz="12" w:space="0" w:color="000000"/>
            </w:tcBorders>
            <w:noWrap/>
            <w:vAlign w:val="center"/>
            <w:hideMark/>
          </w:tcPr>
          <w:p w14:paraId="60EF23FF"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432A925F" w14:textId="77777777" w:rsidTr="00637B0E">
        <w:trPr>
          <w:trHeight w:val="276"/>
        </w:trPr>
        <w:tc>
          <w:tcPr>
            <w:tcW w:w="2269" w:type="dxa"/>
            <w:vMerge/>
            <w:tcBorders>
              <w:top w:val="nil"/>
              <w:left w:val="single" w:sz="12" w:space="0" w:color="000000"/>
              <w:bottom w:val="single" w:sz="4" w:space="0" w:color="000000"/>
              <w:right w:val="nil"/>
            </w:tcBorders>
            <w:vAlign w:val="center"/>
            <w:hideMark/>
          </w:tcPr>
          <w:p w14:paraId="569FA540"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8" w:type="dxa"/>
            <w:tcBorders>
              <w:top w:val="nil"/>
              <w:left w:val="nil"/>
              <w:bottom w:val="nil"/>
              <w:right w:val="single" w:sz="12" w:space="0" w:color="000000"/>
            </w:tcBorders>
            <w:hideMark/>
          </w:tcPr>
          <w:p w14:paraId="459369E2"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992" w:type="dxa"/>
            <w:tcBorders>
              <w:top w:val="nil"/>
              <w:left w:val="single" w:sz="12" w:space="0" w:color="000000"/>
              <w:bottom w:val="nil"/>
              <w:right w:val="single" w:sz="4" w:space="0" w:color="000000"/>
            </w:tcBorders>
            <w:noWrap/>
            <w:vAlign w:val="center"/>
            <w:hideMark/>
          </w:tcPr>
          <w:p w14:paraId="4351D094"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992" w:type="dxa"/>
            <w:tcBorders>
              <w:top w:val="nil"/>
              <w:left w:val="single" w:sz="4" w:space="0" w:color="000000"/>
              <w:bottom w:val="nil"/>
              <w:right w:val="single" w:sz="4" w:space="0" w:color="000000"/>
            </w:tcBorders>
            <w:noWrap/>
            <w:vAlign w:val="center"/>
            <w:hideMark/>
          </w:tcPr>
          <w:p w14:paraId="34BB9090"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276" w:type="dxa"/>
            <w:tcBorders>
              <w:top w:val="nil"/>
              <w:left w:val="single" w:sz="4" w:space="0" w:color="000000"/>
              <w:bottom w:val="nil"/>
              <w:right w:val="single" w:sz="4" w:space="0" w:color="000000"/>
            </w:tcBorders>
            <w:noWrap/>
            <w:vAlign w:val="center"/>
            <w:hideMark/>
          </w:tcPr>
          <w:p w14:paraId="1AA5B324"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992" w:type="dxa"/>
            <w:tcBorders>
              <w:top w:val="nil"/>
              <w:left w:val="single" w:sz="4" w:space="0" w:color="000000"/>
              <w:bottom w:val="nil"/>
              <w:right w:val="single" w:sz="4" w:space="0" w:color="000000"/>
            </w:tcBorders>
            <w:noWrap/>
            <w:vAlign w:val="center"/>
            <w:hideMark/>
          </w:tcPr>
          <w:p w14:paraId="61D622D9"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134" w:type="dxa"/>
            <w:tcBorders>
              <w:top w:val="nil"/>
              <w:left w:val="single" w:sz="4" w:space="0" w:color="000000"/>
              <w:bottom w:val="nil"/>
              <w:right w:val="single" w:sz="4" w:space="0" w:color="000000"/>
            </w:tcBorders>
            <w:vAlign w:val="center"/>
            <w:hideMark/>
          </w:tcPr>
          <w:p w14:paraId="6F03D691"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c>
          <w:tcPr>
            <w:tcW w:w="854" w:type="dxa"/>
            <w:tcBorders>
              <w:top w:val="nil"/>
              <w:left w:val="single" w:sz="4" w:space="0" w:color="000000"/>
              <w:bottom w:val="nil"/>
              <w:right w:val="single" w:sz="12" w:space="0" w:color="000000"/>
            </w:tcBorders>
            <w:noWrap/>
            <w:vAlign w:val="center"/>
            <w:hideMark/>
          </w:tcPr>
          <w:p w14:paraId="014B5C8F"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8410A6" w:rsidRPr="004275AD" w14:paraId="5097DA3F" w14:textId="77777777" w:rsidTr="00637B0E">
        <w:trPr>
          <w:trHeight w:val="276"/>
        </w:trPr>
        <w:tc>
          <w:tcPr>
            <w:tcW w:w="2269" w:type="dxa"/>
            <w:vMerge w:val="restart"/>
            <w:tcBorders>
              <w:top w:val="nil"/>
              <w:left w:val="single" w:sz="12" w:space="0" w:color="000000"/>
              <w:bottom w:val="single" w:sz="4" w:space="0" w:color="000000"/>
              <w:right w:val="nil"/>
            </w:tcBorders>
            <w:hideMark/>
          </w:tcPr>
          <w:p w14:paraId="533E17BC" w14:textId="77777777" w:rsidR="004275AD" w:rsidRPr="004275AD" w:rsidRDefault="004275AD" w:rsidP="004275AD">
            <w:pPr>
              <w:bidi/>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rtl/>
                <w:lang w:val="en-GB" w:eastAsia="en-GB"/>
                <w14:ligatures w14:val="none"/>
              </w:rPr>
              <w:t>سادسًا: تمكين الموظفين</w:t>
            </w:r>
          </w:p>
        </w:tc>
        <w:tc>
          <w:tcPr>
            <w:tcW w:w="1418" w:type="dxa"/>
            <w:tcBorders>
              <w:top w:val="nil"/>
              <w:left w:val="nil"/>
              <w:bottom w:val="nil"/>
              <w:right w:val="single" w:sz="12" w:space="0" w:color="000000"/>
            </w:tcBorders>
            <w:hideMark/>
          </w:tcPr>
          <w:p w14:paraId="102168B5" w14:textId="77777777" w:rsidR="004275AD" w:rsidRPr="004275AD" w:rsidRDefault="004275AD" w:rsidP="004275AD">
            <w:pPr>
              <w:spacing w:after="0" w:line="240" w:lineRule="auto"/>
              <w:rPr>
                <w:rFonts w:ascii="Arial" w:eastAsia="Times New Roman" w:hAnsi="Arial" w:cs="Arial"/>
                <w:color w:val="000000"/>
                <w:kern w:val="0"/>
                <w:sz w:val="18"/>
                <w:szCs w:val="18"/>
                <w:rtl/>
                <w:lang w:val="en-GB" w:eastAsia="en-GB"/>
                <w14:ligatures w14:val="none"/>
              </w:rPr>
            </w:pPr>
            <w:r w:rsidRPr="004275AD">
              <w:rPr>
                <w:rFonts w:ascii="Arial" w:eastAsia="Times New Roman" w:hAnsi="Arial" w:cs="Arial"/>
                <w:color w:val="000000"/>
                <w:kern w:val="0"/>
                <w:sz w:val="18"/>
                <w:szCs w:val="18"/>
                <w:lang w:val="en-GB" w:eastAsia="en-GB"/>
                <w14:ligatures w14:val="none"/>
              </w:rPr>
              <w:t>Pearson Correlation</w:t>
            </w:r>
          </w:p>
        </w:tc>
        <w:tc>
          <w:tcPr>
            <w:tcW w:w="992" w:type="dxa"/>
            <w:tcBorders>
              <w:top w:val="nil"/>
              <w:left w:val="single" w:sz="12" w:space="0" w:color="000000"/>
              <w:bottom w:val="nil"/>
              <w:right w:val="single" w:sz="4" w:space="0" w:color="000000"/>
            </w:tcBorders>
            <w:noWrap/>
            <w:vAlign w:val="center"/>
            <w:hideMark/>
          </w:tcPr>
          <w:p w14:paraId="6CBAA053"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.767</w:t>
            </w:r>
            <w:r w:rsidRPr="004275AD">
              <w:rPr>
                <w:rFonts w:ascii="Arial" w:eastAsia="Times New Roman" w:hAnsi="Arial" w:cs="Arial"/>
                <w:color w:val="000000"/>
                <w:kern w:val="0"/>
                <w:sz w:val="18"/>
                <w:szCs w:val="18"/>
                <w:vertAlign w:val="superscript"/>
                <w:lang w:val="en-GB" w:eastAsia="en-GB"/>
                <w14:ligatures w14:val="none"/>
              </w:rPr>
              <w:t>**</w:t>
            </w:r>
          </w:p>
        </w:tc>
        <w:tc>
          <w:tcPr>
            <w:tcW w:w="992" w:type="dxa"/>
            <w:tcBorders>
              <w:top w:val="nil"/>
              <w:left w:val="single" w:sz="4" w:space="0" w:color="000000"/>
              <w:bottom w:val="nil"/>
              <w:right w:val="single" w:sz="4" w:space="0" w:color="000000"/>
            </w:tcBorders>
            <w:noWrap/>
            <w:vAlign w:val="center"/>
            <w:hideMark/>
          </w:tcPr>
          <w:p w14:paraId="4EA56F50"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.822</w:t>
            </w:r>
            <w:r w:rsidRPr="004275AD">
              <w:rPr>
                <w:rFonts w:ascii="Arial" w:eastAsia="Times New Roman" w:hAnsi="Arial" w:cs="Arial"/>
                <w:color w:val="000000"/>
                <w:kern w:val="0"/>
                <w:sz w:val="18"/>
                <w:szCs w:val="18"/>
                <w:vertAlign w:val="superscript"/>
                <w:lang w:val="en-GB" w:eastAsia="en-GB"/>
                <w14:ligatures w14:val="none"/>
              </w:rPr>
              <w:t>**</w:t>
            </w:r>
          </w:p>
        </w:tc>
        <w:tc>
          <w:tcPr>
            <w:tcW w:w="1276" w:type="dxa"/>
            <w:tcBorders>
              <w:top w:val="nil"/>
              <w:left w:val="single" w:sz="4" w:space="0" w:color="000000"/>
              <w:bottom w:val="nil"/>
              <w:right w:val="single" w:sz="4" w:space="0" w:color="000000"/>
            </w:tcBorders>
            <w:noWrap/>
            <w:vAlign w:val="center"/>
            <w:hideMark/>
          </w:tcPr>
          <w:p w14:paraId="3BAC1DEA"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.819</w:t>
            </w:r>
            <w:r w:rsidRPr="004275AD">
              <w:rPr>
                <w:rFonts w:ascii="Arial" w:eastAsia="Times New Roman" w:hAnsi="Arial" w:cs="Arial"/>
                <w:color w:val="000000"/>
                <w:kern w:val="0"/>
                <w:sz w:val="18"/>
                <w:szCs w:val="18"/>
                <w:vertAlign w:val="superscript"/>
                <w:lang w:val="en-GB" w:eastAsia="en-GB"/>
                <w14:ligatures w14:val="none"/>
              </w:rPr>
              <w:t>**</w:t>
            </w:r>
          </w:p>
        </w:tc>
        <w:tc>
          <w:tcPr>
            <w:tcW w:w="992" w:type="dxa"/>
            <w:tcBorders>
              <w:top w:val="nil"/>
              <w:left w:val="single" w:sz="4" w:space="0" w:color="000000"/>
              <w:bottom w:val="nil"/>
              <w:right w:val="single" w:sz="4" w:space="0" w:color="000000"/>
            </w:tcBorders>
            <w:noWrap/>
            <w:vAlign w:val="center"/>
            <w:hideMark/>
          </w:tcPr>
          <w:p w14:paraId="55046948"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.788</w:t>
            </w:r>
            <w:r w:rsidRPr="004275AD">
              <w:rPr>
                <w:rFonts w:ascii="Arial" w:eastAsia="Times New Roman" w:hAnsi="Arial" w:cs="Arial"/>
                <w:color w:val="000000"/>
                <w:kern w:val="0"/>
                <w:sz w:val="18"/>
                <w:szCs w:val="18"/>
                <w:vertAlign w:val="superscript"/>
                <w:lang w:val="en-GB" w:eastAsia="en-GB"/>
                <w14:ligatures w14:val="none"/>
              </w:rPr>
              <w:t>**</w:t>
            </w:r>
          </w:p>
        </w:tc>
        <w:tc>
          <w:tcPr>
            <w:tcW w:w="1134" w:type="dxa"/>
            <w:tcBorders>
              <w:top w:val="nil"/>
              <w:left w:val="single" w:sz="4" w:space="0" w:color="000000"/>
              <w:bottom w:val="nil"/>
              <w:right w:val="single" w:sz="4" w:space="0" w:color="000000"/>
            </w:tcBorders>
            <w:noWrap/>
            <w:vAlign w:val="center"/>
            <w:hideMark/>
          </w:tcPr>
          <w:p w14:paraId="2547CFBE"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.762</w:t>
            </w:r>
            <w:r w:rsidRPr="004275AD">
              <w:rPr>
                <w:rFonts w:ascii="Arial" w:eastAsia="Times New Roman" w:hAnsi="Arial" w:cs="Arial"/>
                <w:color w:val="000000"/>
                <w:kern w:val="0"/>
                <w:sz w:val="18"/>
                <w:szCs w:val="18"/>
                <w:vertAlign w:val="superscript"/>
                <w:lang w:val="en-GB" w:eastAsia="en-GB"/>
                <w14:ligatures w14:val="none"/>
              </w:rPr>
              <w:t>**</w:t>
            </w:r>
          </w:p>
        </w:tc>
        <w:tc>
          <w:tcPr>
            <w:tcW w:w="854" w:type="dxa"/>
            <w:tcBorders>
              <w:top w:val="nil"/>
              <w:left w:val="single" w:sz="4" w:space="0" w:color="000000"/>
              <w:bottom w:val="nil"/>
              <w:right w:val="single" w:sz="12" w:space="0" w:color="000000"/>
            </w:tcBorders>
            <w:noWrap/>
            <w:vAlign w:val="center"/>
            <w:hideMark/>
          </w:tcPr>
          <w:p w14:paraId="4EF964AB"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1</w:t>
            </w:r>
          </w:p>
        </w:tc>
      </w:tr>
      <w:tr w:rsidR="008410A6" w:rsidRPr="004275AD" w14:paraId="367DB3EA" w14:textId="77777777" w:rsidTr="00637B0E">
        <w:trPr>
          <w:trHeight w:val="276"/>
        </w:trPr>
        <w:tc>
          <w:tcPr>
            <w:tcW w:w="2269" w:type="dxa"/>
            <w:vMerge/>
            <w:tcBorders>
              <w:top w:val="nil"/>
              <w:left w:val="single" w:sz="12" w:space="0" w:color="000000"/>
              <w:bottom w:val="single" w:sz="4" w:space="0" w:color="000000"/>
              <w:right w:val="nil"/>
            </w:tcBorders>
            <w:vAlign w:val="center"/>
            <w:hideMark/>
          </w:tcPr>
          <w:p w14:paraId="6C9C92D4" w14:textId="77777777" w:rsidR="004275AD" w:rsidRPr="004275AD" w:rsidRDefault="004275AD" w:rsidP="004275AD">
            <w:pPr>
              <w:bidi/>
              <w:spacing w:after="0" w:line="240" w:lineRule="auto"/>
              <w:rPr>
                <w:rFonts w:ascii="Arial" w:eastAsia="Times New Roman" w:hAnsi="Arial" w:cs="Arial"/>
                <w:color w:val="000000"/>
                <w:kern w:val="0"/>
                <w:sz w:val="18"/>
                <w:szCs w:val="18"/>
                <w:lang w:val="en-GB" w:eastAsia="en-GB"/>
                <w14:ligatures w14:val="none"/>
              </w:rPr>
            </w:pPr>
          </w:p>
        </w:tc>
        <w:tc>
          <w:tcPr>
            <w:tcW w:w="1418" w:type="dxa"/>
            <w:tcBorders>
              <w:top w:val="nil"/>
              <w:left w:val="nil"/>
              <w:bottom w:val="nil"/>
              <w:right w:val="single" w:sz="12" w:space="0" w:color="000000"/>
            </w:tcBorders>
            <w:hideMark/>
          </w:tcPr>
          <w:p w14:paraId="4DB9B717"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Sig. (2-tailed)</w:t>
            </w:r>
          </w:p>
        </w:tc>
        <w:tc>
          <w:tcPr>
            <w:tcW w:w="992" w:type="dxa"/>
            <w:tcBorders>
              <w:top w:val="nil"/>
              <w:left w:val="single" w:sz="12" w:space="0" w:color="000000"/>
              <w:bottom w:val="nil"/>
              <w:right w:val="single" w:sz="4" w:space="0" w:color="000000"/>
            </w:tcBorders>
            <w:noWrap/>
            <w:vAlign w:val="center"/>
            <w:hideMark/>
          </w:tcPr>
          <w:p w14:paraId="68B1D2BB"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992" w:type="dxa"/>
            <w:tcBorders>
              <w:top w:val="nil"/>
              <w:left w:val="single" w:sz="4" w:space="0" w:color="000000"/>
              <w:bottom w:val="nil"/>
              <w:right w:val="single" w:sz="4" w:space="0" w:color="000000"/>
            </w:tcBorders>
            <w:noWrap/>
            <w:vAlign w:val="center"/>
            <w:hideMark/>
          </w:tcPr>
          <w:p w14:paraId="08EE46EC"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276" w:type="dxa"/>
            <w:tcBorders>
              <w:top w:val="nil"/>
              <w:left w:val="single" w:sz="4" w:space="0" w:color="000000"/>
              <w:bottom w:val="nil"/>
              <w:right w:val="single" w:sz="4" w:space="0" w:color="000000"/>
            </w:tcBorders>
            <w:noWrap/>
            <w:vAlign w:val="center"/>
            <w:hideMark/>
          </w:tcPr>
          <w:p w14:paraId="3823904B"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992" w:type="dxa"/>
            <w:tcBorders>
              <w:top w:val="nil"/>
              <w:left w:val="single" w:sz="4" w:space="0" w:color="000000"/>
              <w:bottom w:val="nil"/>
              <w:right w:val="single" w:sz="4" w:space="0" w:color="000000"/>
            </w:tcBorders>
            <w:noWrap/>
            <w:vAlign w:val="center"/>
            <w:hideMark/>
          </w:tcPr>
          <w:p w14:paraId="47636ECD"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1134" w:type="dxa"/>
            <w:tcBorders>
              <w:top w:val="nil"/>
              <w:left w:val="single" w:sz="4" w:space="0" w:color="000000"/>
              <w:bottom w:val="nil"/>
              <w:right w:val="single" w:sz="4" w:space="0" w:color="000000"/>
            </w:tcBorders>
            <w:noWrap/>
            <w:vAlign w:val="center"/>
            <w:hideMark/>
          </w:tcPr>
          <w:p w14:paraId="4C9E9B58" w14:textId="77777777" w:rsidR="004275AD" w:rsidRPr="004275AD" w:rsidRDefault="004275AD" w:rsidP="004275AD">
            <w:pPr>
              <w:spacing w:after="0" w:line="240" w:lineRule="auto"/>
              <w:jc w:val="right"/>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.000</w:t>
            </w:r>
          </w:p>
        </w:tc>
        <w:tc>
          <w:tcPr>
            <w:tcW w:w="854" w:type="dxa"/>
            <w:tcBorders>
              <w:top w:val="nil"/>
              <w:left w:val="single" w:sz="4" w:space="0" w:color="000000"/>
              <w:bottom w:val="nil"/>
              <w:right w:val="single" w:sz="12" w:space="0" w:color="000000"/>
            </w:tcBorders>
            <w:vAlign w:val="center"/>
            <w:hideMark/>
          </w:tcPr>
          <w:p w14:paraId="7BBA55E2"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w:t>
            </w:r>
          </w:p>
        </w:tc>
      </w:tr>
      <w:tr w:rsidR="004275AD" w:rsidRPr="004275AD" w14:paraId="3C32579B" w14:textId="77777777" w:rsidTr="008410A6">
        <w:trPr>
          <w:trHeight w:val="276"/>
        </w:trPr>
        <w:tc>
          <w:tcPr>
            <w:tcW w:w="9927" w:type="dxa"/>
            <w:gridSpan w:val="8"/>
            <w:tcBorders>
              <w:top w:val="nil"/>
              <w:left w:val="nil"/>
              <w:bottom w:val="nil"/>
              <w:right w:val="nil"/>
            </w:tcBorders>
            <w:hideMark/>
          </w:tcPr>
          <w:p w14:paraId="0F6BF8BE" w14:textId="77777777" w:rsidR="004275AD" w:rsidRPr="004275AD" w:rsidRDefault="004275AD" w:rsidP="004275AD">
            <w:pPr>
              <w:spacing w:after="0" w:line="240" w:lineRule="auto"/>
              <w:rPr>
                <w:rFonts w:ascii="Arial" w:eastAsia="Times New Roman" w:hAnsi="Arial" w:cs="Arial"/>
                <w:color w:val="000000"/>
                <w:kern w:val="0"/>
                <w:sz w:val="18"/>
                <w:szCs w:val="18"/>
                <w:lang w:val="en-GB" w:eastAsia="en-GB"/>
                <w14:ligatures w14:val="none"/>
              </w:rPr>
            </w:pPr>
            <w:r w:rsidRPr="004275AD">
              <w:rPr>
                <w:rFonts w:ascii="Arial" w:eastAsia="Times New Roman" w:hAnsi="Arial" w:cs="Arial"/>
                <w:color w:val="000000"/>
                <w:kern w:val="0"/>
                <w:sz w:val="18"/>
                <w:szCs w:val="18"/>
                <w:lang w:val="en-GB" w:eastAsia="en-GB"/>
                <w14:ligatures w14:val="none"/>
              </w:rPr>
              <w:t>**. Correlation is significant at the 0.01 level (2-tailed).</w:t>
            </w:r>
          </w:p>
        </w:tc>
      </w:tr>
    </w:tbl>
    <w:p w14:paraId="6A126769" w14:textId="77777777" w:rsidR="006F3055" w:rsidRDefault="006F3055" w:rsidP="004275AD">
      <w:pPr>
        <w:bidi/>
        <w:rPr>
          <w:rFonts w:ascii="Times New Roman" w:hAnsi="Times New Roman" w:cs="Times New Roman"/>
          <w:sz w:val="28"/>
          <w:szCs w:val="28"/>
          <w:rtl/>
        </w:rPr>
      </w:pPr>
    </w:p>
    <w:p w14:paraId="6C587C63" w14:textId="77777777" w:rsidR="006F3055" w:rsidRDefault="006F3055" w:rsidP="006F3055">
      <w:pPr>
        <w:bidi/>
        <w:rPr>
          <w:rFonts w:ascii="Times New Roman" w:hAnsi="Times New Roman" w:cs="Times New Roman"/>
          <w:sz w:val="28"/>
          <w:szCs w:val="28"/>
          <w:rtl/>
        </w:rPr>
      </w:pPr>
    </w:p>
    <w:p w14:paraId="7B504786" w14:textId="77777777" w:rsidR="006F3055" w:rsidRDefault="006F3055" w:rsidP="006F3055">
      <w:pPr>
        <w:bidi/>
        <w:rPr>
          <w:rFonts w:ascii="Times New Roman" w:hAnsi="Times New Roman" w:cs="Times New Roman"/>
          <w:sz w:val="28"/>
          <w:szCs w:val="28"/>
          <w:rtl/>
        </w:rPr>
      </w:pPr>
    </w:p>
    <w:p w14:paraId="6F2AD6E9" w14:textId="19A8C9BE" w:rsidR="004275AD" w:rsidRDefault="004275AD" w:rsidP="006F3055">
      <w:pPr>
        <w:bidi/>
        <w:rPr>
          <w:rFonts w:ascii="Times New Roman" w:hAnsi="Times New Roman" w:cs="Times New Roman"/>
          <w:sz w:val="28"/>
          <w:szCs w:val="28"/>
          <w:rtl/>
          <w:lang w:bidi="ar-EG"/>
        </w:rPr>
      </w:pPr>
      <w:r>
        <w:rPr>
          <w:rFonts w:ascii="Times New Roman" w:hAnsi="Times New Roman" w:cs="Times New Roman" w:hint="cs"/>
          <w:sz w:val="28"/>
          <w:szCs w:val="28"/>
          <w:rtl/>
        </w:rPr>
        <w:t xml:space="preserve">جدول (3-7) يوضح </w:t>
      </w:r>
      <w:r>
        <w:rPr>
          <w:rFonts w:ascii="Times New Roman" w:hAnsi="Times New Roman" w:cs="Times New Roman" w:hint="cs"/>
          <w:sz w:val="28"/>
          <w:szCs w:val="28"/>
          <w:rtl/>
          <w:lang w:bidi="ar-EG"/>
        </w:rPr>
        <w:t>الارتباط لفقرات المحور الوسيط الثقافة التنظيمة مع محورها المجمع:</w:t>
      </w:r>
    </w:p>
    <w:tbl>
      <w:tblPr>
        <w:bidiVisual/>
        <w:tblW w:w="10331" w:type="dxa"/>
        <w:jc w:val="center"/>
        <w:tblLook w:val="04A0" w:firstRow="1" w:lastRow="0" w:firstColumn="1" w:lastColumn="0" w:noHBand="0" w:noVBand="1"/>
      </w:tblPr>
      <w:tblGrid>
        <w:gridCol w:w="1406"/>
        <w:gridCol w:w="1097"/>
        <w:gridCol w:w="709"/>
        <w:gridCol w:w="851"/>
        <w:gridCol w:w="788"/>
        <w:gridCol w:w="911"/>
        <w:gridCol w:w="850"/>
        <w:gridCol w:w="747"/>
        <w:gridCol w:w="814"/>
        <w:gridCol w:w="699"/>
        <w:gridCol w:w="749"/>
        <w:gridCol w:w="710"/>
      </w:tblGrid>
      <w:tr w:rsidR="008410A6" w:rsidRPr="008410A6" w14:paraId="1FA23B41" w14:textId="77777777" w:rsidTr="008410A6">
        <w:trPr>
          <w:trHeight w:val="288"/>
          <w:jc w:val="center"/>
        </w:trPr>
        <w:tc>
          <w:tcPr>
            <w:tcW w:w="10331" w:type="dxa"/>
            <w:gridSpan w:val="12"/>
            <w:tcBorders>
              <w:top w:val="nil"/>
              <w:left w:val="nil"/>
              <w:bottom w:val="nil"/>
              <w:right w:val="nil"/>
            </w:tcBorders>
            <w:vAlign w:val="center"/>
            <w:hideMark/>
          </w:tcPr>
          <w:p w14:paraId="2B8B7207" w14:textId="77777777" w:rsidR="008410A6" w:rsidRPr="008410A6" w:rsidRDefault="008410A6" w:rsidP="008410A6">
            <w:pPr>
              <w:bidi/>
              <w:spacing w:after="0" w:line="240" w:lineRule="auto"/>
              <w:jc w:val="center"/>
              <w:rPr>
                <w:rFonts w:ascii="Arial Bold" w:eastAsia="Times New Roman" w:hAnsi="Arial Bold" w:cs="Times New Roman"/>
                <w:b/>
                <w:bCs/>
                <w:color w:val="000000"/>
                <w:kern w:val="0"/>
                <w:sz w:val="18"/>
                <w:szCs w:val="18"/>
                <w:lang w:val="en-GB" w:eastAsia="en-GB"/>
                <w14:ligatures w14:val="none"/>
              </w:rPr>
            </w:pPr>
            <w:r w:rsidRPr="008410A6">
              <w:rPr>
                <w:rFonts w:ascii="Arial Bold" w:eastAsia="Times New Roman" w:hAnsi="Arial Bold" w:cs="Times New Roman"/>
                <w:b/>
                <w:bCs/>
                <w:color w:val="000000"/>
                <w:kern w:val="0"/>
                <w:sz w:val="18"/>
                <w:szCs w:val="18"/>
                <w:lang w:val="en-GB" w:eastAsia="en-GB"/>
                <w14:ligatures w14:val="none"/>
              </w:rPr>
              <w:t>Correlations</w:t>
            </w:r>
          </w:p>
        </w:tc>
      </w:tr>
      <w:tr w:rsidR="008410A6" w:rsidRPr="008410A6" w14:paraId="40E700E2" w14:textId="77777777" w:rsidTr="008410A6">
        <w:trPr>
          <w:trHeight w:val="1707"/>
          <w:jc w:val="center"/>
        </w:trPr>
        <w:tc>
          <w:tcPr>
            <w:tcW w:w="2535" w:type="dxa"/>
            <w:gridSpan w:val="2"/>
            <w:tcBorders>
              <w:top w:val="single" w:sz="12" w:space="0" w:color="000000"/>
              <w:left w:val="single" w:sz="12" w:space="0" w:color="000000"/>
              <w:bottom w:val="single" w:sz="12" w:space="0" w:color="000000"/>
              <w:right w:val="single" w:sz="12" w:space="0" w:color="000000"/>
            </w:tcBorders>
            <w:vAlign w:val="bottom"/>
            <w:hideMark/>
          </w:tcPr>
          <w:p w14:paraId="2DC7F5BF"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lastRenderedPageBreak/>
              <w:t> </w:t>
            </w:r>
          </w:p>
        </w:tc>
        <w:tc>
          <w:tcPr>
            <w:tcW w:w="709" w:type="dxa"/>
            <w:tcBorders>
              <w:top w:val="single" w:sz="12" w:space="0" w:color="000000"/>
              <w:left w:val="single" w:sz="12" w:space="0" w:color="000000"/>
              <w:bottom w:val="single" w:sz="12" w:space="0" w:color="000000"/>
              <w:right w:val="single" w:sz="4" w:space="0" w:color="000000"/>
            </w:tcBorders>
            <w:vAlign w:val="bottom"/>
            <w:hideMark/>
          </w:tcPr>
          <w:p w14:paraId="6B2B5EA6" w14:textId="77777777" w:rsidR="008410A6" w:rsidRPr="008410A6" w:rsidRDefault="008410A6" w:rsidP="008410A6">
            <w:pPr>
              <w:bidi/>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24. </w:t>
            </w:r>
            <w:r w:rsidRPr="008410A6">
              <w:rPr>
                <w:rFonts w:ascii="Arial" w:eastAsia="Times New Roman" w:hAnsi="Arial" w:cs="Arial"/>
                <w:color w:val="000000"/>
                <w:kern w:val="0"/>
                <w:sz w:val="18"/>
                <w:szCs w:val="18"/>
                <w:rtl/>
                <w:lang w:val="en-GB" w:eastAsia="en-GB"/>
                <w14:ligatures w14:val="none"/>
              </w:rPr>
              <w:t>تتبنّى المنظمة</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التغيير بسهولة لمواكبة متطلبات السوق</w:t>
            </w:r>
            <w:r w:rsidRPr="008410A6">
              <w:rPr>
                <w:rFonts w:ascii="Arial" w:eastAsia="Times New Roman" w:hAnsi="Arial" w:cs="Arial"/>
                <w:color w:val="000000"/>
                <w:kern w:val="0"/>
                <w:sz w:val="18"/>
                <w:szCs w:val="18"/>
                <w:lang w:val="en-GB" w:eastAsia="en-GB"/>
                <w14:ligatures w14:val="none"/>
              </w:rPr>
              <w:t>.</w:t>
            </w:r>
          </w:p>
        </w:tc>
        <w:tc>
          <w:tcPr>
            <w:tcW w:w="851" w:type="dxa"/>
            <w:tcBorders>
              <w:top w:val="single" w:sz="12" w:space="0" w:color="000000"/>
              <w:left w:val="single" w:sz="4" w:space="0" w:color="000000"/>
              <w:bottom w:val="single" w:sz="12" w:space="0" w:color="000000"/>
              <w:right w:val="single" w:sz="4" w:space="0" w:color="000000"/>
            </w:tcBorders>
            <w:vAlign w:val="bottom"/>
            <w:hideMark/>
          </w:tcPr>
          <w:p w14:paraId="79DB0455" w14:textId="77777777" w:rsidR="008410A6" w:rsidRPr="008410A6" w:rsidRDefault="008410A6" w:rsidP="008410A6">
            <w:pPr>
              <w:bidi/>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25.  </w:t>
            </w:r>
            <w:r w:rsidRPr="008410A6">
              <w:rPr>
                <w:rFonts w:ascii="Arial" w:eastAsia="Times New Roman" w:hAnsi="Arial" w:cs="Arial"/>
                <w:color w:val="000000"/>
                <w:kern w:val="0"/>
                <w:sz w:val="18"/>
                <w:szCs w:val="18"/>
                <w:rtl/>
                <w:lang w:val="en-GB" w:eastAsia="en-GB"/>
                <w14:ligatures w14:val="none"/>
              </w:rPr>
              <w:t>تشجع الإدارة التجريب وتقبّل الأفكار</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الجديدة</w:t>
            </w:r>
            <w:r w:rsidRPr="008410A6">
              <w:rPr>
                <w:rFonts w:ascii="Arial" w:eastAsia="Times New Roman" w:hAnsi="Arial" w:cs="Arial"/>
                <w:color w:val="000000"/>
                <w:kern w:val="0"/>
                <w:sz w:val="18"/>
                <w:szCs w:val="18"/>
                <w:lang w:val="en-GB" w:eastAsia="en-GB"/>
                <w14:ligatures w14:val="none"/>
              </w:rPr>
              <w:t>.</w:t>
            </w:r>
          </w:p>
        </w:tc>
        <w:tc>
          <w:tcPr>
            <w:tcW w:w="788" w:type="dxa"/>
            <w:tcBorders>
              <w:top w:val="single" w:sz="12" w:space="0" w:color="000000"/>
              <w:left w:val="single" w:sz="4" w:space="0" w:color="000000"/>
              <w:bottom w:val="single" w:sz="12" w:space="0" w:color="000000"/>
              <w:right w:val="single" w:sz="4" w:space="0" w:color="000000"/>
            </w:tcBorders>
            <w:vAlign w:val="bottom"/>
            <w:hideMark/>
          </w:tcPr>
          <w:p w14:paraId="62421ECC" w14:textId="77777777" w:rsidR="008410A6" w:rsidRPr="008410A6" w:rsidRDefault="008410A6" w:rsidP="008410A6">
            <w:pPr>
              <w:bidi/>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26. </w:t>
            </w:r>
            <w:r w:rsidRPr="008410A6">
              <w:rPr>
                <w:rFonts w:ascii="Arial" w:eastAsia="Times New Roman" w:hAnsi="Arial" w:cs="Arial"/>
                <w:color w:val="000000"/>
                <w:kern w:val="0"/>
                <w:sz w:val="18"/>
                <w:szCs w:val="18"/>
                <w:rtl/>
                <w:lang w:val="en-GB" w:eastAsia="en-GB"/>
                <w14:ligatures w14:val="none"/>
              </w:rPr>
              <w:t>يمتلك جميع الموظفين</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فهمًا واضحًا لرؤية ورسالة المنظمة</w:t>
            </w:r>
            <w:r w:rsidRPr="008410A6">
              <w:rPr>
                <w:rFonts w:ascii="Arial" w:eastAsia="Times New Roman" w:hAnsi="Arial" w:cs="Arial"/>
                <w:color w:val="000000"/>
                <w:kern w:val="0"/>
                <w:sz w:val="18"/>
                <w:szCs w:val="18"/>
                <w:lang w:val="en-GB" w:eastAsia="en-GB"/>
                <w14:ligatures w14:val="none"/>
              </w:rPr>
              <w:t>.</w:t>
            </w:r>
          </w:p>
        </w:tc>
        <w:tc>
          <w:tcPr>
            <w:tcW w:w="911" w:type="dxa"/>
            <w:tcBorders>
              <w:top w:val="single" w:sz="12" w:space="0" w:color="000000"/>
              <w:left w:val="single" w:sz="4" w:space="0" w:color="000000"/>
              <w:bottom w:val="single" w:sz="12" w:space="0" w:color="000000"/>
              <w:right w:val="single" w:sz="4" w:space="0" w:color="000000"/>
            </w:tcBorders>
            <w:vAlign w:val="bottom"/>
            <w:hideMark/>
          </w:tcPr>
          <w:p w14:paraId="1DA463EF" w14:textId="77777777" w:rsidR="008410A6" w:rsidRPr="008410A6" w:rsidRDefault="008410A6" w:rsidP="008410A6">
            <w:pPr>
              <w:bidi/>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27. </w:t>
            </w:r>
            <w:r w:rsidRPr="008410A6">
              <w:rPr>
                <w:rFonts w:ascii="Arial" w:eastAsia="Times New Roman" w:hAnsi="Arial" w:cs="Arial"/>
                <w:color w:val="000000"/>
                <w:kern w:val="0"/>
                <w:sz w:val="18"/>
                <w:szCs w:val="18"/>
                <w:rtl/>
                <w:lang w:val="en-GB" w:eastAsia="en-GB"/>
                <w14:ligatures w14:val="none"/>
              </w:rPr>
              <w:t>تتوافق أهداف الأفراد</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مع الأهداف الاستراتيجية للمؤسسة</w:t>
            </w:r>
            <w:r w:rsidRPr="008410A6">
              <w:rPr>
                <w:rFonts w:ascii="Arial" w:eastAsia="Times New Roman" w:hAnsi="Arial" w:cs="Arial"/>
                <w:color w:val="000000"/>
                <w:kern w:val="0"/>
                <w:sz w:val="18"/>
                <w:szCs w:val="18"/>
                <w:lang w:val="en-GB" w:eastAsia="en-GB"/>
                <w14:ligatures w14:val="none"/>
              </w:rPr>
              <w:t>.</w:t>
            </w:r>
          </w:p>
        </w:tc>
        <w:tc>
          <w:tcPr>
            <w:tcW w:w="850" w:type="dxa"/>
            <w:tcBorders>
              <w:top w:val="single" w:sz="12" w:space="0" w:color="000000"/>
              <w:left w:val="single" w:sz="4" w:space="0" w:color="000000"/>
              <w:bottom w:val="single" w:sz="12" w:space="0" w:color="000000"/>
              <w:right w:val="single" w:sz="4" w:space="0" w:color="000000"/>
            </w:tcBorders>
            <w:vAlign w:val="bottom"/>
            <w:hideMark/>
          </w:tcPr>
          <w:p w14:paraId="469A89E9" w14:textId="77777777" w:rsidR="008410A6" w:rsidRPr="008410A6" w:rsidRDefault="008410A6" w:rsidP="008410A6">
            <w:pPr>
              <w:bidi/>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28. </w:t>
            </w:r>
            <w:r w:rsidRPr="008410A6">
              <w:rPr>
                <w:rFonts w:ascii="Arial" w:eastAsia="Times New Roman" w:hAnsi="Arial" w:cs="Arial"/>
                <w:color w:val="000000"/>
                <w:kern w:val="0"/>
                <w:sz w:val="18"/>
                <w:szCs w:val="18"/>
                <w:rtl/>
                <w:lang w:val="en-GB" w:eastAsia="en-GB"/>
                <w14:ligatures w14:val="none"/>
              </w:rPr>
              <w:t>تسود بين العاملين قيم</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تنظيمية مشتركة تحكم سلوكهم المهني</w:t>
            </w:r>
            <w:r w:rsidRPr="008410A6">
              <w:rPr>
                <w:rFonts w:ascii="Arial" w:eastAsia="Times New Roman" w:hAnsi="Arial" w:cs="Arial"/>
                <w:color w:val="000000"/>
                <w:kern w:val="0"/>
                <w:sz w:val="18"/>
                <w:szCs w:val="18"/>
                <w:lang w:val="en-GB" w:eastAsia="en-GB"/>
                <w14:ligatures w14:val="none"/>
              </w:rPr>
              <w:t>.</w:t>
            </w:r>
          </w:p>
        </w:tc>
        <w:tc>
          <w:tcPr>
            <w:tcW w:w="747" w:type="dxa"/>
            <w:tcBorders>
              <w:top w:val="single" w:sz="12" w:space="0" w:color="000000"/>
              <w:left w:val="single" w:sz="4" w:space="0" w:color="000000"/>
              <w:bottom w:val="single" w:sz="12" w:space="0" w:color="000000"/>
              <w:right w:val="single" w:sz="4" w:space="0" w:color="000000"/>
            </w:tcBorders>
            <w:vAlign w:val="bottom"/>
            <w:hideMark/>
          </w:tcPr>
          <w:p w14:paraId="31A9916D" w14:textId="77777777" w:rsidR="008410A6" w:rsidRPr="008410A6" w:rsidRDefault="008410A6" w:rsidP="008410A6">
            <w:pPr>
              <w:bidi/>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28. </w:t>
            </w:r>
            <w:r w:rsidRPr="008410A6">
              <w:rPr>
                <w:rFonts w:ascii="Arial" w:eastAsia="Times New Roman" w:hAnsi="Arial" w:cs="Arial"/>
                <w:color w:val="000000"/>
                <w:kern w:val="0"/>
                <w:sz w:val="18"/>
                <w:szCs w:val="18"/>
                <w:rtl/>
                <w:lang w:val="en-GB" w:eastAsia="en-GB"/>
                <w14:ligatures w14:val="none"/>
              </w:rPr>
              <w:t>يتم التعامل مع</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النزاعات بطريقة عادلة ومنظمة</w:t>
            </w:r>
            <w:r w:rsidRPr="008410A6">
              <w:rPr>
                <w:rFonts w:ascii="Arial" w:eastAsia="Times New Roman" w:hAnsi="Arial" w:cs="Arial"/>
                <w:color w:val="000000"/>
                <w:kern w:val="0"/>
                <w:sz w:val="18"/>
                <w:szCs w:val="18"/>
                <w:lang w:val="en-GB" w:eastAsia="en-GB"/>
                <w14:ligatures w14:val="none"/>
              </w:rPr>
              <w:t>.</w:t>
            </w:r>
          </w:p>
        </w:tc>
        <w:tc>
          <w:tcPr>
            <w:tcW w:w="782" w:type="dxa"/>
            <w:tcBorders>
              <w:top w:val="single" w:sz="12" w:space="0" w:color="000000"/>
              <w:left w:val="single" w:sz="4" w:space="0" w:color="000000"/>
              <w:bottom w:val="single" w:sz="12" w:space="0" w:color="000000"/>
              <w:right w:val="single" w:sz="4" w:space="0" w:color="000000"/>
            </w:tcBorders>
            <w:vAlign w:val="bottom"/>
            <w:hideMark/>
          </w:tcPr>
          <w:p w14:paraId="513CDE02" w14:textId="77777777" w:rsidR="008410A6" w:rsidRPr="008410A6" w:rsidRDefault="008410A6" w:rsidP="008410A6">
            <w:pPr>
              <w:bidi/>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30. </w:t>
            </w:r>
            <w:r w:rsidRPr="008410A6">
              <w:rPr>
                <w:rFonts w:ascii="Arial" w:eastAsia="Times New Roman" w:hAnsi="Arial" w:cs="Arial"/>
                <w:color w:val="000000"/>
                <w:kern w:val="0"/>
                <w:sz w:val="18"/>
                <w:szCs w:val="18"/>
                <w:rtl/>
                <w:lang w:val="en-GB" w:eastAsia="en-GB"/>
                <w14:ligatures w14:val="none"/>
              </w:rPr>
              <w:t>يشعر الموظفون</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بالانتماء إلى مؤسستهم</w:t>
            </w:r>
            <w:r w:rsidRPr="008410A6">
              <w:rPr>
                <w:rFonts w:ascii="Arial" w:eastAsia="Times New Roman" w:hAnsi="Arial" w:cs="Arial"/>
                <w:color w:val="000000"/>
                <w:kern w:val="0"/>
                <w:sz w:val="18"/>
                <w:szCs w:val="18"/>
                <w:lang w:val="en-GB" w:eastAsia="en-GB"/>
                <w14:ligatures w14:val="none"/>
              </w:rPr>
              <w:t>.</w:t>
            </w:r>
          </w:p>
        </w:tc>
        <w:tc>
          <w:tcPr>
            <w:tcW w:w="699" w:type="dxa"/>
            <w:tcBorders>
              <w:top w:val="single" w:sz="12" w:space="0" w:color="000000"/>
              <w:left w:val="single" w:sz="4" w:space="0" w:color="000000"/>
              <w:bottom w:val="single" w:sz="12" w:space="0" w:color="000000"/>
              <w:right w:val="single" w:sz="4" w:space="0" w:color="000000"/>
            </w:tcBorders>
            <w:vAlign w:val="bottom"/>
            <w:hideMark/>
          </w:tcPr>
          <w:p w14:paraId="271DE3A5" w14:textId="77777777" w:rsidR="008410A6" w:rsidRPr="008410A6" w:rsidRDefault="008410A6" w:rsidP="008410A6">
            <w:pPr>
              <w:bidi/>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31. </w:t>
            </w:r>
            <w:r w:rsidRPr="008410A6">
              <w:rPr>
                <w:rFonts w:ascii="Arial" w:eastAsia="Times New Roman" w:hAnsi="Arial" w:cs="Arial"/>
                <w:color w:val="000000"/>
                <w:kern w:val="0"/>
                <w:sz w:val="18"/>
                <w:szCs w:val="18"/>
                <w:rtl/>
                <w:lang w:val="en-GB" w:eastAsia="en-GB"/>
                <w14:ligatures w14:val="none"/>
              </w:rPr>
              <w:t>يُشجَّع التعاون والعمل</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الجماعي بين الزملاء</w:t>
            </w:r>
            <w:r w:rsidRPr="008410A6">
              <w:rPr>
                <w:rFonts w:ascii="Arial" w:eastAsia="Times New Roman" w:hAnsi="Arial" w:cs="Arial"/>
                <w:color w:val="000000"/>
                <w:kern w:val="0"/>
                <w:sz w:val="18"/>
                <w:szCs w:val="18"/>
                <w:lang w:val="en-GB" w:eastAsia="en-GB"/>
                <w14:ligatures w14:val="none"/>
              </w:rPr>
              <w:t>.</w:t>
            </w:r>
          </w:p>
        </w:tc>
        <w:tc>
          <w:tcPr>
            <w:tcW w:w="749" w:type="dxa"/>
            <w:tcBorders>
              <w:top w:val="single" w:sz="12" w:space="0" w:color="000000"/>
              <w:left w:val="single" w:sz="4" w:space="0" w:color="000000"/>
              <w:bottom w:val="single" w:sz="12" w:space="0" w:color="000000"/>
              <w:right w:val="single" w:sz="4" w:space="0" w:color="000000"/>
            </w:tcBorders>
            <w:vAlign w:val="bottom"/>
            <w:hideMark/>
          </w:tcPr>
          <w:p w14:paraId="40B30084" w14:textId="77777777" w:rsidR="008410A6" w:rsidRPr="008410A6" w:rsidRDefault="008410A6" w:rsidP="008410A6">
            <w:pPr>
              <w:bidi/>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32. </w:t>
            </w:r>
            <w:r w:rsidRPr="008410A6">
              <w:rPr>
                <w:rFonts w:ascii="Arial" w:eastAsia="Times New Roman" w:hAnsi="Arial" w:cs="Arial"/>
                <w:color w:val="000000"/>
                <w:kern w:val="0"/>
                <w:sz w:val="18"/>
                <w:szCs w:val="18"/>
                <w:rtl/>
                <w:lang w:val="en-GB" w:eastAsia="en-GB"/>
                <w14:ligatures w14:val="none"/>
              </w:rPr>
              <w:t>يُنظر إلى الموظفين على</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أنهم مساهمون رئيسيون في نجاح المنظمة</w:t>
            </w:r>
            <w:r w:rsidRPr="008410A6">
              <w:rPr>
                <w:rFonts w:ascii="Arial" w:eastAsia="Times New Roman" w:hAnsi="Arial" w:cs="Arial"/>
                <w:color w:val="000000"/>
                <w:kern w:val="0"/>
                <w:sz w:val="18"/>
                <w:szCs w:val="18"/>
                <w:lang w:val="en-GB" w:eastAsia="en-GB"/>
                <w14:ligatures w14:val="none"/>
              </w:rPr>
              <w:t>.</w:t>
            </w:r>
          </w:p>
        </w:tc>
        <w:tc>
          <w:tcPr>
            <w:tcW w:w="710" w:type="dxa"/>
            <w:tcBorders>
              <w:top w:val="single" w:sz="12" w:space="0" w:color="000000"/>
              <w:left w:val="single" w:sz="4" w:space="0" w:color="000000"/>
              <w:bottom w:val="single" w:sz="12" w:space="0" w:color="000000"/>
              <w:right w:val="single" w:sz="12" w:space="0" w:color="000000"/>
            </w:tcBorders>
            <w:vAlign w:val="bottom"/>
            <w:hideMark/>
          </w:tcPr>
          <w:p w14:paraId="2E279E0C" w14:textId="77777777" w:rsidR="008410A6" w:rsidRPr="008410A6" w:rsidRDefault="008410A6" w:rsidP="008410A6">
            <w:pPr>
              <w:bidi/>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rtl/>
                <w:lang w:val="en-GB" w:eastAsia="en-GB"/>
                <w14:ligatures w14:val="none"/>
              </w:rPr>
              <w:t>الثقافة التنظيمية</w:t>
            </w:r>
          </w:p>
        </w:tc>
      </w:tr>
      <w:tr w:rsidR="008410A6" w:rsidRPr="008410A6" w14:paraId="57740AF6" w14:textId="77777777" w:rsidTr="008410A6">
        <w:trPr>
          <w:trHeight w:val="288"/>
          <w:jc w:val="center"/>
        </w:trPr>
        <w:tc>
          <w:tcPr>
            <w:tcW w:w="1827" w:type="dxa"/>
            <w:vMerge w:val="restart"/>
            <w:tcBorders>
              <w:top w:val="nil"/>
              <w:left w:val="single" w:sz="12" w:space="0" w:color="000000"/>
              <w:bottom w:val="single" w:sz="4" w:space="0" w:color="000000"/>
              <w:right w:val="nil"/>
            </w:tcBorders>
            <w:hideMark/>
          </w:tcPr>
          <w:p w14:paraId="7919C5B9" w14:textId="77777777" w:rsidR="008410A6" w:rsidRPr="008410A6" w:rsidRDefault="008410A6" w:rsidP="008410A6">
            <w:pPr>
              <w:bidi/>
              <w:spacing w:after="0" w:line="240" w:lineRule="auto"/>
              <w:rPr>
                <w:rFonts w:ascii="Arial" w:eastAsia="Times New Roman" w:hAnsi="Arial" w:cs="Arial"/>
                <w:color w:val="000000"/>
                <w:kern w:val="0"/>
                <w:sz w:val="18"/>
                <w:szCs w:val="18"/>
                <w:rtl/>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24. </w:t>
            </w:r>
            <w:r w:rsidRPr="008410A6">
              <w:rPr>
                <w:rFonts w:ascii="Arial" w:eastAsia="Times New Roman" w:hAnsi="Arial" w:cs="Arial"/>
                <w:color w:val="000000"/>
                <w:kern w:val="0"/>
                <w:sz w:val="18"/>
                <w:szCs w:val="18"/>
                <w:rtl/>
                <w:lang w:val="en-GB" w:eastAsia="en-GB"/>
                <w14:ligatures w14:val="none"/>
              </w:rPr>
              <w:t>تتبنّى المنظمة التغيير بسهولة لمواكبة</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متطلبات السوق</w:t>
            </w:r>
            <w:r w:rsidRPr="008410A6">
              <w:rPr>
                <w:rFonts w:ascii="Arial" w:eastAsia="Times New Roman" w:hAnsi="Arial" w:cs="Arial"/>
                <w:color w:val="000000"/>
                <w:kern w:val="0"/>
                <w:sz w:val="18"/>
                <w:szCs w:val="18"/>
                <w:lang w:val="en-GB" w:eastAsia="en-GB"/>
                <w14:ligatures w14:val="none"/>
              </w:rPr>
              <w:t>.</w:t>
            </w:r>
          </w:p>
        </w:tc>
        <w:tc>
          <w:tcPr>
            <w:tcW w:w="708" w:type="dxa"/>
            <w:tcBorders>
              <w:top w:val="nil"/>
              <w:left w:val="nil"/>
              <w:bottom w:val="nil"/>
              <w:right w:val="single" w:sz="12" w:space="0" w:color="000000"/>
            </w:tcBorders>
            <w:hideMark/>
          </w:tcPr>
          <w:p w14:paraId="6CC3526D"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1C3E0222"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851" w:type="dxa"/>
            <w:tcBorders>
              <w:top w:val="nil"/>
              <w:left w:val="single" w:sz="4" w:space="0" w:color="000000"/>
              <w:bottom w:val="nil"/>
              <w:right w:val="single" w:sz="4" w:space="0" w:color="000000"/>
            </w:tcBorders>
            <w:noWrap/>
            <w:vAlign w:val="center"/>
            <w:hideMark/>
          </w:tcPr>
          <w:p w14:paraId="11E4807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88" w:type="dxa"/>
            <w:tcBorders>
              <w:top w:val="nil"/>
              <w:left w:val="single" w:sz="4" w:space="0" w:color="000000"/>
              <w:bottom w:val="nil"/>
              <w:right w:val="single" w:sz="4" w:space="0" w:color="000000"/>
            </w:tcBorders>
            <w:noWrap/>
            <w:vAlign w:val="center"/>
            <w:hideMark/>
          </w:tcPr>
          <w:p w14:paraId="061FF101"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911" w:type="dxa"/>
            <w:tcBorders>
              <w:top w:val="nil"/>
              <w:left w:val="single" w:sz="4" w:space="0" w:color="000000"/>
              <w:bottom w:val="nil"/>
              <w:right w:val="single" w:sz="4" w:space="0" w:color="000000"/>
            </w:tcBorders>
            <w:noWrap/>
            <w:vAlign w:val="center"/>
            <w:hideMark/>
          </w:tcPr>
          <w:p w14:paraId="126D5C3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0" w:type="dxa"/>
            <w:tcBorders>
              <w:top w:val="nil"/>
              <w:left w:val="single" w:sz="4" w:space="0" w:color="000000"/>
              <w:bottom w:val="nil"/>
              <w:right w:val="single" w:sz="4" w:space="0" w:color="000000"/>
            </w:tcBorders>
            <w:noWrap/>
            <w:vAlign w:val="center"/>
            <w:hideMark/>
          </w:tcPr>
          <w:p w14:paraId="0876EA25"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7" w:type="dxa"/>
            <w:tcBorders>
              <w:top w:val="nil"/>
              <w:left w:val="single" w:sz="4" w:space="0" w:color="000000"/>
              <w:bottom w:val="nil"/>
              <w:right w:val="single" w:sz="4" w:space="0" w:color="000000"/>
            </w:tcBorders>
            <w:noWrap/>
            <w:vAlign w:val="center"/>
            <w:hideMark/>
          </w:tcPr>
          <w:p w14:paraId="55014A35"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82" w:type="dxa"/>
            <w:tcBorders>
              <w:top w:val="nil"/>
              <w:left w:val="single" w:sz="4" w:space="0" w:color="000000"/>
              <w:bottom w:val="nil"/>
              <w:right w:val="single" w:sz="4" w:space="0" w:color="000000"/>
            </w:tcBorders>
            <w:noWrap/>
            <w:vAlign w:val="center"/>
            <w:hideMark/>
          </w:tcPr>
          <w:p w14:paraId="2D88B902"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9" w:type="dxa"/>
            <w:tcBorders>
              <w:top w:val="nil"/>
              <w:left w:val="single" w:sz="4" w:space="0" w:color="000000"/>
              <w:bottom w:val="nil"/>
              <w:right w:val="single" w:sz="4" w:space="0" w:color="000000"/>
            </w:tcBorders>
            <w:noWrap/>
            <w:vAlign w:val="center"/>
            <w:hideMark/>
          </w:tcPr>
          <w:p w14:paraId="712E4ED3"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9" w:type="dxa"/>
            <w:tcBorders>
              <w:top w:val="nil"/>
              <w:left w:val="single" w:sz="4" w:space="0" w:color="000000"/>
              <w:bottom w:val="nil"/>
              <w:right w:val="single" w:sz="4" w:space="0" w:color="000000"/>
            </w:tcBorders>
            <w:noWrap/>
            <w:vAlign w:val="center"/>
            <w:hideMark/>
          </w:tcPr>
          <w:p w14:paraId="1892F156"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58412D4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67423C25" w14:textId="77777777" w:rsidTr="008410A6">
        <w:trPr>
          <w:trHeight w:val="276"/>
          <w:jc w:val="center"/>
        </w:trPr>
        <w:tc>
          <w:tcPr>
            <w:tcW w:w="1827" w:type="dxa"/>
            <w:vMerge/>
            <w:tcBorders>
              <w:top w:val="nil"/>
              <w:left w:val="single" w:sz="12" w:space="0" w:color="000000"/>
              <w:bottom w:val="single" w:sz="4" w:space="0" w:color="000000"/>
              <w:right w:val="nil"/>
            </w:tcBorders>
            <w:vAlign w:val="center"/>
            <w:hideMark/>
          </w:tcPr>
          <w:p w14:paraId="19D5625A"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708" w:type="dxa"/>
            <w:tcBorders>
              <w:top w:val="nil"/>
              <w:left w:val="nil"/>
              <w:bottom w:val="nil"/>
              <w:right w:val="single" w:sz="12" w:space="0" w:color="000000"/>
            </w:tcBorders>
            <w:hideMark/>
          </w:tcPr>
          <w:p w14:paraId="2A2AC826"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vAlign w:val="center"/>
            <w:hideMark/>
          </w:tcPr>
          <w:p w14:paraId="464D2F26"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1A169A6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88" w:type="dxa"/>
            <w:tcBorders>
              <w:top w:val="nil"/>
              <w:left w:val="single" w:sz="4" w:space="0" w:color="000000"/>
              <w:bottom w:val="nil"/>
              <w:right w:val="single" w:sz="4" w:space="0" w:color="000000"/>
            </w:tcBorders>
            <w:noWrap/>
            <w:vAlign w:val="center"/>
            <w:hideMark/>
          </w:tcPr>
          <w:p w14:paraId="702D18FB"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911" w:type="dxa"/>
            <w:tcBorders>
              <w:top w:val="nil"/>
              <w:left w:val="single" w:sz="4" w:space="0" w:color="000000"/>
              <w:bottom w:val="nil"/>
              <w:right w:val="single" w:sz="4" w:space="0" w:color="000000"/>
            </w:tcBorders>
            <w:noWrap/>
            <w:vAlign w:val="center"/>
            <w:hideMark/>
          </w:tcPr>
          <w:p w14:paraId="0D2459A9"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0" w:type="dxa"/>
            <w:tcBorders>
              <w:top w:val="nil"/>
              <w:left w:val="single" w:sz="4" w:space="0" w:color="000000"/>
              <w:bottom w:val="nil"/>
              <w:right w:val="single" w:sz="4" w:space="0" w:color="000000"/>
            </w:tcBorders>
            <w:noWrap/>
            <w:vAlign w:val="center"/>
            <w:hideMark/>
          </w:tcPr>
          <w:p w14:paraId="4690614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7" w:type="dxa"/>
            <w:tcBorders>
              <w:top w:val="nil"/>
              <w:left w:val="single" w:sz="4" w:space="0" w:color="000000"/>
              <w:bottom w:val="nil"/>
              <w:right w:val="single" w:sz="4" w:space="0" w:color="000000"/>
            </w:tcBorders>
            <w:noWrap/>
            <w:vAlign w:val="center"/>
            <w:hideMark/>
          </w:tcPr>
          <w:p w14:paraId="2BF0426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82" w:type="dxa"/>
            <w:tcBorders>
              <w:top w:val="nil"/>
              <w:left w:val="single" w:sz="4" w:space="0" w:color="000000"/>
              <w:bottom w:val="nil"/>
              <w:right w:val="single" w:sz="4" w:space="0" w:color="000000"/>
            </w:tcBorders>
            <w:noWrap/>
            <w:vAlign w:val="center"/>
            <w:hideMark/>
          </w:tcPr>
          <w:p w14:paraId="3B2F1A18"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9" w:type="dxa"/>
            <w:tcBorders>
              <w:top w:val="nil"/>
              <w:left w:val="single" w:sz="4" w:space="0" w:color="000000"/>
              <w:bottom w:val="nil"/>
              <w:right w:val="single" w:sz="4" w:space="0" w:color="000000"/>
            </w:tcBorders>
            <w:noWrap/>
            <w:vAlign w:val="center"/>
            <w:hideMark/>
          </w:tcPr>
          <w:p w14:paraId="1908CD8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9" w:type="dxa"/>
            <w:tcBorders>
              <w:top w:val="nil"/>
              <w:left w:val="single" w:sz="4" w:space="0" w:color="000000"/>
              <w:bottom w:val="nil"/>
              <w:right w:val="single" w:sz="4" w:space="0" w:color="000000"/>
            </w:tcBorders>
            <w:noWrap/>
            <w:vAlign w:val="center"/>
            <w:hideMark/>
          </w:tcPr>
          <w:p w14:paraId="01C29B5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21CD97B8"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03AC615D" w14:textId="77777777" w:rsidTr="008410A6">
        <w:trPr>
          <w:trHeight w:val="276"/>
          <w:jc w:val="center"/>
        </w:trPr>
        <w:tc>
          <w:tcPr>
            <w:tcW w:w="1827" w:type="dxa"/>
            <w:vMerge w:val="restart"/>
            <w:tcBorders>
              <w:top w:val="nil"/>
              <w:left w:val="single" w:sz="12" w:space="0" w:color="000000"/>
              <w:bottom w:val="single" w:sz="4" w:space="0" w:color="000000"/>
              <w:right w:val="nil"/>
            </w:tcBorders>
            <w:hideMark/>
          </w:tcPr>
          <w:p w14:paraId="730A412A"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25.  </w:t>
            </w:r>
            <w:r w:rsidRPr="008410A6">
              <w:rPr>
                <w:rFonts w:ascii="Arial" w:eastAsia="Times New Roman" w:hAnsi="Arial" w:cs="Arial"/>
                <w:color w:val="000000"/>
                <w:kern w:val="0"/>
                <w:sz w:val="18"/>
                <w:szCs w:val="18"/>
                <w:rtl/>
                <w:lang w:val="en-GB" w:eastAsia="en-GB"/>
                <w14:ligatures w14:val="none"/>
              </w:rPr>
              <w:t>تشجع الإدارة التجريب</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وتقبّل الأفكار الجديدة</w:t>
            </w:r>
            <w:r w:rsidRPr="008410A6">
              <w:rPr>
                <w:rFonts w:ascii="Arial" w:eastAsia="Times New Roman" w:hAnsi="Arial" w:cs="Arial"/>
                <w:color w:val="000000"/>
                <w:kern w:val="0"/>
                <w:sz w:val="18"/>
                <w:szCs w:val="18"/>
                <w:lang w:val="en-GB" w:eastAsia="en-GB"/>
                <w14:ligatures w14:val="none"/>
              </w:rPr>
              <w:t>.</w:t>
            </w:r>
          </w:p>
        </w:tc>
        <w:tc>
          <w:tcPr>
            <w:tcW w:w="708" w:type="dxa"/>
            <w:tcBorders>
              <w:top w:val="nil"/>
              <w:left w:val="nil"/>
              <w:bottom w:val="nil"/>
              <w:right w:val="single" w:sz="12" w:space="0" w:color="000000"/>
            </w:tcBorders>
            <w:hideMark/>
          </w:tcPr>
          <w:p w14:paraId="6B72CD69"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2E3F176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.560</w:t>
            </w:r>
            <w:r w:rsidRPr="008410A6">
              <w:rPr>
                <w:rFonts w:ascii="Arial" w:eastAsia="Times New Roman" w:hAnsi="Arial" w:cs="Arial"/>
                <w:color w:val="000000"/>
                <w:kern w:val="0"/>
                <w:sz w:val="18"/>
                <w:szCs w:val="18"/>
                <w:vertAlign w:val="superscript"/>
                <w:lang w:val="en-GB" w:eastAsia="en-GB"/>
                <w14:ligatures w14:val="none"/>
              </w:rPr>
              <w:t>**</w:t>
            </w:r>
          </w:p>
        </w:tc>
        <w:tc>
          <w:tcPr>
            <w:tcW w:w="851" w:type="dxa"/>
            <w:tcBorders>
              <w:top w:val="nil"/>
              <w:left w:val="single" w:sz="4" w:space="0" w:color="000000"/>
              <w:bottom w:val="nil"/>
              <w:right w:val="single" w:sz="4" w:space="0" w:color="000000"/>
            </w:tcBorders>
            <w:noWrap/>
            <w:vAlign w:val="center"/>
            <w:hideMark/>
          </w:tcPr>
          <w:p w14:paraId="45709CC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788" w:type="dxa"/>
            <w:tcBorders>
              <w:top w:val="nil"/>
              <w:left w:val="single" w:sz="4" w:space="0" w:color="000000"/>
              <w:bottom w:val="nil"/>
              <w:right w:val="single" w:sz="4" w:space="0" w:color="000000"/>
            </w:tcBorders>
            <w:noWrap/>
            <w:vAlign w:val="center"/>
            <w:hideMark/>
          </w:tcPr>
          <w:p w14:paraId="0C3C905D"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911" w:type="dxa"/>
            <w:tcBorders>
              <w:top w:val="nil"/>
              <w:left w:val="single" w:sz="4" w:space="0" w:color="000000"/>
              <w:bottom w:val="nil"/>
              <w:right w:val="single" w:sz="4" w:space="0" w:color="000000"/>
            </w:tcBorders>
            <w:noWrap/>
            <w:vAlign w:val="center"/>
            <w:hideMark/>
          </w:tcPr>
          <w:p w14:paraId="0A7AE72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0" w:type="dxa"/>
            <w:tcBorders>
              <w:top w:val="nil"/>
              <w:left w:val="single" w:sz="4" w:space="0" w:color="000000"/>
              <w:bottom w:val="nil"/>
              <w:right w:val="single" w:sz="4" w:space="0" w:color="000000"/>
            </w:tcBorders>
            <w:noWrap/>
            <w:vAlign w:val="center"/>
            <w:hideMark/>
          </w:tcPr>
          <w:p w14:paraId="280177F7"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7" w:type="dxa"/>
            <w:tcBorders>
              <w:top w:val="nil"/>
              <w:left w:val="single" w:sz="4" w:space="0" w:color="000000"/>
              <w:bottom w:val="nil"/>
              <w:right w:val="single" w:sz="4" w:space="0" w:color="000000"/>
            </w:tcBorders>
            <w:noWrap/>
            <w:vAlign w:val="center"/>
            <w:hideMark/>
          </w:tcPr>
          <w:p w14:paraId="5B640131"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82" w:type="dxa"/>
            <w:tcBorders>
              <w:top w:val="nil"/>
              <w:left w:val="single" w:sz="4" w:space="0" w:color="000000"/>
              <w:bottom w:val="nil"/>
              <w:right w:val="single" w:sz="4" w:space="0" w:color="000000"/>
            </w:tcBorders>
            <w:noWrap/>
            <w:vAlign w:val="center"/>
            <w:hideMark/>
          </w:tcPr>
          <w:p w14:paraId="268E931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9" w:type="dxa"/>
            <w:tcBorders>
              <w:top w:val="nil"/>
              <w:left w:val="single" w:sz="4" w:space="0" w:color="000000"/>
              <w:bottom w:val="nil"/>
              <w:right w:val="single" w:sz="4" w:space="0" w:color="000000"/>
            </w:tcBorders>
            <w:noWrap/>
            <w:vAlign w:val="center"/>
            <w:hideMark/>
          </w:tcPr>
          <w:p w14:paraId="46AC939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9" w:type="dxa"/>
            <w:tcBorders>
              <w:top w:val="nil"/>
              <w:left w:val="single" w:sz="4" w:space="0" w:color="000000"/>
              <w:bottom w:val="nil"/>
              <w:right w:val="single" w:sz="4" w:space="0" w:color="000000"/>
            </w:tcBorders>
            <w:noWrap/>
            <w:vAlign w:val="center"/>
            <w:hideMark/>
          </w:tcPr>
          <w:p w14:paraId="65A8073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7A28A0C3"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64195547" w14:textId="77777777" w:rsidTr="008410A6">
        <w:trPr>
          <w:trHeight w:val="276"/>
          <w:jc w:val="center"/>
        </w:trPr>
        <w:tc>
          <w:tcPr>
            <w:tcW w:w="1827" w:type="dxa"/>
            <w:vMerge/>
            <w:tcBorders>
              <w:top w:val="nil"/>
              <w:left w:val="single" w:sz="12" w:space="0" w:color="000000"/>
              <w:bottom w:val="single" w:sz="4" w:space="0" w:color="000000"/>
              <w:right w:val="nil"/>
            </w:tcBorders>
            <w:vAlign w:val="center"/>
            <w:hideMark/>
          </w:tcPr>
          <w:p w14:paraId="071FDE77"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708" w:type="dxa"/>
            <w:tcBorders>
              <w:top w:val="nil"/>
              <w:left w:val="nil"/>
              <w:bottom w:val="nil"/>
              <w:right w:val="single" w:sz="12" w:space="0" w:color="000000"/>
            </w:tcBorders>
            <w:hideMark/>
          </w:tcPr>
          <w:p w14:paraId="6CA63F1D"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40D02B1B"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1" w:type="dxa"/>
            <w:tcBorders>
              <w:top w:val="nil"/>
              <w:left w:val="single" w:sz="4" w:space="0" w:color="000000"/>
              <w:bottom w:val="nil"/>
              <w:right w:val="single" w:sz="4" w:space="0" w:color="000000"/>
            </w:tcBorders>
            <w:vAlign w:val="center"/>
            <w:hideMark/>
          </w:tcPr>
          <w:p w14:paraId="0D12701F"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88" w:type="dxa"/>
            <w:tcBorders>
              <w:top w:val="nil"/>
              <w:left w:val="single" w:sz="4" w:space="0" w:color="000000"/>
              <w:bottom w:val="nil"/>
              <w:right w:val="single" w:sz="4" w:space="0" w:color="000000"/>
            </w:tcBorders>
            <w:noWrap/>
            <w:vAlign w:val="center"/>
            <w:hideMark/>
          </w:tcPr>
          <w:p w14:paraId="1764096A"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911" w:type="dxa"/>
            <w:tcBorders>
              <w:top w:val="nil"/>
              <w:left w:val="single" w:sz="4" w:space="0" w:color="000000"/>
              <w:bottom w:val="nil"/>
              <w:right w:val="single" w:sz="4" w:space="0" w:color="000000"/>
            </w:tcBorders>
            <w:noWrap/>
            <w:vAlign w:val="center"/>
            <w:hideMark/>
          </w:tcPr>
          <w:p w14:paraId="73C9EB2A"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0" w:type="dxa"/>
            <w:tcBorders>
              <w:top w:val="nil"/>
              <w:left w:val="single" w:sz="4" w:space="0" w:color="000000"/>
              <w:bottom w:val="nil"/>
              <w:right w:val="single" w:sz="4" w:space="0" w:color="000000"/>
            </w:tcBorders>
            <w:noWrap/>
            <w:vAlign w:val="center"/>
            <w:hideMark/>
          </w:tcPr>
          <w:p w14:paraId="244FAB49"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7" w:type="dxa"/>
            <w:tcBorders>
              <w:top w:val="nil"/>
              <w:left w:val="single" w:sz="4" w:space="0" w:color="000000"/>
              <w:bottom w:val="nil"/>
              <w:right w:val="single" w:sz="4" w:space="0" w:color="000000"/>
            </w:tcBorders>
            <w:noWrap/>
            <w:vAlign w:val="center"/>
            <w:hideMark/>
          </w:tcPr>
          <w:p w14:paraId="1F6AE145"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82" w:type="dxa"/>
            <w:tcBorders>
              <w:top w:val="nil"/>
              <w:left w:val="single" w:sz="4" w:space="0" w:color="000000"/>
              <w:bottom w:val="nil"/>
              <w:right w:val="single" w:sz="4" w:space="0" w:color="000000"/>
            </w:tcBorders>
            <w:noWrap/>
            <w:vAlign w:val="center"/>
            <w:hideMark/>
          </w:tcPr>
          <w:p w14:paraId="6250CE0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9" w:type="dxa"/>
            <w:tcBorders>
              <w:top w:val="nil"/>
              <w:left w:val="single" w:sz="4" w:space="0" w:color="000000"/>
              <w:bottom w:val="nil"/>
              <w:right w:val="single" w:sz="4" w:space="0" w:color="000000"/>
            </w:tcBorders>
            <w:noWrap/>
            <w:vAlign w:val="center"/>
            <w:hideMark/>
          </w:tcPr>
          <w:p w14:paraId="50FE05EA"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9" w:type="dxa"/>
            <w:tcBorders>
              <w:top w:val="nil"/>
              <w:left w:val="single" w:sz="4" w:space="0" w:color="000000"/>
              <w:bottom w:val="nil"/>
              <w:right w:val="single" w:sz="4" w:space="0" w:color="000000"/>
            </w:tcBorders>
            <w:noWrap/>
            <w:vAlign w:val="center"/>
            <w:hideMark/>
          </w:tcPr>
          <w:p w14:paraId="3C35D48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7825FAF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12C2D717" w14:textId="77777777" w:rsidTr="008410A6">
        <w:trPr>
          <w:trHeight w:val="276"/>
          <w:jc w:val="center"/>
        </w:trPr>
        <w:tc>
          <w:tcPr>
            <w:tcW w:w="1827" w:type="dxa"/>
            <w:vMerge w:val="restart"/>
            <w:tcBorders>
              <w:top w:val="nil"/>
              <w:left w:val="single" w:sz="12" w:space="0" w:color="000000"/>
              <w:bottom w:val="single" w:sz="4" w:space="0" w:color="000000"/>
              <w:right w:val="nil"/>
            </w:tcBorders>
            <w:hideMark/>
          </w:tcPr>
          <w:p w14:paraId="3AE981B3"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26. </w:t>
            </w:r>
            <w:r w:rsidRPr="008410A6">
              <w:rPr>
                <w:rFonts w:ascii="Arial" w:eastAsia="Times New Roman" w:hAnsi="Arial" w:cs="Arial"/>
                <w:color w:val="000000"/>
                <w:kern w:val="0"/>
                <w:sz w:val="18"/>
                <w:szCs w:val="18"/>
                <w:rtl/>
                <w:lang w:val="en-GB" w:eastAsia="en-GB"/>
                <w14:ligatures w14:val="none"/>
              </w:rPr>
              <w:t>يمتلك جميع الموظفين فهمًا واضحًا لرؤية ورسالة المنظمة</w:t>
            </w:r>
            <w:r w:rsidRPr="008410A6">
              <w:rPr>
                <w:rFonts w:ascii="Arial" w:eastAsia="Times New Roman" w:hAnsi="Arial" w:cs="Arial"/>
                <w:color w:val="000000"/>
                <w:kern w:val="0"/>
                <w:sz w:val="18"/>
                <w:szCs w:val="18"/>
                <w:lang w:val="en-GB" w:eastAsia="en-GB"/>
                <w14:ligatures w14:val="none"/>
              </w:rPr>
              <w:t>.</w:t>
            </w:r>
          </w:p>
        </w:tc>
        <w:tc>
          <w:tcPr>
            <w:tcW w:w="708" w:type="dxa"/>
            <w:tcBorders>
              <w:top w:val="nil"/>
              <w:left w:val="nil"/>
              <w:bottom w:val="nil"/>
              <w:right w:val="single" w:sz="12" w:space="0" w:color="000000"/>
            </w:tcBorders>
            <w:hideMark/>
          </w:tcPr>
          <w:p w14:paraId="2B218200"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3F8508E6"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.478</w:t>
            </w:r>
            <w:r w:rsidRPr="008410A6">
              <w:rPr>
                <w:rFonts w:ascii="Arial" w:eastAsia="Times New Roman" w:hAnsi="Arial" w:cs="Arial"/>
                <w:color w:val="000000"/>
                <w:kern w:val="0"/>
                <w:sz w:val="18"/>
                <w:szCs w:val="18"/>
                <w:vertAlign w:val="superscript"/>
                <w:lang w:val="en-GB" w:eastAsia="en-GB"/>
                <w14:ligatures w14:val="none"/>
              </w:rPr>
              <w:t>**</w:t>
            </w:r>
          </w:p>
        </w:tc>
        <w:tc>
          <w:tcPr>
            <w:tcW w:w="851" w:type="dxa"/>
            <w:tcBorders>
              <w:top w:val="nil"/>
              <w:left w:val="single" w:sz="4" w:space="0" w:color="000000"/>
              <w:bottom w:val="nil"/>
              <w:right w:val="single" w:sz="4" w:space="0" w:color="000000"/>
            </w:tcBorders>
            <w:noWrap/>
            <w:vAlign w:val="center"/>
            <w:hideMark/>
          </w:tcPr>
          <w:p w14:paraId="6DB343A8"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.532</w:t>
            </w:r>
            <w:r w:rsidRPr="008410A6">
              <w:rPr>
                <w:rFonts w:ascii="Arial" w:eastAsia="Times New Roman" w:hAnsi="Arial" w:cs="Arial"/>
                <w:color w:val="000000"/>
                <w:kern w:val="0"/>
                <w:sz w:val="18"/>
                <w:szCs w:val="18"/>
                <w:vertAlign w:val="superscript"/>
                <w:lang w:val="en-GB" w:eastAsia="en-GB"/>
                <w14:ligatures w14:val="none"/>
              </w:rPr>
              <w:t>**</w:t>
            </w:r>
          </w:p>
        </w:tc>
        <w:tc>
          <w:tcPr>
            <w:tcW w:w="788" w:type="dxa"/>
            <w:tcBorders>
              <w:top w:val="nil"/>
              <w:left w:val="single" w:sz="4" w:space="0" w:color="000000"/>
              <w:bottom w:val="nil"/>
              <w:right w:val="single" w:sz="4" w:space="0" w:color="000000"/>
            </w:tcBorders>
            <w:noWrap/>
            <w:vAlign w:val="center"/>
            <w:hideMark/>
          </w:tcPr>
          <w:p w14:paraId="113777A6"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911" w:type="dxa"/>
            <w:tcBorders>
              <w:top w:val="nil"/>
              <w:left w:val="single" w:sz="4" w:space="0" w:color="000000"/>
              <w:bottom w:val="nil"/>
              <w:right w:val="single" w:sz="4" w:space="0" w:color="000000"/>
            </w:tcBorders>
            <w:noWrap/>
            <w:vAlign w:val="center"/>
            <w:hideMark/>
          </w:tcPr>
          <w:p w14:paraId="17F5D946"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0" w:type="dxa"/>
            <w:tcBorders>
              <w:top w:val="nil"/>
              <w:left w:val="single" w:sz="4" w:space="0" w:color="000000"/>
              <w:bottom w:val="nil"/>
              <w:right w:val="single" w:sz="4" w:space="0" w:color="000000"/>
            </w:tcBorders>
            <w:noWrap/>
            <w:vAlign w:val="center"/>
            <w:hideMark/>
          </w:tcPr>
          <w:p w14:paraId="4D9D0E39"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7" w:type="dxa"/>
            <w:tcBorders>
              <w:top w:val="nil"/>
              <w:left w:val="single" w:sz="4" w:space="0" w:color="000000"/>
              <w:bottom w:val="nil"/>
              <w:right w:val="single" w:sz="4" w:space="0" w:color="000000"/>
            </w:tcBorders>
            <w:noWrap/>
            <w:vAlign w:val="center"/>
            <w:hideMark/>
          </w:tcPr>
          <w:p w14:paraId="1D37789A"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82" w:type="dxa"/>
            <w:tcBorders>
              <w:top w:val="nil"/>
              <w:left w:val="single" w:sz="4" w:space="0" w:color="000000"/>
              <w:bottom w:val="nil"/>
              <w:right w:val="single" w:sz="4" w:space="0" w:color="000000"/>
            </w:tcBorders>
            <w:noWrap/>
            <w:vAlign w:val="center"/>
            <w:hideMark/>
          </w:tcPr>
          <w:p w14:paraId="741A61E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9" w:type="dxa"/>
            <w:tcBorders>
              <w:top w:val="nil"/>
              <w:left w:val="single" w:sz="4" w:space="0" w:color="000000"/>
              <w:bottom w:val="nil"/>
              <w:right w:val="single" w:sz="4" w:space="0" w:color="000000"/>
            </w:tcBorders>
            <w:noWrap/>
            <w:vAlign w:val="center"/>
            <w:hideMark/>
          </w:tcPr>
          <w:p w14:paraId="332A5FA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9" w:type="dxa"/>
            <w:tcBorders>
              <w:top w:val="nil"/>
              <w:left w:val="single" w:sz="4" w:space="0" w:color="000000"/>
              <w:bottom w:val="nil"/>
              <w:right w:val="single" w:sz="4" w:space="0" w:color="000000"/>
            </w:tcBorders>
            <w:noWrap/>
            <w:vAlign w:val="center"/>
            <w:hideMark/>
          </w:tcPr>
          <w:p w14:paraId="7BA3DB22"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581AAF45"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6BA477EF" w14:textId="77777777" w:rsidTr="008410A6">
        <w:trPr>
          <w:trHeight w:val="276"/>
          <w:jc w:val="center"/>
        </w:trPr>
        <w:tc>
          <w:tcPr>
            <w:tcW w:w="1827" w:type="dxa"/>
            <w:vMerge/>
            <w:tcBorders>
              <w:top w:val="nil"/>
              <w:left w:val="single" w:sz="12" w:space="0" w:color="000000"/>
              <w:bottom w:val="single" w:sz="4" w:space="0" w:color="000000"/>
              <w:right w:val="nil"/>
            </w:tcBorders>
            <w:vAlign w:val="center"/>
            <w:hideMark/>
          </w:tcPr>
          <w:p w14:paraId="57C24BD8"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708" w:type="dxa"/>
            <w:tcBorders>
              <w:top w:val="nil"/>
              <w:left w:val="nil"/>
              <w:bottom w:val="nil"/>
              <w:right w:val="single" w:sz="12" w:space="0" w:color="000000"/>
            </w:tcBorders>
            <w:hideMark/>
          </w:tcPr>
          <w:p w14:paraId="53E48A0A"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0190830B"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1" w:type="dxa"/>
            <w:tcBorders>
              <w:top w:val="nil"/>
              <w:left w:val="single" w:sz="4" w:space="0" w:color="000000"/>
              <w:bottom w:val="nil"/>
              <w:right w:val="single" w:sz="4" w:space="0" w:color="000000"/>
            </w:tcBorders>
            <w:noWrap/>
            <w:vAlign w:val="center"/>
            <w:hideMark/>
          </w:tcPr>
          <w:p w14:paraId="1FFFF592"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88" w:type="dxa"/>
            <w:tcBorders>
              <w:top w:val="nil"/>
              <w:left w:val="single" w:sz="4" w:space="0" w:color="000000"/>
              <w:bottom w:val="nil"/>
              <w:right w:val="single" w:sz="4" w:space="0" w:color="000000"/>
            </w:tcBorders>
            <w:vAlign w:val="center"/>
            <w:hideMark/>
          </w:tcPr>
          <w:p w14:paraId="397C9AD6"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911" w:type="dxa"/>
            <w:tcBorders>
              <w:top w:val="nil"/>
              <w:left w:val="single" w:sz="4" w:space="0" w:color="000000"/>
              <w:bottom w:val="nil"/>
              <w:right w:val="single" w:sz="4" w:space="0" w:color="000000"/>
            </w:tcBorders>
            <w:noWrap/>
            <w:vAlign w:val="center"/>
            <w:hideMark/>
          </w:tcPr>
          <w:p w14:paraId="7C4CDCF1"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0" w:type="dxa"/>
            <w:tcBorders>
              <w:top w:val="nil"/>
              <w:left w:val="single" w:sz="4" w:space="0" w:color="000000"/>
              <w:bottom w:val="nil"/>
              <w:right w:val="single" w:sz="4" w:space="0" w:color="000000"/>
            </w:tcBorders>
            <w:noWrap/>
            <w:vAlign w:val="center"/>
            <w:hideMark/>
          </w:tcPr>
          <w:p w14:paraId="2BC4FFF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7" w:type="dxa"/>
            <w:tcBorders>
              <w:top w:val="nil"/>
              <w:left w:val="single" w:sz="4" w:space="0" w:color="000000"/>
              <w:bottom w:val="nil"/>
              <w:right w:val="single" w:sz="4" w:space="0" w:color="000000"/>
            </w:tcBorders>
            <w:noWrap/>
            <w:vAlign w:val="center"/>
            <w:hideMark/>
          </w:tcPr>
          <w:p w14:paraId="3F9B73BA"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82" w:type="dxa"/>
            <w:tcBorders>
              <w:top w:val="nil"/>
              <w:left w:val="single" w:sz="4" w:space="0" w:color="000000"/>
              <w:bottom w:val="nil"/>
              <w:right w:val="single" w:sz="4" w:space="0" w:color="000000"/>
            </w:tcBorders>
            <w:noWrap/>
            <w:vAlign w:val="center"/>
            <w:hideMark/>
          </w:tcPr>
          <w:p w14:paraId="49B382BB"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9" w:type="dxa"/>
            <w:tcBorders>
              <w:top w:val="nil"/>
              <w:left w:val="single" w:sz="4" w:space="0" w:color="000000"/>
              <w:bottom w:val="nil"/>
              <w:right w:val="single" w:sz="4" w:space="0" w:color="000000"/>
            </w:tcBorders>
            <w:noWrap/>
            <w:vAlign w:val="center"/>
            <w:hideMark/>
          </w:tcPr>
          <w:p w14:paraId="06AB29D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9" w:type="dxa"/>
            <w:tcBorders>
              <w:top w:val="nil"/>
              <w:left w:val="single" w:sz="4" w:space="0" w:color="000000"/>
              <w:bottom w:val="nil"/>
              <w:right w:val="single" w:sz="4" w:space="0" w:color="000000"/>
            </w:tcBorders>
            <w:noWrap/>
            <w:vAlign w:val="center"/>
            <w:hideMark/>
          </w:tcPr>
          <w:p w14:paraId="6F6FB6EC"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2BC97BF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314028D0" w14:textId="77777777" w:rsidTr="008410A6">
        <w:trPr>
          <w:trHeight w:val="276"/>
          <w:jc w:val="center"/>
        </w:trPr>
        <w:tc>
          <w:tcPr>
            <w:tcW w:w="1827" w:type="dxa"/>
            <w:vMerge w:val="restart"/>
            <w:tcBorders>
              <w:top w:val="nil"/>
              <w:left w:val="single" w:sz="12" w:space="0" w:color="000000"/>
              <w:bottom w:val="single" w:sz="4" w:space="0" w:color="000000"/>
              <w:right w:val="nil"/>
            </w:tcBorders>
            <w:hideMark/>
          </w:tcPr>
          <w:p w14:paraId="1F99EC2F"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27. </w:t>
            </w:r>
            <w:r w:rsidRPr="008410A6">
              <w:rPr>
                <w:rFonts w:ascii="Arial" w:eastAsia="Times New Roman" w:hAnsi="Arial" w:cs="Arial"/>
                <w:color w:val="000000"/>
                <w:kern w:val="0"/>
                <w:sz w:val="18"/>
                <w:szCs w:val="18"/>
                <w:rtl/>
                <w:lang w:val="en-GB" w:eastAsia="en-GB"/>
                <w14:ligatures w14:val="none"/>
              </w:rPr>
              <w:t>تتوافق أهداف الأفراد مع الأهداف الاستراتيجية للمؤسسة</w:t>
            </w:r>
            <w:r w:rsidRPr="008410A6">
              <w:rPr>
                <w:rFonts w:ascii="Arial" w:eastAsia="Times New Roman" w:hAnsi="Arial" w:cs="Arial"/>
                <w:color w:val="000000"/>
                <w:kern w:val="0"/>
                <w:sz w:val="18"/>
                <w:szCs w:val="18"/>
                <w:lang w:val="en-GB" w:eastAsia="en-GB"/>
                <w14:ligatures w14:val="none"/>
              </w:rPr>
              <w:t>.</w:t>
            </w:r>
          </w:p>
        </w:tc>
        <w:tc>
          <w:tcPr>
            <w:tcW w:w="708" w:type="dxa"/>
            <w:tcBorders>
              <w:top w:val="nil"/>
              <w:left w:val="nil"/>
              <w:bottom w:val="nil"/>
              <w:right w:val="single" w:sz="12" w:space="0" w:color="000000"/>
            </w:tcBorders>
            <w:hideMark/>
          </w:tcPr>
          <w:p w14:paraId="6F069153"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6A021D9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.457</w:t>
            </w:r>
            <w:r w:rsidRPr="008410A6">
              <w:rPr>
                <w:rFonts w:ascii="Arial" w:eastAsia="Times New Roman" w:hAnsi="Arial" w:cs="Arial"/>
                <w:color w:val="000000"/>
                <w:kern w:val="0"/>
                <w:sz w:val="18"/>
                <w:szCs w:val="18"/>
                <w:vertAlign w:val="superscript"/>
                <w:lang w:val="en-GB" w:eastAsia="en-GB"/>
                <w14:ligatures w14:val="none"/>
              </w:rPr>
              <w:t>**</w:t>
            </w:r>
          </w:p>
        </w:tc>
        <w:tc>
          <w:tcPr>
            <w:tcW w:w="851" w:type="dxa"/>
            <w:tcBorders>
              <w:top w:val="nil"/>
              <w:left w:val="single" w:sz="4" w:space="0" w:color="000000"/>
              <w:bottom w:val="nil"/>
              <w:right w:val="single" w:sz="4" w:space="0" w:color="000000"/>
            </w:tcBorders>
            <w:noWrap/>
            <w:vAlign w:val="center"/>
            <w:hideMark/>
          </w:tcPr>
          <w:p w14:paraId="6E359D7D"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.473</w:t>
            </w:r>
            <w:r w:rsidRPr="008410A6">
              <w:rPr>
                <w:rFonts w:ascii="Arial" w:eastAsia="Times New Roman" w:hAnsi="Arial" w:cs="Arial"/>
                <w:color w:val="000000"/>
                <w:kern w:val="0"/>
                <w:sz w:val="18"/>
                <w:szCs w:val="18"/>
                <w:vertAlign w:val="superscript"/>
                <w:lang w:val="en-GB" w:eastAsia="en-GB"/>
                <w14:ligatures w14:val="none"/>
              </w:rPr>
              <w:t>**</w:t>
            </w:r>
          </w:p>
        </w:tc>
        <w:tc>
          <w:tcPr>
            <w:tcW w:w="788" w:type="dxa"/>
            <w:tcBorders>
              <w:top w:val="nil"/>
              <w:left w:val="single" w:sz="4" w:space="0" w:color="000000"/>
              <w:bottom w:val="nil"/>
              <w:right w:val="single" w:sz="4" w:space="0" w:color="000000"/>
            </w:tcBorders>
            <w:noWrap/>
            <w:vAlign w:val="center"/>
            <w:hideMark/>
          </w:tcPr>
          <w:p w14:paraId="19E7C5BD"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.558</w:t>
            </w:r>
            <w:r w:rsidRPr="008410A6">
              <w:rPr>
                <w:rFonts w:ascii="Arial" w:eastAsia="Times New Roman" w:hAnsi="Arial" w:cs="Arial"/>
                <w:color w:val="000000"/>
                <w:kern w:val="0"/>
                <w:sz w:val="18"/>
                <w:szCs w:val="18"/>
                <w:vertAlign w:val="superscript"/>
                <w:lang w:val="en-GB" w:eastAsia="en-GB"/>
                <w14:ligatures w14:val="none"/>
              </w:rPr>
              <w:t>**</w:t>
            </w:r>
          </w:p>
        </w:tc>
        <w:tc>
          <w:tcPr>
            <w:tcW w:w="911" w:type="dxa"/>
            <w:tcBorders>
              <w:top w:val="nil"/>
              <w:left w:val="single" w:sz="4" w:space="0" w:color="000000"/>
              <w:bottom w:val="nil"/>
              <w:right w:val="single" w:sz="4" w:space="0" w:color="000000"/>
            </w:tcBorders>
            <w:noWrap/>
            <w:vAlign w:val="center"/>
            <w:hideMark/>
          </w:tcPr>
          <w:p w14:paraId="6B99AAEA"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850" w:type="dxa"/>
            <w:tcBorders>
              <w:top w:val="nil"/>
              <w:left w:val="single" w:sz="4" w:space="0" w:color="000000"/>
              <w:bottom w:val="nil"/>
              <w:right w:val="single" w:sz="4" w:space="0" w:color="000000"/>
            </w:tcBorders>
            <w:noWrap/>
            <w:vAlign w:val="center"/>
            <w:hideMark/>
          </w:tcPr>
          <w:p w14:paraId="013EC94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7" w:type="dxa"/>
            <w:tcBorders>
              <w:top w:val="nil"/>
              <w:left w:val="single" w:sz="4" w:space="0" w:color="000000"/>
              <w:bottom w:val="nil"/>
              <w:right w:val="single" w:sz="4" w:space="0" w:color="000000"/>
            </w:tcBorders>
            <w:noWrap/>
            <w:vAlign w:val="center"/>
            <w:hideMark/>
          </w:tcPr>
          <w:p w14:paraId="60BB41A3"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82" w:type="dxa"/>
            <w:tcBorders>
              <w:top w:val="nil"/>
              <w:left w:val="single" w:sz="4" w:space="0" w:color="000000"/>
              <w:bottom w:val="nil"/>
              <w:right w:val="single" w:sz="4" w:space="0" w:color="000000"/>
            </w:tcBorders>
            <w:noWrap/>
            <w:vAlign w:val="center"/>
            <w:hideMark/>
          </w:tcPr>
          <w:p w14:paraId="0AD1FC8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9" w:type="dxa"/>
            <w:tcBorders>
              <w:top w:val="nil"/>
              <w:left w:val="single" w:sz="4" w:space="0" w:color="000000"/>
              <w:bottom w:val="nil"/>
              <w:right w:val="single" w:sz="4" w:space="0" w:color="000000"/>
            </w:tcBorders>
            <w:noWrap/>
            <w:vAlign w:val="center"/>
            <w:hideMark/>
          </w:tcPr>
          <w:p w14:paraId="34D2BFE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9" w:type="dxa"/>
            <w:tcBorders>
              <w:top w:val="nil"/>
              <w:left w:val="single" w:sz="4" w:space="0" w:color="000000"/>
              <w:bottom w:val="nil"/>
              <w:right w:val="single" w:sz="4" w:space="0" w:color="000000"/>
            </w:tcBorders>
            <w:noWrap/>
            <w:vAlign w:val="center"/>
            <w:hideMark/>
          </w:tcPr>
          <w:p w14:paraId="141A005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448B5B73"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5AEFC28F" w14:textId="77777777" w:rsidTr="008410A6">
        <w:trPr>
          <w:trHeight w:val="276"/>
          <w:jc w:val="center"/>
        </w:trPr>
        <w:tc>
          <w:tcPr>
            <w:tcW w:w="1827" w:type="dxa"/>
            <w:vMerge/>
            <w:tcBorders>
              <w:top w:val="nil"/>
              <w:left w:val="single" w:sz="12" w:space="0" w:color="000000"/>
              <w:bottom w:val="single" w:sz="4" w:space="0" w:color="000000"/>
              <w:right w:val="nil"/>
            </w:tcBorders>
            <w:vAlign w:val="center"/>
            <w:hideMark/>
          </w:tcPr>
          <w:p w14:paraId="056A8BD5"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708" w:type="dxa"/>
            <w:tcBorders>
              <w:top w:val="nil"/>
              <w:left w:val="nil"/>
              <w:bottom w:val="nil"/>
              <w:right w:val="single" w:sz="12" w:space="0" w:color="000000"/>
            </w:tcBorders>
            <w:hideMark/>
          </w:tcPr>
          <w:p w14:paraId="63831CCE"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37F4EE0B"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1" w:type="dxa"/>
            <w:tcBorders>
              <w:top w:val="nil"/>
              <w:left w:val="single" w:sz="4" w:space="0" w:color="000000"/>
              <w:bottom w:val="nil"/>
              <w:right w:val="single" w:sz="4" w:space="0" w:color="000000"/>
            </w:tcBorders>
            <w:noWrap/>
            <w:vAlign w:val="center"/>
            <w:hideMark/>
          </w:tcPr>
          <w:p w14:paraId="4A5CE25A"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88" w:type="dxa"/>
            <w:tcBorders>
              <w:top w:val="nil"/>
              <w:left w:val="single" w:sz="4" w:space="0" w:color="000000"/>
              <w:bottom w:val="nil"/>
              <w:right w:val="single" w:sz="4" w:space="0" w:color="000000"/>
            </w:tcBorders>
            <w:noWrap/>
            <w:vAlign w:val="center"/>
            <w:hideMark/>
          </w:tcPr>
          <w:p w14:paraId="68648609"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911" w:type="dxa"/>
            <w:tcBorders>
              <w:top w:val="nil"/>
              <w:left w:val="single" w:sz="4" w:space="0" w:color="000000"/>
              <w:bottom w:val="nil"/>
              <w:right w:val="single" w:sz="4" w:space="0" w:color="000000"/>
            </w:tcBorders>
            <w:vAlign w:val="center"/>
            <w:hideMark/>
          </w:tcPr>
          <w:p w14:paraId="73770452"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0" w:type="dxa"/>
            <w:tcBorders>
              <w:top w:val="nil"/>
              <w:left w:val="single" w:sz="4" w:space="0" w:color="000000"/>
              <w:bottom w:val="nil"/>
              <w:right w:val="single" w:sz="4" w:space="0" w:color="000000"/>
            </w:tcBorders>
            <w:noWrap/>
            <w:vAlign w:val="center"/>
            <w:hideMark/>
          </w:tcPr>
          <w:p w14:paraId="37EDC41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7" w:type="dxa"/>
            <w:tcBorders>
              <w:top w:val="nil"/>
              <w:left w:val="single" w:sz="4" w:space="0" w:color="000000"/>
              <w:bottom w:val="nil"/>
              <w:right w:val="single" w:sz="4" w:space="0" w:color="000000"/>
            </w:tcBorders>
            <w:noWrap/>
            <w:vAlign w:val="center"/>
            <w:hideMark/>
          </w:tcPr>
          <w:p w14:paraId="37876079"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82" w:type="dxa"/>
            <w:tcBorders>
              <w:top w:val="nil"/>
              <w:left w:val="single" w:sz="4" w:space="0" w:color="000000"/>
              <w:bottom w:val="nil"/>
              <w:right w:val="single" w:sz="4" w:space="0" w:color="000000"/>
            </w:tcBorders>
            <w:noWrap/>
            <w:vAlign w:val="center"/>
            <w:hideMark/>
          </w:tcPr>
          <w:p w14:paraId="5F8CC072"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9" w:type="dxa"/>
            <w:tcBorders>
              <w:top w:val="nil"/>
              <w:left w:val="single" w:sz="4" w:space="0" w:color="000000"/>
              <w:bottom w:val="nil"/>
              <w:right w:val="single" w:sz="4" w:space="0" w:color="000000"/>
            </w:tcBorders>
            <w:noWrap/>
            <w:vAlign w:val="center"/>
            <w:hideMark/>
          </w:tcPr>
          <w:p w14:paraId="35BFC1FC"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9" w:type="dxa"/>
            <w:tcBorders>
              <w:top w:val="nil"/>
              <w:left w:val="single" w:sz="4" w:space="0" w:color="000000"/>
              <w:bottom w:val="nil"/>
              <w:right w:val="single" w:sz="4" w:space="0" w:color="000000"/>
            </w:tcBorders>
            <w:noWrap/>
            <w:vAlign w:val="center"/>
            <w:hideMark/>
          </w:tcPr>
          <w:p w14:paraId="1881C1F5"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44FA8C93"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40E42BB9" w14:textId="77777777" w:rsidTr="008410A6">
        <w:trPr>
          <w:trHeight w:val="276"/>
          <w:jc w:val="center"/>
        </w:trPr>
        <w:tc>
          <w:tcPr>
            <w:tcW w:w="1827" w:type="dxa"/>
            <w:vMerge w:val="restart"/>
            <w:tcBorders>
              <w:top w:val="nil"/>
              <w:left w:val="single" w:sz="12" w:space="0" w:color="000000"/>
              <w:bottom w:val="single" w:sz="4" w:space="0" w:color="000000"/>
              <w:right w:val="nil"/>
            </w:tcBorders>
            <w:hideMark/>
          </w:tcPr>
          <w:p w14:paraId="3B07DC04"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28. </w:t>
            </w:r>
            <w:r w:rsidRPr="008410A6">
              <w:rPr>
                <w:rFonts w:ascii="Arial" w:eastAsia="Times New Roman" w:hAnsi="Arial" w:cs="Arial"/>
                <w:color w:val="000000"/>
                <w:kern w:val="0"/>
                <w:sz w:val="18"/>
                <w:szCs w:val="18"/>
                <w:rtl/>
                <w:lang w:val="en-GB" w:eastAsia="en-GB"/>
                <w14:ligatures w14:val="none"/>
              </w:rPr>
              <w:t>تسود بين العاملين قيم تنظيمية مشتركة تحكم سلوكهم المهني</w:t>
            </w:r>
            <w:r w:rsidRPr="008410A6">
              <w:rPr>
                <w:rFonts w:ascii="Arial" w:eastAsia="Times New Roman" w:hAnsi="Arial" w:cs="Arial"/>
                <w:color w:val="000000"/>
                <w:kern w:val="0"/>
                <w:sz w:val="18"/>
                <w:szCs w:val="18"/>
                <w:lang w:val="en-GB" w:eastAsia="en-GB"/>
                <w14:ligatures w14:val="none"/>
              </w:rPr>
              <w:t>.</w:t>
            </w:r>
          </w:p>
        </w:tc>
        <w:tc>
          <w:tcPr>
            <w:tcW w:w="708" w:type="dxa"/>
            <w:tcBorders>
              <w:top w:val="nil"/>
              <w:left w:val="nil"/>
              <w:bottom w:val="nil"/>
              <w:right w:val="single" w:sz="12" w:space="0" w:color="000000"/>
            </w:tcBorders>
            <w:hideMark/>
          </w:tcPr>
          <w:p w14:paraId="379046CB"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34F89C35"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.472</w:t>
            </w:r>
            <w:r w:rsidRPr="008410A6">
              <w:rPr>
                <w:rFonts w:ascii="Arial" w:eastAsia="Times New Roman" w:hAnsi="Arial" w:cs="Arial"/>
                <w:color w:val="000000"/>
                <w:kern w:val="0"/>
                <w:sz w:val="18"/>
                <w:szCs w:val="18"/>
                <w:vertAlign w:val="superscript"/>
                <w:lang w:val="en-GB" w:eastAsia="en-GB"/>
                <w14:ligatures w14:val="none"/>
              </w:rPr>
              <w:t>**</w:t>
            </w:r>
          </w:p>
        </w:tc>
        <w:tc>
          <w:tcPr>
            <w:tcW w:w="851" w:type="dxa"/>
            <w:tcBorders>
              <w:top w:val="nil"/>
              <w:left w:val="single" w:sz="4" w:space="0" w:color="000000"/>
              <w:bottom w:val="nil"/>
              <w:right w:val="single" w:sz="4" w:space="0" w:color="000000"/>
            </w:tcBorders>
            <w:noWrap/>
            <w:vAlign w:val="center"/>
            <w:hideMark/>
          </w:tcPr>
          <w:p w14:paraId="408D7B8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.583</w:t>
            </w:r>
            <w:r w:rsidRPr="008410A6">
              <w:rPr>
                <w:rFonts w:ascii="Arial" w:eastAsia="Times New Roman" w:hAnsi="Arial" w:cs="Arial"/>
                <w:color w:val="000000"/>
                <w:kern w:val="0"/>
                <w:sz w:val="18"/>
                <w:szCs w:val="18"/>
                <w:vertAlign w:val="superscript"/>
                <w:lang w:val="en-GB" w:eastAsia="en-GB"/>
                <w14:ligatures w14:val="none"/>
              </w:rPr>
              <w:t>**</w:t>
            </w:r>
          </w:p>
        </w:tc>
        <w:tc>
          <w:tcPr>
            <w:tcW w:w="788" w:type="dxa"/>
            <w:tcBorders>
              <w:top w:val="nil"/>
              <w:left w:val="single" w:sz="4" w:space="0" w:color="000000"/>
              <w:bottom w:val="nil"/>
              <w:right w:val="single" w:sz="4" w:space="0" w:color="000000"/>
            </w:tcBorders>
            <w:noWrap/>
            <w:vAlign w:val="center"/>
            <w:hideMark/>
          </w:tcPr>
          <w:p w14:paraId="0EC83DC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.569</w:t>
            </w:r>
            <w:r w:rsidRPr="008410A6">
              <w:rPr>
                <w:rFonts w:ascii="Arial" w:eastAsia="Times New Roman" w:hAnsi="Arial" w:cs="Arial"/>
                <w:color w:val="000000"/>
                <w:kern w:val="0"/>
                <w:sz w:val="18"/>
                <w:szCs w:val="18"/>
                <w:vertAlign w:val="superscript"/>
                <w:lang w:val="en-GB" w:eastAsia="en-GB"/>
                <w14:ligatures w14:val="none"/>
              </w:rPr>
              <w:t>**</w:t>
            </w:r>
          </w:p>
        </w:tc>
        <w:tc>
          <w:tcPr>
            <w:tcW w:w="911" w:type="dxa"/>
            <w:tcBorders>
              <w:top w:val="nil"/>
              <w:left w:val="single" w:sz="4" w:space="0" w:color="000000"/>
              <w:bottom w:val="nil"/>
              <w:right w:val="single" w:sz="4" w:space="0" w:color="000000"/>
            </w:tcBorders>
            <w:noWrap/>
            <w:vAlign w:val="center"/>
            <w:hideMark/>
          </w:tcPr>
          <w:p w14:paraId="32F62E45"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.508</w:t>
            </w:r>
            <w:r w:rsidRPr="008410A6">
              <w:rPr>
                <w:rFonts w:ascii="Arial" w:eastAsia="Times New Roman" w:hAnsi="Arial" w:cs="Arial"/>
                <w:color w:val="000000"/>
                <w:kern w:val="0"/>
                <w:sz w:val="18"/>
                <w:szCs w:val="18"/>
                <w:vertAlign w:val="superscript"/>
                <w:lang w:val="en-GB" w:eastAsia="en-GB"/>
                <w14:ligatures w14:val="none"/>
              </w:rPr>
              <w:t>**</w:t>
            </w:r>
          </w:p>
        </w:tc>
        <w:tc>
          <w:tcPr>
            <w:tcW w:w="850" w:type="dxa"/>
            <w:tcBorders>
              <w:top w:val="nil"/>
              <w:left w:val="single" w:sz="4" w:space="0" w:color="000000"/>
              <w:bottom w:val="nil"/>
              <w:right w:val="single" w:sz="4" w:space="0" w:color="000000"/>
            </w:tcBorders>
            <w:noWrap/>
            <w:vAlign w:val="center"/>
            <w:hideMark/>
          </w:tcPr>
          <w:p w14:paraId="2959CB09"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747" w:type="dxa"/>
            <w:tcBorders>
              <w:top w:val="nil"/>
              <w:left w:val="single" w:sz="4" w:space="0" w:color="000000"/>
              <w:bottom w:val="nil"/>
              <w:right w:val="single" w:sz="4" w:space="0" w:color="000000"/>
            </w:tcBorders>
            <w:noWrap/>
            <w:vAlign w:val="center"/>
            <w:hideMark/>
          </w:tcPr>
          <w:p w14:paraId="74CED40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82" w:type="dxa"/>
            <w:tcBorders>
              <w:top w:val="nil"/>
              <w:left w:val="single" w:sz="4" w:space="0" w:color="000000"/>
              <w:bottom w:val="nil"/>
              <w:right w:val="single" w:sz="4" w:space="0" w:color="000000"/>
            </w:tcBorders>
            <w:noWrap/>
            <w:vAlign w:val="center"/>
            <w:hideMark/>
          </w:tcPr>
          <w:p w14:paraId="3DAA41B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9" w:type="dxa"/>
            <w:tcBorders>
              <w:top w:val="nil"/>
              <w:left w:val="single" w:sz="4" w:space="0" w:color="000000"/>
              <w:bottom w:val="nil"/>
              <w:right w:val="single" w:sz="4" w:space="0" w:color="000000"/>
            </w:tcBorders>
            <w:noWrap/>
            <w:vAlign w:val="center"/>
            <w:hideMark/>
          </w:tcPr>
          <w:p w14:paraId="47A772C7"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9" w:type="dxa"/>
            <w:tcBorders>
              <w:top w:val="nil"/>
              <w:left w:val="single" w:sz="4" w:space="0" w:color="000000"/>
              <w:bottom w:val="nil"/>
              <w:right w:val="single" w:sz="4" w:space="0" w:color="000000"/>
            </w:tcBorders>
            <w:noWrap/>
            <w:vAlign w:val="center"/>
            <w:hideMark/>
          </w:tcPr>
          <w:p w14:paraId="7DEB14B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3E864A7B"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7E75D443" w14:textId="77777777" w:rsidTr="008410A6">
        <w:trPr>
          <w:trHeight w:val="276"/>
          <w:jc w:val="center"/>
        </w:trPr>
        <w:tc>
          <w:tcPr>
            <w:tcW w:w="1827" w:type="dxa"/>
            <w:vMerge/>
            <w:tcBorders>
              <w:top w:val="nil"/>
              <w:left w:val="single" w:sz="12" w:space="0" w:color="000000"/>
              <w:bottom w:val="single" w:sz="4" w:space="0" w:color="000000"/>
              <w:right w:val="nil"/>
            </w:tcBorders>
            <w:vAlign w:val="center"/>
            <w:hideMark/>
          </w:tcPr>
          <w:p w14:paraId="0C6E2649"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708" w:type="dxa"/>
            <w:tcBorders>
              <w:top w:val="nil"/>
              <w:left w:val="nil"/>
              <w:bottom w:val="nil"/>
              <w:right w:val="single" w:sz="12" w:space="0" w:color="000000"/>
            </w:tcBorders>
            <w:hideMark/>
          </w:tcPr>
          <w:p w14:paraId="78BF7C55"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6511C376"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1" w:type="dxa"/>
            <w:tcBorders>
              <w:top w:val="nil"/>
              <w:left w:val="single" w:sz="4" w:space="0" w:color="000000"/>
              <w:bottom w:val="nil"/>
              <w:right w:val="single" w:sz="4" w:space="0" w:color="000000"/>
            </w:tcBorders>
            <w:noWrap/>
            <w:vAlign w:val="center"/>
            <w:hideMark/>
          </w:tcPr>
          <w:p w14:paraId="758465F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88" w:type="dxa"/>
            <w:tcBorders>
              <w:top w:val="nil"/>
              <w:left w:val="single" w:sz="4" w:space="0" w:color="000000"/>
              <w:bottom w:val="nil"/>
              <w:right w:val="single" w:sz="4" w:space="0" w:color="000000"/>
            </w:tcBorders>
            <w:noWrap/>
            <w:vAlign w:val="center"/>
            <w:hideMark/>
          </w:tcPr>
          <w:p w14:paraId="7349E98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911" w:type="dxa"/>
            <w:tcBorders>
              <w:top w:val="nil"/>
              <w:left w:val="single" w:sz="4" w:space="0" w:color="000000"/>
              <w:bottom w:val="nil"/>
              <w:right w:val="single" w:sz="4" w:space="0" w:color="000000"/>
            </w:tcBorders>
            <w:noWrap/>
            <w:vAlign w:val="center"/>
            <w:hideMark/>
          </w:tcPr>
          <w:p w14:paraId="759211F3"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0" w:type="dxa"/>
            <w:tcBorders>
              <w:top w:val="nil"/>
              <w:left w:val="single" w:sz="4" w:space="0" w:color="000000"/>
              <w:bottom w:val="nil"/>
              <w:right w:val="single" w:sz="4" w:space="0" w:color="000000"/>
            </w:tcBorders>
            <w:vAlign w:val="center"/>
            <w:hideMark/>
          </w:tcPr>
          <w:p w14:paraId="7FC792FB"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7" w:type="dxa"/>
            <w:tcBorders>
              <w:top w:val="nil"/>
              <w:left w:val="single" w:sz="4" w:space="0" w:color="000000"/>
              <w:bottom w:val="nil"/>
              <w:right w:val="single" w:sz="4" w:space="0" w:color="000000"/>
            </w:tcBorders>
            <w:noWrap/>
            <w:vAlign w:val="center"/>
            <w:hideMark/>
          </w:tcPr>
          <w:p w14:paraId="265EA331"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82" w:type="dxa"/>
            <w:tcBorders>
              <w:top w:val="nil"/>
              <w:left w:val="single" w:sz="4" w:space="0" w:color="000000"/>
              <w:bottom w:val="nil"/>
              <w:right w:val="single" w:sz="4" w:space="0" w:color="000000"/>
            </w:tcBorders>
            <w:noWrap/>
            <w:vAlign w:val="center"/>
            <w:hideMark/>
          </w:tcPr>
          <w:p w14:paraId="17A759F5"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9" w:type="dxa"/>
            <w:tcBorders>
              <w:top w:val="nil"/>
              <w:left w:val="single" w:sz="4" w:space="0" w:color="000000"/>
              <w:bottom w:val="nil"/>
              <w:right w:val="single" w:sz="4" w:space="0" w:color="000000"/>
            </w:tcBorders>
            <w:noWrap/>
            <w:vAlign w:val="center"/>
            <w:hideMark/>
          </w:tcPr>
          <w:p w14:paraId="0A32C69A"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9" w:type="dxa"/>
            <w:tcBorders>
              <w:top w:val="nil"/>
              <w:left w:val="single" w:sz="4" w:space="0" w:color="000000"/>
              <w:bottom w:val="nil"/>
              <w:right w:val="single" w:sz="4" w:space="0" w:color="000000"/>
            </w:tcBorders>
            <w:noWrap/>
            <w:vAlign w:val="center"/>
            <w:hideMark/>
          </w:tcPr>
          <w:p w14:paraId="58F9B711"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7EF0FF0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74AF9647" w14:textId="77777777" w:rsidTr="008410A6">
        <w:trPr>
          <w:trHeight w:val="276"/>
          <w:jc w:val="center"/>
        </w:trPr>
        <w:tc>
          <w:tcPr>
            <w:tcW w:w="1827" w:type="dxa"/>
            <w:vMerge w:val="restart"/>
            <w:tcBorders>
              <w:top w:val="nil"/>
              <w:left w:val="single" w:sz="12" w:space="0" w:color="000000"/>
              <w:bottom w:val="single" w:sz="4" w:space="0" w:color="000000"/>
              <w:right w:val="nil"/>
            </w:tcBorders>
            <w:hideMark/>
          </w:tcPr>
          <w:p w14:paraId="095D0B40"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28. </w:t>
            </w:r>
            <w:r w:rsidRPr="008410A6">
              <w:rPr>
                <w:rFonts w:ascii="Arial" w:eastAsia="Times New Roman" w:hAnsi="Arial" w:cs="Arial"/>
                <w:color w:val="000000"/>
                <w:kern w:val="0"/>
                <w:sz w:val="18"/>
                <w:szCs w:val="18"/>
                <w:rtl/>
                <w:lang w:val="en-GB" w:eastAsia="en-GB"/>
                <w14:ligatures w14:val="none"/>
              </w:rPr>
              <w:t>يتم التعامل مع النزاعات بطريقة عادلة ومنظمة</w:t>
            </w:r>
            <w:r w:rsidRPr="008410A6">
              <w:rPr>
                <w:rFonts w:ascii="Arial" w:eastAsia="Times New Roman" w:hAnsi="Arial" w:cs="Arial"/>
                <w:color w:val="000000"/>
                <w:kern w:val="0"/>
                <w:sz w:val="18"/>
                <w:szCs w:val="18"/>
                <w:lang w:val="en-GB" w:eastAsia="en-GB"/>
                <w14:ligatures w14:val="none"/>
              </w:rPr>
              <w:t>.</w:t>
            </w:r>
          </w:p>
        </w:tc>
        <w:tc>
          <w:tcPr>
            <w:tcW w:w="708" w:type="dxa"/>
            <w:tcBorders>
              <w:top w:val="nil"/>
              <w:left w:val="nil"/>
              <w:bottom w:val="nil"/>
              <w:right w:val="single" w:sz="12" w:space="0" w:color="000000"/>
            </w:tcBorders>
            <w:hideMark/>
          </w:tcPr>
          <w:p w14:paraId="518541EF"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003F43B2"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.511</w:t>
            </w:r>
            <w:r w:rsidRPr="008410A6">
              <w:rPr>
                <w:rFonts w:ascii="Arial" w:eastAsia="Times New Roman" w:hAnsi="Arial" w:cs="Arial"/>
                <w:color w:val="000000"/>
                <w:kern w:val="0"/>
                <w:sz w:val="18"/>
                <w:szCs w:val="18"/>
                <w:vertAlign w:val="superscript"/>
                <w:lang w:val="en-GB" w:eastAsia="en-GB"/>
                <w14:ligatures w14:val="none"/>
              </w:rPr>
              <w:t>**</w:t>
            </w:r>
          </w:p>
        </w:tc>
        <w:tc>
          <w:tcPr>
            <w:tcW w:w="851" w:type="dxa"/>
            <w:tcBorders>
              <w:top w:val="nil"/>
              <w:left w:val="single" w:sz="4" w:space="0" w:color="000000"/>
              <w:bottom w:val="nil"/>
              <w:right w:val="single" w:sz="4" w:space="0" w:color="000000"/>
            </w:tcBorders>
            <w:noWrap/>
            <w:vAlign w:val="center"/>
            <w:hideMark/>
          </w:tcPr>
          <w:p w14:paraId="1614BD49"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.607</w:t>
            </w:r>
            <w:r w:rsidRPr="008410A6">
              <w:rPr>
                <w:rFonts w:ascii="Arial" w:eastAsia="Times New Roman" w:hAnsi="Arial" w:cs="Arial"/>
                <w:color w:val="000000"/>
                <w:kern w:val="0"/>
                <w:sz w:val="18"/>
                <w:szCs w:val="18"/>
                <w:vertAlign w:val="superscript"/>
                <w:lang w:val="en-GB" w:eastAsia="en-GB"/>
                <w14:ligatures w14:val="none"/>
              </w:rPr>
              <w:t>**</w:t>
            </w:r>
          </w:p>
        </w:tc>
        <w:tc>
          <w:tcPr>
            <w:tcW w:w="788" w:type="dxa"/>
            <w:tcBorders>
              <w:top w:val="nil"/>
              <w:left w:val="single" w:sz="4" w:space="0" w:color="000000"/>
              <w:bottom w:val="nil"/>
              <w:right w:val="single" w:sz="4" w:space="0" w:color="000000"/>
            </w:tcBorders>
            <w:noWrap/>
            <w:vAlign w:val="center"/>
            <w:hideMark/>
          </w:tcPr>
          <w:p w14:paraId="34AE6726"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.610</w:t>
            </w:r>
            <w:r w:rsidRPr="008410A6">
              <w:rPr>
                <w:rFonts w:ascii="Arial" w:eastAsia="Times New Roman" w:hAnsi="Arial" w:cs="Arial"/>
                <w:color w:val="000000"/>
                <w:kern w:val="0"/>
                <w:sz w:val="18"/>
                <w:szCs w:val="18"/>
                <w:vertAlign w:val="superscript"/>
                <w:lang w:val="en-GB" w:eastAsia="en-GB"/>
                <w14:ligatures w14:val="none"/>
              </w:rPr>
              <w:t>**</w:t>
            </w:r>
          </w:p>
        </w:tc>
        <w:tc>
          <w:tcPr>
            <w:tcW w:w="911" w:type="dxa"/>
            <w:tcBorders>
              <w:top w:val="nil"/>
              <w:left w:val="single" w:sz="4" w:space="0" w:color="000000"/>
              <w:bottom w:val="nil"/>
              <w:right w:val="single" w:sz="4" w:space="0" w:color="000000"/>
            </w:tcBorders>
            <w:noWrap/>
            <w:vAlign w:val="center"/>
            <w:hideMark/>
          </w:tcPr>
          <w:p w14:paraId="21B7E58B"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.527</w:t>
            </w:r>
            <w:r w:rsidRPr="008410A6">
              <w:rPr>
                <w:rFonts w:ascii="Arial" w:eastAsia="Times New Roman" w:hAnsi="Arial" w:cs="Arial"/>
                <w:color w:val="000000"/>
                <w:kern w:val="0"/>
                <w:sz w:val="18"/>
                <w:szCs w:val="18"/>
                <w:vertAlign w:val="superscript"/>
                <w:lang w:val="en-GB" w:eastAsia="en-GB"/>
                <w14:ligatures w14:val="none"/>
              </w:rPr>
              <w:t>**</w:t>
            </w:r>
          </w:p>
        </w:tc>
        <w:tc>
          <w:tcPr>
            <w:tcW w:w="850" w:type="dxa"/>
            <w:tcBorders>
              <w:top w:val="nil"/>
              <w:left w:val="single" w:sz="4" w:space="0" w:color="000000"/>
              <w:bottom w:val="nil"/>
              <w:right w:val="single" w:sz="4" w:space="0" w:color="000000"/>
            </w:tcBorders>
            <w:noWrap/>
            <w:vAlign w:val="center"/>
            <w:hideMark/>
          </w:tcPr>
          <w:p w14:paraId="26EDCF27"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.570</w:t>
            </w:r>
            <w:r w:rsidRPr="008410A6">
              <w:rPr>
                <w:rFonts w:ascii="Arial" w:eastAsia="Times New Roman" w:hAnsi="Arial" w:cs="Arial"/>
                <w:color w:val="000000"/>
                <w:kern w:val="0"/>
                <w:sz w:val="18"/>
                <w:szCs w:val="18"/>
                <w:vertAlign w:val="superscript"/>
                <w:lang w:val="en-GB" w:eastAsia="en-GB"/>
                <w14:ligatures w14:val="none"/>
              </w:rPr>
              <w:t>**</w:t>
            </w:r>
          </w:p>
        </w:tc>
        <w:tc>
          <w:tcPr>
            <w:tcW w:w="747" w:type="dxa"/>
            <w:tcBorders>
              <w:top w:val="nil"/>
              <w:left w:val="single" w:sz="4" w:space="0" w:color="000000"/>
              <w:bottom w:val="nil"/>
              <w:right w:val="single" w:sz="4" w:space="0" w:color="000000"/>
            </w:tcBorders>
            <w:noWrap/>
            <w:vAlign w:val="center"/>
            <w:hideMark/>
          </w:tcPr>
          <w:p w14:paraId="0C30D3DA"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782" w:type="dxa"/>
            <w:tcBorders>
              <w:top w:val="nil"/>
              <w:left w:val="single" w:sz="4" w:space="0" w:color="000000"/>
              <w:bottom w:val="nil"/>
              <w:right w:val="single" w:sz="4" w:space="0" w:color="000000"/>
            </w:tcBorders>
            <w:noWrap/>
            <w:vAlign w:val="center"/>
            <w:hideMark/>
          </w:tcPr>
          <w:p w14:paraId="483C0D0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9" w:type="dxa"/>
            <w:tcBorders>
              <w:top w:val="nil"/>
              <w:left w:val="single" w:sz="4" w:space="0" w:color="000000"/>
              <w:bottom w:val="nil"/>
              <w:right w:val="single" w:sz="4" w:space="0" w:color="000000"/>
            </w:tcBorders>
            <w:noWrap/>
            <w:vAlign w:val="center"/>
            <w:hideMark/>
          </w:tcPr>
          <w:p w14:paraId="42CC1C7C"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9" w:type="dxa"/>
            <w:tcBorders>
              <w:top w:val="nil"/>
              <w:left w:val="single" w:sz="4" w:space="0" w:color="000000"/>
              <w:bottom w:val="nil"/>
              <w:right w:val="single" w:sz="4" w:space="0" w:color="000000"/>
            </w:tcBorders>
            <w:noWrap/>
            <w:vAlign w:val="center"/>
            <w:hideMark/>
          </w:tcPr>
          <w:p w14:paraId="2B6D8635"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23C26BD5"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3DE5ED1C" w14:textId="77777777" w:rsidTr="008410A6">
        <w:trPr>
          <w:trHeight w:val="276"/>
          <w:jc w:val="center"/>
        </w:trPr>
        <w:tc>
          <w:tcPr>
            <w:tcW w:w="1827" w:type="dxa"/>
            <w:vMerge/>
            <w:tcBorders>
              <w:top w:val="nil"/>
              <w:left w:val="single" w:sz="12" w:space="0" w:color="000000"/>
              <w:bottom w:val="single" w:sz="4" w:space="0" w:color="000000"/>
              <w:right w:val="nil"/>
            </w:tcBorders>
            <w:vAlign w:val="center"/>
            <w:hideMark/>
          </w:tcPr>
          <w:p w14:paraId="0F252213"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708" w:type="dxa"/>
            <w:tcBorders>
              <w:top w:val="nil"/>
              <w:left w:val="nil"/>
              <w:bottom w:val="nil"/>
              <w:right w:val="single" w:sz="12" w:space="0" w:color="000000"/>
            </w:tcBorders>
            <w:hideMark/>
          </w:tcPr>
          <w:p w14:paraId="1E98E52E"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6A9CEAFA"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1" w:type="dxa"/>
            <w:tcBorders>
              <w:top w:val="nil"/>
              <w:left w:val="single" w:sz="4" w:space="0" w:color="000000"/>
              <w:bottom w:val="nil"/>
              <w:right w:val="single" w:sz="4" w:space="0" w:color="000000"/>
            </w:tcBorders>
            <w:noWrap/>
            <w:vAlign w:val="center"/>
            <w:hideMark/>
          </w:tcPr>
          <w:p w14:paraId="20EF6DC9"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88" w:type="dxa"/>
            <w:tcBorders>
              <w:top w:val="nil"/>
              <w:left w:val="single" w:sz="4" w:space="0" w:color="000000"/>
              <w:bottom w:val="nil"/>
              <w:right w:val="single" w:sz="4" w:space="0" w:color="000000"/>
            </w:tcBorders>
            <w:noWrap/>
            <w:vAlign w:val="center"/>
            <w:hideMark/>
          </w:tcPr>
          <w:p w14:paraId="1C538041"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911" w:type="dxa"/>
            <w:tcBorders>
              <w:top w:val="nil"/>
              <w:left w:val="single" w:sz="4" w:space="0" w:color="000000"/>
              <w:bottom w:val="nil"/>
              <w:right w:val="single" w:sz="4" w:space="0" w:color="000000"/>
            </w:tcBorders>
            <w:noWrap/>
            <w:vAlign w:val="center"/>
            <w:hideMark/>
          </w:tcPr>
          <w:p w14:paraId="4A6BF4FC"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0" w:type="dxa"/>
            <w:tcBorders>
              <w:top w:val="nil"/>
              <w:left w:val="single" w:sz="4" w:space="0" w:color="000000"/>
              <w:bottom w:val="nil"/>
              <w:right w:val="single" w:sz="4" w:space="0" w:color="000000"/>
            </w:tcBorders>
            <w:noWrap/>
            <w:vAlign w:val="center"/>
            <w:hideMark/>
          </w:tcPr>
          <w:p w14:paraId="2AA24A4E"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47" w:type="dxa"/>
            <w:tcBorders>
              <w:top w:val="nil"/>
              <w:left w:val="single" w:sz="4" w:space="0" w:color="000000"/>
              <w:bottom w:val="nil"/>
              <w:right w:val="single" w:sz="4" w:space="0" w:color="000000"/>
            </w:tcBorders>
            <w:vAlign w:val="center"/>
            <w:hideMark/>
          </w:tcPr>
          <w:p w14:paraId="2F095540"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82" w:type="dxa"/>
            <w:tcBorders>
              <w:top w:val="nil"/>
              <w:left w:val="single" w:sz="4" w:space="0" w:color="000000"/>
              <w:bottom w:val="nil"/>
              <w:right w:val="single" w:sz="4" w:space="0" w:color="000000"/>
            </w:tcBorders>
            <w:noWrap/>
            <w:vAlign w:val="center"/>
            <w:hideMark/>
          </w:tcPr>
          <w:p w14:paraId="14183399"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9" w:type="dxa"/>
            <w:tcBorders>
              <w:top w:val="nil"/>
              <w:left w:val="single" w:sz="4" w:space="0" w:color="000000"/>
              <w:bottom w:val="nil"/>
              <w:right w:val="single" w:sz="4" w:space="0" w:color="000000"/>
            </w:tcBorders>
            <w:noWrap/>
            <w:vAlign w:val="center"/>
            <w:hideMark/>
          </w:tcPr>
          <w:p w14:paraId="7F8022A9"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9" w:type="dxa"/>
            <w:tcBorders>
              <w:top w:val="nil"/>
              <w:left w:val="single" w:sz="4" w:space="0" w:color="000000"/>
              <w:bottom w:val="nil"/>
              <w:right w:val="single" w:sz="4" w:space="0" w:color="000000"/>
            </w:tcBorders>
            <w:noWrap/>
            <w:vAlign w:val="center"/>
            <w:hideMark/>
          </w:tcPr>
          <w:p w14:paraId="71BEA26E"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396A4BAD"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334FBE7B" w14:textId="77777777" w:rsidTr="008410A6">
        <w:trPr>
          <w:trHeight w:val="276"/>
          <w:jc w:val="center"/>
        </w:trPr>
        <w:tc>
          <w:tcPr>
            <w:tcW w:w="1827" w:type="dxa"/>
            <w:vMerge w:val="restart"/>
            <w:tcBorders>
              <w:top w:val="nil"/>
              <w:left w:val="single" w:sz="12" w:space="0" w:color="000000"/>
              <w:bottom w:val="single" w:sz="4" w:space="0" w:color="000000"/>
              <w:right w:val="nil"/>
            </w:tcBorders>
            <w:hideMark/>
          </w:tcPr>
          <w:p w14:paraId="38C62D07"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30. </w:t>
            </w:r>
            <w:r w:rsidRPr="008410A6">
              <w:rPr>
                <w:rFonts w:ascii="Arial" w:eastAsia="Times New Roman" w:hAnsi="Arial" w:cs="Arial"/>
                <w:color w:val="000000"/>
                <w:kern w:val="0"/>
                <w:sz w:val="18"/>
                <w:szCs w:val="18"/>
                <w:rtl/>
                <w:lang w:val="en-GB" w:eastAsia="en-GB"/>
                <w14:ligatures w14:val="none"/>
              </w:rPr>
              <w:t>يشعر الموظفون بالانتماء إلى مؤسستهم</w:t>
            </w:r>
            <w:r w:rsidRPr="008410A6">
              <w:rPr>
                <w:rFonts w:ascii="Arial" w:eastAsia="Times New Roman" w:hAnsi="Arial" w:cs="Arial"/>
                <w:color w:val="000000"/>
                <w:kern w:val="0"/>
                <w:sz w:val="18"/>
                <w:szCs w:val="18"/>
                <w:lang w:val="en-GB" w:eastAsia="en-GB"/>
                <w14:ligatures w14:val="none"/>
              </w:rPr>
              <w:t>.</w:t>
            </w:r>
          </w:p>
        </w:tc>
        <w:tc>
          <w:tcPr>
            <w:tcW w:w="708" w:type="dxa"/>
            <w:tcBorders>
              <w:top w:val="nil"/>
              <w:left w:val="nil"/>
              <w:bottom w:val="nil"/>
              <w:right w:val="single" w:sz="12" w:space="0" w:color="000000"/>
            </w:tcBorders>
            <w:hideMark/>
          </w:tcPr>
          <w:p w14:paraId="25BA47ED"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76661587"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.537</w:t>
            </w:r>
            <w:r w:rsidRPr="008410A6">
              <w:rPr>
                <w:rFonts w:ascii="Arial" w:eastAsia="Times New Roman" w:hAnsi="Arial" w:cs="Arial"/>
                <w:color w:val="000000"/>
                <w:kern w:val="0"/>
                <w:sz w:val="18"/>
                <w:szCs w:val="18"/>
                <w:vertAlign w:val="superscript"/>
                <w:lang w:val="en-GB" w:eastAsia="en-GB"/>
                <w14:ligatures w14:val="none"/>
              </w:rPr>
              <w:t>**</w:t>
            </w:r>
          </w:p>
        </w:tc>
        <w:tc>
          <w:tcPr>
            <w:tcW w:w="851" w:type="dxa"/>
            <w:tcBorders>
              <w:top w:val="nil"/>
              <w:left w:val="single" w:sz="4" w:space="0" w:color="000000"/>
              <w:bottom w:val="nil"/>
              <w:right w:val="single" w:sz="4" w:space="0" w:color="000000"/>
            </w:tcBorders>
            <w:noWrap/>
            <w:vAlign w:val="center"/>
            <w:hideMark/>
          </w:tcPr>
          <w:p w14:paraId="4554D25B"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.599</w:t>
            </w:r>
            <w:r w:rsidRPr="008410A6">
              <w:rPr>
                <w:rFonts w:ascii="Arial" w:eastAsia="Times New Roman" w:hAnsi="Arial" w:cs="Arial"/>
                <w:color w:val="000000"/>
                <w:kern w:val="0"/>
                <w:sz w:val="18"/>
                <w:szCs w:val="18"/>
                <w:vertAlign w:val="superscript"/>
                <w:lang w:val="en-GB" w:eastAsia="en-GB"/>
                <w14:ligatures w14:val="none"/>
              </w:rPr>
              <w:t>**</w:t>
            </w:r>
          </w:p>
        </w:tc>
        <w:tc>
          <w:tcPr>
            <w:tcW w:w="788" w:type="dxa"/>
            <w:tcBorders>
              <w:top w:val="nil"/>
              <w:left w:val="single" w:sz="4" w:space="0" w:color="000000"/>
              <w:bottom w:val="nil"/>
              <w:right w:val="single" w:sz="4" w:space="0" w:color="000000"/>
            </w:tcBorders>
            <w:noWrap/>
            <w:vAlign w:val="center"/>
            <w:hideMark/>
          </w:tcPr>
          <w:p w14:paraId="6216BFB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.562</w:t>
            </w:r>
            <w:r w:rsidRPr="008410A6">
              <w:rPr>
                <w:rFonts w:ascii="Arial" w:eastAsia="Times New Roman" w:hAnsi="Arial" w:cs="Arial"/>
                <w:color w:val="000000"/>
                <w:kern w:val="0"/>
                <w:sz w:val="18"/>
                <w:szCs w:val="18"/>
                <w:vertAlign w:val="superscript"/>
                <w:lang w:val="en-GB" w:eastAsia="en-GB"/>
                <w14:ligatures w14:val="none"/>
              </w:rPr>
              <w:t>**</w:t>
            </w:r>
          </w:p>
        </w:tc>
        <w:tc>
          <w:tcPr>
            <w:tcW w:w="911" w:type="dxa"/>
            <w:tcBorders>
              <w:top w:val="nil"/>
              <w:left w:val="single" w:sz="4" w:space="0" w:color="000000"/>
              <w:bottom w:val="nil"/>
              <w:right w:val="single" w:sz="4" w:space="0" w:color="000000"/>
            </w:tcBorders>
            <w:noWrap/>
            <w:vAlign w:val="center"/>
            <w:hideMark/>
          </w:tcPr>
          <w:p w14:paraId="1DC543A5"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.550</w:t>
            </w:r>
            <w:r w:rsidRPr="008410A6">
              <w:rPr>
                <w:rFonts w:ascii="Arial" w:eastAsia="Times New Roman" w:hAnsi="Arial" w:cs="Arial"/>
                <w:color w:val="000000"/>
                <w:kern w:val="0"/>
                <w:sz w:val="18"/>
                <w:szCs w:val="18"/>
                <w:vertAlign w:val="superscript"/>
                <w:lang w:val="en-GB" w:eastAsia="en-GB"/>
                <w14:ligatures w14:val="none"/>
              </w:rPr>
              <w:t>**</w:t>
            </w:r>
          </w:p>
        </w:tc>
        <w:tc>
          <w:tcPr>
            <w:tcW w:w="850" w:type="dxa"/>
            <w:tcBorders>
              <w:top w:val="nil"/>
              <w:left w:val="single" w:sz="4" w:space="0" w:color="000000"/>
              <w:bottom w:val="nil"/>
              <w:right w:val="single" w:sz="4" w:space="0" w:color="000000"/>
            </w:tcBorders>
            <w:noWrap/>
            <w:vAlign w:val="center"/>
            <w:hideMark/>
          </w:tcPr>
          <w:p w14:paraId="33C0CFF5"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.567</w:t>
            </w:r>
            <w:r w:rsidRPr="008410A6">
              <w:rPr>
                <w:rFonts w:ascii="Arial" w:eastAsia="Times New Roman" w:hAnsi="Arial" w:cs="Arial"/>
                <w:color w:val="000000"/>
                <w:kern w:val="0"/>
                <w:sz w:val="18"/>
                <w:szCs w:val="18"/>
                <w:vertAlign w:val="superscript"/>
                <w:lang w:val="en-GB" w:eastAsia="en-GB"/>
                <w14:ligatures w14:val="none"/>
              </w:rPr>
              <w:t>**</w:t>
            </w:r>
          </w:p>
        </w:tc>
        <w:tc>
          <w:tcPr>
            <w:tcW w:w="747" w:type="dxa"/>
            <w:tcBorders>
              <w:top w:val="nil"/>
              <w:left w:val="single" w:sz="4" w:space="0" w:color="000000"/>
              <w:bottom w:val="nil"/>
              <w:right w:val="single" w:sz="4" w:space="0" w:color="000000"/>
            </w:tcBorders>
            <w:noWrap/>
            <w:vAlign w:val="center"/>
            <w:hideMark/>
          </w:tcPr>
          <w:p w14:paraId="06F6BAA1"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.660</w:t>
            </w:r>
            <w:r w:rsidRPr="008410A6">
              <w:rPr>
                <w:rFonts w:ascii="Arial" w:eastAsia="Times New Roman" w:hAnsi="Arial" w:cs="Arial"/>
                <w:color w:val="000000"/>
                <w:kern w:val="0"/>
                <w:sz w:val="18"/>
                <w:szCs w:val="18"/>
                <w:vertAlign w:val="superscript"/>
                <w:lang w:val="en-GB" w:eastAsia="en-GB"/>
                <w14:ligatures w14:val="none"/>
              </w:rPr>
              <w:t>**</w:t>
            </w:r>
          </w:p>
        </w:tc>
        <w:tc>
          <w:tcPr>
            <w:tcW w:w="782" w:type="dxa"/>
            <w:tcBorders>
              <w:top w:val="nil"/>
              <w:left w:val="single" w:sz="4" w:space="0" w:color="000000"/>
              <w:bottom w:val="nil"/>
              <w:right w:val="single" w:sz="4" w:space="0" w:color="000000"/>
            </w:tcBorders>
            <w:noWrap/>
            <w:vAlign w:val="center"/>
            <w:hideMark/>
          </w:tcPr>
          <w:p w14:paraId="4262770C"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699" w:type="dxa"/>
            <w:tcBorders>
              <w:top w:val="nil"/>
              <w:left w:val="single" w:sz="4" w:space="0" w:color="000000"/>
              <w:bottom w:val="nil"/>
              <w:right w:val="single" w:sz="4" w:space="0" w:color="000000"/>
            </w:tcBorders>
            <w:noWrap/>
            <w:vAlign w:val="center"/>
            <w:hideMark/>
          </w:tcPr>
          <w:p w14:paraId="567DE8EA"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9" w:type="dxa"/>
            <w:tcBorders>
              <w:top w:val="nil"/>
              <w:left w:val="single" w:sz="4" w:space="0" w:color="000000"/>
              <w:bottom w:val="nil"/>
              <w:right w:val="single" w:sz="4" w:space="0" w:color="000000"/>
            </w:tcBorders>
            <w:noWrap/>
            <w:vAlign w:val="center"/>
            <w:hideMark/>
          </w:tcPr>
          <w:p w14:paraId="375D45E1"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104E9FA9"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5C49C981" w14:textId="77777777" w:rsidTr="008410A6">
        <w:trPr>
          <w:trHeight w:val="276"/>
          <w:jc w:val="center"/>
        </w:trPr>
        <w:tc>
          <w:tcPr>
            <w:tcW w:w="1827" w:type="dxa"/>
            <w:vMerge/>
            <w:tcBorders>
              <w:top w:val="nil"/>
              <w:left w:val="single" w:sz="12" w:space="0" w:color="000000"/>
              <w:bottom w:val="single" w:sz="4" w:space="0" w:color="000000"/>
              <w:right w:val="nil"/>
            </w:tcBorders>
            <w:vAlign w:val="center"/>
            <w:hideMark/>
          </w:tcPr>
          <w:p w14:paraId="154B5558"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708" w:type="dxa"/>
            <w:tcBorders>
              <w:top w:val="nil"/>
              <w:left w:val="nil"/>
              <w:bottom w:val="nil"/>
              <w:right w:val="single" w:sz="12" w:space="0" w:color="000000"/>
            </w:tcBorders>
            <w:hideMark/>
          </w:tcPr>
          <w:p w14:paraId="0615D096"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0DEFC623"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1" w:type="dxa"/>
            <w:tcBorders>
              <w:top w:val="nil"/>
              <w:left w:val="single" w:sz="4" w:space="0" w:color="000000"/>
              <w:bottom w:val="nil"/>
              <w:right w:val="single" w:sz="4" w:space="0" w:color="000000"/>
            </w:tcBorders>
            <w:noWrap/>
            <w:vAlign w:val="center"/>
            <w:hideMark/>
          </w:tcPr>
          <w:p w14:paraId="4290F6AB"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88" w:type="dxa"/>
            <w:tcBorders>
              <w:top w:val="nil"/>
              <w:left w:val="single" w:sz="4" w:space="0" w:color="000000"/>
              <w:bottom w:val="nil"/>
              <w:right w:val="single" w:sz="4" w:space="0" w:color="000000"/>
            </w:tcBorders>
            <w:noWrap/>
            <w:vAlign w:val="center"/>
            <w:hideMark/>
          </w:tcPr>
          <w:p w14:paraId="4E53E2AD"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911" w:type="dxa"/>
            <w:tcBorders>
              <w:top w:val="nil"/>
              <w:left w:val="single" w:sz="4" w:space="0" w:color="000000"/>
              <w:bottom w:val="nil"/>
              <w:right w:val="single" w:sz="4" w:space="0" w:color="000000"/>
            </w:tcBorders>
            <w:noWrap/>
            <w:vAlign w:val="center"/>
            <w:hideMark/>
          </w:tcPr>
          <w:p w14:paraId="032BD78D"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0" w:type="dxa"/>
            <w:tcBorders>
              <w:top w:val="nil"/>
              <w:left w:val="single" w:sz="4" w:space="0" w:color="000000"/>
              <w:bottom w:val="nil"/>
              <w:right w:val="single" w:sz="4" w:space="0" w:color="000000"/>
            </w:tcBorders>
            <w:noWrap/>
            <w:vAlign w:val="center"/>
            <w:hideMark/>
          </w:tcPr>
          <w:p w14:paraId="43F8E163"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47" w:type="dxa"/>
            <w:tcBorders>
              <w:top w:val="nil"/>
              <w:left w:val="single" w:sz="4" w:space="0" w:color="000000"/>
              <w:bottom w:val="nil"/>
              <w:right w:val="single" w:sz="4" w:space="0" w:color="000000"/>
            </w:tcBorders>
            <w:noWrap/>
            <w:vAlign w:val="center"/>
            <w:hideMark/>
          </w:tcPr>
          <w:p w14:paraId="3DEB7067"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82" w:type="dxa"/>
            <w:tcBorders>
              <w:top w:val="nil"/>
              <w:left w:val="single" w:sz="4" w:space="0" w:color="000000"/>
              <w:bottom w:val="nil"/>
              <w:right w:val="single" w:sz="4" w:space="0" w:color="000000"/>
            </w:tcBorders>
            <w:vAlign w:val="center"/>
            <w:hideMark/>
          </w:tcPr>
          <w:p w14:paraId="0C43FD4E"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9" w:type="dxa"/>
            <w:tcBorders>
              <w:top w:val="nil"/>
              <w:left w:val="single" w:sz="4" w:space="0" w:color="000000"/>
              <w:bottom w:val="nil"/>
              <w:right w:val="single" w:sz="4" w:space="0" w:color="000000"/>
            </w:tcBorders>
            <w:noWrap/>
            <w:vAlign w:val="center"/>
            <w:hideMark/>
          </w:tcPr>
          <w:p w14:paraId="275963AB"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9" w:type="dxa"/>
            <w:tcBorders>
              <w:top w:val="nil"/>
              <w:left w:val="single" w:sz="4" w:space="0" w:color="000000"/>
              <w:bottom w:val="nil"/>
              <w:right w:val="single" w:sz="4" w:space="0" w:color="000000"/>
            </w:tcBorders>
            <w:noWrap/>
            <w:vAlign w:val="center"/>
            <w:hideMark/>
          </w:tcPr>
          <w:p w14:paraId="2B5151CB"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69BB94D6"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7378C991" w14:textId="77777777" w:rsidTr="008410A6">
        <w:trPr>
          <w:trHeight w:val="276"/>
          <w:jc w:val="center"/>
        </w:trPr>
        <w:tc>
          <w:tcPr>
            <w:tcW w:w="1827" w:type="dxa"/>
            <w:vMerge w:val="restart"/>
            <w:tcBorders>
              <w:top w:val="nil"/>
              <w:left w:val="single" w:sz="12" w:space="0" w:color="000000"/>
              <w:bottom w:val="single" w:sz="4" w:space="0" w:color="000000"/>
              <w:right w:val="nil"/>
            </w:tcBorders>
            <w:hideMark/>
          </w:tcPr>
          <w:p w14:paraId="15C44C0F"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31. </w:t>
            </w:r>
            <w:r w:rsidRPr="008410A6">
              <w:rPr>
                <w:rFonts w:ascii="Arial" w:eastAsia="Times New Roman" w:hAnsi="Arial" w:cs="Arial"/>
                <w:color w:val="000000"/>
                <w:kern w:val="0"/>
                <w:sz w:val="18"/>
                <w:szCs w:val="18"/>
                <w:rtl/>
                <w:lang w:val="en-GB" w:eastAsia="en-GB"/>
                <w14:ligatures w14:val="none"/>
              </w:rPr>
              <w:t>يُشجَّع التعاون والعمل الجماعي بين الزملاء</w:t>
            </w:r>
            <w:r w:rsidRPr="008410A6">
              <w:rPr>
                <w:rFonts w:ascii="Arial" w:eastAsia="Times New Roman" w:hAnsi="Arial" w:cs="Arial"/>
                <w:color w:val="000000"/>
                <w:kern w:val="0"/>
                <w:sz w:val="18"/>
                <w:szCs w:val="18"/>
                <w:lang w:val="en-GB" w:eastAsia="en-GB"/>
                <w14:ligatures w14:val="none"/>
              </w:rPr>
              <w:t>.</w:t>
            </w:r>
          </w:p>
        </w:tc>
        <w:tc>
          <w:tcPr>
            <w:tcW w:w="708" w:type="dxa"/>
            <w:tcBorders>
              <w:top w:val="nil"/>
              <w:left w:val="nil"/>
              <w:bottom w:val="nil"/>
              <w:right w:val="single" w:sz="12" w:space="0" w:color="000000"/>
            </w:tcBorders>
            <w:hideMark/>
          </w:tcPr>
          <w:p w14:paraId="26A68809"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5DBD77AA"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.505</w:t>
            </w:r>
            <w:r w:rsidRPr="008410A6">
              <w:rPr>
                <w:rFonts w:ascii="Arial" w:eastAsia="Times New Roman" w:hAnsi="Arial" w:cs="Arial"/>
                <w:color w:val="000000"/>
                <w:kern w:val="0"/>
                <w:sz w:val="18"/>
                <w:szCs w:val="18"/>
                <w:vertAlign w:val="superscript"/>
                <w:lang w:val="en-GB" w:eastAsia="en-GB"/>
                <w14:ligatures w14:val="none"/>
              </w:rPr>
              <w:t>**</w:t>
            </w:r>
          </w:p>
        </w:tc>
        <w:tc>
          <w:tcPr>
            <w:tcW w:w="851" w:type="dxa"/>
            <w:tcBorders>
              <w:top w:val="nil"/>
              <w:left w:val="single" w:sz="4" w:space="0" w:color="000000"/>
              <w:bottom w:val="nil"/>
              <w:right w:val="single" w:sz="4" w:space="0" w:color="000000"/>
            </w:tcBorders>
            <w:noWrap/>
            <w:vAlign w:val="center"/>
            <w:hideMark/>
          </w:tcPr>
          <w:p w14:paraId="48A4B00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.518</w:t>
            </w:r>
            <w:r w:rsidRPr="008410A6">
              <w:rPr>
                <w:rFonts w:ascii="Arial" w:eastAsia="Times New Roman" w:hAnsi="Arial" w:cs="Arial"/>
                <w:color w:val="000000"/>
                <w:kern w:val="0"/>
                <w:sz w:val="18"/>
                <w:szCs w:val="18"/>
                <w:vertAlign w:val="superscript"/>
                <w:lang w:val="en-GB" w:eastAsia="en-GB"/>
                <w14:ligatures w14:val="none"/>
              </w:rPr>
              <w:t>**</w:t>
            </w:r>
          </w:p>
        </w:tc>
        <w:tc>
          <w:tcPr>
            <w:tcW w:w="788" w:type="dxa"/>
            <w:tcBorders>
              <w:top w:val="nil"/>
              <w:left w:val="single" w:sz="4" w:space="0" w:color="000000"/>
              <w:bottom w:val="nil"/>
              <w:right w:val="single" w:sz="4" w:space="0" w:color="000000"/>
            </w:tcBorders>
            <w:noWrap/>
            <w:vAlign w:val="center"/>
            <w:hideMark/>
          </w:tcPr>
          <w:p w14:paraId="71015B92"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.526</w:t>
            </w:r>
            <w:r w:rsidRPr="008410A6">
              <w:rPr>
                <w:rFonts w:ascii="Arial" w:eastAsia="Times New Roman" w:hAnsi="Arial" w:cs="Arial"/>
                <w:color w:val="000000"/>
                <w:kern w:val="0"/>
                <w:sz w:val="18"/>
                <w:szCs w:val="18"/>
                <w:vertAlign w:val="superscript"/>
                <w:lang w:val="en-GB" w:eastAsia="en-GB"/>
                <w14:ligatures w14:val="none"/>
              </w:rPr>
              <w:t>**</w:t>
            </w:r>
          </w:p>
        </w:tc>
        <w:tc>
          <w:tcPr>
            <w:tcW w:w="911" w:type="dxa"/>
            <w:tcBorders>
              <w:top w:val="nil"/>
              <w:left w:val="single" w:sz="4" w:space="0" w:color="000000"/>
              <w:bottom w:val="nil"/>
              <w:right w:val="single" w:sz="4" w:space="0" w:color="000000"/>
            </w:tcBorders>
            <w:noWrap/>
            <w:vAlign w:val="center"/>
            <w:hideMark/>
          </w:tcPr>
          <w:p w14:paraId="5C22F33D"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.556</w:t>
            </w:r>
            <w:r w:rsidRPr="008410A6">
              <w:rPr>
                <w:rFonts w:ascii="Arial" w:eastAsia="Times New Roman" w:hAnsi="Arial" w:cs="Arial"/>
                <w:color w:val="000000"/>
                <w:kern w:val="0"/>
                <w:sz w:val="18"/>
                <w:szCs w:val="18"/>
                <w:vertAlign w:val="superscript"/>
                <w:lang w:val="en-GB" w:eastAsia="en-GB"/>
                <w14:ligatures w14:val="none"/>
              </w:rPr>
              <w:t>**</w:t>
            </w:r>
          </w:p>
        </w:tc>
        <w:tc>
          <w:tcPr>
            <w:tcW w:w="850" w:type="dxa"/>
            <w:tcBorders>
              <w:top w:val="nil"/>
              <w:left w:val="single" w:sz="4" w:space="0" w:color="000000"/>
              <w:bottom w:val="nil"/>
              <w:right w:val="single" w:sz="4" w:space="0" w:color="000000"/>
            </w:tcBorders>
            <w:noWrap/>
            <w:vAlign w:val="center"/>
            <w:hideMark/>
          </w:tcPr>
          <w:p w14:paraId="43DA4719"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.518</w:t>
            </w:r>
            <w:r w:rsidRPr="008410A6">
              <w:rPr>
                <w:rFonts w:ascii="Arial" w:eastAsia="Times New Roman" w:hAnsi="Arial" w:cs="Arial"/>
                <w:color w:val="000000"/>
                <w:kern w:val="0"/>
                <w:sz w:val="18"/>
                <w:szCs w:val="18"/>
                <w:vertAlign w:val="superscript"/>
                <w:lang w:val="en-GB" w:eastAsia="en-GB"/>
                <w14:ligatures w14:val="none"/>
              </w:rPr>
              <w:t>**</w:t>
            </w:r>
          </w:p>
        </w:tc>
        <w:tc>
          <w:tcPr>
            <w:tcW w:w="747" w:type="dxa"/>
            <w:tcBorders>
              <w:top w:val="nil"/>
              <w:left w:val="single" w:sz="4" w:space="0" w:color="000000"/>
              <w:bottom w:val="nil"/>
              <w:right w:val="single" w:sz="4" w:space="0" w:color="000000"/>
            </w:tcBorders>
            <w:noWrap/>
            <w:vAlign w:val="center"/>
            <w:hideMark/>
          </w:tcPr>
          <w:p w14:paraId="27E65F0D"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.656</w:t>
            </w:r>
            <w:r w:rsidRPr="008410A6">
              <w:rPr>
                <w:rFonts w:ascii="Arial" w:eastAsia="Times New Roman" w:hAnsi="Arial" w:cs="Arial"/>
                <w:color w:val="000000"/>
                <w:kern w:val="0"/>
                <w:sz w:val="18"/>
                <w:szCs w:val="18"/>
                <w:vertAlign w:val="superscript"/>
                <w:lang w:val="en-GB" w:eastAsia="en-GB"/>
                <w14:ligatures w14:val="none"/>
              </w:rPr>
              <w:t>**</w:t>
            </w:r>
          </w:p>
        </w:tc>
        <w:tc>
          <w:tcPr>
            <w:tcW w:w="782" w:type="dxa"/>
            <w:tcBorders>
              <w:top w:val="nil"/>
              <w:left w:val="single" w:sz="4" w:space="0" w:color="000000"/>
              <w:bottom w:val="nil"/>
              <w:right w:val="single" w:sz="4" w:space="0" w:color="000000"/>
            </w:tcBorders>
            <w:noWrap/>
            <w:vAlign w:val="center"/>
            <w:hideMark/>
          </w:tcPr>
          <w:p w14:paraId="4BD94ED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.674</w:t>
            </w:r>
            <w:r w:rsidRPr="008410A6">
              <w:rPr>
                <w:rFonts w:ascii="Arial" w:eastAsia="Times New Roman" w:hAnsi="Arial" w:cs="Arial"/>
                <w:color w:val="000000"/>
                <w:kern w:val="0"/>
                <w:sz w:val="18"/>
                <w:szCs w:val="18"/>
                <w:vertAlign w:val="superscript"/>
                <w:lang w:val="en-GB" w:eastAsia="en-GB"/>
                <w14:ligatures w14:val="none"/>
              </w:rPr>
              <w:t>**</w:t>
            </w:r>
          </w:p>
        </w:tc>
        <w:tc>
          <w:tcPr>
            <w:tcW w:w="699" w:type="dxa"/>
            <w:tcBorders>
              <w:top w:val="nil"/>
              <w:left w:val="single" w:sz="4" w:space="0" w:color="000000"/>
              <w:bottom w:val="nil"/>
              <w:right w:val="single" w:sz="4" w:space="0" w:color="000000"/>
            </w:tcBorders>
            <w:noWrap/>
            <w:vAlign w:val="center"/>
            <w:hideMark/>
          </w:tcPr>
          <w:p w14:paraId="6AB15A46"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749" w:type="dxa"/>
            <w:tcBorders>
              <w:top w:val="nil"/>
              <w:left w:val="single" w:sz="4" w:space="0" w:color="000000"/>
              <w:bottom w:val="nil"/>
              <w:right w:val="single" w:sz="4" w:space="0" w:color="000000"/>
            </w:tcBorders>
            <w:noWrap/>
            <w:vAlign w:val="center"/>
            <w:hideMark/>
          </w:tcPr>
          <w:p w14:paraId="30E13208"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4A492762"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5D367B76" w14:textId="77777777" w:rsidTr="008410A6">
        <w:trPr>
          <w:trHeight w:val="276"/>
          <w:jc w:val="center"/>
        </w:trPr>
        <w:tc>
          <w:tcPr>
            <w:tcW w:w="1827" w:type="dxa"/>
            <w:vMerge/>
            <w:tcBorders>
              <w:top w:val="nil"/>
              <w:left w:val="single" w:sz="12" w:space="0" w:color="000000"/>
              <w:bottom w:val="single" w:sz="4" w:space="0" w:color="000000"/>
              <w:right w:val="nil"/>
            </w:tcBorders>
            <w:vAlign w:val="center"/>
            <w:hideMark/>
          </w:tcPr>
          <w:p w14:paraId="7BD9C040"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708" w:type="dxa"/>
            <w:tcBorders>
              <w:top w:val="nil"/>
              <w:left w:val="nil"/>
              <w:bottom w:val="nil"/>
              <w:right w:val="single" w:sz="12" w:space="0" w:color="000000"/>
            </w:tcBorders>
            <w:hideMark/>
          </w:tcPr>
          <w:p w14:paraId="6BB14BC3"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0BB46311"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1" w:type="dxa"/>
            <w:tcBorders>
              <w:top w:val="nil"/>
              <w:left w:val="single" w:sz="4" w:space="0" w:color="000000"/>
              <w:bottom w:val="nil"/>
              <w:right w:val="single" w:sz="4" w:space="0" w:color="000000"/>
            </w:tcBorders>
            <w:noWrap/>
            <w:vAlign w:val="center"/>
            <w:hideMark/>
          </w:tcPr>
          <w:p w14:paraId="224933F5"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88" w:type="dxa"/>
            <w:tcBorders>
              <w:top w:val="nil"/>
              <w:left w:val="single" w:sz="4" w:space="0" w:color="000000"/>
              <w:bottom w:val="nil"/>
              <w:right w:val="single" w:sz="4" w:space="0" w:color="000000"/>
            </w:tcBorders>
            <w:noWrap/>
            <w:vAlign w:val="center"/>
            <w:hideMark/>
          </w:tcPr>
          <w:p w14:paraId="6D5AFAFE"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911" w:type="dxa"/>
            <w:tcBorders>
              <w:top w:val="nil"/>
              <w:left w:val="single" w:sz="4" w:space="0" w:color="000000"/>
              <w:bottom w:val="nil"/>
              <w:right w:val="single" w:sz="4" w:space="0" w:color="000000"/>
            </w:tcBorders>
            <w:noWrap/>
            <w:vAlign w:val="center"/>
            <w:hideMark/>
          </w:tcPr>
          <w:p w14:paraId="565BDCEE"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0" w:type="dxa"/>
            <w:tcBorders>
              <w:top w:val="nil"/>
              <w:left w:val="single" w:sz="4" w:space="0" w:color="000000"/>
              <w:bottom w:val="nil"/>
              <w:right w:val="single" w:sz="4" w:space="0" w:color="000000"/>
            </w:tcBorders>
            <w:noWrap/>
            <w:vAlign w:val="center"/>
            <w:hideMark/>
          </w:tcPr>
          <w:p w14:paraId="1D377DA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47" w:type="dxa"/>
            <w:tcBorders>
              <w:top w:val="nil"/>
              <w:left w:val="single" w:sz="4" w:space="0" w:color="000000"/>
              <w:bottom w:val="nil"/>
              <w:right w:val="single" w:sz="4" w:space="0" w:color="000000"/>
            </w:tcBorders>
            <w:noWrap/>
            <w:vAlign w:val="center"/>
            <w:hideMark/>
          </w:tcPr>
          <w:p w14:paraId="74DBB49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82" w:type="dxa"/>
            <w:tcBorders>
              <w:top w:val="nil"/>
              <w:left w:val="single" w:sz="4" w:space="0" w:color="000000"/>
              <w:bottom w:val="nil"/>
              <w:right w:val="single" w:sz="4" w:space="0" w:color="000000"/>
            </w:tcBorders>
            <w:noWrap/>
            <w:vAlign w:val="center"/>
            <w:hideMark/>
          </w:tcPr>
          <w:p w14:paraId="2BAD32D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99" w:type="dxa"/>
            <w:tcBorders>
              <w:top w:val="nil"/>
              <w:left w:val="single" w:sz="4" w:space="0" w:color="000000"/>
              <w:bottom w:val="nil"/>
              <w:right w:val="single" w:sz="4" w:space="0" w:color="000000"/>
            </w:tcBorders>
            <w:vAlign w:val="center"/>
            <w:hideMark/>
          </w:tcPr>
          <w:p w14:paraId="2E855946"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49" w:type="dxa"/>
            <w:tcBorders>
              <w:top w:val="nil"/>
              <w:left w:val="single" w:sz="4" w:space="0" w:color="000000"/>
              <w:bottom w:val="nil"/>
              <w:right w:val="single" w:sz="4" w:space="0" w:color="000000"/>
            </w:tcBorders>
            <w:noWrap/>
            <w:vAlign w:val="center"/>
            <w:hideMark/>
          </w:tcPr>
          <w:p w14:paraId="4CBE981D"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46DE6787"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5FA395DF" w14:textId="77777777" w:rsidTr="008410A6">
        <w:trPr>
          <w:trHeight w:val="276"/>
          <w:jc w:val="center"/>
        </w:trPr>
        <w:tc>
          <w:tcPr>
            <w:tcW w:w="1827" w:type="dxa"/>
            <w:vMerge w:val="restart"/>
            <w:tcBorders>
              <w:top w:val="nil"/>
              <w:left w:val="single" w:sz="12" w:space="0" w:color="000000"/>
              <w:bottom w:val="single" w:sz="4" w:space="0" w:color="000000"/>
              <w:right w:val="nil"/>
            </w:tcBorders>
            <w:hideMark/>
          </w:tcPr>
          <w:p w14:paraId="0E2B3A68"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32. </w:t>
            </w:r>
            <w:r w:rsidRPr="008410A6">
              <w:rPr>
                <w:rFonts w:ascii="Arial" w:eastAsia="Times New Roman" w:hAnsi="Arial" w:cs="Arial"/>
                <w:color w:val="000000"/>
                <w:kern w:val="0"/>
                <w:sz w:val="18"/>
                <w:szCs w:val="18"/>
                <w:rtl/>
                <w:lang w:val="en-GB" w:eastAsia="en-GB"/>
                <w14:ligatures w14:val="none"/>
              </w:rPr>
              <w:t>يُنظر إلى الموظفين على أنهم مساهمون رئيسيون في نجاح المنظمة</w:t>
            </w:r>
            <w:r w:rsidRPr="008410A6">
              <w:rPr>
                <w:rFonts w:ascii="Arial" w:eastAsia="Times New Roman" w:hAnsi="Arial" w:cs="Arial"/>
                <w:color w:val="000000"/>
                <w:kern w:val="0"/>
                <w:sz w:val="18"/>
                <w:szCs w:val="18"/>
                <w:lang w:val="en-GB" w:eastAsia="en-GB"/>
                <w14:ligatures w14:val="none"/>
              </w:rPr>
              <w:t>.</w:t>
            </w:r>
          </w:p>
        </w:tc>
        <w:tc>
          <w:tcPr>
            <w:tcW w:w="708" w:type="dxa"/>
            <w:tcBorders>
              <w:top w:val="nil"/>
              <w:left w:val="nil"/>
              <w:bottom w:val="nil"/>
              <w:right w:val="single" w:sz="12" w:space="0" w:color="000000"/>
            </w:tcBorders>
            <w:hideMark/>
          </w:tcPr>
          <w:p w14:paraId="2B6C67C6"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78D5CF0C"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.540</w:t>
            </w:r>
            <w:r w:rsidRPr="008410A6">
              <w:rPr>
                <w:rFonts w:ascii="Arial" w:eastAsia="Times New Roman" w:hAnsi="Arial" w:cs="Arial"/>
                <w:color w:val="000000"/>
                <w:kern w:val="0"/>
                <w:sz w:val="18"/>
                <w:szCs w:val="18"/>
                <w:vertAlign w:val="superscript"/>
                <w:lang w:val="en-GB" w:eastAsia="en-GB"/>
                <w14:ligatures w14:val="none"/>
              </w:rPr>
              <w:t>**</w:t>
            </w:r>
          </w:p>
        </w:tc>
        <w:tc>
          <w:tcPr>
            <w:tcW w:w="851" w:type="dxa"/>
            <w:tcBorders>
              <w:top w:val="nil"/>
              <w:left w:val="single" w:sz="4" w:space="0" w:color="000000"/>
              <w:bottom w:val="nil"/>
              <w:right w:val="single" w:sz="4" w:space="0" w:color="000000"/>
            </w:tcBorders>
            <w:noWrap/>
            <w:vAlign w:val="center"/>
            <w:hideMark/>
          </w:tcPr>
          <w:p w14:paraId="3D75016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.615</w:t>
            </w:r>
            <w:r w:rsidRPr="008410A6">
              <w:rPr>
                <w:rFonts w:ascii="Arial" w:eastAsia="Times New Roman" w:hAnsi="Arial" w:cs="Arial"/>
                <w:color w:val="000000"/>
                <w:kern w:val="0"/>
                <w:sz w:val="18"/>
                <w:szCs w:val="18"/>
                <w:vertAlign w:val="superscript"/>
                <w:lang w:val="en-GB" w:eastAsia="en-GB"/>
                <w14:ligatures w14:val="none"/>
              </w:rPr>
              <w:t>**</w:t>
            </w:r>
          </w:p>
        </w:tc>
        <w:tc>
          <w:tcPr>
            <w:tcW w:w="788" w:type="dxa"/>
            <w:tcBorders>
              <w:top w:val="nil"/>
              <w:left w:val="single" w:sz="4" w:space="0" w:color="000000"/>
              <w:bottom w:val="nil"/>
              <w:right w:val="single" w:sz="4" w:space="0" w:color="000000"/>
            </w:tcBorders>
            <w:noWrap/>
            <w:vAlign w:val="center"/>
            <w:hideMark/>
          </w:tcPr>
          <w:p w14:paraId="4CC4E5C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.587</w:t>
            </w:r>
            <w:r w:rsidRPr="008410A6">
              <w:rPr>
                <w:rFonts w:ascii="Arial" w:eastAsia="Times New Roman" w:hAnsi="Arial" w:cs="Arial"/>
                <w:color w:val="000000"/>
                <w:kern w:val="0"/>
                <w:sz w:val="18"/>
                <w:szCs w:val="18"/>
                <w:vertAlign w:val="superscript"/>
                <w:lang w:val="en-GB" w:eastAsia="en-GB"/>
                <w14:ligatures w14:val="none"/>
              </w:rPr>
              <w:t>**</w:t>
            </w:r>
          </w:p>
        </w:tc>
        <w:tc>
          <w:tcPr>
            <w:tcW w:w="911" w:type="dxa"/>
            <w:tcBorders>
              <w:top w:val="nil"/>
              <w:left w:val="single" w:sz="4" w:space="0" w:color="000000"/>
              <w:bottom w:val="nil"/>
              <w:right w:val="single" w:sz="4" w:space="0" w:color="000000"/>
            </w:tcBorders>
            <w:noWrap/>
            <w:vAlign w:val="center"/>
            <w:hideMark/>
          </w:tcPr>
          <w:p w14:paraId="38AEDC3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.551</w:t>
            </w:r>
            <w:r w:rsidRPr="008410A6">
              <w:rPr>
                <w:rFonts w:ascii="Arial" w:eastAsia="Times New Roman" w:hAnsi="Arial" w:cs="Arial"/>
                <w:color w:val="000000"/>
                <w:kern w:val="0"/>
                <w:sz w:val="18"/>
                <w:szCs w:val="18"/>
                <w:vertAlign w:val="superscript"/>
                <w:lang w:val="en-GB" w:eastAsia="en-GB"/>
                <w14:ligatures w14:val="none"/>
              </w:rPr>
              <w:t>**</w:t>
            </w:r>
          </w:p>
        </w:tc>
        <w:tc>
          <w:tcPr>
            <w:tcW w:w="850" w:type="dxa"/>
            <w:tcBorders>
              <w:top w:val="nil"/>
              <w:left w:val="single" w:sz="4" w:space="0" w:color="000000"/>
              <w:bottom w:val="nil"/>
              <w:right w:val="single" w:sz="4" w:space="0" w:color="000000"/>
            </w:tcBorders>
            <w:noWrap/>
            <w:vAlign w:val="center"/>
            <w:hideMark/>
          </w:tcPr>
          <w:p w14:paraId="27428E7C"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.610</w:t>
            </w:r>
            <w:r w:rsidRPr="008410A6">
              <w:rPr>
                <w:rFonts w:ascii="Arial" w:eastAsia="Times New Roman" w:hAnsi="Arial" w:cs="Arial"/>
                <w:color w:val="000000"/>
                <w:kern w:val="0"/>
                <w:sz w:val="18"/>
                <w:szCs w:val="18"/>
                <w:vertAlign w:val="superscript"/>
                <w:lang w:val="en-GB" w:eastAsia="en-GB"/>
                <w14:ligatures w14:val="none"/>
              </w:rPr>
              <w:t>**</w:t>
            </w:r>
          </w:p>
        </w:tc>
        <w:tc>
          <w:tcPr>
            <w:tcW w:w="747" w:type="dxa"/>
            <w:tcBorders>
              <w:top w:val="nil"/>
              <w:left w:val="single" w:sz="4" w:space="0" w:color="000000"/>
              <w:bottom w:val="nil"/>
              <w:right w:val="single" w:sz="4" w:space="0" w:color="000000"/>
            </w:tcBorders>
            <w:noWrap/>
            <w:vAlign w:val="center"/>
            <w:hideMark/>
          </w:tcPr>
          <w:p w14:paraId="3F60EB7C"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.640</w:t>
            </w:r>
            <w:r w:rsidRPr="008410A6">
              <w:rPr>
                <w:rFonts w:ascii="Arial" w:eastAsia="Times New Roman" w:hAnsi="Arial" w:cs="Arial"/>
                <w:color w:val="000000"/>
                <w:kern w:val="0"/>
                <w:sz w:val="18"/>
                <w:szCs w:val="18"/>
                <w:vertAlign w:val="superscript"/>
                <w:lang w:val="en-GB" w:eastAsia="en-GB"/>
                <w14:ligatures w14:val="none"/>
              </w:rPr>
              <w:t>**</w:t>
            </w:r>
          </w:p>
        </w:tc>
        <w:tc>
          <w:tcPr>
            <w:tcW w:w="782" w:type="dxa"/>
            <w:tcBorders>
              <w:top w:val="nil"/>
              <w:left w:val="single" w:sz="4" w:space="0" w:color="000000"/>
              <w:bottom w:val="nil"/>
              <w:right w:val="single" w:sz="4" w:space="0" w:color="000000"/>
            </w:tcBorders>
            <w:noWrap/>
            <w:vAlign w:val="center"/>
            <w:hideMark/>
          </w:tcPr>
          <w:p w14:paraId="0436D5FB"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.599</w:t>
            </w:r>
            <w:r w:rsidRPr="008410A6">
              <w:rPr>
                <w:rFonts w:ascii="Arial" w:eastAsia="Times New Roman" w:hAnsi="Arial" w:cs="Arial"/>
                <w:color w:val="000000"/>
                <w:kern w:val="0"/>
                <w:sz w:val="18"/>
                <w:szCs w:val="18"/>
                <w:vertAlign w:val="superscript"/>
                <w:lang w:val="en-GB" w:eastAsia="en-GB"/>
                <w14:ligatures w14:val="none"/>
              </w:rPr>
              <w:t>**</w:t>
            </w:r>
          </w:p>
        </w:tc>
        <w:tc>
          <w:tcPr>
            <w:tcW w:w="699" w:type="dxa"/>
            <w:tcBorders>
              <w:top w:val="nil"/>
              <w:left w:val="single" w:sz="4" w:space="0" w:color="000000"/>
              <w:bottom w:val="nil"/>
              <w:right w:val="single" w:sz="4" w:space="0" w:color="000000"/>
            </w:tcBorders>
            <w:noWrap/>
            <w:vAlign w:val="center"/>
            <w:hideMark/>
          </w:tcPr>
          <w:p w14:paraId="46BBC12B"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.583</w:t>
            </w:r>
            <w:r w:rsidRPr="008410A6">
              <w:rPr>
                <w:rFonts w:ascii="Arial" w:eastAsia="Times New Roman" w:hAnsi="Arial" w:cs="Arial"/>
                <w:color w:val="000000"/>
                <w:kern w:val="0"/>
                <w:sz w:val="18"/>
                <w:szCs w:val="18"/>
                <w:vertAlign w:val="superscript"/>
                <w:lang w:val="en-GB" w:eastAsia="en-GB"/>
                <w14:ligatures w14:val="none"/>
              </w:rPr>
              <w:t>**</w:t>
            </w:r>
          </w:p>
        </w:tc>
        <w:tc>
          <w:tcPr>
            <w:tcW w:w="749" w:type="dxa"/>
            <w:tcBorders>
              <w:top w:val="nil"/>
              <w:left w:val="single" w:sz="4" w:space="0" w:color="000000"/>
              <w:bottom w:val="nil"/>
              <w:right w:val="single" w:sz="4" w:space="0" w:color="000000"/>
            </w:tcBorders>
            <w:noWrap/>
            <w:vAlign w:val="center"/>
            <w:hideMark/>
          </w:tcPr>
          <w:p w14:paraId="2BEE774C"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710" w:type="dxa"/>
            <w:tcBorders>
              <w:top w:val="nil"/>
              <w:left w:val="single" w:sz="4" w:space="0" w:color="000000"/>
              <w:bottom w:val="nil"/>
              <w:right w:val="single" w:sz="12" w:space="0" w:color="000000"/>
            </w:tcBorders>
            <w:noWrap/>
            <w:vAlign w:val="center"/>
            <w:hideMark/>
          </w:tcPr>
          <w:p w14:paraId="76636EEE"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38B32EFE" w14:textId="77777777" w:rsidTr="008410A6">
        <w:trPr>
          <w:trHeight w:val="276"/>
          <w:jc w:val="center"/>
        </w:trPr>
        <w:tc>
          <w:tcPr>
            <w:tcW w:w="1827" w:type="dxa"/>
            <w:vMerge/>
            <w:tcBorders>
              <w:top w:val="nil"/>
              <w:left w:val="single" w:sz="12" w:space="0" w:color="000000"/>
              <w:bottom w:val="single" w:sz="4" w:space="0" w:color="000000"/>
              <w:right w:val="nil"/>
            </w:tcBorders>
            <w:vAlign w:val="center"/>
            <w:hideMark/>
          </w:tcPr>
          <w:p w14:paraId="21B97E21"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708" w:type="dxa"/>
            <w:tcBorders>
              <w:top w:val="nil"/>
              <w:left w:val="nil"/>
              <w:bottom w:val="nil"/>
              <w:right w:val="single" w:sz="12" w:space="0" w:color="000000"/>
            </w:tcBorders>
            <w:hideMark/>
          </w:tcPr>
          <w:p w14:paraId="642883F7"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015B7B9E"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1" w:type="dxa"/>
            <w:tcBorders>
              <w:top w:val="nil"/>
              <w:left w:val="single" w:sz="4" w:space="0" w:color="000000"/>
              <w:bottom w:val="nil"/>
              <w:right w:val="single" w:sz="4" w:space="0" w:color="000000"/>
            </w:tcBorders>
            <w:noWrap/>
            <w:vAlign w:val="center"/>
            <w:hideMark/>
          </w:tcPr>
          <w:p w14:paraId="2DA20A8E"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88" w:type="dxa"/>
            <w:tcBorders>
              <w:top w:val="nil"/>
              <w:left w:val="single" w:sz="4" w:space="0" w:color="000000"/>
              <w:bottom w:val="nil"/>
              <w:right w:val="single" w:sz="4" w:space="0" w:color="000000"/>
            </w:tcBorders>
            <w:noWrap/>
            <w:vAlign w:val="center"/>
            <w:hideMark/>
          </w:tcPr>
          <w:p w14:paraId="3C7BBF3B"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911" w:type="dxa"/>
            <w:tcBorders>
              <w:top w:val="nil"/>
              <w:left w:val="single" w:sz="4" w:space="0" w:color="000000"/>
              <w:bottom w:val="nil"/>
              <w:right w:val="single" w:sz="4" w:space="0" w:color="000000"/>
            </w:tcBorders>
            <w:noWrap/>
            <w:vAlign w:val="center"/>
            <w:hideMark/>
          </w:tcPr>
          <w:p w14:paraId="72641103"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0" w:type="dxa"/>
            <w:tcBorders>
              <w:top w:val="nil"/>
              <w:left w:val="single" w:sz="4" w:space="0" w:color="000000"/>
              <w:bottom w:val="nil"/>
              <w:right w:val="single" w:sz="4" w:space="0" w:color="000000"/>
            </w:tcBorders>
            <w:noWrap/>
            <w:vAlign w:val="center"/>
            <w:hideMark/>
          </w:tcPr>
          <w:p w14:paraId="03ED88B2"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47" w:type="dxa"/>
            <w:tcBorders>
              <w:top w:val="nil"/>
              <w:left w:val="single" w:sz="4" w:space="0" w:color="000000"/>
              <w:bottom w:val="nil"/>
              <w:right w:val="single" w:sz="4" w:space="0" w:color="000000"/>
            </w:tcBorders>
            <w:noWrap/>
            <w:vAlign w:val="center"/>
            <w:hideMark/>
          </w:tcPr>
          <w:p w14:paraId="4AA1B7A8"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82" w:type="dxa"/>
            <w:tcBorders>
              <w:top w:val="nil"/>
              <w:left w:val="single" w:sz="4" w:space="0" w:color="000000"/>
              <w:bottom w:val="nil"/>
              <w:right w:val="single" w:sz="4" w:space="0" w:color="000000"/>
            </w:tcBorders>
            <w:noWrap/>
            <w:vAlign w:val="center"/>
            <w:hideMark/>
          </w:tcPr>
          <w:p w14:paraId="390F7B3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99" w:type="dxa"/>
            <w:tcBorders>
              <w:top w:val="nil"/>
              <w:left w:val="single" w:sz="4" w:space="0" w:color="000000"/>
              <w:bottom w:val="nil"/>
              <w:right w:val="single" w:sz="4" w:space="0" w:color="000000"/>
            </w:tcBorders>
            <w:noWrap/>
            <w:vAlign w:val="center"/>
            <w:hideMark/>
          </w:tcPr>
          <w:p w14:paraId="21F64532"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49" w:type="dxa"/>
            <w:tcBorders>
              <w:top w:val="nil"/>
              <w:left w:val="single" w:sz="4" w:space="0" w:color="000000"/>
              <w:bottom w:val="nil"/>
              <w:right w:val="single" w:sz="4" w:space="0" w:color="000000"/>
            </w:tcBorders>
            <w:vAlign w:val="center"/>
            <w:hideMark/>
          </w:tcPr>
          <w:p w14:paraId="7FC957B1"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10" w:type="dxa"/>
            <w:tcBorders>
              <w:top w:val="nil"/>
              <w:left w:val="single" w:sz="4" w:space="0" w:color="000000"/>
              <w:bottom w:val="nil"/>
              <w:right w:val="single" w:sz="12" w:space="0" w:color="000000"/>
            </w:tcBorders>
            <w:noWrap/>
            <w:vAlign w:val="center"/>
            <w:hideMark/>
          </w:tcPr>
          <w:p w14:paraId="6A361AE8"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58C9775B" w14:textId="77777777" w:rsidTr="008410A6">
        <w:trPr>
          <w:trHeight w:val="276"/>
          <w:jc w:val="center"/>
        </w:trPr>
        <w:tc>
          <w:tcPr>
            <w:tcW w:w="1827" w:type="dxa"/>
            <w:vMerge w:val="restart"/>
            <w:tcBorders>
              <w:top w:val="nil"/>
              <w:left w:val="single" w:sz="12" w:space="0" w:color="000000"/>
              <w:bottom w:val="single" w:sz="4" w:space="0" w:color="000000"/>
              <w:right w:val="nil"/>
            </w:tcBorders>
            <w:hideMark/>
          </w:tcPr>
          <w:p w14:paraId="4D1E91A7"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rtl/>
                <w:lang w:val="en-GB" w:eastAsia="en-GB"/>
                <w14:ligatures w14:val="none"/>
              </w:rPr>
              <w:t>الثقافة التنظيمية</w:t>
            </w:r>
          </w:p>
        </w:tc>
        <w:tc>
          <w:tcPr>
            <w:tcW w:w="708" w:type="dxa"/>
            <w:tcBorders>
              <w:top w:val="nil"/>
              <w:left w:val="nil"/>
              <w:bottom w:val="nil"/>
              <w:right w:val="single" w:sz="12" w:space="0" w:color="000000"/>
            </w:tcBorders>
            <w:hideMark/>
          </w:tcPr>
          <w:p w14:paraId="28C6832B" w14:textId="77777777" w:rsidR="008410A6" w:rsidRPr="008410A6" w:rsidRDefault="008410A6" w:rsidP="008410A6">
            <w:pPr>
              <w:bidi/>
              <w:spacing w:after="0" w:line="240" w:lineRule="auto"/>
              <w:rPr>
                <w:rFonts w:ascii="Arial" w:eastAsia="Times New Roman" w:hAnsi="Arial" w:cs="Arial"/>
                <w:color w:val="000000"/>
                <w:kern w:val="0"/>
                <w:sz w:val="18"/>
                <w:szCs w:val="18"/>
                <w:rtl/>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62A2D7BE"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.705</w:t>
            </w:r>
            <w:r w:rsidRPr="008410A6">
              <w:rPr>
                <w:rFonts w:ascii="Arial" w:eastAsia="Times New Roman" w:hAnsi="Arial" w:cs="Arial"/>
                <w:color w:val="000000"/>
                <w:kern w:val="0"/>
                <w:sz w:val="18"/>
                <w:szCs w:val="18"/>
                <w:vertAlign w:val="superscript"/>
                <w:lang w:val="en-GB" w:eastAsia="en-GB"/>
                <w14:ligatures w14:val="none"/>
              </w:rPr>
              <w:t>**</w:t>
            </w:r>
          </w:p>
        </w:tc>
        <w:tc>
          <w:tcPr>
            <w:tcW w:w="851" w:type="dxa"/>
            <w:tcBorders>
              <w:top w:val="nil"/>
              <w:left w:val="single" w:sz="4" w:space="0" w:color="000000"/>
              <w:bottom w:val="nil"/>
              <w:right w:val="single" w:sz="4" w:space="0" w:color="000000"/>
            </w:tcBorders>
            <w:noWrap/>
            <w:vAlign w:val="center"/>
            <w:hideMark/>
          </w:tcPr>
          <w:p w14:paraId="1C3B8D09"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.782</w:t>
            </w:r>
            <w:r w:rsidRPr="008410A6">
              <w:rPr>
                <w:rFonts w:ascii="Arial" w:eastAsia="Times New Roman" w:hAnsi="Arial" w:cs="Arial"/>
                <w:color w:val="000000"/>
                <w:kern w:val="0"/>
                <w:sz w:val="18"/>
                <w:szCs w:val="18"/>
                <w:vertAlign w:val="superscript"/>
                <w:lang w:val="en-GB" w:eastAsia="en-GB"/>
                <w14:ligatures w14:val="none"/>
              </w:rPr>
              <w:t>**</w:t>
            </w:r>
          </w:p>
        </w:tc>
        <w:tc>
          <w:tcPr>
            <w:tcW w:w="788" w:type="dxa"/>
            <w:tcBorders>
              <w:top w:val="nil"/>
              <w:left w:val="single" w:sz="4" w:space="0" w:color="000000"/>
              <w:bottom w:val="nil"/>
              <w:right w:val="single" w:sz="4" w:space="0" w:color="000000"/>
            </w:tcBorders>
            <w:noWrap/>
            <w:vAlign w:val="center"/>
            <w:hideMark/>
          </w:tcPr>
          <w:p w14:paraId="339E5329"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.773</w:t>
            </w:r>
            <w:r w:rsidRPr="008410A6">
              <w:rPr>
                <w:rFonts w:ascii="Arial" w:eastAsia="Times New Roman" w:hAnsi="Arial" w:cs="Arial"/>
                <w:color w:val="000000"/>
                <w:kern w:val="0"/>
                <w:sz w:val="18"/>
                <w:szCs w:val="18"/>
                <w:vertAlign w:val="superscript"/>
                <w:lang w:val="en-GB" w:eastAsia="en-GB"/>
                <w14:ligatures w14:val="none"/>
              </w:rPr>
              <w:t>**</w:t>
            </w:r>
          </w:p>
        </w:tc>
        <w:tc>
          <w:tcPr>
            <w:tcW w:w="911" w:type="dxa"/>
            <w:tcBorders>
              <w:top w:val="nil"/>
              <w:left w:val="single" w:sz="4" w:space="0" w:color="000000"/>
              <w:bottom w:val="nil"/>
              <w:right w:val="single" w:sz="4" w:space="0" w:color="000000"/>
            </w:tcBorders>
            <w:noWrap/>
            <w:vAlign w:val="center"/>
            <w:hideMark/>
          </w:tcPr>
          <w:p w14:paraId="5BE90AE8"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.731</w:t>
            </w:r>
            <w:r w:rsidRPr="008410A6">
              <w:rPr>
                <w:rFonts w:ascii="Arial" w:eastAsia="Times New Roman" w:hAnsi="Arial" w:cs="Arial"/>
                <w:color w:val="000000"/>
                <w:kern w:val="0"/>
                <w:sz w:val="18"/>
                <w:szCs w:val="18"/>
                <w:vertAlign w:val="superscript"/>
                <w:lang w:val="en-GB" w:eastAsia="en-GB"/>
                <w14:ligatures w14:val="none"/>
              </w:rPr>
              <w:t>**</w:t>
            </w:r>
          </w:p>
        </w:tc>
        <w:tc>
          <w:tcPr>
            <w:tcW w:w="850" w:type="dxa"/>
            <w:tcBorders>
              <w:top w:val="nil"/>
              <w:left w:val="single" w:sz="4" w:space="0" w:color="000000"/>
              <w:bottom w:val="nil"/>
              <w:right w:val="single" w:sz="4" w:space="0" w:color="000000"/>
            </w:tcBorders>
            <w:noWrap/>
            <w:vAlign w:val="center"/>
            <w:hideMark/>
          </w:tcPr>
          <w:p w14:paraId="16545D45"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.767</w:t>
            </w:r>
            <w:r w:rsidRPr="008410A6">
              <w:rPr>
                <w:rFonts w:ascii="Arial" w:eastAsia="Times New Roman" w:hAnsi="Arial" w:cs="Arial"/>
                <w:color w:val="000000"/>
                <w:kern w:val="0"/>
                <w:sz w:val="18"/>
                <w:szCs w:val="18"/>
                <w:vertAlign w:val="superscript"/>
                <w:lang w:val="en-GB" w:eastAsia="en-GB"/>
                <w14:ligatures w14:val="none"/>
              </w:rPr>
              <w:t>**</w:t>
            </w:r>
          </w:p>
        </w:tc>
        <w:tc>
          <w:tcPr>
            <w:tcW w:w="747" w:type="dxa"/>
            <w:tcBorders>
              <w:top w:val="nil"/>
              <w:left w:val="single" w:sz="4" w:space="0" w:color="000000"/>
              <w:bottom w:val="nil"/>
              <w:right w:val="single" w:sz="4" w:space="0" w:color="000000"/>
            </w:tcBorders>
            <w:noWrap/>
            <w:vAlign w:val="center"/>
            <w:hideMark/>
          </w:tcPr>
          <w:p w14:paraId="3D8AE4A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.832</w:t>
            </w:r>
            <w:r w:rsidRPr="008410A6">
              <w:rPr>
                <w:rFonts w:ascii="Arial" w:eastAsia="Times New Roman" w:hAnsi="Arial" w:cs="Arial"/>
                <w:color w:val="000000"/>
                <w:kern w:val="0"/>
                <w:sz w:val="18"/>
                <w:szCs w:val="18"/>
                <w:vertAlign w:val="superscript"/>
                <w:lang w:val="en-GB" w:eastAsia="en-GB"/>
                <w14:ligatures w14:val="none"/>
              </w:rPr>
              <w:t>**</w:t>
            </w:r>
          </w:p>
        </w:tc>
        <w:tc>
          <w:tcPr>
            <w:tcW w:w="782" w:type="dxa"/>
            <w:tcBorders>
              <w:top w:val="nil"/>
              <w:left w:val="single" w:sz="4" w:space="0" w:color="000000"/>
              <w:bottom w:val="nil"/>
              <w:right w:val="single" w:sz="4" w:space="0" w:color="000000"/>
            </w:tcBorders>
            <w:noWrap/>
            <w:vAlign w:val="center"/>
            <w:hideMark/>
          </w:tcPr>
          <w:p w14:paraId="1471AFA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.824</w:t>
            </w:r>
            <w:r w:rsidRPr="008410A6">
              <w:rPr>
                <w:rFonts w:ascii="Arial" w:eastAsia="Times New Roman" w:hAnsi="Arial" w:cs="Arial"/>
                <w:color w:val="000000"/>
                <w:kern w:val="0"/>
                <w:sz w:val="18"/>
                <w:szCs w:val="18"/>
                <w:vertAlign w:val="superscript"/>
                <w:lang w:val="en-GB" w:eastAsia="en-GB"/>
                <w14:ligatures w14:val="none"/>
              </w:rPr>
              <w:t>**</w:t>
            </w:r>
          </w:p>
        </w:tc>
        <w:tc>
          <w:tcPr>
            <w:tcW w:w="699" w:type="dxa"/>
            <w:tcBorders>
              <w:top w:val="nil"/>
              <w:left w:val="single" w:sz="4" w:space="0" w:color="000000"/>
              <w:bottom w:val="nil"/>
              <w:right w:val="single" w:sz="4" w:space="0" w:color="000000"/>
            </w:tcBorders>
            <w:noWrap/>
            <w:vAlign w:val="center"/>
            <w:hideMark/>
          </w:tcPr>
          <w:p w14:paraId="686D9314"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.793</w:t>
            </w:r>
            <w:r w:rsidRPr="008410A6">
              <w:rPr>
                <w:rFonts w:ascii="Arial" w:eastAsia="Times New Roman" w:hAnsi="Arial" w:cs="Arial"/>
                <w:color w:val="000000"/>
                <w:kern w:val="0"/>
                <w:sz w:val="18"/>
                <w:szCs w:val="18"/>
                <w:vertAlign w:val="superscript"/>
                <w:lang w:val="en-GB" w:eastAsia="en-GB"/>
                <w14:ligatures w14:val="none"/>
              </w:rPr>
              <w:t>**</w:t>
            </w:r>
          </w:p>
        </w:tc>
        <w:tc>
          <w:tcPr>
            <w:tcW w:w="749" w:type="dxa"/>
            <w:tcBorders>
              <w:top w:val="nil"/>
              <w:left w:val="single" w:sz="4" w:space="0" w:color="000000"/>
              <w:bottom w:val="nil"/>
              <w:right w:val="single" w:sz="4" w:space="0" w:color="000000"/>
            </w:tcBorders>
            <w:noWrap/>
            <w:vAlign w:val="center"/>
            <w:hideMark/>
          </w:tcPr>
          <w:p w14:paraId="4EB0638C"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.814</w:t>
            </w:r>
            <w:r w:rsidRPr="008410A6">
              <w:rPr>
                <w:rFonts w:ascii="Arial" w:eastAsia="Times New Roman" w:hAnsi="Arial" w:cs="Arial"/>
                <w:color w:val="000000"/>
                <w:kern w:val="0"/>
                <w:sz w:val="18"/>
                <w:szCs w:val="18"/>
                <w:vertAlign w:val="superscript"/>
                <w:lang w:val="en-GB" w:eastAsia="en-GB"/>
                <w14:ligatures w14:val="none"/>
              </w:rPr>
              <w:t>**</w:t>
            </w:r>
          </w:p>
        </w:tc>
        <w:tc>
          <w:tcPr>
            <w:tcW w:w="710" w:type="dxa"/>
            <w:tcBorders>
              <w:top w:val="nil"/>
              <w:left w:val="single" w:sz="4" w:space="0" w:color="000000"/>
              <w:bottom w:val="nil"/>
              <w:right w:val="single" w:sz="12" w:space="0" w:color="000000"/>
            </w:tcBorders>
            <w:noWrap/>
            <w:vAlign w:val="center"/>
            <w:hideMark/>
          </w:tcPr>
          <w:p w14:paraId="5FE7C04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r>
      <w:tr w:rsidR="008410A6" w:rsidRPr="008410A6" w14:paraId="3A02EE21" w14:textId="77777777" w:rsidTr="008410A6">
        <w:trPr>
          <w:trHeight w:val="276"/>
          <w:jc w:val="center"/>
        </w:trPr>
        <w:tc>
          <w:tcPr>
            <w:tcW w:w="1827" w:type="dxa"/>
            <w:vMerge/>
            <w:tcBorders>
              <w:top w:val="nil"/>
              <w:left w:val="single" w:sz="12" w:space="0" w:color="000000"/>
              <w:bottom w:val="single" w:sz="4" w:space="0" w:color="000000"/>
              <w:right w:val="nil"/>
            </w:tcBorders>
            <w:vAlign w:val="center"/>
            <w:hideMark/>
          </w:tcPr>
          <w:p w14:paraId="43F4C409"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708" w:type="dxa"/>
            <w:tcBorders>
              <w:top w:val="nil"/>
              <w:left w:val="nil"/>
              <w:bottom w:val="nil"/>
              <w:right w:val="single" w:sz="12" w:space="0" w:color="000000"/>
            </w:tcBorders>
            <w:hideMark/>
          </w:tcPr>
          <w:p w14:paraId="20116F47"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57E6C0B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1" w:type="dxa"/>
            <w:tcBorders>
              <w:top w:val="nil"/>
              <w:left w:val="single" w:sz="4" w:space="0" w:color="000000"/>
              <w:bottom w:val="nil"/>
              <w:right w:val="single" w:sz="4" w:space="0" w:color="000000"/>
            </w:tcBorders>
            <w:noWrap/>
            <w:vAlign w:val="center"/>
            <w:hideMark/>
          </w:tcPr>
          <w:p w14:paraId="4A7D43F1"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88" w:type="dxa"/>
            <w:tcBorders>
              <w:top w:val="nil"/>
              <w:left w:val="single" w:sz="4" w:space="0" w:color="000000"/>
              <w:bottom w:val="nil"/>
              <w:right w:val="single" w:sz="4" w:space="0" w:color="000000"/>
            </w:tcBorders>
            <w:noWrap/>
            <w:vAlign w:val="center"/>
            <w:hideMark/>
          </w:tcPr>
          <w:p w14:paraId="42A44540"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911" w:type="dxa"/>
            <w:tcBorders>
              <w:top w:val="nil"/>
              <w:left w:val="single" w:sz="4" w:space="0" w:color="000000"/>
              <w:bottom w:val="nil"/>
              <w:right w:val="single" w:sz="4" w:space="0" w:color="000000"/>
            </w:tcBorders>
            <w:noWrap/>
            <w:vAlign w:val="center"/>
            <w:hideMark/>
          </w:tcPr>
          <w:p w14:paraId="330173C7"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0" w:type="dxa"/>
            <w:tcBorders>
              <w:top w:val="nil"/>
              <w:left w:val="single" w:sz="4" w:space="0" w:color="000000"/>
              <w:bottom w:val="nil"/>
              <w:right w:val="single" w:sz="4" w:space="0" w:color="000000"/>
            </w:tcBorders>
            <w:noWrap/>
            <w:vAlign w:val="center"/>
            <w:hideMark/>
          </w:tcPr>
          <w:p w14:paraId="59C376BA"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47" w:type="dxa"/>
            <w:tcBorders>
              <w:top w:val="nil"/>
              <w:left w:val="single" w:sz="4" w:space="0" w:color="000000"/>
              <w:bottom w:val="nil"/>
              <w:right w:val="single" w:sz="4" w:space="0" w:color="000000"/>
            </w:tcBorders>
            <w:noWrap/>
            <w:vAlign w:val="center"/>
            <w:hideMark/>
          </w:tcPr>
          <w:p w14:paraId="3AAEAAD1"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82" w:type="dxa"/>
            <w:tcBorders>
              <w:top w:val="nil"/>
              <w:left w:val="single" w:sz="4" w:space="0" w:color="000000"/>
              <w:bottom w:val="nil"/>
              <w:right w:val="single" w:sz="4" w:space="0" w:color="000000"/>
            </w:tcBorders>
            <w:noWrap/>
            <w:vAlign w:val="center"/>
            <w:hideMark/>
          </w:tcPr>
          <w:p w14:paraId="59DBE752"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99" w:type="dxa"/>
            <w:tcBorders>
              <w:top w:val="nil"/>
              <w:left w:val="single" w:sz="4" w:space="0" w:color="000000"/>
              <w:bottom w:val="nil"/>
              <w:right w:val="single" w:sz="4" w:space="0" w:color="000000"/>
            </w:tcBorders>
            <w:noWrap/>
            <w:vAlign w:val="center"/>
            <w:hideMark/>
          </w:tcPr>
          <w:p w14:paraId="644614FF"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49" w:type="dxa"/>
            <w:tcBorders>
              <w:top w:val="nil"/>
              <w:left w:val="single" w:sz="4" w:space="0" w:color="000000"/>
              <w:bottom w:val="nil"/>
              <w:right w:val="single" w:sz="4" w:space="0" w:color="000000"/>
            </w:tcBorders>
            <w:noWrap/>
            <w:vAlign w:val="center"/>
            <w:hideMark/>
          </w:tcPr>
          <w:p w14:paraId="6FA05D2A"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10" w:type="dxa"/>
            <w:tcBorders>
              <w:top w:val="nil"/>
              <w:left w:val="single" w:sz="4" w:space="0" w:color="000000"/>
              <w:bottom w:val="nil"/>
              <w:right w:val="single" w:sz="12" w:space="0" w:color="000000"/>
            </w:tcBorders>
            <w:vAlign w:val="center"/>
            <w:hideMark/>
          </w:tcPr>
          <w:p w14:paraId="76230EFD"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5DE7A6C1" w14:textId="77777777" w:rsidTr="008410A6">
        <w:trPr>
          <w:trHeight w:val="276"/>
          <w:jc w:val="center"/>
        </w:trPr>
        <w:tc>
          <w:tcPr>
            <w:tcW w:w="10331" w:type="dxa"/>
            <w:gridSpan w:val="12"/>
            <w:tcBorders>
              <w:top w:val="nil"/>
              <w:left w:val="nil"/>
              <w:bottom w:val="nil"/>
              <w:right w:val="nil"/>
            </w:tcBorders>
            <w:hideMark/>
          </w:tcPr>
          <w:p w14:paraId="1D764953"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Correlation is significant at the 0.01 level (2-tailed).</w:t>
            </w:r>
          </w:p>
        </w:tc>
      </w:tr>
    </w:tbl>
    <w:p w14:paraId="21F15D22" w14:textId="77777777" w:rsidR="006F3055" w:rsidRDefault="006F3055" w:rsidP="008410A6">
      <w:pPr>
        <w:bidi/>
        <w:rPr>
          <w:rFonts w:ascii="Times New Roman" w:hAnsi="Times New Roman" w:cs="Times New Roman"/>
          <w:sz w:val="28"/>
          <w:szCs w:val="28"/>
          <w:rtl/>
        </w:rPr>
      </w:pPr>
    </w:p>
    <w:p w14:paraId="568D5605" w14:textId="77777777" w:rsidR="006F3055" w:rsidRDefault="006F3055" w:rsidP="006F3055">
      <w:pPr>
        <w:bidi/>
        <w:rPr>
          <w:rFonts w:ascii="Times New Roman" w:hAnsi="Times New Roman" w:cs="Times New Roman"/>
          <w:sz w:val="28"/>
          <w:szCs w:val="28"/>
          <w:rtl/>
        </w:rPr>
      </w:pPr>
    </w:p>
    <w:p w14:paraId="6FB4863A" w14:textId="77777777" w:rsidR="006F3055" w:rsidRDefault="006F3055" w:rsidP="006F3055">
      <w:pPr>
        <w:bidi/>
        <w:rPr>
          <w:rFonts w:ascii="Times New Roman" w:hAnsi="Times New Roman" w:cs="Times New Roman"/>
          <w:sz w:val="28"/>
          <w:szCs w:val="28"/>
          <w:rtl/>
        </w:rPr>
      </w:pPr>
    </w:p>
    <w:p w14:paraId="55F10915" w14:textId="551660D3" w:rsidR="004275AD" w:rsidRPr="008410A6" w:rsidRDefault="008410A6" w:rsidP="006F3055">
      <w:pPr>
        <w:bidi/>
        <w:rPr>
          <w:rFonts w:ascii="Times New Roman" w:hAnsi="Times New Roman" w:cs="Times New Roman"/>
          <w:sz w:val="28"/>
          <w:szCs w:val="28"/>
          <w:rtl/>
          <w:lang w:bidi="ar-EG"/>
        </w:rPr>
      </w:pPr>
      <w:r>
        <w:rPr>
          <w:rFonts w:ascii="Times New Roman" w:hAnsi="Times New Roman" w:cs="Times New Roman" w:hint="cs"/>
          <w:sz w:val="28"/>
          <w:szCs w:val="28"/>
          <w:rtl/>
        </w:rPr>
        <w:t xml:space="preserve">جدول (3-8) يوضح </w:t>
      </w:r>
      <w:r>
        <w:rPr>
          <w:rFonts w:ascii="Times New Roman" w:hAnsi="Times New Roman" w:cs="Times New Roman" w:hint="cs"/>
          <w:sz w:val="28"/>
          <w:szCs w:val="28"/>
          <w:rtl/>
          <w:lang w:bidi="ar-EG"/>
        </w:rPr>
        <w:t>الارتباط لفقرات المحور التابع الأداء الابداعي مع محورها المجمع:</w:t>
      </w:r>
    </w:p>
    <w:tbl>
      <w:tblPr>
        <w:bidiVisual/>
        <w:tblW w:w="10575" w:type="dxa"/>
        <w:tblLook w:val="04A0" w:firstRow="1" w:lastRow="0" w:firstColumn="1" w:lastColumn="0" w:noHBand="0" w:noVBand="1"/>
      </w:tblPr>
      <w:tblGrid>
        <w:gridCol w:w="1253"/>
        <w:gridCol w:w="1097"/>
        <w:gridCol w:w="709"/>
        <w:gridCol w:w="705"/>
        <w:gridCol w:w="756"/>
        <w:gridCol w:w="660"/>
        <w:gridCol w:w="705"/>
        <w:gridCol w:w="690"/>
        <w:gridCol w:w="686"/>
        <w:gridCol w:w="757"/>
        <w:gridCol w:w="851"/>
        <w:gridCol w:w="859"/>
        <w:gridCol w:w="847"/>
      </w:tblGrid>
      <w:tr w:rsidR="008410A6" w:rsidRPr="008410A6" w14:paraId="64F4F73B" w14:textId="77777777" w:rsidTr="006F3055">
        <w:trPr>
          <w:trHeight w:val="288"/>
        </w:trPr>
        <w:tc>
          <w:tcPr>
            <w:tcW w:w="10575" w:type="dxa"/>
            <w:gridSpan w:val="13"/>
            <w:tcBorders>
              <w:top w:val="nil"/>
              <w:left w:val="nil"/>
              <w:bottom w:val="nil"/>
              <w:right w:val="nil"/>
            </w:tcBorders>
            <w:vAlign w:val="center"/>
            <w:hideMark/>
          </w:tcPr>
          <w:p w14:paraId="46592533" w14:textId="77777777" w:rsidR="008410A6" w:rsidRPr="008410A6" w:rsidRDefault="008410A6" w:rsidP="008410A6">
            <w:pPr>
              <w:spacing w:after="0" w:line="240" w:lineRule="auto"/>
              <w:jc w:val="center"/>
              <w:rPr>
                <w:rFonts w:ascii="Arial Bold" w:eastAsia="Times New Roman" w:hAnsi="Arial Bold" w:cs="Times New Roman"/>
                <w:b/>
                <w:bCs/>
                <w:color w:val="000000"/>
                <w:kern w:val="0"/>
                <w:sz w:val="18"/>
                <w:szCs w:val="18"/>
                <w:lang w:val="en-GB" w:eastAsia="en-GB"/>
                <w14:ligatures w14:val="none"/>
              </w:rPr>
            </w:pPr>
            <w:r w:rsidRPr="008410A6">
              <w:rPr>
                <w:rFonts w:ascii="Arial Bold" w:eastAsia="Times New Roman" w:hAnsi="Arial Bold" w:cs="Times New Roman"/>
                <w:b/>
                <w:bCs/>
                <w:color w:val="000000"/>
                <w:kern w:val="0"/>
                <w:sz w:val="18"/>
                <w:szCs w:val="18"/>
                <w:lang w:val="en-GB" w:eastAsia="en-GB"/>
                <w14:ligatures w14:val="none"/>
              </w:rPr>
              <w:lastRenderedPageBreak/>
              <w:t>Correlations</w:t>
            </w:r>
          </w:p>
        </w:tc>
      </w:tr>
      <w:tr w:rsidR="008410A6" w:rsidRPr="008410A6" w14:paraId="50DE54FA" w14:textId="77777777" w:rsidTr="006F3055">
        <w:trPr>
          <w:trHeight w:val="1176"/>
        </w:trPr>
        <w:tc>
          <w:tcPr>
            <w:tcW w:w="2350" w:type="dxa"/>
            <w:gridSpan w:val="2"/>
            <w:tcBorders>
              <w:top w:val="single" w:sz="12" w:space="0" w:color="000000"/>
              <w:left w:val="single" w:sz="12" w:space="0" w:color="000000"/>
              <w:bottom w:val="single" w:sz="12" w:space="0" w:color="000000"/>
              <w:right w:val="single" w:sz="12" w:space="0" w:color="000000"/>
            </w:tcBorders>
            <w:vAlign w:val="bottom"/>
            <w:hideMark/>
          </w:tcPr>
          <w:p w14:paraId="24BD8D3E"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09" w:type="dxa"/>
            <w:tcBorders>
              <w:top w:val="single" w:sz="12" w:space="0" w:color="000000"/>
              <w:left w:val="single" w:sz="12" w:space="0" w:color="000000"/>
              <w:bottom w:val="single" w:sz="12" w:space="0" w:color="000000"/>
              <w:right w:val="single" w:sz="4" w:space="0" w:color="000000"/>
            </w:tcBorders>
            <w:vAlign w:val="bottom"/>
            <w:hideMark/>
          </w:tcPr>
          <w:p w14:paraId="16E05233" w14:textId="77777777" w:rsidR="008410A6" w:rsidRPr="008410A6" w:rsidRDefault="008410A6" w:rsidP="008410A6">
            <w:pPr>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33. </w:t>
            </w:r>
            <w:r w:rsidRPr="008410A6">
              <w:rPr>
                <w:rFonts w:ascii="Arial" w:eastAsia="Times New Roman" w:hAnsi="Arial" w:cs="Arial"/>
                <w:color w:val="000000"/>
                <w:kern w:val="0"/>
                <w:sz w:val="18"/>
                <w:szCs w:val="18"/>
                <w:rtl/>
                <w:lang w:val="en-GB" w:eastAsia="en-GB"/>
                <w14:ligatures w14:val="none"/>
              </w:rPr>
              <w:t>أقدّم بانتظام</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أفكارًا جديدة لتحسين العمل</w:t>
            </w:r>
            <w:r w:rsidRPr="008410A6">
              <w:rPr>
                <w:rFonts w:ascii="Arial" w:eastAsia="Times New Roman" w:hAnsi="Arial" w:cs="Arial"/>
                <w:color w:val="000000"/>
                <w:kern w:val="0"/>
                <w:sz w:val="18"/>
                <w:szCs w:val="18"/>
                <w:lang w:val="en-GB" w:eastAsia="en-GB"/>
                <w14:ligatures w14:val="none"/>
              </w:rPr>
              <w:t>.</w:t>
            </w:r>
          </w:p>
        </w:tc>
        <w:tc>
          <w:tcPr>
            <w:tcW w:w="705" w:type="dxa"/>
            <w:tcBorders>
              <w:top w:val="single" w:sz="12" w:space="0" w:color="000000"/>
              <w:left w:val="single" w:sz="4" w:space="0" w:color="000000"/>
              <w:bottom w:val="single" w:sz="12" w:space="0" w:color="000000"/>
              <w:right w:val="single" w:sz="4" w:space="0" w:color="000000"/>
            </w:tcBorders>
            <w:vAlign w:val="bottom"/>
            <w:hideMark/>
          </w:tcPr>
          <w:p w14:paraId="36BE3DBA" w14:textId="77777777" w:rsidR="008410A6" w:rsidRPr="008410A6" w:rsidRDefault="008410A6" w:rsidP="008410A6">
            <w:pPr>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34. </w:t>
            </w:r>
            <w:r w:rsidRPr="008410A6">
              <w:rPr>
                <w:rFonts w:ascii="Arial" w:eastAsia="Times New Roman" w:hAnsi="Arial" w:cs="Arial"/>
                <w:color w:val="000000"/>
                <w:kern w:val="0"/>
                <w:sz w:val="18"/>
                <w:szCs w:val="18"/>
                <w:rtl/>
                <w:lang w:val="en-GB" w:eastAsia="en-GB"/>
                <w14:ligatures w14:val="none"/>
              </w:rPr>
              <w:t>أبحث عن حلول مبتكرة</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للتحديات اليومية</w:t>
            </w:r>
            <w:r w:rsidRPr="008410A6">
              <w:rPr>
                <w:rFonts w:ascii="Arial" w:eastAsia="Times New Roman" w:hAnsi="Arial" w:cs="Arial"/>
                <w:color w:val="000000"/>
                <w:kern w:val="0"/>
                <w:sz w:val="18"/>
                <w:szCs w:val="18"/>
                <w:lang w:val="en-GB" w:eastAsia="en-GB"/>
                <w14:ligatures w14:val="none"/>
              </w:rPr>
              <w:t>.</w:t>
            </w:r>
          </w:p>
        </w:tc>
        <w:tc>
          <w:tcPr>
            <w:tcW w:w="756" w:type="dxa"/>
            <w:tcBorders>
              <w:top w:val="single" w:sz="12" w:space="0" w:color="000000"/>
              <w:left w:val="single" w:sz="4" w:space="0" w:color="000000"/>
              <w:bottom w:val="single" w:sz="12" w:space="0" w:color="000000"/>
              <w:right w:val="single" w:sz="4" w:space="0" w:color="000000"/>
            </w:tcBorders>
            <w:vAlign w:val="bottom"/>
            <w:hideMark/>
          </w:tcPr>
          <w:p w14:paraId="3B52E22F" w14:textId="77777777" w:rsidR="008410A6" w:rsidRPr="008410A6" w:rsidRDefault="008410A6" w:rsidP="008410A6">
            <w:pPr>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35. </w:t>
            </w:r>
            <w:r w:rsidRPr="008410A6">
              <w:rPr>
                <w:rFonts w:ascii="Arial" w:eastAsia="Times New Roman" w:hAnsi="Arial" w:cs="Arial"/>
                <w:color w:val="000000"/>
                <w:kern w:val="0"/>
                <w:sz w:val="18"/>
                <w:szCs w:val="18"/>
                <w:rtl/>
                <w:lang w:val="en-GB" w:eastAsia="en-GB"/>
                <w14:ligatures w14:val="none"/>
              </w:rPr>
              <w:t>أشارك في تطوير</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الخدمات أو العمليات في مؤسستي</w:t>
            </w:r>
            <w:r w:rsidRPr="008410A6">
              <w:rPr>
                <w:rFonts w:ascii="Arial" w:eastAsia="Times New Roman" w:hAnsi="Arial" w:cs="Arial"/>
                <w:color w:val="000000"/>
                <w:kern w:val="0"/>
                <w:sz w:val="18"/>
                <w:szCs w:val="18"/>
                <w:lang w:val="en-GB" w:eastAsia="en-GB"/>
                <w14:ligatures w14:val="none"/>
              </w:rPr>
              <w:t>.</w:t>
            </w:r>
          </w:p>
        </w:tc>
        <w:tc>
          <w:tcPr>
            <w:tcW w:w="660" w:type="dxa"/>
            <w:tcBorders>
              <w:top w:val="single" w:sz="12" w:space="0" w:color="000000"/>
              <w:left w:val="single" w:sz="4" w:space="0" w:color="000000"/>
              <w:bottom w:val="single" w:sz="12" w:space="0" w:color="000000"/>
              <w:right w:val="single" w:sz="4" w:space="0" w:color="000000"/>
            </w:tcBorders>
            <w:vAlign w:val="bottom"/>
            <w:hideMark/>
          </w:tcPr>
          <w:p w14:paraId="75BC0834" w14:textId="77777777" w:rsidR="008410A6" w:rsidRPr="008410A6" w:rsidRDefault="008410A6" w:rsidP="008410A6">
            <w:pPr>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36. </w:t>
            </w:r>
            <w:r w:rsidRPr="008410A6">
              <w:rPr>
                <w:rFonts w:ascii="Arial" w:eastAsia="Times New Roman" w:hAnsi="Arial" w:cs="Arial"/>
                <w:color w:val="000000"/>
                <w:kern w:val="0"/>
                <w:sz w:val="18"/>
                <w:szCs w:val="18"/>
                <w:rtl/>
                <w:lang w:val="en-GB" w:eastAsia="en-GB"/>
                <w14:ligatures w14:val="none"/>
              </w:rPr>
              <w:t>أُظهر استعدادًا</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لتجربة أساليب جديدة في أداء مهامي</w:t>
            </w:r>
            <w:r w:rsidRPr="008410A6">
              <w:rPr>
                <w:rFonts w:ascii="Arial" w:eastAsia="Times New Roman" w:hAnsi="Arial" w:cs="Arial"/>
                <w:color w:val="000000"/>
                <w:kern w:val="0"/>
                <w:sz w:val="18"/>
                <w:szCs w:val="18"/>
                <w:lang w:val="en-GB" w:eastAsia="en-GB"/>
                <w14:ligatures w14:val="none"/>
              </w:rPr>
              <w:t>.</w:t>
            </w:r>
          </w:p>
        </w:tc>
        <w:tc>
          <w:tcPr>
            <w:tcW w:w="705" w:type="dxa"/>
            <w:tcBorders>
              <w:top w:val="single" w:sz="12" w:space="0" w:color="000000"/>
              <w:left w:val="single" w:sz="4" w:space="0" w:color="000000"/>
              <w:bottom w:val="single" w:sz="12" w:space="0" w:color="000000"/>
              <w:right w:val="single" w:sz="4" w:space="0" w:color="000000"/>
            </w:tcBorders>
            <w:vAlign w:val="bottom"/>
            <w:hideMark/>
          </w:tcPr>
          <w:p w14:paraId="499398A5" w14:textId="77777777" w:rsidR="008410A6" w:rsidRPr="008410A6" w:rsidRDefault="008410A6" w:rsidP="008410A6">
            <w:pPr>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36. </w:t>
            </w:r>
            <w:r w:rsidRPr="008410A6">
              <w:rPr>
                <w:rFonts w:ascii="Arial" w:eastAsia="Times New Roman" w:hAnsi="Arial" w:cs="Arial"/>
                <w:color w:val="000000"/>
                <w:kern w:val="0"/>
                <w:sz w:val="18"/>
                <w:szCs w:val="18"/>
                <w:rtl/>
                <w:lang w:val="en-GB" w:eastAsia="en-GB"/>
                <w14:ligatures w14:val="none"/>
              </w:rPr>
              <w:t>أساهم في تنفيذ</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الأفكار الجديدة وتحويلها إلى واقع عملي</w:t>
            </w:r>
            <w:r w:rsidRPr="008410A6">
              <w:rPr>
                <w:rFonts w:ascii="Arial" w:eastAsia="Times New Roman" w:hAnsi="Arial" w:cs="Arial"/>
                <w:color w:val="000000"/>
                <w:kern w:val="0"/>
                <w:sz w:val="18"/>
                <w:szCs w:val="18"/>
                <w:lang w:val="en-GB" w:eastAsia="en-GB"/>
                <w14:ligatures w14:val="none"/>
              </w:rPr>
              <w:t>.</w:t>
            </w:r>
          </w:p>
        </w:tc>
        <w:tc>
          <w:tcPr>
            <w:tcW w:w="690" w:type="dxa"/>
            <w:tcBorders>
              <w:top w:val="single" w:sz="12" w:space="0" w:color="000000"/>
              <w:left w:val="single" w:sz="4" w:space="0" w:color="000000"/>
              <w:bottom w:val="single" w:sz="12" w:space="0" w:color="000000"/>
              <w:right w:val="single" w:sz="4" w:space="0" w:color="000000"/>
            </w:tcBorders>
            <w:vAlign w:val="bottom"/>
            <w:hideMark/>
          </w:tcPr>
          <w:p w14:paraId="3E53BF31" w14:textId="77777777" w:rsidR="008410A6" w:rsidRPr="008410A6" w:rsidRDefault="008410A6" w:rsidP="008410A6">
            <w:pPr>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38. </w:t>
            </w:r>
            <w:r w:rsidRPr="008410A6">
              <w:rPr>
                <w:rFonts w:ascii="Arial" w:eastAsia="Times New Roman" w:hAnsi="Arial" w:cs="Arial"/>
                <w:color w:val="000000"/>
                <w:kern w:val="0"/>
                <w:sz w:val="18"/>
                <w:szCs w:val="18"/>
                <w:rtl/>
                <w:lang w:val="en-GB" w:eastAsia="en-GB"/>
                <w14:ligatures w14:val="none"/>
              </w:rPr>
              <w:t>أعمل على تحسين جودة</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الخدمات المقدّمة من خلال الابتكار</w:t>
            </w:r>
            <w:r w:rsidRPr="008410A6">
              <w:rPr>
                <w:rFonts w:ascii="Arial" w:eastAsia="Times New Roman" w:hAnsi="Arial" w:cs="Arial"/>
                <w:color w:val="000000"/>
                <w:kern w:val="0"/>
                <w:sz w:val="18"/>
                <w:szCs w:val="18"/>
                <w:lang w:val="en-GB" w:eastAsia="en-GB"/>
                <w14:ligatures w14:val="none"/>
              </w:rPr>
              <w:t>.</w:t>
            </w:r>
          </w:p>
        </w:tc>
        <w:tc>
          <w:tcPr>
            <w:tcW w:w="686" w:type="dxa"/>
            <w:tcBorders>
              <w:top w:val="single" w:sz="12" w:space="0" w:color="000000"/>
              <w:left w:val="single" w:sz="4" w:space="0" w:color="000000"/>
              <w:bottom w:val="single" w:sz="12" w:space="0" w:color="000000"/>
              <w:right w:val="single" w:sz="4" w:space="0" w:color="000000"/>
            </w:tcBorders>
            <w:vAlign w:val="bottom"/>
            <w:hideMark/>
          </w:tcPr>
          <w:p w14:paraId="2DDA9F0E" w14:textId="77777777" w:rsidR="008410A6" w:rsidRPr="008410A6" w:rsidRDefault="008410A6" w:rsidP="008410A6">
            <w:pPr>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39. </w:t>
            </w:r>
            <w:r w:rsidRPr="008410A6">
              <w:rPr>
                <w:rFonts w:ascii="Arial" w:eastAsia="Times New Roman" w:hAnsi="Arial" w:cs="Arial"/>
                <w:color w:val="000000"/>
                <w:kern w:val="0"/>
                <w:sz w:val="18"/>
                <w:szCs w:val="18"/>
                <w:rtl/>
                <w:lang w:val="en-GB" w:eastAsia="en-GB"/>
                <w14:ligatures w14:val="none"/>
              </w:rPr>
              <w:t>أُبادر بطرح أفكار</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تطويرية حتى دون طلب رسمي</w:t>
            </w:r>
            <w:r w:rsidRPr="008410A6">
              <w:rPr>
                <w:rFonts w:ascii="Arial" w:eastAsia="Times New Roman" w:hAnsi="Arial" w:cs="Arial"/>
                <w:color w:val="000000"/>
                <w:kern w:val="0"/>
                <w:sz w:val="18"/>
                <w:szCs w:val="18"/>
                <w:lang w:val="en-GB" w:eastAsia="en-GB"/>
                <w14:ligatures w14:val="none"/>
              </w:rPr>
              <w:t>.</w:t>
            </w:r>
          </w:p>
        </w:tc>
        <w:tc>
          <w:tcPr>
            <w:tcW w:w="757" w:type="dxa"/>
            <w:tcBorders>
              <w:top w:val="single" w:sz="12" w:space="0" w:color="000000"/>
              <w:left w:val="single" w:sz="4" w:space="0" w:color="000000"/>
              <w:bottom w:val="single" w:sz="12" w:space="0" w:color="000000"/>
              <w:right w:val="single" w:sz="4" w:space="0" w:color="000000"/>
            </w:tcBorders>
            <w:vAlign w:val="bottom"/>
            <w:hideMark/>
          </w:tcPr>
          <w:p w14:paraId="3714B746" w14:textId="77777777" w:rsidR="008410A6" w:rsidRPr="008410A6" w:rsidRDefault="008410A6" w:rsidP="008410A6">
            <w:pPr>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40. </w:t>
            </w:r>
            <w:r w:rsidRPr="008410A6">
              <w:rPr>
                <w:rFonts w:ascii="Arial" w:eastAsia="Times New Roman" w:hAnsi="Arial" w:cs="Arial"/>
                <w:color w:val="000000"/>
                <w:kern w:val="0"/>
                <w:sz w:val="18"/>
                <w:szCs w:val="18"/>
                <w:rtl/>
                <w:lang w:val="en-GB" w:eastAsia="en-GB"/>
                <w14:ligatures w14:val="none"/>
              </w:rPr>
              <w:t>أُشجّع زملائي على</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التفكير بطرق غير تقليدية</w:t>
            </w:r>
            <w:r w:rsidRPr="008410A6">
              <w:rPr>
                <w:rFonts w:ascii="Arial" w:eastAsia="Times New Roman" w:hAnsi="Arial" w:cs="Arial"/>
                <w:color w:val="000000"/>
                <w:kern w:val="0"/>
                <w:sz w:val="18"/>
                <w:szCs w:val="18"/>
                <w:lang w:val="en-GB" w:eastAsia="en-GB"/>
                <w14:ligatures w14:val="none"/>
              </w:rPr>
              <w:t>.</w:t>
            </w:r>
          </w:p>
        </w:tc>
        <w:tc>
          <w:tcPr>
            <w:tcW w:w="851" w:type="dxa"/>
            <w:tcBorders>
              <w:top w:val="single" w:sz="12" w:space="0" w:color="000000"/>
              <w:left w:val="single" w:sz="4" w:space="0" w:color="000000"/>
              <w:bottom w:val="single" w:sz="12" w:space="0" w:color="000000"/>
              <w:right w:val="single" w:sz="4" w:space="0" w:color="000000"/>
            </w:tcBorders>
            <w:vAlign w:val="bottom"/>
            <w:hideMark/>
          </w:tcPr>
          <w:p w14:paraId="30C7D471" w14:textId="77777777" w:rsidR="008410A6" w:rsidRPr="008410A6" w:rsidRDefault="008410A6" w:rsidP="008410A6">
            <w:pPr>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41. </w:t>
            </w:r>
            <w:r w:rsidRPr="008410A6">
              <w:rPr>
                <w:rFonts w:ascii="Arial" w:eastAsia="Times New Roman" w:hAnsi="Arial" w:cs="Arial"/>
                <w:color w:val="000000"/>
                <w:kern w:val="0"/>
                <w:sz w:val="18"/>
                <w:szCs w:val="18"/>
                <w:rtl/>
                <w:lang w:val="en-GB" w:eastAsia="en-GB"/>
                <w14:ligatures w14:val="none"/>
              </w:rPr>
              <w:t>أستفيد من خبراتي</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السابقة لإيجاد حلول مبتكرة للمشكلات</w:t>
            </w:r>
            <w:r w:rsidRPr="008410A6">
              <w:rPr>
                <w:rFonts w:ascii="Arial" w:eastAsia="Times New Roman" w:hAnsi="Arial" w:cs="Arial"/>
                <w:color w:val="000000"/>
                <w:kern w:val="0"/>
                <w:sz w:val="18"/>
                <w:szCs w:val="18"/>
                <w:lang w:val="en-GB" w:eastAsia="en-GB"/>
                <w14:ligatures w14:val="none"/>
              </w:rPr>
              <w:t>.</w:t>
            </w:r>
          </w:p>
        </w:tc>
        <w:tc>
          <w:tcPr>
            <w:tcW w:w="859" w:type="dxa"/>
            <w:tcBorders>
              <w:top w:val="single" w:sz="12" w:space="0" w:color="000000"/>
              <w:left w:val="single" w:sz="4" w:space="0" w:color="000000"/>
              <w:bottom w:val="single" w:sz="12" w:space="0" w:color="000000"/>
              <w:right w:val="single" w:sz="4" w:space="0" w:color="000000"/>
            </w:tcBorders>
            <w:vAlign w:val="bottom"/>
            <w:hideMark/>
          </w:tcPr>
          <w:p w14:paraId="7D2DCEFC" w14:textId="77777777" w:rsidR="008410A6" w:rsidRPr="008410A6" w:rsidRDefault="008410A6" w:rsidP="008410A6">
            <w:pPr>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42. </w:t>
            </w:r>
            <w:r w:rsidRPr="008410A6">
              <w:rPr>
                <w:rFonts w:ascii="Arial" w:eastAsia="Times New Roman" w:hAnsi="Arial" w:cs="Arial"/>
                <w:color w:val="000000"/>
                <w:kern w:val="0"/>
                <w:sz w:val="18"/>
                <w:szCs w:val="18"/>
                <w:rtl/>
                <w:lang w:val="en-GB" w:eastAsia="en-GB"/>
                <w14:ligatures w14:val="none"/>
              </w:rPr>
              <w:t>أعتبر الإبداع جزءًا</w:t>
            </w:r>
            <w:r w:rsidRPr="008410A6">
              <w:rPr>
                <w:rFonts w:ascii="Arial" w:eastAsia="Times New Roman" w:hAnsi="Arial" w:cs="Arial"/>
                <w:color w:val="000000"/>
                <w:kern w:val="0"/>
                <w:sz w:val="18"/>
                <w:szCs w:val="18"/>
                <w:lang w:val="en-GB" w:eastAsia="en-GB"/>
                <w14:ligatures w14:val="none"/>
              </w:rPr>
              <w:t xml:space="preserve"> </w:t>
            </w:r>
            <w:r w:rsidRPr="008410A6">
              <w:rPr>
                <w:rFonts w:ascii="Arial" w:eastAsia="Times New Roman" w:hAnsi="Arial" w:cs="Arial"/>
                <w:color w:val="000000"/>
                <w:kern w:val="0"/>
                <w:sz w:val="18"/>
                <w:szCs w:val="18"/>
                <w:rtl/>
                <w:lang w:val="en-GB" w:eastAsia="en-GB"/>
                <w14:ligatures w14:val="none"/>
              </w:rPr>
              <w:t>أساسيًا من مسؤوليتي المهنية</w:t>
            </w:r>
            <w:r w:rsidRPr="008410A6">
              <w:rPr>
                <w:rFonts w:ascii="Arial" w:eastAsia="Times New Roman" w:hAnsi="Arial" w:cs="Arial"/>
                <w:color w:val="000000"/>
                <w:kern w:val="0"/>
                <w:sz w:val="18"/>
                <w:szCs w:val="18"/>
                <w:lang w:val="en-GB" w:eastAsia="en-GB"/>
                <w14:ligatures w14:val="none"/>
              </w:rPr>
              <w:t>.</w:t>
            </w:r>
          </w:p>
        </w:tc>
        <w:tc>
          <w:tcPr>
            <w:tcW w:w="847" w:type="dxa"/>
            <w:tcBorders>
              <w:top w:val="single" w:sz="12" w:space="0" w:color="000000"/>
              <w:left w:val="single" w:sz="4" w:space="0" w:color="000000"/>
              <w:bottom w:val="single" w:sz="12" w:space="0" w:color="000000"/>
              <w:right w:val="single" w:sz="12" w:space="0" w:color="000000"/>
            </w:tcBorders>
            <w:vAlign w:val="bottom"/>
            <w:hideMark/>
          </w:tcPr>
          <w:p w14:paraId="616A94E1" w14:textId="77777777" w:rsidR="008410A6" w:rsidRPr="008410A6" w:rsidRDefault="008410A6" w:rsidP="008410A6">
            <w:pPr>
              <w:bidi/>
              <w:spacing w:after="0" w:line="240" w:lineRule="auto"/>
              <w:jc w:val="center"/>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rtl/>
                <w:lang w:val="en-GB" w:eastAsia="en-GB"/>
                <w14:ligatures w14:val="none"/>
              </w:rPr>
              <w:t>الأداء الإبداعي</w:t>
            </w:r>
          </w:p>
        </w:tc>
      </w:tr>
      <w:tr w:rsidR="008410A6" w:rsidRPr="008410A6" w14:paraId="4E9A8B6D" w14:textId="77777777" w:rsidTr="006F3055">
        <w:trPr>
          <w:trHeight w:val="288"/>
        </w:trPr>
        <w:tc>
          <w:tcPr>
            <w:tcW w:w="1253" w:type="dxa"/>
            <w:vMerge w:val="restart"/>
            <w:tcBorders>
              <w:top w:val="nil"/>
              <w:left w:val="single" w:sz="12" w:space="0" w:color="000000"/>
              <w:bottom w:val="single" w:sz="4" w:space="0" w:color="000000"/>
              <w:right w:val="nil"/>
            </w:tcBorders>
            <w:hideMark/>
          </w:tcPr>
          <w:p w14:paraId="7C6EE178" w14:textId="77777777" w:rsidR="008410A6" w:rsidRPr="008410A6" w:rsidRDefault="008410A6" w:rsidP="008410A6">
            <w:pPr>
              <w:spacing w:after="0" w:line="240" w:lineRule="auto"/>
              <w:rPr>
                <w:rFonts w:ascii="Arial" w:eastAsia="Times New Roman" w:hAnsi="Arial" w:cs="Arial"/>
                <w:color w:val="000000"/>
                <w:kern w:val="0"/>
                <w:sz w:val="18"/>
                <w:szCs w:val="18"/>
                <w:rtl/>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33. </w:t>
            </w:r>
            <w:r w:rsidRPr="008410A6">
              <w:rPr>
                <w:rFonts w:ascii="Arial" w:eastAsia="Times New Roman" w:hAnsi="Arial" w:cs="Arial"/>
                <w:color w:val="000000"/>
                <w:kern w:val="0"/>
                <w:sz w:val="18"/>
                <w:szCs w:val="18"/>
                <w:rtl/>
                <w:lang w:val="en-GB" w:eastAsia="en-GB"/>
                <w14:ligatures w14:val="none"/>
              </w:rPr>
              <w:t>أقدّم بانتظام أفكارًا جديدة لتحسين العمل</w:t>
            </w:r>
            <w:r w:rsidRPr="008410A6">
              <w:rPr>
                <w:rFonts w:ascii="Arial" w:eastAsia="Times New Roman" w:hAnsi="Arial" w:cs="Arial"/>
                <w:color w:val="000000"/>
                <w:kern w:val="0"/>
                <w:sz w:val="18"/>
                <w:szCs w:val="18"/>
                <w:lang w:val="en-GB" w:eastAsia="en-GB"/>
                <w14:ligatures w14:val="none"/>
              </w:rPr>
              <w:t>.</w:t>
            </w:r>
          </w:p>
        </w:tc>
        <w:tc>
          <w:tcPr>
            <w:tcW w:w="1097" w:type="dxa"/>
            <w:tcBorders>
              <w:top w:val="nil"/>
              <w:left w:val="nil"/>
              <w:bottom w:val="nil"/>
              <w:right w:val="single" w:sz="12" w:space="0" w:color="000000"/>
            </w:tcBorders>
            <w:hideMark/>
          </w:tcPr>
          <w:p w14:paraId="44CCB2F4"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7BFA05F1"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705" w:type="dxa"/>
            <w:tcBorders>
              <w:top w:val="nil"/>
              <w:left w:val="single" w:sz="4" w:space="0" w:color="000000"/>
              <w:bottom w:val="nil"/>
              <w:right w:val="single" w:sz="4" w:space="0" w:color="000000"/>
            </w:tcBorders>
            <w:noWrap/>
            <w:vAlign w:val="center"/>
            <w:hideMark/>
          </w:tcPr>
          <w:p w14:paraId="41C2DD7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6" w:type="dxa"/>
            <w:tcBorders>
              <w:top w:val="nil"/>
              <w:left w:val="single" w:sz="4" w:space="0" w:color="000000"/>
              <w:bottom w:val="nil"/>
              <w:right w:val="single" w:sz="4" w:space="0" w:color="000000"/>
            </w:tcBorders>
            <w:noWrap/>
            <w:vAlign w:val="center"/>
            <w:hideMark/>
          </w:tcPr>
          <w:p w14:paraId="6BB631A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60" w:type="dxa"/>
            <w:tcBorders>
              <w:top w:val="nil"/>
              <w:left w:val="single" w:sz="4" w:space="0" w:color="000000"/>
              <w:bottom w:val="nil"/>
              <w:right w:val="single" w:sz="4" w:space="0" w:color="000000"/>
            </w:tcBorders>
            <w:noWrap/>
            <w:vAlign w:val="center"/>
            <w:hideMark/>
          </w:tcPr>
          <w:p w14:paraId="479BF2A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05" w:type="dxa"/>
            <w:tcBorders>
              <w:top w:val="nil"/>
              <w:left w:val="single" w:sz="4" w:space="0" w:color="000000"/>
              <w:bottom w:val="nil"/>
              <w:right w:val="single" w:sz="4" w:space="0" w:color="000000"/>
            </w:tcBorders>
            <w:noWrap/>
            <w:vAlign w:val="center"/>
            <w:hideMark/>
          </w:tcPr>
          <w:p w14:paraId="44B94EA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0" w:type="dxa"/>
            <w:tcBorders>
              <w:top w:val="nil"/>
              <w:left w:val="single" w:sz="4" w:space="0" w:color="000000"/>
              <w:bottom w:val="nil"/>
              <w:right w:val="single" w:sz="4" w:space="0" w:color="000000"/>
            </w:tcBorders>
            <w:noWrap/>
            <w:vAlign w:val="center"/>
            <w:hideMark/>
          </w:tcPr>
          <w:p w14:paraId="140C4AC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86" w:type="dxa"/>
            <w:tcBorders>
              <w:top w:val="nil"/>
              <w:left w:val="single" w:sz="4" w:space="0" w:color="000000"/>
              <w:bottom w:val="nil"/>
              <w:right w:val="single" w:sz="4" w:space="0" w:color="000000"/>
            </w:tcBorders>
            <w:noWrap/>
            <w:vAlign w:val="center"/>
            <w:hideMark/>
          </w:tcPr>
          <w:p w14:paraId="369D2E13"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7" w:type="dxa"/>
            <w:tcBorders>
              <w:top w:val="nil"/>
              <w:left w:val="single" w:sz="4" w:space="0" w:color="000000"/>
              <w:bottom w:val="nil"/>
              <w:right w:val="single" w:sz="4" w:space="0" w:color="000000"/>
            </w:tcBorders>
            <w:noWrap/>
            <w:vAlign w:val="center"/>
            <w:hideMark/>
          </w:tcPr>
          <w:p w14:paraId="46FD65D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0237F7B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3827EE5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6EEE7F67"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3FC70660" w14:textId="77777777" w:rsidTr="006F3055">
        <w:trPr>
          <w:trHeight w:val="276"/>
        </w:trPr>
        <w:tc>
          <w:tcPr>
            <w:tcW w:w="1253" w:type="dxa"/>
            <w:vMerge/>
            <w:tcBorders>
              <w:top w:val="nil"/>
              <w:left w:val="single" w:sz="12" w:space="0" w:color="000000"/>
              <w:bottom w:val="single" w:sz="4" w:space="0" w:color="000000"/>
              <w:right w:val="nil"/>
            </w:tcBorders>
            <w:vAlign w:val="center"/>
            <w:hideMark/>
          </w:tcPr>
          <w:p w14:paraId="19E3BBED"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1097" w:type="dxa"/>
            <w:tcBorders>
              <w:top w:val="nil"/>
              <w:left w:val="nil"/>
              <w:bottom w:val="nil"/>
              <w:right w:val="single" w:sz="12" w:space="0" w:color="000000"/>
            </w:tcBorders>
            <w:hideMark/>
          </w:tcPr>
          <w:p w14:paraId="50AD3914"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vAlign w:val="center"/>
            <w:hideMark/>
          </w:tcPr>
          <w:p w14:paraId="2073A722"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05" w:type="dxa"/>
            <w:tcBorders>
              <w:top w:val="nil"/>
              <w:left w:val="single" w:sz="4" w:space="0" w:color="000000"/>
              <w:bottom w:val="nil"/>
              <w:right w:val="single" w:sz="4" w:space="0" w:color="000000"/>
            </w:tcBorders>
            <w:noWrap/>
            <w:vAlign w:val="center"/>
            <w:hideMark/>
          </w:tcPr>
          <w:p w14:paraId="0FDF884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6" w:type="dxa"/>
            <w:tcBorders>
              <w:top w:val="nil"/>
              <w:left w:val="single" w:sz="4" w:space="0" w:color="000000"/>
              <w:bottom w:val="nil"/>
              <w:right w:val="single" w:sz="4" w:space="0" w:color="000000"/>
            </w:tcBorders>
            <w:noWrap/>
            <w:vAlign w:val="center"/>
            <w:hideMark/>
          </w:tcPr>
          <w:p w14:paraId="0D7C368F"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60" w:type="dxa"/>
            <w:tcBorders>
              <w:top w:val="nil"/>
              <w:left w:val="single" w:sz="4" w:space="0" w:color="000000"/>
              <w:bottom w:val="nil"/>
              <w:right w:val="single" w:sz="4" w:space="0" w:color="000000"/>
            </w:tcBorders>
            <w:noWrap/>
            <w:vAlign w:val="center"/>
            <w:hideMark/>
          </w:tcPr>
          <w:p w14:paraId="7145BDD9"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05" w:type="dxa"/>
            <w:tcBorders>
              <w:top w:val="nil"/>
              <w:left w:val="single" w:sz="4" w:space="0" w:color="000000"/>
              <w:bottom w:val="nil"/>
              <w:right w:val="single" w:sz="4" w:space="0" w:color="000000"/>
            </w:tcBorders>
            <w:noWrap/>
            <w:vAlign w:val="center"/>
            <w:hideMark/>
          </w:tcPr>
          <w:p w14:paraId="1B912CFD"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0" w:type="dxa"/>
            <w:tcBorders>
              <w:top w:val="nil"/>
              <w:left w:val="single" w:sz="4" w:space="0" w:color="000000"/>
              <w:bottom w:val="nil"/>
              <w:right w:val="single" w:sz="4" w:space="0" w:color="000000"/>
            </w:tcBorders>
            <w:noWrap/>
            <w:vAlign w:val="center"/>
            <w:hideMark/>
          </w:tcPr>
          <w:p w14:paraId="2B77A2D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86" w:type="dxa"/>
            <w:tcBorders>
              <w:top w:val="nil"/>
              <w:left w:val="single" w:sz="4" w:space="0" w:color="000000"/>
              <w:bottom w:val="nil"/>
              <w:right w:val="single" w:sz="4" w:space="0" w:color="000000"/>
            </w:tcBorders>
            <w:noWrap/>
            <w:vAlign w:val="center"/>
            <w:hideMark/>
          </w:tcPr>
          <w:p w14:paraId="27AE6C5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7" w:type="dxa"/>
            <w:tcBorders>
              <w:top w:val="nil"/>
              <w:left w:val="single" w:sz="4" w:space="0" w:color="000000"/>
              <w:bottom w:val="nil"/>
              <w:right w:val="single" w:sz="4" w:space="0" w:color="000000"/>
            </w:tcBorders>
            <w:noWrap/>
            <w:vAlign w:val="center"/>
            <w:hideMark/>
          </w:tcPr>
          <w:p w14:paraId="697F30D3"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4F810C1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24B95E0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765897D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6683FB45" w14:textId="77777777" w:rsidTr="006F3055">
        <w:trPr>
          <w:trHeight w:val="276"/>
        </w:trPr>
        <w:tc>
          <w:tcPr>
            <w:tcW w:w="1253" w:type="dxa"/>
            <w:vMerge w:val="restart"/>
            <w:tcBorders>
              <w:top w:val="nil"/>
              <w:left w:val="single" w:sz="12" w:space="0" w:color="000000"/>
              <w:bottom w:val="single" w:sz="4" w:space="0" w:color="000000"/>
              <w:right w:val="nil"/>
            </w:tcBorders>
            <w:hideMark/>
          </w:tcPr>
          <w:p w14:paraId="514C6BEA"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34. </w:t>
            </w:r>
            <w:r w:rsidRPr="008410A6">
              <w:rPr>
                <w:rFonts w:ascii="Arial" w:eastAsia="Times New Roman" w:hAnsi="Arial" w:cs="Arial"/>
                <w:color w:val="000000"/>
                <w:kern w:val="0"/>
                <w:sz w:val="18"/>
                <w:szCs w:val="18"/>
                <w:rtl/>
                <w:lang w:val="en-GB" w:eastAsia="en-GB"/>
                <w14:ligatures w14:val="none"/>
              </w:rPr>
              <w:t>أبحث عن حلول مبتكرة للتحديات اليومية</w:t>
            </w:r>
            <w:r w:rsidRPr="008410A6">
              <w:rPr>
                <w:rFonts w:ascii="Arial" w:eastAsia="Times New Roman" w:hAnsi="Arial" w:cs="Arial"/>
                <w:color w:val="000000"/>
                <w:kern w:val="0"/>
                <w:sz w:val="18"/>
                <w:szCs w:val="18"/>
                <w:lang w:val="en-GB" w:eastAsia="en-GB"/>
                <w14:ligatures w14:val="none"/>
              </w:rPr>
              <w:t>.</w:t>
            </w:r>
          </w:p>
        </w:tc>
        <w:tc>
          <w:tcPr>
            <w:tcW w:w="1097" w:type="dxa"/>
            <w:tcBorders>
              <w:top w:val="nil"/>
              <w:left w:val="nil"/>
              <w:bottom w:val="nil"/>
              <w:right w:val="single" w:sz="12" w:space="0" w:color="000000"/>
            </w:tcBorders>
            <w:hideMark/>
          </w:tcPr>
          <w:p w14:paraId="7BD4BE14"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2B8D0FCF"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.587</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5DA44C7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756" w:type="dxa"/>
            <w:tcBorders>
              <w:top w:val="nil"/>
              <w:left w:val="single" w:sz="4" w:space="0" w:color="000000"/>
              <w:bottom w:val="nil"/>
              <w:right w:val="single" w:sz="4" w:space="0" w:color="000000"/>
            </w:tcBorders>
            <w:noWrap/>
            <w:vAlign w:val="center"/>
            <w:hideMark/>
          </w:tcPr>
          <w:p w14:paraId="031764E1"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60" w:type="dxa"/>
            <w:tcBorders>
              <w:top w:val="nil"/>
              <w:left w:val="single" w:sz="4" w:space="0" w:color="000000"/>
              <w:bottom w:val="nil"/>
              <w:right w:val="single" w:sz="4" w:space="0" w:color="000000"/>
            </w:tcBorders>
            <w:noWrap/>
            <w:vAlign w:val="center"/>
            <w:hideMark/>
          </w:tcPr>
          <w:p w14:paraId="3385BCD1"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05" w:type="dxa"/>
            <w:tcBorders>
              <w:top w:val="nil"/>
              <w:left w:val="single" w:sz="4" w:space="0" w:color="000000"/>
              <w:bottom w:val="nil"/>
              <w:right w:val="single" w:sz="4" w:space="0" w:color="000000"/>
            </w:tcBorders>
            <w:noWrap/>
            <w:vAlign w:val="center"/>
            <w:hideMark/>
          </w:tcPr>
          <w:p w14:paraId="2CA976CB"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0" w:type="dxa"/>
            <w:tcBorders>
              <w:top w:val="nil"/>
              <w:left w:val="single" w:sz="4" w:space="0" w:color="000000"/>
              <w:bottom w:val="nil"/>
              <w:right w:val="single" w:sz="4" w:space="0" w:color="000000"/>
            </w:tcBorders>
            <w:noWrap/>
            <w:vAlign w:val="center"/>
            <w:hideMark/>
          </w:tcPr>
          <w:p w14:paraId="7C3F248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86" w:type="dxa"/>
            <w:tcBorders>
              <w:top w:val="nil"/>
              <w:left w:val="single" w:sz="4" w:space="0" w:color="000000"/>
              <w:bottom w:val="nil"/>
              <w:right w:val="single" w:sz="4" w:space="0" w:color="000000"/>
            </w:tcBorders>
            <w:noWrap/>
            <w:vAlign w:val="center"/>
            <w:hideMark/>
          </w:tcPr>
          <w:p w14:paraId="1D6A617C"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7" w:type="dxa"/>
            <w:tcBorders>
              <w:top w:val="nil"/>
              <w:left w:val="single" w:sz="4" w:space="0" w:color="000000"/>
              <w:bottom w:val="nil"/>
              <w:right w:val="single" w:sz="4" w:space="0" w:color="000000"/>
            </w:tcBorders>
            <w:noWrap/>
            <w:vAlign w:val="center"/>
            <w:hideMark/>
          </w:tcPr>
          <w:p w14:paraId="152A9C4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1EBB100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09630FD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3863C4DC"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2F66DB31" w14:textId="77777777" w:rsidTr="006F3055">
        <w:trPr>
          <w:trHeight w:val="276"/>
        </w:trPr>
        <w:tc>
          <w:tcPr>
            <w:tcW w:w="1253" w:type="dxa"/>
            <w:vMerge/>
            <w:tcBorders>
              <w:top w:val="nil"/>
              <w:left w:val="single" w:sz="12" w:space="0" w:color="000000"/>
              <w:bottom w:val="single" w:sz="4" w:space="0" w:color="000000"/>
              <w:right w:val="nil"/>
            </w:tcBorders>
            <w:vAlign w:val="center"/>
            <w:hideMark/>
          </w:tcPr>
          <w:p w14:paraId="704B6D9D"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1097" w:type="dxa"/>
            <w:tcBorders>
              <w:top w:val="nil"/>
              <w:left w:val="nil"/>
              <w:bottom w:val="nil"/>
              <w:right w:val="single" w:sz="12" w:space="0" w:color="000000"/>
            </w:tcBorders>
            <w:hideMark/>
          </w:tcPr>
          <w:p w14:paraId="18B9214A"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113ED419"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vAlign w:val="center"/>
            <w:hideMark/>
          </w:tcPr>
          <w:p w14:paraId="325B901C"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6" w:type="dxa"/>
            <w:tcBorders>
              <w:top w:val="nil"/>
              <w:left w:val="single" w:sz="4" w:space="0" w:color="000000"/>
              <w:bottom w:val="nil"/>
              <w:right w:val="single" w:sz="4" w:space="0" w:color="000000"/>
            </w:tcBorders>
            <w:noWrap/>
            <w:vAlign w:val="center"/>
            <w:hideMark/>
          </w:tcPr>
          <w:p w14:paraId="7DB4518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60" w:type="dxa"/>
            <w:tcBorders>
              <w:top w:val="nil"/>
              <w:left w:val="single" w:sz="4" w:space="0" w:color="000000"/>
              <w:bottom w:val="nil"/>
              <w:right w:val="single" w:sz="4" w:space="0" w:color="000000"/>
            </w:tcBorders>
            <w:noWrap/>
            <w:vAlign w:val="center"/>
            <w:hideMark/>
          </w:tcPr>
          <w:p w14:paraId="09A842DF"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05" w:type="dxa"/>
            <w:tcBorders>
              <w:top w:val="nil"/>
              <w:left w:val="single" w:sz="4" w:space="0" w:color="000000"/>
              <w:bottom w:val="nil"/>
              <w:right w:val="single" w:sz="4" w:space="0" w:color="000000"/>
            </w:tcBorders>
            <w:noWrap/>
            <w:vAlign w:val="center"/>
            <w:hideMark/>
          </w:tcPr>
          <w:p w14:paraId="171A19B0"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0" w:type="dxa"/>
            <w:tcBorders>
              <w:top w:val="nil"/>
              <w:left w:val="single" w:sz="4" w:space="0" w:color="000000"/>
              <w:bottom w:val="nil"/>
              <w:right w:val="single" w:sz="4" w:space="0" w:color="000000"/>
            </w:tcBorders>
            <w:noWrap/>
            <w:vAlign w:val="center"/>
            <w:hideMark/>
          </w:tcPr>
          <w:p w14:paraId="5F584303"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86" w:type="dxa"/>
            <w:tcBorders>
              <w:top w:val="nil"/>
              <w:left w:val="single" w:sz="4" w:space="0" w:color="000000"/>
              <w:bottom w:val="nil"/>
              <w:right w:val="single" w:sz="4" w:space="0" w:color="000000"/>
            </w:tcBorders>
            <w:noWrap/>
            <w:vAlign w:val="center"/>
            <w:hideMark/>
          </w:tcPr>
          <w:p w14:paraId="580FAE4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7" w:type="dxa"/>
            <w:tcBorders>
              <w:top w:val="nil"/>
              <w:left w:val="single" w:sz="4" w:space="0" w:color="000000"/>
              <w:bottom w:val="nil"/>
              <w:right w:val="single" w:sz="4" w:space="0" w:color="000000"/>
            </w:tcBorders>
            <w:noWrap/>
            <w:vAlign w:val="center"/>
            <w:hideMark/>
          </w:tcPr>
          <w:p w14:paraId="6C9D6149"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6CAA0DA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52DA9B4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2784DEDF"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5FEA623B" w14:textId="77777777" w:rsidTr="006F3055">
        <w:trPr>
          <w:trHeight w:val="276"/>
        </w:trPr>
        <w:tc>
          <w:tcPr>
            <w:tcW w:w="1253" w:type="dxa"/>
            <w:vMerge w:val="restart"/>
            <w:tcBorders>
              <w:top w:val="nil"/>
              <w:left w:val="single" w:sz="12" w:space="0" w:color="000000"/>
              <w:bottom w:val="single" w:sz="4" w:space="0" w:color="000000"/>
              <w:right w:val="nil"/>
            </w:tcBorders>
            <w:hideMark/>
          </w:tcPr>
          <w:p w14:paraId="17F3B9E6"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35. </w:t>
            </w:r>
            <w:r w:rsidRPr="008410A6">
              <w:rPr>
                <w:rFonts w:ascii="Arial" w:eastAsia="Times New Roman" w:hAnsi="Arial" w:cs="Arial"/>
                <w:color w:val="000000"/>
                <w:kern w:val="0"/>
                <w:sz w:val="18"/>
                <w:szCs w:val="18"/>
                <w:rtl/>
                <w:lang w:val="en-GB" w:eastAsia="en-GB"/>
                <w14:ligatures w14:val="none"/>
              </w:rPr>
              <w:t>أشارك في تطوير الخدمات أو العمليات في مؤسستي</w:t>
            </w:r>
            <w:r w:rsidRPr="008410A6">
              <w:rPr>
                <w:rFonts w:ascii="Arial" w:eastAsia="Times New Roman" w:hAnsi="Arial" w:cs="Arial"/>
                <w:color w:val="000000"/>
                <w:kern w:val="0"/>
                <w:sz w:val="18"/>
                <w:szCs w:val="18"/>
                <w:lang w:val="en-GB" w:eastAsia="en-GB"/>
                <w14:ligatures w14:val="none"/>
              </w:rPr>
              <w:t>.</w:t>
            </w:r>
          </w:p>
        </w:tc>
        <w:tc>
          <w:tcPr>
            <w:tcW w:w="1097" w:type="dxa"/>
            <w:tcBorders>
              <w:top w:val="nil"/>
              <w:left w:val="nil"/>
              <w:bottom w:val="nil"/>
              <w:right w:val="single" w:sz="12" w:space="0" w:color="000000"/>
            </w:tcBorders>
            <w:hideMark/>
          </w:tcPr>
          <w:p w14:paraId="7C2F70E3"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430AA77B"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.598</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0AC7ECA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.630</w:t>
            </w:r>
            <w:r w:rsidRPr="008410A6">
              <w:rPr>
                <w:rFonts w:ascii="Arial" w:eastAsia="Times New Roman" w:hAnsi="Arial" w:cs="Arial"/>
                <w:color w:val="000000"/>
                <w:kern w:val="0"/>
                <w:sz w:val="18"/>
                <w:szCs w:val="18"/>
                <w:vertAlign w:val="superscript"/>
                <w:lang w:val="en-GB" w:eastAsia="en-GB"/>
                <w14:ligatures w14:val="none"/>
              </w:rPr>
              <w:t>**</w:t>
            </w:r>
          </w:p>
        </w:tc>
        <w:tc>
          <w:tcPr>
            <w:tcW w:w="756" w:type="dxa"/>
            <w:tcBorders>
              <w:top w:val="nil"/>
              <w:left w:val="single" w:sz="4" w:space="0" w:color="000000"/>
              <w:bottom w:val="nil"/>
              <w:right w:val="single" w:sz="4" w:space="0" w:color="000000"/>
            </w:tcBorders>
            <w:noWrap/>
            <w:vAlign w:val="center"/>
            <w:hideMark/>
          </w:tcPr>
          <w:p w14:paraId="32CDB940"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660" w:type="dxa"/>
            <w:tcBorders>
              <w:top w:val="nil"/>
              <w:left w:val="single" w:sz="4" w:space="0" w:color="000000"/>
              <w:bottom w:val="nil"/>
              <w:right w:val="single" w:sz="4" w:space="0" w:color="000000"/>
            </w:tcBorders>
            <w:noWrap/>
            <w:vAlign w:val="center"/>
            <w:hideMark/>
          </w:tcPr>
          <w:p w14:paraId="1948A12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05" w:type="dxa"/>
            <w:tcBorders>
              <w:top w:val="nil"/>
              <w:left w:val="single" w:sz="4" w:space="0" w:color="000000"/>
              <w:bottom w:val="nil"/>
              <w:right w:val="single" w:sz="4" w:space="0" w:color="000000"/>
            </w:tcBorders>
            <w:noWrap/>
            <w:vAlign w:val="center"/>
            <w:hideMark/>
          </w:tcPr>
          <w:p w14:paraId="125ADA91"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0" w:type="dxa"/>
            <w:tcBorders>
              <w:top w:val="nil"/>
              <w:left w:val="single" w:sz="4" w:space="0" w:color="000000"/>
              <w:bottom w:val="nil"/>
              <w:right w:val="single" w:sz="4" w:space="0" w:color="000000"/>
            </w:tcBorders>
            <w:noWrap/>
            <w:vAlign w:val="center"/>
            <w:hideMark/>
          </w:tcPr>
          <w:p w14:paraId="427FA32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86" w:type="dxa"/>
            <w:tcBorders>
              <w:top w:val="nil"/>
              <w:left w:val="single" w:sz="4" w:space="0" w:color="000000"/>
              <w:bottom w:val="nil"/>
              <w:right w:val="single" w:sz="4" w:space="0" w:color="000000"/>
            </w:tcBorders>
            <w:noWrap/>
            <w:vAlign w:val="center"/>
            <w:hideMark/>
          </w:tcPr>
          <w:p w14:paraId="35A2C4AB"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7" w:type="dxa"/>
            <w:tcBorders>
              <w:top w:val="nil"/>
              <w:left w:val="single" w:sz="4" w:space="0" w:color="000000"/>
              <w:bottom w:val="nil"/>
              <w:right w:val="single" w:sz="4" w:space="0" w:color="000000"/>
            </w:tcBorders>
            <w:noWrap/>
            <w:vAlign w:val="center"/>
            <w:hideMark/>
          </w:tcPr>
          <w:p w14:paraId="405FA21F"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2FDB5C79"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0D77664D"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389C515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1735EC9C" w14:textId="77777777" w:rsidTr="006F3055">
        <w:trPr>
          <w:trHeight w:val="276"/>
        </w:trPr>
        <w:tc>
          <w:tcPr>
            <w:tcW w:w="1253" w:type="dxa"/>
            <w:vMerge/>
            <w:tcBorders>
              <w:top w:val="nil"/>
              <w:left w:val="single" w:sz="12" w:space="0" w:color="000000"/>
              <w:bottom w:val="single" w:sz="4" w:space="0" w:color="000000"/>
              <w:right w:val="nil"/>
            </w:tcBorders>
            <w:vAlign w:val="center"/>
            <w:hideMark/>
          </w:tcPr>
          <w:p w14:paraId="3DC75E88"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1097" w:type="dxa"/>
            <w:tcBorders>
              <w:top w:val="nil"/>
              <w:left w:val="nil"/>
              <w:bottom w:val="nil"/>
              <w:right w:val="single" w:sz="12" w:space="0" w:color="000000"/>
            </w:tcBorders>
            <w:hideMark/>
          </w:tcPr>
          <w:p w14:paraId="24824CDE"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35CBA2BC"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noWrap/>
            <w:vAlign w:val="center"/>
            <w:hideMark/>
          </w:tcPr>
          <w:p w14:paraId="602EE81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56" w:type="dxa"/>
            <w:tcBorders>
              <w:top w:val="nil"/>
              <w:left w:val="single" w:sz="4" w:space="0" w:color="000000"/>
              <w:bottom w:val="nil"/>
              <w:right w:val="single" w:sz="4" w:space="0" w:color="000000"/>
            </w:tcBorders>
            <w:vAlign w:val="center"/>
            <w:hideMark/>
          </w:tcPr>
          <w:p w14:paraId="028A22AF"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60" w:type="dxa"/>
            <w:tcBorders>
              <w:top w:val="nil"/>
              <w:left w:val="single" w:sz="4" w:space="0" w:color="000000"/>
              <w:bottom w:val="nil"/>
              <w:right w:val="single" w:sz="4" w:space="0" w:color="000000"/>
            </w:tcBorders>
            <w:noWrap/>
            <w:vAlign w:val="center"/>
            <w:hideMark/>
          </w:tcPr>
          <w:p w14:paraId="086137C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05" w:type="dxa"/>
            <w:tcBorders>
              <w:top w:val="nil"/>
              <w:left w:val="single" w:sz="4" w:space="0" w:color="000000"/>
              <w:bottom w:val="nil"/>
              <w:right w:val="single" w:sz="4" w:space="0" w:color="000000"/>
            </w:tcBorders>
            <w:noWrap/>
            <w:vAlign w:val="center"/>
            <w:hideMark/>
          </w:tcPr>
          <w:p w14:paraId="14A529C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0" w:type="dxa"/>
            <w:tcBorders>
              <w:top w:val="nil"/>
              <w:left w:val="single" w:sz="4" w:space="0" w:color="000000"/>
              <w:bottom w:val="nil"/>
              <w:right w:val="single" w:sz="4" w:space="0" w:color="000000"/>
            </w:tcBorders>
            <w:noWrap/>
            <w:vAlign w:val="center"/>
            <w:hideMark/>
          </w:tcPr>
          <w:p w14:paraId="1F40A46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86" w:type="dxa"/>
            <w:tcBorders>
              <w:top w:val="nil"/>
              <w:left w:val="single" w:sz="4" w:space="0" w:color="000000"/>
              <w:bottom w:val="nil"/>
              <w:right w:val="single" w:sz="4" w:space="0" w:color="000000"/>
            </w:tcBorders>
            <w:noWrap/>
            <w:vAlign w:val="center"/>
            <w:hideMark/>
          </w:tcPr>
          <w:p w14:paraId="0DEEF9D1"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7" w:type="dxa"/>
            <w:tcBorders>
              <w:top w:val="nil"/>
              <w:left w:val="single" w:sz="4" w:space="0" w:color="000000"/>
              <w:bottom w:val="nil"/>
              <w:right w:val="single" w:sz="4" w:space="0" w:color="000000"/>
            </w:tcBorders>
            <w:noWrap/>
            <w:vAlign w:val="center"/>
            <w:hideMark/>
          </w:tcPr>
          <w:p w14:paraId="23F2773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27D46897"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1ABD1E6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6443C6F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1BF1EC1C" w14:textId="77777777" w:rsidTr="006F3055">
        <w:trPr>
          <w:trHeight w:val="276"/>
        </w:trPr>
        <w:tc>
          <w:tcPr>
            <w:tcW w:w="1253" w:type="dxa"/>
            <w:vMerge w:val="restart"/>
            <w:tcBorders>
              <w:top w:val="nil"/>
              <w:left w:val="single" w:sz="12" w:space="0" w:color="000000"/>
              <w:bottom w:val="single" w:sz="4" w:space="0" w:color="000000"/>
              <w:right w:val="nil"/>
            </w:tcBorders>
            <w:hideMark/>
          </w:tcPr>
          <w:p w14:paraId="0AC2CEE1"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36. </w:t>
            </w:r>
            <w:r w:rsidRPr="008410A6">
              <w:rPr>
                <w:rFonts w:ascii="Arial" w:eastAsia="Times New Roman" w:hAnsi="Arial" w:cs="Arial"/>
                <w:color w:val="000000"/>
                <w:kern w:val="0"/>
                <w:sz w:val="18"/>
                <w:szCs w:val="18"/>
                <w:rtl/>
                <w:lang w:val="en-GB" w:eastAsia="en-GB"/>
                <w14:ligatures w14:val="none"/>
              </w:rPr>
              <w:t>أُظهر استعدادًا لتجربة أساليب جديدة في أداء مهامي</w:t>
            </w:r>
            <w:r w:rsidRPr="008410A6">
              <w:rPr>
                <w:rFonts w:ascii="Arial" w:eastAsia="Times New Roman" w:hAnsi="Arial" w:cs="Arial"/>
                <w:color w:val="000000"/>
                <w:kern w:val="0"/>
                <w:sz w:val="18"/>
                <w:szCs w:val="18"/>
                <w:lang w:val="en-GB" w:eastAsia="en-GB"/>
                <w14:ligatures w14:val="none"/>
              </w:rPr>
              <w:t>.</w:t>
            </w:r>
          </w:p>
        </w:tc>
        <w:tc>
          <w:tcPr>
            <w:tcW w:w="1097" w:type="dxa"/>
            <w:tcBorders>
              <w:top w:val="nil"/>
              <w:left w:val="nil"/>
              <w:bottom w:val="nil"/>
              <w:right w:val="single" w:sz="12" w:space="0" w:color="000000"/>
            </w:tcBorders>
            <w:hideMark/>
          </w:tcPr>
          <w:p w14:paraId="6E8735AC"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54230091"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.512</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5DD9A8E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.547</w:t>
            </w:r>
            <w:r w:rsidRPr="008410A6">
              <w:rPr>
                <w:rFonts w:ascii="Arial" w:eastAsia="Times New Roman" w:hAnsi="Arial" w:cs="Arial"/>
                <w:color w:val="000000"/>
                <w:kern w:val="0"/>
                <w:sz w:val="18"/>
                <w:szCs w:val="18"/>
                <w:vertAlign w:val="superscript"/>
                <w:lang w:val="en-GB" w:eastAsia="en-GB"/>
                <w14:ligatures w14:val="none"/>
              </w:rPr>
              <w:t>**</w:t>
            </w:r>
          </w:p>
        </w:tc>
        <w:tc>
          <w:tcPr>
            <w:tcW w:w="756" w:type="dxa"/>
            <w:tcBorders>
              <w:top w:val="nil"/>
              <w:left w:val="single" w:sz="4" w:space="0" w:color="000000"/>
              <w:bottom w:val="nil"/>
              <w:right w:val="single" w:sz="4" w:space="0" w:color="000000"/>
            </w:tcBorders>
            <w:noWrap/>
            <w:vAlign w:val="center"/>
            <w:hideMark/>
          </w:tcPr>
          <w:p w14:paraId="02313A7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.609</w:t>
            </w:r>
            <w:r w:rsidRPr="008410A6">
              <w:rPr>
                <w:rFonts w:ascii="Arial" w:eastAsia="Times New Roman" w:hAnsi="Arial" w:cs="Arial"/>
                <w:color w:val="000000"/>
                <w:kern w:val="0"/>
                <w:sz w:val="18"/>
                <w:szCs w:val="18"/>
                <w:vertAlign w:val="superscript"/>
                <w:lang w:val="en-GB" w:eastAsia="en-GB"/>
                <w14:ligatures w14:val="none"/>
              </w:rPr>
              <w:t>**</w:t>
            </w:r>
          </w:p>
        </w:tc>
        <w:tc>
          <w:tcPr>
            <w:tcW w:w="660" w:type="dxa"/>
            <w:tcBorders>
              <w:top w:val="nil"/>
              <w:left w:val="single" w:sz="4" w:space="0" w:color="000000"/>
              <w:bottom w:val="nil"/>
              <w:right w:val="single" w:sz="4" w:space="0" w:color="000000"/>
            </w:tcBorders>
            <w:noWrap/>
            <w:vAlign w:val="center"/>
            <w:hideMark/>
          </w:tcPr>
          <w:p w14:paraId="359C1EC7"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705" w:type="dxa"/>
            <w:tcBorders>
              <w:top w:val="nil"/>
              <w:left w:val="single" w:sz="4" w:space="0" w:color="000000"/>
              <w:bottom w:val="nil"/>
              <w:right w:val="single" w:sz="4" w:space="0" w:color="000000"/>
            </w:tcBorders>
            <w:noWrap/>
            <w:vAlign w:val="center"/>
            <w:hideMark/>
          </w:tcPr>
          <w:p w14:paraId="4155795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0" w:type="dxa"/>
            <w:tcBorders>
              <w:top w:val="nil"/>
              <w:left w:val="single" w:sz="4" w:space="0" w:color="000000"/>
              <w:bottom w:val="nil"/>
              <w:right w:val="single" w:sz="4" w:space="0" w:color="000000"/>
            </w:tcBorders>
            <w:noWrap/>
            <w:vAlign w:val="center"/>
            <w:hideMark/>
          </w:tcPr>
          <w:p w14:paraId="071C95D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86" w:type="dxa"/>
            <w:tcBorders>
              <w:top w:val="nil"/>
              <w:left w:val="single" w:sz="4" w:space="0" w:color="000000"/>
              <w:bottom w:val="nil"/>
              <w:right w:val="single" w:sz="4" w:space="0" w:color="000000"/>
            </w:tcBorders>
            <w:noWrap/>
            <w:vAlign w:val="center"/>
            <w:hideMark/>
          </w:tcPr>
          <w:p w14:paraId="6EACF20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7" w:type="dxa"/>
            <w:tcBorders>
              <w:top w:val="nil"/>
              <w:left w:val="single" w:sz="4" w:space="0" w:color="000000"/>
              <w:bottom w:val="nil"/>
              <w:right w:val="single" w:sz="4" w:space="0" w:color="000000"/>
            </w:tcBorders>
            <w:noWrap/>
            <w:vAlign w:val="center"/>
            <w:hideMark/>
          </w:tcPr>
          <w:p w14:paraId="7BCEEF9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4CCA0191"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7CAAFACD"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46649697"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252CB7A1" w14:textId="77777777" w:rsidTr="006F3055">
        <w:trPr>
          <w:trHeight w:val="276"/>
        </w:trPr>
        <w:tc>
          <w:tcPr>
            <w:tcW w:w="1253" w:type="dxa"/>
            <w:vMerge/>
            <w:tcBorders>
              <w:top w:val="nil"/>
              <w:left w:val="single" w:sz="12" w:space="0" w:color="000000"/>
              <w:bottom w:val="single" w:sz="4" w:space="0" w:color="000000"/>
              <w:right w:val="nil"/>
            </w:tcBorders>
            <w:vAlign w:val="center"/>
            <w:hideMark/>
          </w:tcPr>
          <w:p w14:paraId="2AFBAC10"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1097" w:type="dxa"/>
            <w:tcBorders>
              <w:top w:val="nil"/>
              <w:left w:val="nil"/>
              <w:bottom w:val="nil"/>
              <w:right w:val="single" w:sz="12" w:space="0" w:color="000000"/>
            </w:tcBorders>
            <w:hideMark/>
          </w:tcPr>
          <w:p w14:paraId="1404BD01"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14D3850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noWrap/>
            <w:vAlign w:val="center"/>
            <w:hideMark/>
          </w:tcPr>
          <w:p w14:paraId="11A2A00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56" w:type="dxa"/>
            <w:tcBorders>
              <w:top w:val="nil"/>
              <w:left w:val="single" w:sz="4" w:space="0" w:color="000000"/>
              <w:bottom w:val="nil"/>
              <w:right w:val="single" w:sz="4" w:space="0" w:color="000000"/>
            </w:tcBorders>
            <w:noWrap/>
            <w:vAlign w:val="center"/>
            <w:hideMark/>
          </w:tcPr>
          <w:p w14:paraId="26E20183"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60" w:type="dxa"/>
            <w:tcBorders>
              <w:top w:val="nil"/>
              <w:left w:val="single" w:sz="4" w:space="0" w:color="000000"/>
              <w:bottom w:val="nil"/>
              <w:right w:val="single" w:sz="4" w:space="0" w:color="000000"/>
            </w:tcBorders>
            <w:vAlign w:val="center"/>
            <w:hideMark/>
          </w:tcPr>
          <w:p w14:paraId="4760D7AE"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05" w:type="dxa"/>
            <w:tcBorders>
              <w:top w:val="nil"/>
              <w:left w:val="single" w:sz="4" w:space="0" w:color="000000"/>
              <w:bottom w:val="nil"/>
              <w:right w:val="single" w:sz="4" w:space="0" w:color="000000"/>
            </w:tcBorders>
            <w:noWrap/>
            <w:vAlign w:val="center"/>
            <w:hideMark/>
          </w:tcPr>
          <w:p w14:paraId="693F06ED"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0" w:type="dxa"/>
            <w:tcBorders>
              <w:top w:val="nil"/>
              <w:left w:val="single" w:sz="4" w:space="0" w:color="000000"/>
              <w:bottom w:val="nil"/>
              <w:right w:val="single" w:sz="4" w:space="0" w:color="000000"/>
            </w:tcBorders>
            <w:noWrap/>
            <w:vAlign w:val="center"/>
            <w:hideMark/>
          </w:tcPr>
          <w:p w14:paraId="31F98E5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86" w:type="dxa"/>
            <w:tcBorders>
              <w:top w:val="nil"/>
              <w:left w:val="single" w:sz="4" w:space="0" w:color="000000"/>
              <w:bottom w:val="nil"/>
              <w:right w:val="single" w:sz="4" w:space="0" w:color="000000"/>
            </w:tcBorders>
            <w:noWrap/>
            <w:vAlign w:val="center"/>
            <w:hideMark/>
          </w:tcPr>
          <w:p w14:paraId="4DD643B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7" w:type="dxa"/>
            <w:tcBorders>
              <w:top w:val="nil"/>
              <w:left w:val="single" w:sz="4" w:space="0" w:color="000000"/>
              <w:bottom w:val="nil"/>
              <w:right w:val="single" w:sz="4" w:space="0" w:color="000000"/>
            </w:tcBorders>
            <w:noWrap/>
            <w:vAlign w:val="center"/>
            <w:hideMark/>
          </w:tcPr>
          <w:p w14:paraId="2FF0D8D0"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45BA7DC7"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1E78097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7E0F1F3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38021788" w14:textId="77777777" w:rsidTr="006F3055">
        <w:trPr>
          <w:trHeight w:val="276"/>
        </w:trPr>
        <w:tc>
          <w:tcPr>
            <w:tcW w:w="1253" w:type="dxa"/>
            <w:vMerge w:val="restart"/>
            <w:tcBorders>
              <w:top w:val="nil"/>
              <w:left w:val="single" w:sz="12" w:space="0" w:color="000000"/>
              <w:bottom w:val="single" w:sz="4" w:space="0" w:color="000000"/>
              <w:right w:val="nil"/>
            </w:tcBorders>
            <w:hideMark/>
          </w:tcPr>
          <w:p w14:paraId="3F8D55B5"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36. </w:t>
            </w:r>
            <w:r w:rsidRPr="008410A6">
              <w:rPr>
                <w:rFonts w:ascii="Arial" w:eastAsia="Times New Roman" w:hAnsi="Arial" w:cs="Arial"/>
                <w:color w:val="000000"/>
                <w:kern w:val="0"/>
                <w:sz w:val="18"/>
                <w:szCs w:val="18"/>
                <w:rtl/>
                <w:lang w:val="en-GB" w:eastAsia="en-GB"/>
                <w14:ligatures w14:val="none"/>
              </w:rPr>
              <w:t>أساهم في تنفيذ الأفكار الجديدة وتحويلها إلى واقع عملي</w:t>
            </w:r>
            <w:r w:rsidRPr="008410A6">
              <w:rPr>
                <w:rFonts w:ascii="Arial" w:eastAsia="Times New Roman" w:hAnsi="Arial" w:cs="Arial"/>
                <w:color w:val="000000"/>
                <w:kern w:val="0"/>
                <w:sz w:val="18"/>
                <w:szCs w:val="18"/>
                <w:lang w:val="en-GB" w:eastAsia="en-GB"/>
                <w14:ligatures w14:val="none"/>
              </w:rPr>
              <w:t>.</w:t>
            </w:r>
          </w:p>
        </w:tc>
        <w:tc>
          <w:tcPr>
            <w:tcW w:w="1097" w:type="dxa"/>
            <w:tcBorders>
              <w:top w:val="nil"/>
              <w:left w:val="nil"/>
              <w:bottom w:val="nil"/>
              <w:right w:val="single" w:sz="12" w:space="0" w:color="000000"/>
            </w:tcBorders>
            <w:hideMark/>
          </w:tcPr>
          <w:p w14:paraId="2C1DDFC4"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111E21F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.585</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4C09F0AC"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.626</w:t>
            </w:r>
            <w:r w:rsidRPr="008410A6">
              <w:rPr>
                <w:rFonts w:ascii="Arial" w:eastAsia="Times New Roman" w:hAnsi="Arial" w:cs="Arial"/>
                <w:color w:val="000000"/>
                <w:kern w:val="0"/>
                <w:sz w:val="18"/>
                <w:szCs w:val="18"/>
                <w:vertAlign w:val="superscript"/>
                <w:lang w:val="en-GB" w:eastAsia="en-GB"/>
                <w14:ligatures w14:val="none"/>
              </w:rPr>
              <w:t>**</w:t>
            </w:r>
          </w:p>
        </w:tc>
        <w:tc>
          <w:tcPr>
            <w:tcW w:w="756" w:type="dxa"/>
            <w:tcBorders>
              <w:top w:val="nil"/>
              <w:left w:val="single" w:sz="4" w:space="0" w:color="000000"/>
              <w:bottom w:val="nil"/>
              <w:right w:val="single" w:sz="4" w:space="0" w:color="000000"/>
            </w:tcBorders>
            <w:noWrap/>
            <w:vAlign w:val="center"/>
            <w:hideMark/>
          </w:tcPr>
          <w:p w14:paraId="3462DE90"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.624</w:t>
            </w:r>
            <w:r w:rsidRPr="008410A6">
              <w:rPr>
                <w:rFonts w:ascii="Arial" w:eastAsia="Times New Roman" w:hAnsi="Arial" w:cs="Arial"/>
                <w:color w:val="000000"/>
                <w:kern w:val="0"/>
                <w:sz w:val="18"/>
                <w:szCs w:val="18"/>
                <w:vertAlign w:val="superscript"/>
                <w:lang w:val="en-GB" w:eastAsia="en-GB"/>
                <w14:ligatures w14:val="none"/>
              </w:rPr>
              <w:t>**</w:t>
            </w:r>
          </w:p>
        </w:tc>
        <w:tc>
          <w:tcPr>
            <w:tcW w:w="660" w:type="dxa"/>
            <w:tcBorders>
              <w:top w:val="nil"/>
              <w:left w:val="single" w:sz="4" w:space="0" w:color="000000"/>
              <w:bottom w:val="nil"/>
              <w:right w:val="single" w:sz="4" w:space="0" w:color="000000"/>
            </w:tcBorders>
            <w:noWrap/>
            <w:vAlign w:val="center"/>
            <w:hideMark/>
          </w:tcPr>
          <w:p w14:paraId="5000F940"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.622</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5066FC4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690" w:type="dxa"/>
            <w:tcBorders>
              <w:top w:val="nil"/>
              <w:left w:val="single" w:sz="4" w:space="0" w:color="000000"/>
              <w:bottom w:val="nil"/>
              <w:right w:val="single" w:sz="4" w:space="0" w:color="000000"/>
            </w:tcBorders>
            <w:noWrap/>
            <w:vAlign w:val="center"/>
            <w:hideMark/>
          </w:tcPr>
          <w:p w14:paraId="19E8ABC0"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86" w:type="dxa"/>
            <w:tcBorders>
              <w:top w:val="nil"/>
              <w:left w:val="single" w:sz="4" w:space="0" w:color="000000"/>
              <w:bottom w:val="nil"/>
              <w:right w:val="single" w:sz="4" w:space="0" w:color="000000"/>
            </w:tcBorders>
            <w:noWrap/>
            <w:vAlign w:val="center"/>
            <w:hideMark/>
          </w:tcPr>
          <w:p w14:paraId="0E119F9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7" w:type="dxa"/>
            <w:tcBorders>
              <w:top w:val="nil"/>
              <w:left w:val="single" w:sz="4" w:space="0" w:color="000000"/>
              <w:bottom w:val="nil"/>
              <w:right w:val="single" w:sz="4" w:space="0" w:color="000000"/>
            </w:tcBorders>
            <w:noWrap/>
            <w:vAlign w:val="center"/>
            <w:hideMark/>
          </w:tcPr>
          <w:p w14:paraId="55236E11"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4B426DB3"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4E77389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4EC35E3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669B79E6" w14:textId="77777777" w:rsidTr="006F3055">
        <w:trPr>
          <w:trHeight w:val="276"/>
        </w:trPr>
        <w:tc>
          <w:tcPr>
            <w:tcW w:w="1253" w:type="dxa"/>
            <w:vMerge/>
            <w:tcBorders>
              <w:top w:val="nil"/>
              <w:left w:val="single" w:sz="12" w:space="0" w:color="000000"/>
              <w:bottom w:val="single" w:sz="4" w:space="0" w:color="000000"/>
              <w:right w:val="nil"/>
            </w:tcBorders>
            <w:vAlign w:val="center"/>
            <w:hideMark/>
          </w:tcPr>
          <w:p w14:paraId="434D950C"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1097" w:type="dxa"/>
            <w:tcBorders>
              <w:top w:val="nil"/>
              <w:left w:val="nil"/>
              <w:bottom w:val="nil"/>
              <w:right w:val="single" w:sz="12" w:space="0" w:color="000000"/>
            </w:tcBorders>
            <w:hideMark/>
          </w:tcPr>
          <w:p w14:paraId="125BC2A2"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6546691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noWrap/>
            <w:vAlign w:val="center"/>
            <w:hideMark/>
          </w:tcPr>
          <w:p w14:paraId="593A5F9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56" w:type="dxa"/>
            <w:tcBorders>
              <w:top w:val="nil"/>
              <w:left w:val="single" w:sz="4" w:space="0" w:color="000000"/>
              <w:bottom w:val="nil"/>
              <w:right w:val="single" w:sz="4" w:space="0" w:color="000000"/>
            </w:tcBorders>
            <w:noWrap/>
            <w:vAlign w:val="center"/>
            <w:hideMark/>
          </w:tcPr>
          <w:p w14:paraId="2F71DB3B"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60" w:type="dxa"/>
            <w:tcBorders>
              <w:top w:val="nil"/>
              <w:left w:val="single" w:sz="4" w:space="0" w:color="000000"/>
              <w:bottom w:val="nil"/>
              <w:right w:val="single" w:sz="4" w:space="0" w:color="000000"/>
            </w:tcBorders>
            <w:noWrap/>
            <w:vAlign w:val="center"/>
            <w:hideMark/>
          </w:tcPr>
          <w:p w14:paraId="3DF422D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vAlign w:val="center"/>
            <w:hideMark/>
          </w:tcPr>
          <w:p w14:paraId="59E8E1ED"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90" w:type="dxa"/>
            <w:tcBorders>
              <w:top w:val="nil"/>
              <w:left w:val="single" w:sz="4" w:space="0" w:color="000000"/>
              <w:bottom w:val="nil"/>
              <w:right w:val="single" w:sz="4" w:space="0" w:color="000000"/>
            </w:tcBorders>
            <w:noWrap/>
            <w:vAlign w:val="center"/>
            <w:hideMark/>
          </w:tcPr>
          <w:p w14:paraId="563022C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86" w:type="dxa"/>
            <w:tcBorders>
              <w:top w:val="nil"/>
              <w:left w:val="single" w:sz="4" w:space="0" w:color="000000"/>
              <w:bottom w:val="nil"/>
              <w:right w:val="single" w:sz="4" w:space="0" w:color="000000"/>
            </w:tcBorders>
            <w:noWrap/>
            <w:vAlign w:val="center"/>
            <w:hideMark/>
          </w:tcPr>
          <w:p w14:paraId="0FB40D49"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7" w:type="dxa"/>
            <w:tcBorders>
              <w:top w:val="nil"/>
              <w:left w:val="single" w:sz="4" w:space="0" w:color="000000"/>
              <w:bottom w:val="nil"/>
              <w:right w:val="single" w:sz="4" w:space="0" w:color="000000"/>
            </w:tcBorders>
            <w:noWrap/>
            <w:vAlign w:val="center"/>
            <w:hideMark/>
          </w:tcPr>
          <w:p w14:paraId="096E51D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68462793"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66693261"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6CBE965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6DD6B6A5" w14:textId="77777777" w:rsidTr="006F3055">
        <w:trPr>
          <w:trHeight w:val="276"/>
        </w:trPr>
        <w:tc>
          <w:tcPr>
            <w:tcW w:w="1253" w:type="dxa"/>
            <w:vMerge w:val="restart"/>
            <w:tcBorders>
              <w:top w:val="nil"/>
              <w:left w:val="single" w:sz="12" w:space="0" w:color="000000"/>
              <w:bottom w:val="single" w:sz="4" w:space="0" w:color="000000"/>
              <w:right w:val="nil"/>
            </w:tcBorders>
            <w:hideMark/>
          </w:tcPr>
          <w:p w14:paraId="75A0602B"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38. </w:t>
            </w:r>
            <w:r w:rsidRPr="008410A6">
              <w:rPr>
                <w:rFonts w:ascii="Arial" w:eastAsia="Times New Roman" w:hAnsi="Arial" w:cs="Arial"/>
                <w:color w:val="000000"/>
                <w:kern w:val="0"/>
                <w:sz w:val="18"/>
                <w:szCs w:val="18"/>
                <w:rtl/>
                <w:lang w:val="en-GB" w:eastAsia="en-GB"/>
                <w14:ligatures w14:val="none"/>
              </w:rPr>
              <w:t>أعمل على تحسين جودة الخدمات المقدّمة من خلال الابتكار</w:t>
            </w:r>
            <w:r w:rsidRPr="008410A6">
              <w:rPr>
                <w:rFonts w:ascii="Arial" w:eastAsia="Times New Roman" w:hAnsi="Arial" w:cs="Arial"/>
                <w:color w:val="000000"/>
                <w:kern w:val="0"/>
                <w:sz w:val="18"/>
                <w:szCs w:val="18"/>
                <w:lang w:val="en-GB" w:eastAsia="en-GB"/>
                <w14:ligatures w14:val="none"/>
              </w:rPr>
              <w:t>.</w:t>
            </w:r>
          </w:p>
        </w:tc>
        <w:tc>
          <w:tcPr>
            <w:tcW w:w="1097" w:type="dxa"/>
            <w:tcBorders>
              <w:top w:val="nil"/>
              <w:left w:val="nil"/>
              <w:bottom w:val="nil"/>
              <w:right w:val="single" w:sz="12" w:space="0" w:color="000000"/>
            </w:tcBorders>
            <w:hideMark/>
          </w:tcPr>
          <w:p w14:paraId="249635E1"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319DADB7"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.546</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091E091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.595</w:t>
            </w:r>
            <w:r w:rsidRPr="008410A6">
              <w:rPr>
                <w:rFonts w:ascii="Arial" w:eastAsia="Times New Roman" w:hAnsi="Arial" w:cs="Arial"/>
                <w:color w:val="000000"/>
                <w:kern w:val="0"/>
                <w:sz w:val="18"/>
                <w:szCs w:val="18"/>
                <w:vertAlign w:val="superscript"/>
                <w:lang w:val="en-GB" w:eastAsia="en-GB"/>
                <w14:ligatures w14:val="none"/>
              </w:rPr>
              <w:t>**</w:t>
            </w:r>
          </w:p>
        </w:tc>
        <w:tc>
          <w:tcPr>
            <w:tcW w:w="756" w:type="dxa"/>
            <w:tcBorders>
              <w:top w:val="nil"/>
              <w:left w:val="single" w:sz="4" w:space="0" w:color="000000"/>
              <w:bottom w:val="nil"/>
              <w:right w:val="single" w:sz="4" w:space="0" w:color="000000"/>
            </w:tcBorders>
            <w:noWrap/>
            <w:vAlign w:val="center"/>
            <w:hideMark/>
          </w:tcPr>
          <w:p w14:paraId="604EA4D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.618</w:t>
            </w:r>
            <w:r w:rsidRPr="008410A6">
              <w:rPr>
                <w:rFonts w:ascii="Arial" w:eastAsia="Times New Roman" w:hAnsi="Arial" w:cs="Arial"/>
                <w:color w:val="000000"/>
                <w:kern w:val="0"/>
                <w:sz w:val="18"/>
                <w:szCs w:val="18"/>
                <w:vertAlign w:val="superscript"/>
                <w:lang w:val="en-GB" w:eastAsia="en-GB"/>
                <w14:ligatures w14:val="none"/>
              </w:rPr>
              <w:t>**</w:t>
            </w:r>
          </w:p>
        </w:tc>
        <w:tc>
          <w:tcPr>
            <w:tcW w:w="660" w:type="dxa"/>
            <w:tcBorders>
              <w:top w:val="nil"/>
              <w:left w:val="single" w:sz="4" w:space="0" w:color="000000"/>
              <w:bottom w:val="nil"/>
              <w:right w:val="single" w:sz="4" w:space="0" w:color="000000"/>
            </w:tcBorders>
            <w:noWrap/>
            <w:vAlign w:val="center"/>
            <w:hideMark/>
          </w:tcPr>
          <w:p w14:paraId="4417D4BB"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.586</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6148DBF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.606</w:t>
            </w:r>
            <w:r w:rsidRPr="008410A6">
              <w:rPr>
                <w:rFonts w:ascii="Arial" w:eastAsia="Times New Roman" w:hAnsi="Arial" w:cs="Arial"/>
                <w:color w:val="000000"/>
                <w:kern w:val="0"/>
                <w:sz w:val="18"/>
                <w:szCs w:val="18"/>
                <w:vertAlign w:val="superscript"/>
                <w:lang w:val="en-GB" w:eastAsia="en-GB"/>
                <w14:ligatures w14:val="none"/>
              </w:rPr>
              <w:t>**</w:t>
            </w:r>
          </w:p>
        </w:tc>
        <w:tc>
          <w:tcPr>
            <w:tcW w:w="690" w:type="dxa"/>
            <w:tcBorders>
              <w:top w:val="nil"/>
              <w:left w:val="single" w:sz="4" w:space="0" w:color="000000"/>
              <w:bottom w:val="nil"/>
              <w:right w:val="single" w:sz="4" w:space="0" w:color="000000"/>
            </w:tcBorders>
            <w:noWrap/>
            <w:vAlign w:val="center"/>
            <w:hideMark/>
          </w:tcPr>
          <w:p w14:paraId="432C020D"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686" w:type="dxa"/>
            <w:tcBorders>
              <w:top w:val="nil"/>
              <w:left w:val="single" w:sz="4" w:space="0" w:color="000000"/>
              <w:bottom w:val="nil"/>
              <w:right w:val="single" w:sz="4" w:space="0" w:color="000000"/>
            </w:tcBorders>
            <w:noWrap/>
            <w:vAlign w:val="center"/>
            <w:hideMark/>
          </w:tcPr>
          <w:p w14:paraId="0A578CB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7" w:type="dxa"/>
            <w:tcBorders>
              <w:top w:val="nil"/>
              <w:left w:val="single" w:sz="4" w:space="0" w:color="000000"/>
              <w:bottom w:val="nil"/>
              <w:right w:val="single" w:sz="4" w:space="0" w:color="000000"/>
            </w:tcBorders>
            <w:noWrap/>
            <w:vAlign w:val="center"/>
            <w:hideMark/>
          </w:tcPr>
          <w:p w14:paraId="5BBDC961"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1AE36EF9"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22250D0B"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0272168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4AC19919" w14:textId="77777777" w:rsidTr="006F3055">
        <w:trPr>
          <w:trHeight w:val="276"/>
        </w:trPr>
        <w:tc>
          <w:tcPr>
            <w:tcW w:w="1253" w:type="dxa"/>
            <w:vMerge/>
            <w:tcBorders>
              <w:top w:val="nil"/>
              <w:left w:val="single" w:sz="12" w:space="0" w:color="000000"/>
              <w:bottom w:val="single" w:sz="4" w:space="0" w:color="000000"/>
              <w:right w:val="nil"/>
            </w:tcBorders>
            <w:vAlign w:val="center"/>
            <w:hideMark/>
          </w:tcPr>
          <w:p w14:paraId="6129B8F9"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1097" w:type="dxa"/>
            <w:tcBorders>
              <w:top w:val="nil"/>
              <w:left w:val="nil"/>
              <w:bottom w:val="nil"/>
              <w:right w:val="single" w:sz="12" w:space="0" w:color="000000"/>
            </w:tcBorders>
            <w:hideMark/>
          </w:tcPr>
          <w:p w14:paraId="18AA21EB"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51E3F8B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noWrap/>
            <w:vAlign w:val="center"/>
            <w:hideMark/>
          </w:tcPr>
          <w:p w14:paraId="31C9046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56" w:type="dxa"/>
            <w:tcBorders>
              <w:top w:val="nil"/>
              <w:left w:val="single" w:sz="4" w:space="0" w:color="000000"/>
              <w:bottom w:val="nil"/>
              <w:right w:val="single" w:sz="4" w:space="0" w:color="000000"/>
            </w:tcBorders>
            <w:noWrap/>
            <w:vAlign w:val="center"/>
            <w:hideMark/>
          </w:tcPr>
          <w:p w14:paraId="07BADCA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60" w:type="dxa"/>
            <w:tcBorders>
              <w:top w:val="nil"/>
              <w:left w:val="single" w:sz="4" w:space="0" w:color="000000"/>
              <w:bottom w:val="nil"/>
              <w:right w:val="single" w:sz="4" w:space="0" w:color="000000"/>
            </w:tcBorders>
            <w:noWrap/>
            <w:vAlign w:val="center"/>
            <w:hideMark/>
          </w:tcPr>
          <w:p w14:paraId="26AFC87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noWrap/>
            <w:vAlign w:val="center"/>
            <w:hideMark/>
          </w:tcPr>
          <w:p w14:paraId="40AA2FE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90" w:type="dxa"/>
            <w:tcBorders>
              <w:top w:val="nil"/>
              <w:left w:val="single" w:sz="4" w:space="0" w:color="000000"/>
              <w:bottom w:val="nil"/>
              <w:right w:val="single" w:sz="4" w:space="0" w:color="000000"/>
            </w:tcBorders>
            <w:vAlign w:val="center"/>
            <w:hideMark/>
          </w:tcPr>
          <w:p w14:paraId="5BFBC2D9"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686" w:type="dxa"/>
            <w:tcBorders>
              <w:top w:val="nil"/>
              <w:left w:val="single" w:sz="4" w:space="0" w:color="000000"/>
              <w:bottom w:val="nil"/>
              <w:right w:val="single" w:sz="4" w:space="0" w:color="000000"/>
            </w:tcBorders>
            <w:noWrap/>
            <w:vAlign w:val="center"/>
            <w:hideMark/>
          </w:tcPr>
          <w:p w14:paraId="646EDF30"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7" w:type="dxa"/>
            <w:tcBorders>
              <w:top w:val="nil"/>
              <w:left w:val="single" w:sz="4" w:space="0" w:color="000000"/>
              <w:bottom w:val="nil"/>
              <w:right w:val="single" w:sz="4" w:space="0" w:color="000000"/>
            </w:tcBorders>
            <w:noWrap/>
            <w:vAlign w:val="center"/>
            <w:hideMark/>
          </w:tcPr>
          <w:p w14:paraId="0C7524E9"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0515A46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2A51189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0429983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15E32B09" w14:textId="77777777" w:rsidTr="006F3055">
        <w:trPr>
          <w:trHeight w:val="276"/>
        </w:trPr>
        <w:tc>
          <w:tcPr>
            <w:tcW w:w="1253" w:type="dxa"/>
            <w:vMerge w:val="restart"/>
            <w:tcBorders>
              <w:top w:val="nil"/>
              <w:left w:val="single" w:sz="12" w:space="0" w:color="000000"/>
              <w:bottom w:val="single" w:sz="4" w:space="0" w:color="000000"/>
              <w:right w:val="nil"/>
            </w:tcBorders>
            <w:hideMark/>
          </w:tcPr>
          <w:p w14:paraId="001B3E7C"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39. </w:t>
            </w:r>
            <w:r w:rsidRPr="008410A6">
              <w:rPr>
                <w:rFonts w:ascii="Arial" w:eastAsia="Times New Roman" w:hAnsi="Arial" w:cs="Arial"/>
                <w:color w:val="000000"/>
                <w:kern w:val="0"/>
                <w:sz w:val="18"/>
                <w:szCs w:val="18"/>
                <w:rtl/>
                <w:lang w:val="en-GB" w:eastAsia="en-GB"/>
                <w14:ligatures w14:val="none"/>
              </w:rPr>
              <w:t>أُبادر بطرح أفكار تطويرية حتى دون طلب رسمي</w:t>
            </w:r>
            <w:r w:rsidRPr="008410A6">
              <w:rPr>
                <w:rFonts w:ascii="Arial" w:eastAsia="Times New Roman" w:hAnsi="Arial" w:cs="Arial"/>
                <w:color w:val="000000"/>
                <w:kern w:val="0"/>
                <w:sz w:val="18"/>
                <w:szCs w:val="18"/>
                <w:lang w:val="en-GB" w:eastAsia="en-GB"/>
                <w14:ligatures w14:val="none"/>
              </w:rPr>
              <w:t>.</w:t>
            </w:r>
          </w:p>
        </w:tc>
        <w:tc>
          <w:tcPr>
            <w:tcW w:w="1097" w:type="dxa"/>
            <w:tcBorders>
              <w:top w:val="nil"/>
              <w:left w:val="nil"/>
              <w:bottom w:val="nil"/>
              <w:right w:val="single" w:sz="12" w:space="0" w:color="000000"/>
            </w:tcBorders>
            <w:hideMark/>
          </w:tcPr>
          <w:p w14:paraId="3038CBD4"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0DF04103"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.559</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54FACC6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.639</w:t>
            </w:r>
            <w:r w:rsidRPr="008410A6">
              <w:rPr>
                <w:rFonts w:ascii="Arial" w:eastAsia="Times New Roman" w:hAnsi="Arial" w:cs="Arial"/>
                <w:color w:val="000000"/>
                <w:kern w:val="0"/>
                <w:sz w:val="18"/>
                <w:szCs w:val="18"/>
                <w:vertAlign w:val="superscript"/>
                <w:lang w:val="en-GB" w:eastAsia="en-GB"/>
                <w14:ligatures w14:val="none"/>
              </w:rPr>
              <w:t>**</w:t>
            </w:r>
          </w:p>
        </w:tc>
        <w:tc>
          <w:tcPr>
            <w:tcW w:w="756" w:type="dxa"/>
            <w:tcBorders>
              <w:top w:val="nil"/>
              <w:left w:val="single" w:sz="4" w:space="0" w:color="000000"/>
              <w:bottom w:val="nil"/>
              <w:right w:val="single" w:sz="4" w:space="0" w:color="000000"/>
            </w:tcBorders>
            <w:noWrap/>
            <w:vAlign w:val="center"/>
            <w:hideMark/>
          </w:tcPr>
          <w:p w14:paraId="34809417"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.612</w:t>
            </w:r>
            <w:r w:rsidRPr="008410A6">
              <w:rPr>
                <w:rFonts w:ascii="Arial" w:eastAsia="Times New Roman" w:hAnsi="Arial" w:cs="Arial"/>
                <w:color w:val="000000"/>
                <w:kern w:val="0"/>
                <w:sz w:val="18"/>
                <w:szCs w:val="18"/>
                <w:vertAlign w:val="superscript"/>
                <w:lang w:val="en-GB" w:eastAsia="en-GB"/>
                <w14:ligatures w14:val="none"/>
              </w:rPr>
              <w:t>**</w:t>
            </w:r>
          </w:p>
        </w:tc>
        <w:tc>
          <w:tcPr>
            <w:tcW w:w="660" w:type="dxa"/>
            <w:tcBorders>
              <w:top w:val="nil"/>
              <w:left w:val="single" w:sz="4" w:space="0" w:color="000000"/>
              <w:bottom w:val="nil"/>
              <w:right w:val="single" w:sz="4" w:space="0" w:color="000000"/>
            </w:tcBorders>
            <w:noWrap/>
            <w:vAlign w:val="center"/>
            <w:hideMark/>
          </w:tcPr>
          <w:p w14:paraId="43BDF5D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.609</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698C4D5B"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.628</w:t>
            </w:r>
            <w:r w:rsidRPr="008410A6">
              <w:rPr>
                <w:rFonts w:ascii="Arial" w:eastAsia="Times New Roman" w:hAnsi="Arial" w:cs="Arial"/>
                <w:color w:val="000000"/>
                <w:kern w:val="0"/>
                <w:sz w:val="18"/>
                <w:szCs w:val="18"/>
                <w:vertAlign w:val="superscript"/>
                <w:lang w:val="en-GB" w:eastAsia="en-GB"/>
                <w14:ligatures w14:val="none"/>
              </w:rPr>
              <w:t>**</w:t>
            </w:r>
          </w:p>
        </w:tc>
        <w:tc>
          <w:tcPr>
            <w:tcW w:w="690" w:type="dxa"/>
            <w:tcBorders>
              <w:top w:val="nil"/>
              <w:left w:val="single" w:sz="4" w:space="0" w:color="000000"/>
              <w:bottom w:val="nil"/>
              <w:right w:val="single" w:sz="4" w:space="0" w:color="000000"/>
            </w:tcBorders>
            <w:noWrap/>
            <w:vAlign w:val="center"/>
            <w:hideMark/>
          </w:tcPr>
          <w:p w14:paraId="4680949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.626</w:t>
            </w:r>
            <w:r w:rsidRPr="008410A6">
              <w:rPr>
                <w:rFonts w:ascii="Arial" w:eastAsia="Times New Roman" w:hAnsi="Arial" w:cs="Arial"/>
                <w:color w:val="000000"/>
                <w:kern w:val="0"/>
                <w:sz w:val="18"/>
                <w:szCs w:val="18"/>
                <w:vertAlign w:val="superscript"/>
                <w:lang w:val="en-GB" w:eastAsia="en-GB"/>
                <w14:ligatures w14:val="none"/>
              </w:rPr>
              <w:t>**</w:t>
            </w:r>
          </w:p>
        </w:tc>
        <w:tc>
          <w:tcPr>
            <w:tcW w:w="686" w:type="dxa"/>
            <w:tcBorders>
              <w:top w:val="nil"/>
              <w:left w:val="single" w:sz="4" w:space="0" w:color="000000"/>
              <w:bottom w:val="nil"/>
              <w:right w:val="single" w:sz="4" w:space="0" w:color="000000"/>
            </w:tcBorders>
            <w:noWrap/>
            <w:vAlign w:val="center"/>
            <w:hideMark/>
          </w:tcPr>
          <w:p w14:paraId="4DD2553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757" w:type="dxa"/>
            <w:tcBorders>
              <w:top w:val="nil"/>
              <w:left w:val="single" w:sz="4" w:space="0" w:color="000000"/>
              <w:bottom w:val="nil"/>
              <w:right w:val="single" w:sz="4" w:space="0" w:color="000000"/>
            </w:tcBorders>
            <w:noWrap/>
            <w:vAlign w:val="center"/>
            <w:hideMark/>
          </w:tcPr>
          <w:p w14:paraId="191B83A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4F95AC3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3BFD06C3"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74F92A9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3C782551" w14:textId="77777777" w:rsidTr="006F3055">
        <w:trPr>
          <w:trHeight w:val="276"/>
        </w:trPr>
        <w:tc>
          <w:tcPr>
            <w:tcW w:w="1253" w:type="dxa"/>
            <w:vMerge/>
            <w:tcBorders>
              <w:top w:val="nil"/>
              <w:left w:val="single" w:sz="12" w:space="0" w:color="000000"/>
              <w:bottom w:val="single" w:sz="4" w:space="0" w:color="000000"/>
              <w:right w:val="nil"/>
            </w:tcBorders>
            <w:vAlign w:val="center"/>
            <w:hideMark/>
          </w:tcPr>
          <w:p w14:paraId="46F6C5D2"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1097" w:type="dxa"/>
            <w:tcBorders>
              <w:top w:val="nil"/>
              <w:left w:val="nil"/>
              <w:bottom w:val="nil"/>
              <w:right w:val="single" w:sz="12" w:space="0" w:color="000000"/>
            </w:tcBorders>
            <w:hideMark/>
          </w:tcPr>
          <w:p w14:paraId="040FE30F"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70865AC9"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noWrap/>
            <w:vAlign w:val="center"/>
            <w:hideMark/>
          </w:tcPr>
          <w:p w14:paraId="6D55D4E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56" w:type="dxa"/>
            <w:tcBorders>
              <w:top w:val="nil"/>
              <w:left w:val="single" w:sz="4" w:space="0" w:color="000000"/>
              <w:bottom w:val="nil"/>
              <w:right w:val="single" w:sz="4" w:space="0" w:color="000000"/>
            </w:tcBorders>
            <w:noWrap/>
            <w:vAlign w:val="center"/>
            <w:hideMark/>
          </w:tcPr>
          <w:p w14:paraId="10D5230C"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60" w:type="dxa"/>
            <w:tcBorders>
              <w:top w:val="nil"/>
              <w:left w:val="single" w:sz="4" w:space="0" w:color="000000"/>
              <w:bottom w:val="nil"/>
              <w:right w:val="single" w:sz="4" w:space="0" w:color="000000"/>
            </w:tcBorders>
            <w:noWrap/>
            <w:vAlign w:val="center"/>
            <w:hideMark/>
          </w:tcPr>
          <w:p w14:paraId="5BAE2C5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noWrap/>
            <w:vAlign w:val="center"/>
            <w:hideMark/>
          </w:tcPr>
          <w:p w14:paraId="43E8138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90" w:type="dxa"/>
            <w:tcBorders>
              <w:top w:val="nil"/>
              <w:left w:val="single" w:sz="4" w:space="0" w:color="000000"/>
              <w:bottom w:val="nil"/>
              <w:right w:val="single" w:sz="4" w:space="0" w:color="000000"/>
            </w:tcBorders>
            <w:noWrap/>
            <w:vAlign w:val="center"/>
            <w:hideMark/>
          </w:tcPr>
          <w:p w14:paraId="3941B03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86" w:type="dxa"/>
            <w:tcBorders>
              <w:top w:val="nil"/>
              <w:left w:val="single" w:sz="4" w:space="0" w:color="000000"/>
              <w:bottom w:val="nil"/>
              <w:right w:val="single" w:sz="4" w:space="0" w:color="000000"/>
            </w:tcBorders>
            <w:vAlign w:val="center"/>
            <w:hideMark/>
          </w:tcPr>
          <w:p w14:paraId="2811A165"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757" w:type="dxa"/>
            <w:tcBorders>
              <w:top w:val="nil"/>
              <w:left w:val="single" w:sz="4" w:space="0" w:color="000000"/>
              <w:bottom w:val="nil"/>
              <w:right w:val="single" w:sz="4" w:space="0" w:color="000000"/>
            </w:tcBorders>
            <w:noWrap/>
            <w:vAlign w:val="center"/>
            <w:hideMark/>
          </w:tcPr>
          <w:p w14:paraId="476965C0"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31714A39"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62392D8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469425B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4B074B12" w14:textId="77777777" w:rsidTr="006F3055">
        <w:trPr>
          <w:trHeight w:val="276"/>
        </w:trPr>
        <w:tc>
          <w:tcPr>
            <w:tcW w:w="1253" w:type="dxa"/>
            <w:vMerge w:val="restart"/>
            <w:tcBorders>
              <w:top w:val="nil"/>
              <w:left w:val="single" w:sz="12" w:space="0" w:color="000000"/>
              <w:bottom w:val="single" w:sz="4" w:space="0" w:color="000000"/>
              <w:right w:val="nil"/>
            </w:tcBorders>
            <w:hideMark/>
          </w:tcPr>
          <w:p w14:paraId="683C589C"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40. </w:t>
            </w:r>
            <w:r w:rsidRPr="008410A6">
              <w:rPr>
                <w:rFonts w:ascii="Arial" w:eastAsia="Times New Roman" w:hAnsi="Arial" w:cs="Arial"/>
                <w:color w:val="000000"/>
                <w:kern w:val="0"/>
                <w:sz w:val="18"/>
                <w:szCs w:val="18"/>
                <w:rtl/>
                <w:lang w:val="en-GB" w:eastAsia="en-GB"/>
                <w14:ligatures w14:val="none"/>
              </w:rPr>
              <w:t>أُشجّع زملائي على التفكير بطرق غير تقليدية</w:t>
            </w:r>
            <w:r w:rsidRPr="008410A6">
              <w:rPr>
                <w:rFonts w:ascii="Arial" w:eastAsia="Times New Roman" w:hAnsi="Arial" w:cs="Arial"/>
                <w:color w:val="000000"/>
                <w:kern w:val="0"/>
                <w:sz w:val="18"/>
                <w:szCs w:val="18"/>
                <w:lang w:val="en-GB" w:eastAsia="en-GB"/>
                <w14:ligatures w14:val="none"/>
              </w:rPr>
              <w:t>.</w:t>
            </w:r>
          </w:p>
        </w:tc>
        <w:tc>
          <w:tcPr>
            <w:tcW w:w="1097" w:type="dxa"/>
            <w:tcBorders>
              <w:top w:val="nil"/>
              <w:left w:val="nil"/>
              <w:bottom w:val="nil"/>
              <w:right w:val="single" w:sz="12" w:space="0" w:color="000000"/>
            </w:tcBorders>
            <w:hideMark/>
          </w:tcPr>
          <w:p w14:paraId="6E203DBF"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65EDC9DC"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.459</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6E65F85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.510</w:t>
            </w:r>
            <w:r w:rsidRPr="008410A6">
              <w:rPr>
                <w:rFonts w:ascii="Arial" w:eastAsia="Times New Roman" w:hAnsi="Arial" w:cs="Arial"/>
                <w:color w:val="000000"/>
                <w:kern w:val="0"/>
                <w:sz w:val="18"/>
                <w:szCs w:val="18"/>
                <w:vertAlign w:val="superscript"/>
                <w:lang w:val="en-GB" w:eastAsia="en-GB"/>
                <w14:ligatures w14:val="none"/>
              </w:rPr>
              <w:t>**</w:t>
            </w:r>
          </w:p>
        </w:tc>
        <w:tc>
          <w:tcPr>
            <w:tcW w:w="756" w:type="dxa"/>
            <w:tcBorders>
              <w:top w:val="nil"/>
              <w:left w:val="single" w:sz="4" w:space="0" w:color="000000"/>
              <w:bottom w:val="nil"/>
              <w:right w:val="single" w:sz="4" w:space="0" w:color="000000"/>
            </w:tcBorders>
            <w:noWrap/>
            <w:vAlign w:val="center"/>
            <w:hideMark/>
          </w:tcPr>
          <w:p w14:paraId="58F48E93"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.537</w:t>
            </w:r>
            <w:r w:rsidRPr="008410A6">
              <w:rPr>
                <w:rFonts w:ascii="Arial" w:eastAsia="Times New Roman" w:hAnsi="Arial" w:cs="Arial"/>
                <w:color w:val="000000"/>
                <w:kern w:val="0"/>
                <w:sz w:val="18"/>
                <w:szCs w:val="18"/>
                <w:vertAlign w:val="superscript"/>
                <w:lang w:val="en-GB" w:eastAsia="en-GB"/>
                <w14:ligatures w14:val="none"/>
              </w:rPr>
              <w:t>**</w:t>
            </w:r>
          </w:p>
        </w:tc>
        <w:tc>
          <w:tcPr>
            <w:tcW w:w="660" w:type="dxa"/>
            <w:tcBorders>
              <w:top w:val="nil"/>
              <w:left w:val="single" w:sz="4" w:space="0" w:color="000000"/>
              <w:bottom w:val="nil"/>
              <w:right w:val="single" w:sz="4" w:space="0" w:color="000000"/>
            </w:tcBorders>
            <w:noWrap/>
            <w:vAlign w:val="center"/>
            <w:hideMark/>
          </w:tcPr>
          <w:p w14:paraId="390E722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.508</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7A3DDFFC"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.508</w:t>
            </w:r>
            <w:r w:rsidRPr="008410A6">
              <w:rPr>
                <w:rFonts w:ascii="Arial" w:eastAsia="Times New Roman" w:hAnsi="Arial" w:cs="Arial"/>
                <w:color w:val="000000"/>
                <w:kern w:val="0"/>
                <w:sz w:val="18"/>
                <w:szCs w:val="18"/>
                <w:vertAlign w:val="superscript"/>
                <w:lang w:val="en-GB" w:eastAsia="en-GB"/>
                <w14:ligatures w14:val="none"/>
              </w:rPr>
              <w:t>**</w:t>
            </w:r>
          </w:p>
        </w:tc>
        <w:tc>
          <w:tcPr>
            <w:tcW w:w="690" w:type="dxa"/>
            <w:tcBorders>
              <w:top w:val="nil"/>
              <w:left w:val="single" w:sz="4" w:space="0" w:color="000000"/>
              <w:bottom w:val="nil"/>
              <w:right w:val="single" w:sz="4" w:space="0" w:color="000000"/>
            </w:tcBorders>
            <w:noWrap/>
            <w:vAlign w:val="center"/>
            <w:hideMark/>
          </w:tcPr>
          <w:p w14:paraId="32C6D1FD"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.517</w:t>
            </w:r>
            <w:r w:rsidRPr="008410A6">
              <w:rPr>
                <w:rFonts w:ascii="Arial" w:eastAsia="Times New Roman" w:hAnsi="Arial" w:cs="Arial"/>
                <w:color w:val="000000"/>
                <w:kern w:val="0"/>
                <w:sz w:val="18"/>
                <w:szCs w:val="18"/>
                <w:vertAlign w:val="superscript"/>
                <w:lang w:val="en-GB" w:eastAsia="en-GB"/>
                <w14:ligatures w14:val="none"/>
              </w:rPr>
              <w:t>**</w:t>
            </w:r>
          </w:p>
        </w:tc>
        <w:tc>
          <w:tcPr>
            <w:tcW w:w="686" w:type="dxa"/>
            <w:tcBorders>
              <w:top w:val="nil"/>
              <w:left w:val="single" w:sz="4" w:space="0" w:color="000000"/>
              <w:bottom w:val="nil"/>
              <w:right w:val="single" w:sz="4" w:space="0" w:color="000000"/>
            </w:tcBorders>
            <w:noWrap/>
            <w:vAlign w:val="center"/>
            <w:hideMark/>
          </w:tcPr>
          <w:p w14:paraId="1072B21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.520</w:t>
            </w:r>
            <w:r w:rsidRPr="008410A6">
              <w:rPr>
                <w:rFonts w:ascii="Arial" w:eastAsia="Times New Roman" w:hAnsi="Arial" w:cs="Arial"/>
                <w:color w:val="000000"/>
                <w:kern w:val="0"/>
                <w:sz w:val="18"/>
                <w:szCs w:val="18"/>
                <w:vertAlign w:val="superscript"/>
                <w:lang w:val="en-GB" w:eastAsia="en-GB"/>
                <w14:ligatures w14:val="none"/>
              </w:rPr>
              <w:t>**</w:t>
            </w:r>
          </w:p>
        </w:tc>
        <w:tc>
          <w:tcPr>
            <w:tcW w:w="757" w:type="dxa"/>
            <w:tcBorders>
              <w:top w:val="nil"/>
              <w:left w:val="single" w:sz="4" w:space="0" w:color="000000"/>
              <w:bottom w:val="nil"/>
              <w:right w:val="single" w:sz="4" w:space="0" w:color="000000"/>
            </w:tcBorders>
            <w:noWrap/>
            <w:vAlign w:val="center"/>
            <w:hideMark/>
          </w:tcPr>
          <w:p w14:paraId="1B274519"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851" w:type="dxa"/>
            <w:tcBorders>
              <w:top w:val="nil"/>
              <w:left w:val="single" w:sz="4" w:space="0" w:color="000000"/>
              <w:bottom w:val="nil"/>
              <w:right w:val="single" w:sz="4" w:space="0" w:color="000000"/>
            </w:tcBorders>
            <w:noWrap/>
            <w:vAlign w:val="center"/>
            <w:hideMark/>
          </w:tcPr>
          <w:p w14:paraId="4C9285A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2C1E5300"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2263001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2AF74D57" w14:textId="77777777" w:rsidTr="006F3055">
        <w:trPr>
          <w:trHeight w:val="276"/>
        </w:trPr>
        <w:tc>
          <w:tcPr>
            <w:tcW w:w="1253" w:type="dxa"/>
            <w:vMerge/>
            <w:tcBorders>
              <w:top w:val="nil"/>
              <w:left w:val="single" w:sz="12" w:space="0" w:color="000000"/>
              <w:bottom w:val="single" w:sz="4" w:space="0" w:color="000000"/>
              <w:right w:val="nil"/>
            </w:tcBorders>
            <w:vAlign w:val="center"/>
            <w:hideMark/>
          </w:tcPr>
          <w:p w14:paraId="71D7CDC6"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1097" w:type="dxa"/>
            <w:tcBorders>
              <w:top w:val="nil"/>
              <w:left w:val="nil"/>
              <w:bottom w:val="nil"/>
              <w:right w:val="single" w:sz="12" w:space="0" w:color="000000"/>
            </w:tcBorders>
            <w:hideMark/>
          </w:tcPr>
          <w:p w14:paraId="7EFE15C5"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749615AF"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noWrap/>
            <w:vAlign w:val="center"/>
            <w:hideMark/>
          </w:tcPr>
          <w:p w14:paraId="3CCAC2CD"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56" w:type="dxa"/>
            <w:tcBorders>
              <w:top w:val="nil"/>
              <w:left w:val="single" w:sz="4" w:space="0" w:color="000000"/>
              <w:bottom w:val="nil"/>
              <w:right w:val="single" w:sz="4" w:space="0" w:color="000000"/>
            </w:tcBorders>
            <w:noWrap/>
            <w:vAlign w:val="center"/>
            <w:hideMark/>
          </w:tcPr>
          <w:p w14:paraId="499FFF6C"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60" w:type="dxa"/>
            <w:tcBorders>
              <w:top w:val="nil"/>
              <w:left w:val="single" w:sz="4" w:space="0" w:color="000000"/>
              <w:bottom w:val="nil"/>
              <w:right w:val="single" w:sz="4" w:space="0" w:color="000000"/>
            </w:tcBorders>
            <w:noWrap/>
            <w:vAlign w:val="center"/>
            <w:hideMark/>
          </w:tcPr>
          <w:p w14:paraId="1A16C0FB"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noWrap/>
            <w:vAlign w:val="center"/>
            <w:hideMark/>
          </w:tcPr>
          <w:p w14:paraId="75F6227D"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90" w:type="dxa"/>
            <w:tcBorders>
              <w:top w:val="nil"/>
              <w:left w:val="single" w:sz="4" w:space="0" w:color="000000"/>
              <w:bottom w:val="nil"/>
              <w:right w:val="single" w:sz="4" w:space="0" w:color="000000"/>
            </w:tcBorders>
            <w:noWrap/>
            <w:vAlign w:val="center"/>
            <w:hideMark/>
          </w:tcPr>
          <w:p w14:paraId="7E961649"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86" w:type="dxa"/>
            <w:tcBorders>
              <w:top w:val="nil"/>
              <w:left w:val="single" w:sz="4" w:space="0" w:color="000000"/>
              <w:bottom w:val="nil"/>
              <w:right w:val="single" w:sz="4" w:space="0" w:color="000000"/>
            </w:tcBorders>
            <w:noWrap/>
            <w:vAlign w:val="center"/>
            <w:hideMark/>
          </w:tcPr>
          <w:p w14:paraId="5EE1D88B"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57" w:type="dxa"/>
            <w:tcBorders>
              <w:top w:val="nil"/>
              <w:left w:val="single" w:sz="4" w:space="0" w:color="000000"/>
              <w:bottom w:val="nil"/>
              <w:right w:val="single" w:sz="4" w:space="0" w:color="000000"/>
            </w:tcBorders>
            <w:vAlign w:val="center"/>
            <w:hideMark/>
          </w:tcPr>
          <w:p w14:paraId="193D273D"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1" w:type="dxa"/>
            <w:tcBorders>
              <w:top w:val="nil"/>
              <w:left w:val="single" w:sz="4" w:space="0" w:color="000000"/>
              <w:bottom w:val="nil"/>
              <w:right w:val="single" w:sz="4" w:space="0" w:color="000000"/>
            </w:tcBorders>
            <w:noWrap/>
            <w:vAlign w:val="center"/>
            <w:hideMark/>
          </w:tcPr>
          <w:p w14:paraId="5A17015C"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3F9C1B1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62C7EDB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48E73C13" w14:textId="77777777" w:rsidTr="006F3055">
        <w:trPr>
          <w:trHeight w:val="276"/>
        </w:trPr>
        <w:tc>
          <w:tcPr>
            <w:tcW w:w="1253" w:type="dxa"/>
            <w:vMerge w:val="restart"/>
            <w:tcBorders>
              <w:top w:val="nil"/>
              <w:left w:val="single" w:sz="12" w:space="0" w:color="000000"/>
              <w:bottom w:val="single" w:sz="4" w:space="0" w:color="000000"/>
              <w:right w:val="nil"/>
            </w:tcBorders>
            <w:hideMark/>
          </w:tcPr>
          <w:p w14:paraId="6C5EBD7F"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41. </w:t>
            </w:r>
            <w:r w:rsidRPr="008410A6">
              <w:rPr>
                <w:rFonts w:ascii="Arial" w:eastAsia="Times New Roman" w:hAnsi="Arial" w:cs="Arial"/>
                <w:color w:val="000000"/>
                <w:kern w:val="0"/>
                <w:sz w:val="18"/>
                <w:szCs w:val="18"/>
                <w:rtl/>
                <w:lang w:val="en-GB" w:eastAsia="en-GB"/>
                <w14:ligatures w14:val="none"/>
              </w:rPr>
              <w:t>أستفيد من خبراتي السابقة لإيجاد حلول مبتكرة للمشكلات</w:t>
            </w:r>
            <w:r w:rsidRPr="008410A6">
              <w:rPr>
                <w:rFonts w:ascii="Arial" w:eastAsia="Times New Roman" w:hAnsi="Arial" w:cs="Arial"/>
                <w:color w:val="000000"/>
                <w:kern w:val="0"/>
                <w:sz w:val="18"/>
                <w:szCs w:val="18"/>
                <w:lang w:val="en-GB" w:eastAsia="en-GB"/>
                <w14:ligatures w14:val="none"/>
              </w:rPr>
              <w:t>.</w:t>
            </w:r>
          </w:p>
        </w:tc>
        <w:tc>
          <w:tcPr>
            <w:tcW w:w="1097" w:type="dxa"/>
            <w:tcBorders>
              <w:top w:val="nil"/>
              <w:left w:val="nil"/>
              <w:bottom w:val="nil"/>
              <w:right w:val="single" w:sz="12" w:space="0" w:color="000000"/>
            </w:tcBorders>
            <w:hideMark/>
          </w:tcPr>
          <w:p w14:paraId="0998A880"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4084F79D"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.468</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481C15F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.478</w:t>
            </w:r>
            <w:r w:rsidRPr="008410A6">
              <w:rPr>
                <w:rFonts w:ascii="Arial" w:eastAsia="Times New Roman" w:hAnsi="Arial" w:cs="Arial"/>
                <w:color w:val="000000"/>
                <w:kern w:val="0"/>
                <w:sz w:val="18"/>
                <w:szCs w:val="18"/>
                <w:vertAlign w:val="superscript"/>
                <w:lang w:val="en-GB" w:eastAsia="en-GB"/>
                <w14:ligatures w14:val="none"/>
              </w:rPr>
              <w:t>**</w:t>
            </w:r>
          </w:p>
        </w:tc>
        <w:tc>
          <w:tcPr>
            <w:tcW w:w="756" w:type="dxa"/>
            <w:tcBorders>
              <w:top w:val="nil"/>
              <w:left w:val="single" w:sz="4" w:space="0" w:color="000000"/>
              <w:bottom w:val="nil"/>
              <w:right w:val="single" w:sz="4" w:space="0" w:color="000000"/>
            </w:tcBorders>
            <w:noWrap/>
            <w:vAlign w:val="center"/>
            <w:hideMark/>
          </w:tcPr>
          <w:p w14:paraId="78831C43"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.498</w:t>
            </w:r>
            <w:r w:rsidRPr="008410A6">
              <w:rPr>
                <w:rFonts w:ascii="Arial" w:eastAsia="Times New Roman" w:hAnsi="Arial" w:cs="Arial"/>
                <w:color w:val="000000"/>
                <w:kern w:val="0"/>
                <w:sz w:val="18"/>
                <w:szCs w:val="18"/>
                <w:vertAlign w:val="superscript"/>
                <w:lang w:val="en-GB" w:eastAsia="en-GB"/>
                <w14:ligatures w14:val="none"/>
              </w:rPr>
              <w:t>**</w:t>
            </w:r>
          </w:p>
        </w:tc>
        <w:tc>
          <w:tcPr>
            <w:tcW w:w="660" w:type="dxa"/>
            <w:tcBorders>
              <w:top w:val="nil"/>
              <w:left w:val="single" w:sz="4" w:space="0" w:color="000000"/>
              <w:bottom w:val="nil"/>
              <w:right w:val="single" w:sz="4" w:space="0" w:color="000000"/>
            </w:tcBorders>
            <w:noWrap/>
            <w:vAlign w:val="center"/>
            <w:hideMark/>
          </w:tcPr>
          <w:p w14:paraId="58E02263"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.443</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2994071C"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.499</w:t>
            </w:r>
            <w:r w:rsidRPr="008410A6">
              <w:rPr>
                <w:rFonts w:ascii="Arial" w:eastAsia="Times New Roman" w:hAnsi="Arial" w:cs="Arial"/>
                <w:color w:val="000000"/>
                <w:kern w:val="0"/>
                <w:sz w:val="18"/>
                <w:szCs w:val="18"/>
                <w:vertAlign w:val="superscript"/>
                <w:lang w:val="en-GB" w:eastAsia="en-GB"/>
                <w14:ligatures w14:val="none"/>
              </w:rPr>
              <w:t>**</w:t>
            </w:r>
          </w:p>
        </w:tc>
        <w:tc>
          <w:tcPr>
            <w:tcW w:w="690" w:type="dxa"/>
            <w:tcBorders>
              <w:top w:val="nil"/>
              <w:left w:val="single" w:sz="4" w:space="0" w:color="000000"/>
              <w:bottom w:val="nil"/>
              <w:right w:val="single" w:sz="4" w:space="0" w:color="000000"/>
            </w:tcBorders>
            <w:noWrap/>
            <w:vAlign w:val="center"/>
            <w:hideMark/>
          </w:tcPr>
          <w:p w14:paraId="2EE17A2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.504</w:t>
            </w:r>
            <w:r w:rsidRPr="008410A6">
              <w:rPr>
                <w:rFonts w:ascii="Arial" w:eastAsia="Times New Roman" w:hAnsi="Arial" w:cs="Arial"/>
                <w:color w:val="000000"/>
                <w:kern w:val="0"/>
                <w:sz w:val="18"/>
                <w:szCs w:val="18"/>
                <w:vertAlign w:val="superscript"/>
                <w:lang w:val="en-GB" w:eastAsia="en-GB"/>
                <w14:ligatures w14:val="none"/>
              </w:rPr>
              <w:t>**</w:t>
            </w:r>
          </w:p>
        </w:tc>
        <w:tc>
          <w:tcPr>
            <w:tcW w:w="686" w:type="dxa"/>
            <w:tcBorders>
              <w:top w:val="nil"/>
              <w:left w:val="single" w:sz="4" w:space="0" w:color="000000"/>
              <w:bottom w:val="nil"/>
              <w:right w:val="single" w:sz="4" w:space="0" w:color="000000"/>
            </w:tcBorders>
            <w:noWrap/>
            <w:vAlign w:val="center"/>
            <w:hideMark/>
          </w:tcPr>
          <w:p w14:paraId="1B18718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.431</w:t>
            </w:r>
            <w:r w:rsidRPr="008410A6">
              <w:rPr>
                <w:rFonts w:ascii="Arial" w:eastAsia="Times New Roman" w:hAnsi="Arial" w:cs="Arial"/>
                <w:color w:val="000000"/>
                <w:kern w:val="0"/>
                <w:sz w:val="18"/>
                <w:szCs w:val="18"/>
                <w:vertAlign w:val="superscript"/>
                <w:lang w:val="en-GB" w:eastAsia="en-GB"/>
                <w14:ligatures w14:val="none"/>
              </w:rPr>
              <w:t>**</w:t>
            </w:r>
          </w:p>
        </w:tc>
        <w:tc>
          <w:tcPr>
            <w:tcW w:w="757" w:type="dxa"/>
            <w:tcBorders>
              <w:top w:val="nil"/>
              <w:left w:val="single" w:sz="4" w:space="0" w:color="000000"/>
              <w:bottom w:val="nil"/>
              <w:right w:val="single" w:sz="4" w:space="0" w:color="000000"/>
            </w:tcBorders>
            <w:noWrap/>
            <w:vAlign w:val="center"/>
            <w:hideMark/>
          </w:tcPr>
          <w:p w14:paraId="13C9155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.440</w:t>
            </w:r>
            <w:r w:rsidRPr="008410A6">
              <w:rPr>
                <w:rFonts w:ascii="Arial" w:eastAsia="Times New Roman" w:hAnsi="Arial" w:cs="Arial"/>
                <w:color w:val="000000"/>
                <w:kern w:val="0"/>
                <w:sz w:val="18"/>
                <w:szCs w:val="18"/>
                <w:vertAlign w:val="superscript"/>
                <w:lang w:val="en-GB" w:eastAsia="en-GB"/>
                <w14:ligatures w14:val="none"/>
              </w:rPr>
              <w:t>**</w:t>
            </w:r>
          </w:p>
        </w:tc>
        <w:tc>
          <w:tcPr>
            <w:tcW w:w="851" w:type="dxa"/>
            <w:tcBorders>
              <w:top w:val="nil"/>
              <w:left w:val="single" w:sz="4" w:space="0" w:color="000000"/>
              <w:bottom w:val="nil"/>
              <w:right w:val="single" w:sz="4" w:space="0" w:color="000000"/>
            </w:tcBorders>
            <w:noWrap/>
            <w:vAlign w:val="center"/>
            <w:hideMark/>
          </w:tcPr>
          <w:p w14:paraId="2443E89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859" w:type="dxa"/>
            <w:tcBorders>
              <w:top w:val="nil"/>
              <w:left w:val="single" w:sz="4" w:space="0" w:color="000000"/>
              <w:bottom w:val="nil"/>
              <w:right w:val="single" w:sz="4" w:space="0" w:color="000000"/>
            </w:tcBorders>
            <w:noWrap/>
            <w:vAlign w:val="center"/>
            <w:hideMark/>
          </w:tcPr>
          <w:p w14:paraId="5C3EE81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745A57CD"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3CB95AD2" w14:textId="77777777" w:rsidTr="006F3055">
        <w:trPr>
          <w:trHeight w:val="276"/>
        </w:trPr>
        <w:tc>
          <w:tcPr>
            <w:tcW w:w="1253" w:type="dxa"/>
            <w:vMerge/>
            <w:tcBorders>
              <w:top w:val="nil"/>
              <w:left w:val="single" w:sz="12" w:space="0" w:color="000000"/>
              <w:bottom w:val="single" w:sz="4" w:space="0" w:color="000000"/>
              <w:right w:val="nil"/>
            </w:tcBorders>
            <w:vAlign w:val="center"/>
            <w:hideMark/>
          </w:tcPr>
          <w:p w14:paraId="69F86E41"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1097" w:type="dxa"/>
            <w:tcBorders>
              <w:top w:val="nil"/>
              <w:left w:val="nil"/>
              <w:bottom w:val="nil"/>
              <w:right w:val="single" w:sz="12" w:space="0" w:color="000000"/>
            </w:tcBorders>
            <w:hideMark/>
          </w:tcPr>
          <w:p w14:paraId="7AAAAD25"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00C1561D"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noWrap/>
            <w:vAlign w:val="center"/>
            <w:hideMark/>
          </w:tcPr>
          <w:p w14:paraId="141138C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56" w:type="dxa"/>
            <w:tcBorders>
              <w:top w:val="nil"/>
              <w:left w:val="single" w:sz="4" w:space="0" w:color="000000"/>
              <w:bottom w:val="nil"/>
              <w:right w:val="single" w:sz="4" w:space="0" w:color="000000"/>
            </w:tcBorders>
            <w:noWrap/>
            <w:vAlign w:val="center"/>
            <w:hideMark/>
          </w:tcPr>
          <w:p w14:paraId="73BC0481"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60" w:type="dxa"/>
            <w:tcBorders>
              <w:top w:val="nil"/>
              <w:left w:val="single" w:sz="4" w:space="0" w:color="000000"/>
              <w:bottom w:val="nil"/>
              <w:right w:val="single" w:sz="4" w:space="0" w:color="000000"/>
            </w:tcBorders>
            <w:noWrap/>
            <w:vAlign w:val="center"/>
            <w:hideMark/>
          </w:tcPr>
          <w:p w14:paraId="0F05C8E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noWrap/>
            <w:vAlign w:val="center"/>
            <w:hideMark/>
          </w:tcPr>
          <w:p w14:paraId="6BF8334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90" w:type="dxa"/>
            <w:tcBorders>
              <w:top w:val="nil"/>
              <w:left w:val="single" w:sz="4" w:space="0" w:color="000000"/>
              <w:bottom w:val="nil"/>
              <w:right w:val="single" w:sz="4" w:space="0" w:color="000000"/>
            </w:tcBorders>
            <w:noWrap/>
            <w:vAlign w:val="center"/>
            <w:hideMark/>
          </w:tcPr>
          <w:p w14:paraId="2BD43F4D"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86" w:type="dxa"/>
            <w:tcBorders>
              <w:top w:val="nil"/>
              <w:left w:val="single" w:sz="4" w:space="0" w:color="000000"/>
              <w:bottom w:val="nil"/>
              <w:right w:val="single" w:sz="4" w:space="0" w:color="000000"/>
            </w:tcBorders>
            <w:noWrap/>
            <w:vAlign w:val="center"/>
            <w:hideMark/>
          </w:tcPr>
          <w:p w14:paraId="088D476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57" w:type="dxa"/>
            <w:tcBorders>
              <w:top w:val="nil"/>
              <w:left w:val="single" w:sz="4" w:space="0" w:color="000000"/>
              <w:bottom w:val="nil"/>
              <w:right w:val="single" w:sz="4" w:space="0" w:color="000000"/>
            </w:tcBorders>
            <w:noWrap/>
            <w:vAlign w:val="center"/>
            <w:hideMark/>
          </w:tcPr>
          <w:p w14:paraId="2EF96A33"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1" w:type="dxa"/>
            <w:tcBorders>
              <w:top w:val="nil"/>
              <w:left w:val="single" w:sz="4" w:space="0" w:color="000000"/>
              <w:bottom w:val="nil"/>
              <w:right w:val="single" w:sz="4" w:space="0" w:color="000000"/>
            </w:tcBorders>
            <w:vAlign w:val="center"/>
            <w:hideMark/>
          </w:tcPr>
          <w:p w14:paraId="316C0550"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59" w:type="dxa"/>
            <w:tcBorders>
              <w:top w:val="nil"/>
              <w:left w:val="single" w:sz="4" w:space="0" w:color="000000"/>
              <w:bottom w:val="nil"/>
              <w:right w:val="single" w:sz="4" w:space="0" w:color="000000"/>
            </w:tcBorders>
            <w:noWrap/>
            <w:vAlign w:val="center"/>
            <w:hideMark/>
          </w:tcPr>
          <w:p w14:paraId="18149F4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6A2F897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0571878A" w14:textId="77777777" w:rsidTr="006F3055">
        <w:trPr>
          <w:trHeight w:val="276"/>
        </w:trPr>
        <w:tc>
          <w:tcPr>
            <w:tcW w:w="1253" w:type="dxa"/>
            <w:vMerge w:val="restart"/>
            <w:tcBorders>
              <w:top w:val="nil"/>
              <w:left w:val="single" w:sz="12" w:space="0" w:color="000000"/>
              <w:bottom w:val="single" w:sz="4" w:space="0" w:color="000000"/>
              <w:right w:val="nil"/>
            </w:tcBorders>
            <w:hideMark/>
          </w:tcPr>
          <w:p w14:paraId="2DDDF3CC"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xml:space="preserve">42. </w:t>
            </w:r>
            <w:r w:rsidRPr="008410A6">
              <w:rPr>
                <w:rFonts w:ascii="Arial" w:eastAsia="Times New Roman" w:hAnsi="Arial" w:cs="Arial"/>
                <w:color w:val="000000"/>
                <w:kern w:val="0"/>
                <w:sz w:val="18"/>
                <w:szCs w:val="18"/>
                <w:rtl/>
                <w:lang w:val="en-GB" w:eastAsia="en-GB"/>
                <w14:ligatures w14:val="none"/>
              </w:rPr>
              <w:t>أعتبر الإبداع جزءًا أساسيًا من مسؤوليتي المهنية</w:t>
            </w:r>
            <w:r w:rsidRPr="008410A6">
              <w:rPr>
                <w:rFonts w:ascii="Arial" w:eastAsia="Times New Roman" w:hAnsi="Arial" w:cs="Arial"/>
                <w:color w:val="000000"/>
                <w:kern w:val="0"/>
                <w:sz w:val="18"/>
                <w:szCs w:val="18"/>
                <w:lang w:val="en-GB" w:eastAsia="en-GB"/>
                <w14:ligatures w14:val="none"/>
              </w:rPr>
              <w:t>.</w:t>
            </w:r>
          </w:p>
        </w:tc>
        <w:tc>
          <w:tcPr>
            <w:tcW w:w="1097" w:type="dxa"/>
            <w:tcBorders>
              <w:top w:val="nil"/>
              <w:left w:val="nil"/>
              <w:bottom w:val="nil"/>
              <w:right w:val="single" w:sz="12" w:space="0" w:color="000000"/>
            </w:tcBorders>
            <w:hideMark/>
          </w:tcPr>
          <w:p w14:paraId="36DE93DB"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13DAFB9F"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.469</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52F3CC0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.495</w:t>
            </w:r>
            <w:r w:rsidRPr="008410A6">
              <w:rPr>
                <w:rFonts w:ascii="Arial" w:eastAsia="Times New Roman" w:hAnsi="Arial" w:cs="Arial"/>
                <w:color w:val="000000"/>
                <w:kern w:val="0"/>
                <w:sz w:val="18"/>
                <w:szCs w:val="18"/>
                <w:vertAlign w:val="superscript"/>
                <w:lang w:val="en-GB" w:eastAsia="en-GB"/>
                <w14:ligatures w14:val="none"/>
              </w:rPr>
              <w:t>**</w:t>
            </w:r>
          </w:p>
        </w:tc>
        <w:tc>
          <w:tcPr>
            <w:tcW w:w="756" w:type="dxa"/>
            <w:tcBorders>
              <w:top w:val="nil"/>
              <w:left w:val="single" w:sz="4" w:space="0" w:color="000000"/>
              <w:bottom w:val="nil"/>
              <w:right w:val="single" w:sz="4" w:space="0" w:color="000000"/>
            </w:tcBorders>
            <w:noWrap/>
            <w:vAlign w:val="center"/>
            <w:hideMark/>
          </w:tcPr>
          <w:p w14:paraId="6DE78E3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.504</w:t>
            </w:r>
            <w:r w:rsidRPr="008410A6">
              <w:rPr>
                <w:rFonts w:ascii="Arial" w:eastAsia="Times New Roman" w:hAnsi="Arial" w:cs="Arial"/>
                <w:color w:val="000000"/>
                <w:kern w:val="0"/>
                <w:sz w:val="18"/>
                <w:szCs w:val="18"/>
                <w:vertAlign w:val="superscript"/>
                <w:lang w:val="en-GB" w:eastAsia="en-GB"/>
                <w14:ligatures w14:val="none"/>
              </w:rPr>
              <w:t>**</w:t>
            </w:r>
          </w:p>
        </w:tc>
        <w:tc>
          <w:tcPr>
            <w:tcW w:w="660" w:type="dxa"/>
            <w:tcBorders>
              <w:top w:val="nil"/>
              <w:left w:val="single" w:sz="4" w:space="0" w:color="000000"/>
              <w:bottom w:val="nil"/>
              <w:right w:val="single" w:sz="4" w:space="0" w:color="000000"/>
            </w:tcBorders>
            <w:noWrap/>
            <w:vAlign w:val="center"/>
            <w:hideMark/>
          </w:tcPr>
          <w:p w14:paraId="674709F3"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.524</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2B559DCC"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.512</w:t>
            </w:r>
            <w:r w:rsidRPr="008410A6">
              <w:rPr>
                <w:rFonts w:ascii="Arial" w:eastAsia="Times New Roman" w:hAnsi="Arial" w:cs="Arial"/>
                <w:color w:val="000000"/>
                <w:kern w:val="0"/>
                <w:sz w:val="18"/>
                <w:szCs w:val="18"/>
                <w:vertAlign w:val="superscript"/>
                <w:lang w:val="en-GB" w:eastAsia="en-GB"/>
                <w14:ligatures w14:val="none"/>
              </w:rPr>
              <w:t>**</w:t>
            </w:r>
          </w:p>
        </w:tc>
        <w:tc>
          <w:tcPr>
            <w:tcW w:w="690" w:type="dxa"/>
            <w:tcBorders>
              <w:top w:val="nil"/>
              <w:left w:val="single" w:sz="4" w:space="0" w:color="000000"/>
              <w:bottom w:val="nil"/>
              <w:right w:val="single" w:sz="4" w:space="0" w:color="000000"/>
            </w:tcBorders>
            <w:noWrap/>
            <w:vAlign w:val="center"/>
            <w:hideMark/>
          </w:tcPr>
          <w:p w14:paraId="0E9371E1"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.498</w:t>
            </w:r>
            <w:r w:rsidRPr="008410A6">
              <w:rPr>
                <w:rFonts w:ascii="Arial" w:eastAsia="Times New Roman" w:hAnsi="Arial" w:cs="Arial"/>
                <w:color w:val="000000"/>
                <w:kern w:val="0"/>
                <w:sz w:val="18"/>
                <w:szCs w:val="18"/>
                <w:vertAlign w:val="superscript"/>
                <w:lang w:val="en-GB" w:eastAsia="en-GB"/>
                <w14:ligatures w14:val="none"/>
              </w:rPr>
              <w:t>**</w:t>
            </w:r>
          </w:p>
        </w:tc>
        <w:tc>
          <w:tcPr>
            <w:tcW w:w="686" w:type="dxa"/>
            <w:tcBorders>
              <w:top w:val="nil"/>
              <w:left w:val="single" w:sz="4" w:space="0" w:color="000000"/>
              <w:bottom w:val="nil"/>
              <w:right w:val="single" w:sz="4" w:space="0" w:color="000000"/>
            </w:tcBorders>
            <w:noWrap/>
            <w:vAlign w:val="center"/>
            <w:hideMark/>
          </w:tcPr>
          <w:p w14:paraId="49848540"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.474</w:t>
            </w:r>
            <w:r w:rsidRPr="008410A6">
              <w:rPr>
                <w:rFonts w:ascii="Arial" w:eastAsia="Times New Roman" w:hAnsi="Arial" w:cs="Arial"/>
                <w:color w:val="000000"/>
                <w:kern w:val="0"/>
                <w:sz w:val="18"/>
                <w:szCs w:val="18"/>
                <w:vertAlign w:val="superscript"/>
                <w:lang w:val="en-GB" w:eastAsia="en-GB"/>
                <w14:ligatures w14:val="none"/>
              </w:rPr>
              <w:t>**</w:t>
            </w:r>
          </w:p>
        </w:tc>
        <w:tc>
          <w:tcPr>
            <w:tcW w:w="757" w:type="dxa"/>
            <w:tcBorders>
              <w:top w:val="nil"/>
              <w:left w:val="single" w:sz="4" w:space="0" w:color="000000"/>
              <w:bottom w:val="nil"/>
              <w:right w:val="single" w:sz="4" w:space="0" w:color="000000"/>
            </w:tcBorders>
            <w:noWrap/>
            <w:vAlign w:val="center"/>
            <w:hideMark/>
          </w:tcPr>
          <w:p w14:paraId="7BF8D12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.439</w:t>
            </w:r>
            <w:r w:rsidRPr="008410A6">
              <w:rPr>
                <w:rFonts w:ascii="Arial" w:eastAsia="Times New Roman" w:hAnsi="Arial" w:cs="Arial"/>
                <w:color w:val="000000"/>
                <w:kern w:val="0"/>
                <w:sz w:val="18"/>
                <w:szCs w:val="18"/>
                <w:vertAlign w:val="superscript"/>
                <w:lang w:val="en-GB" w:eastAsia="en-GB"/>
                <w14:ligatures w14:val="none"/>
              </w:rPr>
              <w:t>**</w:t>
            </w:r>
          </w:p>
        </w:tc>
        <w:tc>
          <w:tcPr>
            <w:tcW w:w="851" w:type="dxa"/>
            <w:tcBorders>
              <w:top w:val="nil"/>
              <w:left w:val="single" w:sz="4" w:space="0" w:color="000000"/>
              <w:bottom w:val="nil"/>
              <w:right w:val="single" w:sz="4" w:space="0" w:color="000000"/>
            </w:tcBorders>
            <w:noWrap/>
            <w:vAlign w:val="center"/>
            <w:hideMark/>
          </w:tcPr>
          <w:p w14:paraId="137C8409"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.486</w:t>
            </w:r>
            <w:r w:rsidRPr="008410A6">
              <w:rPr>
                <w:rFonts w:ascii="Arial" w:eastAsia="Times New Roman" w:hAnsi="Arial" w:cs="Arial"/>
                <w:color w:val="000000"/>
                <w:kern w:val="0"/>
                <w:sz w:val="18"/>
                <w:szCs w:val="18"/>
                <w:vertAlign w:val="superscript"/>
                <w:lang w:val="en-GB" w:eastAsia="en-GB"/>
                <w14:ligatures w14:val="none"/>
              </w:rPr>
              <w:t>**</w:t>
            </w:r>
          </w:p>
        </w:tc>
        <w:tc>
          <w:tcPr>
            <w:tcW w:w="859" w:type="dxa"/>
            <w:tcBorders>
              <w:top w:val="nil"/>
              <w:left w:val="single" w:sz="4" w:space="0" w:color="000000"/>
              <w:bottom w:val="nil"/>
              <w:right w:val="single" w:sz="4" w:space="0" w:color="000000"/>
            </w:tcBorders>
            <w:noWrap/>
            <w:vAlign w:val="center"/>
            <w:hideMark/>
          </w:tcPr>
          <w:p w14:paraId="2AE2100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c>
          <w:tcPr>
            <w:tcW w:w="847" w:type="dxa"/>
            <w:tcBorders>
              <w:top w:val="nil"/>
              <w:left w:val="single" w:sz="4" w:space="0" w:color="000000"/>
              <w:bottom w:val="nil"/>
              <w:right w:val="single" w:sz="12" w:space="0" w:color="000000"/>
            </w:tcBorders>
            <w:noWrap/>
            <w:vAlign w:val="center"/>
            <w:hideMark/>
          </w:tcPr>
          <w:p w14:paraId="3D8DD6AD"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6648E3D3" w14:textId="77777777" w:rsidTr="006F3055">
        <w:trPr>
          <w:trHeight w:val="276"/>
        </w:trPr>
        <w:tc>
          <w:tcPr>
            <w:tcW w:w="1253" w:type="dxa"/>
            <w:vMerge/>
            <w:tcBorders>
              <w:top w:val="nil"/>
              <w:left w:val="single" w:sz="12" w:space="0" w:color="000000"/>
              <w:bottom w:val="single" w:sz="4" w:space="0" w:color="000000"/>
              <w:right w:val="nil"/>
            </w:tcBorders>
            <w:vAlign w:val="center"/>
            <w:hideMark/>
          </w:tcPr>
          <w:p w14:paraId="6F6960B1"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1097" w:type="dxa"/>
            <w:tcBorders>
              <w:top w:val="nil"/>
              <w:left w:val="nil"/>
              <w:bottom w:val="nil"/>
              <w:right w:val="single" w:sz="12" w:space="0" w:color="000000"/>
            </w:tcBorders>
            <w:hideMark/>
          </w:tcPr>
          <w:p w14:paraId="38AF62E8"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3B723AD1"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noWrap/>
            <w:vAlign w:val="center"/>
            <w:hideMark/>
          </w:tcPr>
          <w:p w14:paraId="28474A4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56" w:type="dxa"/>
            <w:tcBorders>
              <w:top w:val="nil"/>
              <w:left w:val="single" w:sz="4" w:space="0" w:color="000000"/>
              <w:bottom w:val="nil"/>
              <w:right w:val="single" w:sz="4" w:space="0" w:color="000000"/>
            </w:tcBorders>
            <w:noWrap/>
            <w:vAlign w:val="center"/>
            <w:hideMark/>
          </w:tcPr>
          <w:p w14:paraId="51F96447"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60" w:type="dxa"/>
            <w:tcBorders>
              <w:top w:val="nil"/>
              <w:left w:val="single" w:sz="4" w:space="0" w:color="000000"/>
              <w:bottom w:val="nil"/>
              <w:right w:val="single" w:sz="4" w:space="0" w:color="000000"/>
            </w:tcBorders>
            <w:noWrap/>
            <w:vAlign w:val="center"/>
            <w:hideMark/>
          </w:tcPr>
          <w:p w14:paraId="6788D381"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noWrap/>
            <w:vAlign w:val="center"/>
            <w:hideMark/>
          </w:tcPr>
          <w:p w14:paraId="0726E24B"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90" w:type="dxa"/>
            <w:tcBorders>
              <w:top w:val="nil"/>
              <w:left w:val="single" w:sz="4" w:space="0" w:color="000000"/>
              <w:bottom w:val="nil"/>
              <w:right w:val="single" w:sz="4" w:space="0" w:color="000000"/>
            </w:tcBorders>
            <w:noWrap/>
            <w:vAlign w:val="center"/>
            <w:hideMark/>
          </w:tcPr>
          <w:p w14:paraId="79C4165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86" w:type="dxa"/>
            <w:tcBorders>
              <w:top w:val="nil"/>
              <w:left w:val="single" w:sz="4" w:space="0" w:color="000000"/>
              <w:bottom w:val="nil"/>
              <w:right w:val="single" w:sz="4" w:space="0" w:color="000000"/>
            </w:tcBorders>
            <w:noWrap/>
            <w:vAlign w:val="center"/>
            <w:hideMark/>
          </w:tcPr>
          <w:p w14:paraId="7299B8D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57" w:type="dxa"/>
            <w:tcBorders>
              <w:top w:val="nil"/>
              <w:left w:val="single" w:sz="4" w:space="0" w:color="000000"/>
              <w:bottom w:val="nil"/>
              <w:right w:val="single" w:sz="4" w:space="0" w:color="000000"/>
            </w:tcBorders>
            <w:noWrap/>
            <w:vAlign w:val="center"/>
            <w:hideMark/>
          </w:tcPr>
          <w:p w14:paraId="0E54AA4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1" w:type="dxa"/>
            <w:tcBorders>
              <w:top w:val="nil"/>
              <w:left w:val="single" w:sz="4" w:space="0" w:color="000000"/>
              <w:bottom w:val="nil"/>
              <w:right w:val="single" w:sz="4" w:space="0" w:color="000000"/>
            </w:tcBorders>
            <w:noWrap/>
            <w:vAlign w:val="center"/>
            <w:hideMark/>
          </w:tcPr>
          <w:p w14:paraId="6114689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9" w:type="dxa"/>
            <w:tcBorders>
              <w:top w:val="nil"/>
              <w:left w:val="single" w:sz="4" w:space="0" w:color="000000"/>
              <w:bottom w:val="nil"/>
              <w:right w:val="single" w:sz="4" w:space="0" w:color="000000"/>
            </w:tcBorders>
            <w:vAlign w:val="center"/>
            <w:hideMark/>
          </w:tcPr>
          <w:p w14:paraId="66FD2EB0"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c>
          <w:tcPr>
            <w:tcW w:w="847" w:type="dxa"/>
            <w:tcBorders>
              <w:top w:val="nil"/>
              <w:left w:val="single" w:sz="4" w:space="0" w:color="000000"/>
              <w:bottom w:val="nil"/>
              <w:right w:val="single" w:sz="12" w:space="0" w:color="000000"/>
            </w:tcBorders>
            <w:noWrap/>
            <w:vAlign w:val="center"/>
            <w:hideMark/>
          </w:tcPr>
          <w:p w14:paraId="19F4FAD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64442747" w14:textId="77777777" w:rsidTr="006F3055">
        <w:trPr>
          <w:trHeight w:val="276"/>
        </w:trPr>
        <w:tc>
          <w:tcPr>
            <w:tcW w:w="1253" w:type="dxa"/>
            <w:vMerge w:val="restart"/>
            <w:tcBorders>
              <w:top w:val="nil"/>
              <w:left w:val="single" w:sz="12" w:space="0" w:color="000000"/>
              <w:bottom w:val="single" w:sz="4" w:space="0" w:color="000000"/>
              <w:right w:val="nil"/>
            </w:tcBorders>
            <w:hideMark/>
          </w:tcPr>
          <w:p w14:paraId="1558F2F1" w14:textId="77777777" w:rsidR="008410A6" w:rsidRPr="008410A6" w:rsidRDefault="008410A6" w:rsidP="008410A6">
            <w:pPr>
              <w:bidi/>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rtl/>
                <w:lang w:val="en-GB" w:eastAsia="en-GB"/>
                <w14:ligatures w14:val="none"/>
              </w:rPr>
              <w:t>الأداء الإبداعي</w:t>
            </w:r>
          </w:p>
        </w:tc>
        <w:tc>
          <w:tcPr>
            <w:tcW w:w="1097" w:type="dxa"/>
            <w:tcBorders>
              <w:top w:val="nil"/>
              <w:left w:val="nil"/>
              <w:bottom w:val="nil"/>
              <w:right w:val="single" w:sz="12" w:space="0" w:color="000000"/>
            </w:tcBorders>
            <w:hideMark/>
          </w:tcPr>
          <w:p w14:paraId="106CC080" w14:textId="77777777" w:rsidR="008410A6" w:rsidRPr="008410A6" w:rsidRDefault="008410A6" w:rsidP="008410A6">
            <w:pPr>
              <w:spacing w:after="0" w:line="240" w:lineRule="auto"/>
              <w:rPr>
                <w:rFonts w:ascii="Arial" w:eastAsia="Times New Roman" w:hAnsi="Arial" w:cs="Arial"/>
                <w:color w:val="000000"/>
                <w:kern w:val="0"/>
                <w:sz w:val="18"/>
                <w:szCs w:val="18"/>
                <w:rtl/>
                <w:lang w:val="en-GB" w:eastAsia="en-GB"/>
                <w14:ligatures w14:val="none"/>
              </w:rPr>
            </w:pPr>
            <w:r w:rsidRPr="008410A6">
              <w:rPr>
                <w:rFonts w:ascii="Arial" w:eastAsia="Times New Roman" w:hAnsi="Arial" w:cs="Arial"/>
                <w:color w:val="000000"/>
                <w:kern w:val="0"/>
                <w:sz w:val="18"/>
                <w:szCs w:val="18"/>
                <w:lang w:val="en-GB" w:eastAsia="en-GB"/>
                <w14:ligatures w14:val="none"/>
              </w:rPr>
              <w:t>Pearson Correlation</w:t>
            </w:r>
          </w:p>
        </w:tc>
        <w:tc>
          <w:tcPr>
            <w:tcW w:w="709" w:type="dxa"/>
            <w:tcBorders>
              <w:top w:val="nil"/>
              <w:left w:val="single" w:sz="12" w:space="0" w:color="000000"/>
              <w:bottom w:val="nil"/>
              <w:right w:val="single" w:sz="4" w:space="0" w:color="000000"/>
            </w:tcBorders>
            <w:noWrap/>
            <w:vAlign w:val="center"/>
            <w:hideMark/>
          </w:tcPr>
          <w:p w14:paraId="3721A3C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.747</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2094C26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.799</w:t>
            </w:r>
            <w:r w:rsidRPr="008410A6">
              <w:rPr>
                <w:rFonts w:ascii="Arial" w:eastAsia="Times New Roman" w:hAnsi="Arial" w:cs="Arial"/>
                <w:color w:val="000000"/>
                <w:kern w:val="0"/>
                <w:sz w:val="18"/>
                <w:szCs w:val="18"/>
                <w:vertAlign w:val="superscript"/>
                <w:lang w:val="en-GB" w:eastAsia="en-GB"/>
                <w14:ligatures w14:val="none"/>
              </w:rPr>
              <w:t>**</w:t>
            </w:r>
          </w:p>
        </w:tc>
        <w:tc>
          <w:tcPr>
            <w:tcW w:w="756" w:type="dxa"/>
            <w:tcBorders>
              <w:top w:val="nil"/>
              <w:left w:val="single" w:sz="4" w:space="0" w:color="000000"/>
              <w:bottom w:val="nil"/>
              <w:right w:val="single" w:sz="4" w:space="0" w:color="000000"/>
            </w:tcBorders>
            <w:noWrap/>
            <w:vAlign w:val="center"/>
            <w:hideMark/>
          </w:tcPr>
          <w:p w14:paraId="05F2398B"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.821</w:t>
            </w:r>
            <w:r w:rsidRPr="008410A6">
              <w:rPr>
                <w:rFonts w:ascii="Arial" w:eastAsia="Times New Roman" w:hAnsi="Arial" w:cs="Arial"/>
                <w:color w:val="000000"/>
                <w:kern w:val="0"/>
                <w:sz w:val="18"/>
                <w:szCs w:val="18"/>
                <w:vertAlign w:val="superscript"/>
                <w:lang w:val="en-GB" w:eastAsia="en-GB"/>
                <w14:ligatures w14:val="none"/>
              </w:rPr>
              <w:t>**</w:t>
            </w:r>
          </w:p>
        </w:tc>
        <w:tc>
          <w:tcPr>
            <w:tcW w:w="660" w:type="dxa"/>
            <w:tcBorders>
              <w:top w:val="nil"/>
              <w:left w:val="single" w:sz="4" w:space="0" w:color="000000"/>
              <w:bottom w:val="nil"/>
              <w:right w:val="single" w:sz="4" w:space="0" w:color="000000"/>
            </w:tcBorders>
            <w:noWrap/>
            <w:vAlign w:val="center"/>
            <w:hideMark/>
          </w:tcPr>
          <w:p w14:paraId="38963A5A"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.784</w:t>
            </w:r>
            <w:r w:rsidRPr="008410A6">
              <w:rPr>
                <w:rFonts w:ascii="Arial" w:eastAsia="Times New Roman" w:hAnsi="Arial" w:cs="Arial"/>
                <w:color w:val="000000"/>
                <w:kern w:val="0"/>
                <w:sz w:val="18"/>
                <w:szCs w:val="18"/>
                <w:vertAlign w:val="superscript"/>
                <w:lang w:val="en-GB" w:eastAsia="en-GB"/>
                <w14:ligatures w14:val="none"/>
              </w:rPr>
              <w:t>**</w:t>
            </w:r>
          </w:p>
        </w:tc>
        <w:tc>
          <w:tcPr>
            <w:tcW w:w="705" w:type="dxa"/>
            <w:tcBorders>
              <w:top w:val="nil"/>
              <w:left w:val="single" w:sz="4" w:space="0" w:color="000000"/>
              <w:bottom w:val="nil"/>
              <w:right w:val="single" w:sz="4" w:space="0" w:color="000000"/>
            </w:tcBorders>
            <w:noWrap/>
            <w:vAlign w:val="center"/>
            <w:hideMark/>
          </w:tcPr>
          <w:p w14:paraId="764952A7"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.815</w:t>
            </w:r>
            <w:r w:rsidRPr="008410A6">
              <w:rPr>
                <w:rFonts w:ascii="Arial" w:eastAsia="Times New Roman" w:hAnsi="Arial" w:cs="Arial"/>
                <w:color w:val="000000"/>
                <w:kern w:val="0"/>
                <w:sz w:val="18"/>
                <w:szCs w:val="18"/>
                <w:vertAlign w:val="superscript"/>
                <w:lang w:val="en-GB" w:eastAsia="en-GB"/>
                <w14:ligatures w14:val="none"/>
              </w:rPr>
              <w:t>**</w:t>
            </w:r>
          </w:p>
        </w:tc>
        <w:tc>
          <w:tcPr>
            <w:tcW w:w="690" w:type="dxa"/>
            <w:tcBorders>
              <w:top w:val="nil"/>
              <w:left w:val="single" w:sz="4" w:space="0" w:color="000000"/>
              <w:bottom w:val="nil"/>
              <w:right w:val="single" w:sz="4" w:space="0" w:color="000000"/>
            </w:tcBorders>
            <w:noWrap/>
            <w:vAlign w:val="center"/>
            <w:hideMark/>
          </w:tcPr>
          <w:p w14:paraId="75F4C73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.799</w:t>
            </w:r>
            <w:r w:rsidRPr="008410A6">
              <w:rPr>
                <w:rFonts w:ascii="Arial" w:eastAsia="Times New Roman" w:hAnsi="Arial" w:cs="Arial"/>
                <w:color w:val="000000"/>
                <w:kern w:val="0"/>
                <w:sz w:val="18"/>
                <w:szCs w:val="18"/>
                <w:vertAlign w:val="superscript"/>
                <w:lang w:val="en-GB" w:eastAsia="en-GB"/>
                <w14:ligatures w14:val="none"/>
              </w:rPr>
              <w:t>**</w:t>
            </w:r>
          </w:p>
        </w:tc>
        <w:tc>
          <w:tcPr>
            <w:tcW w:w="686" w:type="dxa"/>
            <w:tcBorders>
              <w:top w:val="nil"/>
              <w:left w:val="single" w:sz="4" w:space="0" w:color="000000"/>
              <w:bottom w:val="nil"/>
              <w:right w:val="single" w:sz="4" w:space="0" w:color="000000"/>
            </w:tcBorders>
            <w:noWrap/>
            <w:vAlign w:val="center"/>
            <w:hideMark/>
          </w:tcPr>
          <w:p w14:paraId="4A8AFD8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.804</w:t>
            </w:r>
            <w:r w:rsidRPr="008410A6">
              <w:rPr>
                <w:rFonts w:ascii="Arial" w:eastAsia="Times New Roman" w:hAnsi="Arial" w:cs="Arial"/>
                <w:color w:val="000000"/>
                <w:kern w:val="0"/>
                <w:sz w:val="18"/>
                <w:szCs w:val="18"/>
                <w:vertAlign w:val="superscript"/>
                <w:lang w:val="en-GB" w:eastAsia="en-GB"/>
                <w14:ligatures w14:val="none"/>
              </w:rPr>
              <w:t>**</w:t>
            </w:r>
          </w:p>
        </w:tc>
        <w:tc>
          <w:tcPr>
            <w:tcW w:w="757" w:type="dxa"/>
            <w:tcBorders>
              <w:top w:val="nil"/>
              <w:left w:val="single" w:sz="4" w:space="0" w:color="000000"/>
              <w:bottom w:val="nil"/>
              <w:right w:val="single" w:sz="4" w:space="0" w:color="000000"/>
            </w:tcBorders>
            <w:noWrap/>
            <w:vAlign w:val="center"/>
            <w:hideMark/>
          </w:tcPr>
          <w:p w14:paraId="512C92E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.704</w:t>
            </w:r>
            <w:r w:rsidRPr="008410A6">
              <w:rPr>
                <w:rFonts w:ascii="Arial" w:eastAsia="Times New Roman" w:hAnsi="Arial" w:cs="Arial"/>
                <w:color w:val="000000"/>
                <w:kern w:val="0"/>
                <w:sz w:val="18"/>
                <w:szCs w:val="18"/>
                <w:vertAlign w:val="superscript"/>
                <w:lang w:val="en-GB" w:eastAsia="en-GB"/>
                <w14:ligatures w14:val="none"/>
              </w:rPr>
              <w:t>**</w:t>
            </w:r>
          </w:p>
        </w:tc>
        <w:tc>
          <w:tcPr>
            <w:tcW w:w="851" w:type="dxa"/>
            <w:tcBorders>
              <w:top w:val="nil"/>
              <w:left w:val="single" w:sz="4" w:space="0" w:color="000000"/>
              <w:bottom w:val="nil"/>
              <w:right w:val="single" w:sz="4" w:space="0" w:color="000000"/>
            </w:tcBorders>
            <w:noWrap/>
            <w:vAlign w:val="center"/>
            <w:hideMark/>
          </w:tcPr>
          <w:p w14:paraId="360BD17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.680</w:t>
            </w:r>
            <w:r w:rsidRPr="008410A6">
              <w:rPr>
                <w:rFonts w:ascii="Arial" w:eastAsia="Times New Roman" w:hAnsi="Arial" w:cs="Arial"/>
                <w:color w:val="000000"/>
                <w:kern w:val="0"/>
                <w:sz w:val="18"/>
                <w:szCs w:val="18"/>
                <w:vertAlign w:val="superscript"/>
                <w:lang w:val="en-GB" w:eastAsia="en-GB"/>
                <w14:ligatures w14:val="none"/>
              </w:rPr>
              <w:t>**</w:t>
            </w:r>
          </w:p>
        </w:tc>
        <w:tc>
          <w:tcPr>
            <w:tcW w:w="859" w:type="dxa"/>
            <w:tcBorders>
              <w:top w:val="nil"/>
              <w:left w:val="single" w:sz="4" w:space="0" w:color="000000"/>
              <w:bottom w:val="nil"/>
              <w:right w:val="single" w:sz="4" w:space="0" w:color="000000"/>
            </w:tcBorders>
            <w:noWrap/>
            <w:vAlign w:val="center"/>
            <w:hideMark/>
          </w:tcPr>
          <w:p w14:paraId="7E6F1173"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.698</w:t>
            </w:r>
            <w:r w:rsidRPr="008410A6">
              <w:rPr>
                <w:rFonts w:ascii="Arial" w:eastAsia="Times New Roman" w:hAnsi="Arial" w:cs="Arial"/>
                <w:color w:val="000000"/>
                <w:kern w:val="0"/>
                <w:sz w:val="18"/>
                <w:szCs w:val="18"/>
                <w:vertAlign w:val="superscript"/>
                <w:lang w:val="en-GB" w:eastAsia="en-GB"/>
                <w14:ligatures w14:val="none"/>
              </w:rPr>
              <w:t>**</w:t>
            </w:r>
          </w:p>
        </w:tc>
        <w:tc>
          <w:tcPr>
            <w:tcW w:w="847" w:type="dxa"/>
            <w:tcBorders>
              <w:top w:val="nil"/>
              <w:left w:val="single" w:sz="4" w:space="0" w:color="000000"/>
              <w:bottom w:val="nil"/>
              <w:right w:val="single" w:sz="12" w:space="0" w:color="000000"/>
            </w:tcBorders>
            <w:noWrap/>
            <w:vAlign w:val="center"/>
            <w:hideMark/>
          </w:tcPr>
          <w:p w14:paraId="05FD5F78"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1</w:t>
            </w:r>
          </w:p>
        </w:tc>
      </w:tr>
      <w:tr w:rsidR="008410A6" w:rsidRPr="008410A6" w14:paraId="1C987373" w14:textId="77777777" w:rsidTr="006F3055">
        <w:trPr>
          <w:trHeight w:val="276"/>
        </w:trPr>
        <w:tc>
          <w:tcPr>
            <w:tcW w:w="1253" w:type="dxa"/>
            <w:vMerge/>
            <w:tcBorders>
              <w:top w:val="nil"/>
              <w:left w:val="single" w:sz="12" w:space="0" w:color="000000"/>
              <w:bottom w:val="single" w:sz="4" w:space="0" w:color="000000"/>
              <w:right w:val="nil"/>
            </w:tcBorders>
            <w:vAlign w:val="center"/>
            <w:hideMark/>
          </w:tcPr>
          <w:p w14:paraId="25A3C0D6" w14:textId="77777777" w:rsidR="008410A6" w:rsidRPr="008410A6" w:rsidRDefault="008410A6" w:rsidP="008410A6">
            <w:pPr>
              <w:bidi/>
              <w:spacing w:after="0" w:line="240" w:lineRule="auto"/>
              <w:rPr>
                <w:rFonts w:ascii="Arial" w:eastAsia="Times New Roman" w:hAnsi="Arial" w:cs="Arial"/>
                <w:color w:val="000000"/>
                <w:kern w:val="0"/>
                <w:sz w:val="18"/>
                <w:szCs w:val="18"/>
                <w:lang w:val="en-GB" w:eastAsia="en-GB"/>
                <w14:ligatures w14:val="none"/>
              </w:rPr>
            </w:pPr>
          </w:p>
        </w:tc>
        <w:tc>
          <w:tcPr>
            <w:tcW w:w="1097" w:type="dxa"/>
            <w:tcBorders>
              <w:top w:val="nil"/>
              <w:left w:val="nil"/>
              <w:bottom w:val="nil"/>
              <w:right w:val="single" w:sz="12" w:space="0" w:color="000000"/>
            </w:tcBorders>
            <w:hideMark/>
          </w:tcPr>
          <w:p w14:paraId="162996C1"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Sig. (2-tailed)</w:t>
            </w:r>
          </w:p>
        </w:tc>
        <w:tc>
          <w:tcPr>
            <w:tcW w:w="709" w:type="dxa"/>
            <w:tcBorders>
              <w:top w:val="nil"/>
              <w:left w:val="single" w:sz="12" w:space="0" w:color="000000"/>
              <w:bottom w:val="nil"/>
              <w:right w:val="single" w:sz="4" w:space="0" w:color="000000"/>
            </w:tcBorders>
            <w:noWrap/>
            <w:vAlign w:val="center"/>
            <w:hideMark/>
          </w:tcPr>
          <w:p w14:paraId="548928C1"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noWrap/>
            <w:vAlign w:val="center"/>
            <w:hideMark/>
          </w:tcPr>
          <w:p w14:paraId="2CED484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56" w:type="dxa"/>
            <w:tcBorders>
              <w:top w:val="nil"/>
              <w:left w:val="single" w:sz="4" w:space="0" w:color="000000"/>
              <w:bottom w:val="nil"/>
              <w:right w:val="single" w:sz="4" w:space="0" w:color="000000"/>
            </w:tcBorders>
            <w:noWrap/>
            <w:vAlign w:val="center"/>
            <w:hideMark/>
          </w:tcPr>
          <w:p w14:paraId="25F9E52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60" w:type="dxa"/>
            <w:tcBorders>
              <w:top w:val="nil"/>
              <w:left w:val="single" w:sz="4" w:space="0" w:color="000000"/>
              <w:bottom w:val="nil"/>
              <w:right w:val="single" w:sz="4" w:space="0" w:color="000000"/>
            </w:tcBorders>
            <w:noWrap/>
            <w:vAlign w:val="center"/>
            <w:hideMark/>
          </w:tcPr>
          <w:p w14:paraId="7ED875C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05" w:type="dxa"/>
            <w:tcBorders>
              <w:top w:val="nil"/>
              <w:left w:val="single" w:sz="4" w:space="0" w:color="000000"/>
              <w:bottom w:val="nil"/>
              <w:right w:val="single" w:sz="4" w:space="0" w:color="000000"/>
            </w:tcBorders>
            <w:noWrap/>
            <w:vAlign w:val="center"/>
            <w:hideMark/>
          </w:tcPr>
          <w:p w14:paraId="512A91F4"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90" w:type="dxa"/>
            <w:tcBorders>
              <w:top w:val="nil"/>
              <w:left w:val="single" w:sz="4" w:space="0" w:color="000000"/>
              <w:bottom w:val="nil"/>
              <w:right w:val="single" w:sz="4" w:space="0" w:color="000000"/>
            </w:tcBorders>
            <w:noWrap/>
            <w:vAlign w:val="center"/>
            <w:hideMark/>
          </w:tcPr>
          <w:p w14:paraId="692E2EDB"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686" w:type="dxa"/>
            <w:tcBorders>
              <w:top w:val="nil"/>
              <w:left w:val="single" w:sz="4" w:space="0" w:color="000000"/>
              <w:bottom w:val="nil"/>
              <w:right w:val="single" w:sz="4" w:space="0" w:color="000000"/>
            </w:tcBorders>
            <w:noWrap/>
            <w:vAlign w:val="center"/>
            <w:hideMark/>
          </w:tcPr>
          <w:p w14:paraId="2BC87302"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757" w:type="dxa"/>
            <w:tcBorders>
              <w:top w:val="nil"/>
              <w:left w:val="single" w:sz="4" w:space="0" w:color="000000"/>
              <w:bottom w:val="nil"/>
              <w:right w:val="single" w:sz="4" w:space="0" w:color="000000"/>
            </w:tcBorders>
            <w:noWrap/>
            <w:vAlign w:val="center"/>
            <w:hideMark/>
          </w:tcPr>
          <w:p w14:paraId="43F0D956"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1" w:type="dxa"/>
            <w:tcBorders>
              <w:top w:val="nil"/>
              <w:left w:val="single" w:sz="4" w:space="0" w:color="000000"/>
              <w:bottom w:val="nil"/>
              <w:right w:val="single" w:sz="4" w:space="0" w:color="000000"/>
            </w:tcBorders>
            <w:noWrap/>
            <w:vAlign w:val="center"/>
            <w:hideMark/>
          </w:tcPr>
          <w:p w14:paraId="09CE8845"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59" w:type="dxa"/>
            <w:tcBorders>
              <w:top w:val="nil"/>
              <w:left w:val="single" w:sz="4" w:space="0" w:color="000000"/>
              <w:bottom w:val="nil"/>
              <w:right w:val="single" w:sz="4" w:space="0" w:color="000000"/>
            </w:tcBorders>
            <w:noWrap/>
            <w:vAlign w:val="center"/>
            <w:hideMark/>
          </w:tcPr>
          <w:p w14:paraId="534E723E" w14:textId="77777777" w:rsidR="008410A6" w:rsidRPr="008410A6" w:rsidRDefault="008410A6" w:rsidP="008410A6">
            <w:pPr>
              <w:spacing w:after="0" w:line="240" w:lineRule="auto"/>
              <w:jc w:val="right"/>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.000</w:t>
            </w:r>
          </w:p>
        </w:tc>
        <w:tc>
          <w:tcPr>
            <w:tcW w:w="847" w:type="dxa"/>
            <w:tcBorders>
              <w:top w:val="nil"/>
              <w:left w:val="single" w:sz="4" w:space="0" w:color="000000"/>
              <w:bottom w:val="nil"/>
              <w:right w:val="single" w:sz="12" w:space="0" w:color="000000"/>
            </w:tcBorders>
            <w:vAlign w:val="center"/>
            <w:hideMark/>
          </w:tcPr>
          <w:p w14:paraId="038190B0"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w:t>
            </w:r>
          </w:p>
        </w:tc>
      </w:tr>
      <w:tr w:rsidR="008410A6" w:rsidRPr="008410A6" w14:paraId="37D261B4" w14:textId="77777777" w:rsidTr="006F3055">
        <w:trPr>
          <w:trHeight w:val="58"/>
        </w:trPr>
        <w:tc>
          <w:tcPr>
            <w:tcW w:w="10575" w:type="dxa"/>
            <w:gridSpan w:val="13"/>
            <w:tcBorders>
              <w:top w:val="nil"/>
              <w:left w:val="nil"/>
              <w:bottom w:val="nil"/>
              <w:right w:val="nil"/>
            </w:tcBorders>
            <w:hideMark/>
          </w:tcPr>
          <w:p w14:paraId="1F91CF82" w14:textId="77777777" w:rsidR="008410A6" w:rsidRPr="008410A6" w:rsidRDefault="008410A6" w:rsidP="008410A6">
            <w:pPr>
              <w:spacing w:after="0" w:line="240" w:lineRule="auto"/>
              <w:rPr>
                <w:rFonts w:ascii="Arial" w:eastAsia="Times New Roman" w:hAnsi="Arial" w:cs="Arial"/>
                <w:color w:val="000000"/>
                <w:kern w:val="0"/>
                <w:sz w:val="18"/>
                <w:szCs w:val="18"/>
                <w:lang w:val="en-GB" w:eastAsia="en-GB"/>
                <w14:ligatures w14:val="none"/>
              </w:rPr>
            </w:pPr>
            <w:r w:rsidRPr="008410A6">
              <w:rPr>
                <w:rFonts w:ascii="Arial" w:eastAsia="Times New Roman" w:hAnsi="Arial" w:cs="Arial"/>
                <w:color w:val="000000"/>
                <w:kern w:val="0"/>
                <w:sz w:val="18"/>
                <w:szCs w:val="18"/>
                <w:lang w:val="en-GB" w:eastAsia="en-GB"/>
                <w14:ligatures w14:val="none"/>
              </w:rPr>
              <w:t>**. Correlation is significant at the 0.01 level (2-tailed).</w:t>
            </w:r>
          </w:p>
        </w:tc>
      </w:tr>
    </w:tbl>
    <w:p w14:paraId="4EE9767A" w14:textId="77777777" w:rsidR="006F3055" w:rsidRPr="006F3055" w:rsidRDefault="006F3055" w:rsidP="006F3055">
      <w:pPr>
        <w:bidi/>
        <w:rPr>
          <w:rFonts w:ascii="Times New Roman" w:hAnsi="Times New Roman" w:cs="Times New Roman"/>
          <w:sz w:val="28"/>
          <w:szCs w:val="28"/>
          <w:lang w:val="en-GB" w:bidi="ar-EG"/>
        </w:rPr>
      </w:pPr>
      <w:r w:rsidRPr="006F3055">
        <w:rPr>
          <w:rFonts w:ascii="Times New Roman" w:hAnsi="Times New Roman" w:cs="Times New Roman"/>
          <w:sz w:val="28"/>
          <w:szCs w:val="28"/>
          <w:rtl/>
          <w:lang w:val="en-GB"/>
        </w:rPr>
        <w:t>تم التحقق من الاتساق الداخلي لأداة الدراسة من خلال حساب معاملات الارتباط بين كل فقرة والدرجة الكلية للمحور الذي تنتمي إليه</w:t>
      </w:r>
      <w:r w:rsidRPr="006F3055">
        <w:rPr>
          <w:rFonts w:ascii="Times New Roman" w:hAnsi="Times New Roman" w:cs="Times New Roman"/>
          <w:sz w:val="28"/>
          <w:szCs w:val="28"/>
          <w:lang w:val="en-GB" w:bidi="ar-EG"/>
        </w:rPr>
        <w:t xml:space="preserve"> (Item–Total Correlation)</w:t>
      </w:r>
      <w:r w:rsidRPr="006F3055">
        <w:rPr>
          <w:rFonts w:ascii="Times New Roman" w:hAnsi="Times New Roman" w:cs="Times New Roman"/>
          <w:sz w:val="28"/>
          <w:szCs w:val="28"/>
          <w:rtl/>
          <w:lang w:val="en-GB"/>
        </w:rPr>
        <w:t xml:space="preserve">، وذلك باستخدام معامل ارتباط بيرسون. ويُعد هذا </w:t>
      </w:r>
      <w:r w:rsidRPr="006F3055">
        <w:rPr>
          <w:rFonts w:ascii="Times New Roman" w:hAnsi="Times New Roman" w:cs="Times New Roman"/>
          <w:sz w:val="28"/>
          <w:szCs w:val="28"/>
          <w:rtl/>
          <w:lang w:val="en-GB"/>
        </w:rPr>
        <w:lastRenderedPageBreak/>
        <w:t>الإجراء من الأساليب الأساسية لتقدير مدى تجانس الفقرات وقدرتها على قياس البُعد المفاهيمي ذاته، حيث تشير القيم المرتفعة والدالة إحصائيًا إلى اتساق داخلي جيد وصلاحية الفقرات للقياس</w:t>
      </w:r>
      <w:r w:rsidRPr="006F3055">
        <w:rPr>
          <w:rFonts w:ascii="Times New Roman" w:hAnsi="Times New Roman" w:cs="Times New Roman"/>
          <w:sz w:val="28"/>
          <w:szCs w:val="28"/>
          <w:lang w:val="en-GB" w:bidi="ar-EG"/>
        </w:rPr>
        <w:t>.</w:t>
      </w:r>
    </w:p>
    <w:p w14:paraId="6D72F43E" w14:textId="77777777" w:rsidR="006F3055" w:rsidRPr="006F3055" w:rsidRDefault="006F3055" w:rsidP="006F3055">
      <w:pPr>
        <w:bidi/>
        <w:rPr>
          <w:rFonts w:ascii="Times New Roman" w:hAnsi="Times New Roman" w:cs="Times New Roman"/>
          <w:sz w:val="28"/>
          <w:szCs w:val="28"/>
          <w:lang w:val="en-GB" w:bidi="ar-EG"/>
        </w:rPr>
      </w:pPr>
      <w:r w:rsidRPr="006F3055">
        <w:rPr>
          <w:rFonts w:ascii="Times New Roman" w:hAnsi="Times New Roman" w:cs="Times New Roman"/>
          <w:sz w:val="28"/>
          <w:szCs w:val="28"/>
          <w:rtl/>
          <w:lang w:val="en-GB"/>
        </w:rPr>
        <w:t xml:space="preserve">أظهرت نتائج التحليل أن جميع معاملات الارتباط بين فقرات محور </w:t>
      </w:r>
      <w:r w:rsidRPr="006F3055">
        <w:rPr>
          <w:rFonts w:ascii="Times New Roman" w:hAnsi="Times New Roman" w:cs="Times New Roman"/>
          <w:b/>
          <w:bCs/>
          <w:sz w:val="28"/>
          <w:szCs w:val="28"/>
          <w:rtl/>
          <w:lang w:val="en-GB"/>
        </w:rPr>
        <w:t>التوظيف الانتقائي</w:t>
      </w:r>
      <w:r w:rsidRPr="006F3055">
        <w:rPr>
          <w:rFonts w:ascii="Times New Roman" w:hAnsi="Times New Roman" w:cs="Times New Roman"/>
          <w:sz w:val="28"/>
          <w:szCs w:val="28"/>
          <w:rtl/>
          <w:lang w:val="en-GB"/>
        </w:rPr>
        <w:t xml:space="preserve"> والدرجة الكلية للمحور جاءت موجبة وقوية، حيث تراوحت القيم بين (0.836) و(0.870)، وجميعها دالة إحصائيًا عند مستوى (0.01). وتعكس هذه النتائج درجة عالية من الاتساق الداخلي، بما يدل على أن الفقرات المستخدمة تعبر بشكل متجانس عن مفهوم التوظيف الانتقائي</w:t>
      </w:r>
      <w:r w:rsidRPr="006F3055">
        <w:rPr>
          <w:rFonts w:ascii="Times New Roman" w:hAnsi="Times New Roman" w:cs="Times New Roman"/>
          <w:sz w:val="28"/>
          <w:szCs w:val="28"/>
          <w:lang w:val="en-GB" w:bidi="ar-EG"/>
        </w:rPr>
        <w:t>.</w:t>
      </w:r>
    </w:p>
    <w:p w14:paraId="6E10EB20" w14:textId="77777777" w:rsidR="006F3055" w:rsidRPr="006F3055" w:rsidRDefault="006F3055" w:rsidP="006F3055">
      <w:pPr>
        <w:bidi/>
        <w:rPr>
          <w:rFonts w:ascii="Times New Roman" w:hAnsi="Times New Roman" w:cs="Times New Roman"/>
          <w:sz w:val="28"/>
          <w:szCs w:val="28"/>
          <w:lang w:val="en-GB" w:bidi="ar-EG"/>
        </w:rPr>
      </w:pPr>
      <w:r w:rsidRPr="006F3055">
        <w:rPr>
          <w:rFonts w:ascii="Times New Roman" w:hAnsi="Times New Roman" w:cs="Times New Roman"/>
          <w:sz w:val="28"/>
          <w:szCs w:val="28"/>
          <w:rtl/>
          <w:lang w:val="en-GB"/>
        </w:rPr>
        <w:t xml:space="preserve">وفيما يتعلق بمحور </w:t>
      </w:r>
      <w:r w:rsidRPr="006F3055">
        <w:rPr>
          <w:rFonts w:ascii="Times New Roman" w:hAnsi="Times New Roman" w:cs="Times New Roman"/>
          <w:b/>
          <w:bCs/>
          <w:sz w:val="28"/>
          <w:szCs w:val="28"/>
          <w:rtl/>
          <w:lang w:val="en-GB"/>
        </w:rPr>
        <w:t>التدريب والتطوير المستمر</w:t>
      </w:r>
      <w:r w:rsidRPr="006F3055">
        <w:rPr>
          <w:rFonts w:ascii="Times New Roman" w:hAnsi="Times New Roman" w:cs="Times New Roman"/>
          <w:sz w:val="28"/>
          <w:szCs w:val="28"/>
          <w:rtl/>
          <w:lang w:val="en-GB"/>
        </w:rPr>
        <w:t>، فقد تراوحت معاملات الارتباط بين (0.793) و(0.827)، وجميعها دالة إحصائيًا، وهو ما يشير إلى اتساق داخلي مرتفع يعكس قدرة الفقرات على قياس هذا البعد بصورة دقيقة ومترابطة</w:t>
      </w:r>
      <w:r w:rsidRPr="006F3055">
        <w:rPr>
          <w:rFonts w:ascii="Times New Roman" w:hAnsi="Times New Roman" w:cs="Times New Roman"/>
          <w:sz w:val="28"/>
          <w:szCs w:val="28"/>
          <w:lang w:val="en-GB" w:bidi="ar-EG"/>
        </w:rPr>
        <w:t>.</w:t>
      </w:r>
    </w:p>
    <w:p w14:paraId="1A192D87" w14:textId="77777777" w:rsidR="006F3055" w:rsidRPr="006F3055" w:rsidRDefault="006F3055" w:rsidP="006F3055">
      <w:pPr>
        <w:bidi/>
        <w:rPr>
          <w:rFonts w:ascii="Times New Roman" w:hAnsi="Times New Roman" w:cs="Times New Roman"/>
          <w:sz w:val="28"/>
          <w:szCs w:val="28"/>
          <w:lang w:val="en-GB" w:bidi="ar-EG"/>
        </w:rPr>
      </w:pPr>
      <w:r w:rsidRPr="006F3055">
        <w:rPr>
          <w:rFonts w:ascii="Times New Roman" w:hAnsi="Times New Roman" w:cs="Times New Roman"/>
          <w:sz w:val="28"/>
          <w:szCs w:val="28"/>
          <w:rtl/>
          <w:lang w:val="en-GB"/>
        </w:rPr>
        <w:t xml:space="preserve">أما محور </w:t>
      </w:r>
      <w:r w:rsidRPr="006F3055">
        <w:rPr>
          <w:rFonts w:ascii="Times New Roman" w:hAnsi="Times New Roman" w:cs="Times New Roman"/>
          <w:b/>
          <w:bCs/>
          <w:sz w:val="28"/>
          <w:szCs w:val="28"/>
          <w:rtl/>
          <w:lang w:val="en-GB"/>
        </w:rPr>
        <w:t>نظم الحوافز والمكافآت</w:t>
      </w:r>
      <w:r w:rsidRPr="006F3055">
        <w:rPr>
          <w:rFonts w:ascii="Times New Roman" w:hAnsi="Times New Roman" w:cs="Times New Roman"/>
          <w:sz w:val="28"/>
          <w:szCs w:val="28"/>
          <w:rtl/>
          <w:lang w:val="en-GB"/>
        </w:rPr>
        <w:t>، فقد أظهرت الفقرات ارتباطات قوية مع الدرجة الكلية، حيث تراوحت القيم بين (0.793) و(0.845)، مما يؤكد تجانس الفقرات واتساقها في قياس البعد المرتبط بالحوافز</w:t>
      </w:r>
      <w:r w:rsidRPr="006F3055">
        <w:rPr>
          <w:rFonts w:ascii="Times New Roman" w:hAnsi="Times New Roman" w:cs="Times New Roman"/>
          <w:sz w:val="28"/>
          <w:szCs w:val="28"/>
          <w:lang w:val="en-GB" w:bidi="ar-EG"/>
        </w:rPr>
        <w:t>.</w:t>
      </w:r>
    </w:p>
    <w:p w14:paraId="52F4541B" w14:textId="77777777" w:rsidR="006F3055" w:rsidRPr="006F3055" w:rsidRDefault="006F3055" w:rsidP="006F3055">
      <w:pPr>
        <w:bidi/>
        <w:rPr>
          <w:rFonts w:ascii="Times New Roman" w:hAnsi="Times New Roman" w:cs="Times New Roman"/>
          <w:sz w:val="28"/>
          <w:szCs w:val="28"/>
          <w:lang w:val="en-GB" w:bidi="ar-EG"/>
        </w:rPr>
      </w:pPr>
      <w:r w:rsidRPr="006F3055">
        <w:rPr>
          <w:rFonts w:ascii="Times New Roman" w:hAnsi="Times New Roman" w:cs="Times New Roman"/>
          <w:sz w:val="28"/>
          <w:szCs w:val="28"/>
          <w:rtl/>
          <w:lang w:val="en-GB"/>
        </w:rPr>
        <w:t xml:space="preserve">وفي محور </w:t>
      </w:r>
      <w:r w:rsidRPr="006F3055">
        <w:rPr>
          <w:rFonts w:ascii="Times New Roman" w:hAnsi="Times New Roman" w:cs="Times New Roman"/>
          <w:b/>
          <w:bCs/>
          <w:sz w:val="28"/>
          <w:szCs w:val="28"/>
          <w:rtl/>
          <w:lang w:val="en-GB"/>
        </w:rPr>
        <w:t>المشاركة في اتخاذ القرار</w:t>
      </w:r>
      <w:r w:rsidRPr="006F3055">
        <w:rPr>
          <w:rFonts w:ascii="Times New Roman" w:hAnsi="Times New Roman" w:cs="Times New Roman"/>
          <w:sz w:val="28"/>
          <w:szCs w:val="28"/>
          <w:rtl/>
          <w:lang w:val="en-GB"/>
        </w:rPr>
        <w:t>، جاءت معاملات الارتباط مرتفعة نسبيًا، حيث تراوحت بين (0.836) و(0.863)، وهو ما يعكس مستوى عاليًا من الاتساق الداخلي، ويؤكد أن الفقرات تعبر عن بعد مفاهيمي واحد بصورة متكاملة</w:t>
      </w:r>
      <w:r w:rsidRPr="006F3055">
        <w:rPr>
          <w:rFonts w:ascii="Times New Roman" w:hAnsi="Times New Roman" w:cs="Times New Roman"/>
          <w:sz w:val="28"/>
          <w:szCs w:val="28"/>
          <w:lang w:val="en-GB" w:bidi="ar-EG"/>
        </w:rPr>
        <w:t>.</w:t>
      </w:r>
    </w:p>
    <w:p w14:paraId="024B7544" w14:textId="77777777" w:rsidR="006F3055" w:rsidRPr="006F3055" w:rsidRDefault="006F3055" w:rsidP="006F3055">
      <w:pPr>
        <w:bidi/>
        <w:rPr>
          <w:rFonts w:ascii="Times New Roman" w:hAnsi="Times New Roman" w:cs="Times New Roman"/>
          <w:sz w:val="28"/>
          <w:szCs w:val="28"/>
          <w:lang w:val="en-GB" w:bidi="ar-EG"/>
        </w:rPr>
      </w:pPr>
      <w:r w:rsidRPr="006F3055">
        <w:rPr>
          <w:rFonts w:ascii="Times New Roman" w:hAnsi="Times New Roman" w:cs="Times New Roman"/>
          <w:sz w:val="28"/>
          <w:szCs w:val="28"/>
          <w:rtl/>
          <w:lang w:val="en-GB"/>
        </w:rPr>
        <w:t xml:space="preserve">كما أظهرت نتائج محور </w:t>
      </w:r>
      <w:r w:rsidRPr="006F3055">
        <w:rPr>
          <w:rFonts w:ascii="Times New Roman" w:hAnsi="Times New Roman" w:cs="Times New Roman"/>
          <w:b/>
          <w:bCs/>
          <w:sz w:val="28"/>
          <w:szCs w:val="28"/>
          <w:rtl/>
          <w:lang w:val="en-GB"/>
        </w:rPr>
        <w:t>تقييم الأداء العادل</w:t>
      </w:r>
      <w:r w:rsidRPr="006F3055">
        <w:rPr>
          <w:rFonts w:ascii="Times New Roman" w:hAnsi="Times New Roman" w:cs="Times New Roman"/>
          <w:sz w:val="28"/>
          <w:szCs w:val="28"/>
          <w:rtl/>
          <w:lang w:val="en-GB"/>
        </w:rPr>
        <w:t xml:space="preserve"> معاملات ارتباط تتراوح بين (0.797) و(0.841)، وهي قيم دالة إحصائيًا وتشير إلى اتساق داخلي جيد، رغم أنها أقل نسبيًا مقارنة ببعض المحاور الأخرى، إلا أنها تبقى ضمن الحدود المقبولة علميًا</w:t>
      </w:r>
      <w:r w:rsidRPr="006F3055">
        <w:rPr>
          <w:rFonts w:ascii="Times New Roman" w:hAnsi="Times New Roman" w:cs="Times New Roman"/>
          <w:sz w:val="28"/>
          <w:szCs w:val="28"/>
          <w:lang w:val="en-GB" w:bidi="ar-EG"/>
        </w:rPr>
        <w:t>.</w:t>
      </w:r>
    </w:p>
    <w:p w14:paraId="23DE62EF" w14:textId="77777777" w:rsidR="006F3055" w:rsidRPr="006F3055" w:rsidRDefault="006F3055" w:rsidP="006F3055">
      <w:pPr>
        <w:bidi/>
        <w:rPr>
          <w:rFonts w:ascii="Times New Roman" w:hAnsi="Times New Roman" w:cs="Times New Roman"/>
          <w:sz w:val="28"/>
          <w:szCs w:val="28"/>
          <w:lang w:val="en-GB" w:bidi="ar-EG"/>
        </w:rPr>
      </w:pPr>
      <w:r w:rsidRPr="006F3055">
        <w:rPr>
          <w:rFonts w:ascii="Times New Roman" w:hAnsi="Times New Roman" w:cs="Times New Roman"/>
          <w:sz w:val="28"/>
          <w:szCs w:val="28"/>
          <w:rtl/>
          <w:lang w:val="en-GB"/>
        </w:rPr>
        <w:t xml:space="preserve">وفيما يتعلق بمحور </w:t>
      </w:r>
      <w:r w:rsidRPr="006F3055">
        <w:rPr>
          <w:rFonts w:ascii="Times New Roman" w:hAnsi="Times New Roman" w:cs="Times New Roman"/>
          <w:b/>
          <w:bCs/>
          <w:sz w:val="28"/>
          <w:szCs w:val="28"/>
          <w:rtl/>
          <w:lang w:val="en-GB"/>
        </w:rPr>
        <w:t>تمكين الموظفين</w:t>
      </w:r>
      <w:r w:rsidRPr="006F3055">
        <w:rPr>
          <w:rFonts w:ascii="Times New Roman" w:hAnsi="Times New Roman" w:cs="Times New Roman"/>
          <w:sz w:val="28"/>
          <w:szCs w:val="28"/>
          <w:rtl/>
          <w:lang w:val="en-GB"/>
        </w:rPr>
        <w:t>، فقد تراوحت معاملات الارتباط بين (0.762) و(0.822)، وهي جميعها دالة إحصائيًا وتعكس مستوى جيدًا من الاتساق، مما يدل على أن الفقرات المستخدمة تمثل هذا البعد بشكل متماسك</w:t>
      </w:r>
      <w:r w:rsidRPr="006F3055">
        <w:rPr>
          <w:rFonts w:ascii="Times New Roman" w:hAnsi="Times New Roman" w:cs="Times New Roman"/>
          <w:sz w:val="28"/>
          <w:szCs w:val="28"/>
          <w:lang w:val="en-GB" w:bidi="ar-EG"/>
        </w:rPr>
        <w:t>.</w:t>
      </w:r>
    </w:p>
    <w:p w14:paraId="25862B44" w14:textId="77777777" w:rsidR="006F3055" w:rsidRPr="006F3055" w:rsidRDefault="006F3055" w:rsidP="006F3055">
      <w:pPr>
        <w:bidi/>
        <w:rPr>
          <w:rFonts w:ascii="Times New Roman" w:hAnsi="Times New Roman" w:cs="Times New Roman"/>
          <w:sz w:val="28"/>
          <w:szCs w:val="28"/>
          <w:lang w:val="en-GB" w:bidi="ar-EG"/>
        </w:rPr>
      </w:pPr>
      <w:r w:rsidRPr="006F3055">
        <w:rPr>
          <w:rFonts w:ascii="Times New Roman" w:hAnsi="Times New Roman" w:cs="Times New Roman"/>
          <w:sz w:val="28"/>
          <w:szCs w:val="28"/>
          <w:rtl/>
          <w:lang w:val="en-GB"/>
        </w:rPr>
        <w:t xml:space="preserve">أما بالنسبة للمتغير الوسيط </w:t>
      </w:r>
      <w:r w:rsidRPr="006F3055">
        <w:rPr>
          <w:rFonts w:ascii="Times New Roman" w:hAnsi="Times New Roman" w:cs="Times New Roman"/>
          <w:b/>
          <w:bCs/>
          <w:sz w:val="28"/>
          <w:szCs w:val="28"/>
          <w:rtl/>
          <w:lang w:val="en-GB"/>
        </w:rPr>
        <w:t>الثقافة التنظيمية</w:t>
      </w:r>
      <w:r w:rsidRPr="006F3055">
        <w:rPr>
          <w:rFonts w:ascii="Times New Roman" w:hAnsi="Times New Roman" w:cs="Times New Roman"/>
          <w:sz w:val="28"/>
          <w:szCs w:val="28"/>
          <w:rtl/>
          <w:lang w:val="en-GB"/>
        </w:rPr>
        <w:t>، فقد أظهرت النتائج معاملات ارتباط قوية تراوحت بين (0.705) و(0.832)، وهي جميعها ذات دلالة إحصائية، مما يؤكد أن فقرات هذا المحور تتمتع بدرجة عالية من الاتساق الداخلي رغم تعدد أبعاده المفاهيمية</w:t>
      </w:r>
      <w:r w:rsidRPr="006F3055">
        <w:rPr>
          <w:rFonts w:ascii="Times New Roman" w:hAnsi="Times New Roman" w:cs="Times New Roman"/>
          <w:sz w:val="28"/>
          <w:szCs w:val="28"/>
          <w:lang w:val="en-GB" w:bidi="ar-EG"/>
        </w:rPr>
        <w:t>.</w:t>
      </w:r>
    </w:p>
    <w:p w14:paraId="2736A247" w14:textId="77777777" w:rsidR="006F3055" w:rsidRPr="006F3055" w:rsidRDefault="006F3055" w:rsidP="006F3055">
      <w:pPr>
        <w:bidi/>
        <w:rPr>
          <w:rFonts w:ascii="Times New Roman" w:hAnsi="Times New Roman" w:cs="Times New Roman"/>
          <w:sz w:val="28"/>
          <w:szCs w:val="28"/>
          <w:lang w:val="en-GB" w:bidi="ar-EG"/>
        </w:rPr>
      </w:pPr>
      <w:r w:rsidRPr="006F3055">
        <w:rPr>
          <w:rFonts w:ascii="Times New Roman" w:hAnsi="Times New Roman" w:cs="Times New Roman"/>
          <w:sz w:val="28"/>
          <w:szCs w:val="28"/>
          <w:rtl/>
          <w:lang w:val="en-GB"/>
        </w:rPr>
        <w:t xml:space="preserve">وأخيرًا، أظهرت نتائج محور </w:t>
      </w:r>
      <w:r w:rsidRPr="006F3055">
        <w:rPr>
          <w:rFonts w:ascii="Times New Roman" w:hAnsi="Times New Roman" w:cs="Times New Roman"/>
          <w:b/>
          <w:bCs/>
          <w:sz w:val="28"/>
          <w:szCs w:val="28"/>
          <w:rtl/>
          <w:lang w:val="en-GB"/>
        </w:rPr>
        <w:t>الأداء الإبداعي</w:t>
      </w:r>
      <w:r w:rsidRPr="006F3055">
        <w:rPr>
          <w:rFonts w:ascii="Times New Roman" w:hAnsi="Times New Roman" w:cs="Times New Roman"/>
          <w:sz w:val="28"/>
          <w:szCs w:val="28"/>
          <w:rtl/>
          <w:lang w:val="en-GB"/>
        </w:rPr>
        <w:t xml:space="preserve"> معاملات ارتباط قوية تراوحت بين (0.680) و(0.821)، وجميعها دالة إحصائيًا، مما يشير إلى أن الفقرات المستخدمة تعكس بشكل متكامل سلوك الإبداع الوظيفي لدى الأفراد</w:t>
      </w:r>
      <w:r w:rsidRPr="006F3055">
        <w:rPr>
          <w:rFonts w:ascii="Times New Roman" w:hAnsi="Times New Roman" w:cs="Times New Roman"/>
          <w:sz w:val="28"/>
          <w:szCs w:val="28"/>
          <w:lang w:val="en-GB" w:bidi="ar-EG"/>
        </w:rPr>
        <w:t>.</w:t>
      </w:r>
    </w:p>
    <w:p w14:paraId="75FC37B6" w14:textId="77777777" w:rsidR="006F3055" w:rsidRPr="006F3055" w:rsidRDefault="006F3055" w:rsidP="006F3055">
      <w:pPr>
        <w:bidi/>
        <w:rPr>
          <w:rFonts w:ascii="Times New Roman" w:hAnsi="Times New Roman" w:cs="Times New Roman"/>
          <w:sz w:val="28"/>
          <w:szCs w:val="28"/>
          <w:lang w:val="en-GB" w:bidi="ar-EG"/>
        </w:rPr>
      </w:pPr>
      <w:r w:rsidRPr="006F3055">
        <w:rPr>
          <w:rFonts w:ascii="Times New Roman" w:hAnsi="Times New Roman" w:cs="Times New Roman"/>
          <w:sz w:val="28"/>
          <w:szCs w:val="28"/>
          <w:rtl/>
          <w:lang w:val="en-GB"/>
        </w:rPr>
        <w:t>بوجه عام، يمكن الاستنتاج أن جميع محاور الدراسة تتمتع بدرجات مرتفعة من الاتساق الداخلي، حيث تجاوزت جميع معاملات الارتباط الحد الأدنى المقبول في الدراسات السلوكية (0.30)، بل وجاءت في معظمها ضمن مستويات مرتفعة</w:t>
      </w:r>
      <w:r w:rsidRPr="006F3055">
        <w:rPr>
          <w:rFonts w:ascii="Times New Roman" w:hAnsi="Times New Roman" w:cs="Times New Roman"/>
          <w:sz w:val="28"/>
          <w:szCs w:val="28"/>
          <w:lang w:val="en-GB" w:bidi="ar-EG"/>
        </w:rPr>
        <w:t xml:space="preserve"> (&gt; 0.70)</w:t>
      </w:r>
      <w:r w:rsidRPr="006F3055">
        <w:rPr>
          <w:rFonts w:ascii="Times New Roman" w:hAnsi="Times New Roman" w:cs="Times New Roman"/>
          <w:sz w:val="28"/>
          <w:szCs w:val="28"/>
          <w:rtl/>
          <w:lang w:val="en-GB"/>
        </w:rPr>
        <w:t>، وهو ما يعزز من موثوقية أداة القياس وصلاحيتها للاستخدام في التحليل الإحصائي واختبار الفرضيات. كما تشير الدلالة الإحصائية لكافة القيم</w:t>
      </w:r>
      <w:r w:rsidRPr="006F3055">
        <w:rPr>
          <w:rFonts w:ascii="Times New Roman" w:hAnsi="Times New Roman" w:cs="Times New Roman"/>
          <w:sz w:val="28"/>
          <w:szCs w:val="28"/>
          <w:lang w:val="en-GB" w:bidi="ar-EG"/>
        </w:rPr>
        <w:t xml:space="preserve"> (p &lt; 0.01) </w:t>
      </w:r>
      <w:r w:rsidRPr="006F3055">
        <w:rPr>
          <w:rFonts w:ascii="Times New Roman" w:hAnsi="Times New Roman" w:cs="Times New Roman"/>
          <w:sz w:val="28"/>
          <w:szCs w:val="28"/>
          <w:rtl/>
          <w:lang w:val="en-GB"/>
        </w:rPr>
        <w:t>إلى أن هذه العلاقات ليست عشوائية، وإنما تعكس ارتباطًا حقيقيًا بين الفقرات والبُعد الذي تقيسه</w:t>
      </w:r>
      <w:r w:rsidRPr="006F3055">
        <w:rPr>
          <w:rFonts w:ascii="Times New Roman" w:hAnsi="Times New Roman" w:cs="Times New Roman"/>
          <w:sz w:val="28"/>
          <w:szCs w:val="28"/>
          <w:lang w:val="en-GB" w:bidi="ar-EG"/>
        </w:rPr>
        <w:t>.</w:t>
      </w:r>
    </w:p>
    <w:p w14:paraId="2D522993" w14:textId="2B7BC5D9" w:rsidR="008410A6" w:rsidRDefault="006F3055" w:rsidP="006F3055">
      <w:pPr>
        <w:bidi/>
        <w:rPr>
          <w:rFonts w:ascii="Times New Roman" w:hAnsi="Times New Roman" w:cs="Times New Roman"/>
          <w:sz w:val="28"/>
          <w:szCs w:val="28"/>
          <w:rtl/>
          <w:lang w:val="en-GB" w:bidi="ar-EG"/>
        </w:rPr>
      </w:pPr>
      <w:r w:rsidRPr="006F3055">
        <w:rPr>
          <w:rFonts w:ascii="Times New Roman" w:hAnsi="Times New Roman" w:cs="Times New Roman"/>
          <w:sz w:val="28"/>
          <w:szCs w:val="28"/>
          <w:rtl/>
          <w:lang w:val="en-GB"/>
        </w:rPr>
        <w:lastRenderedPageBreak/>
        <w:t>وعليه، يمكن القول إن أداة الدراسة تتمتع بدرجة عالية من الاتساق الداخلي، مما يدعم صلاحيتها البنيوية ويعزز من موثوقية النتائج المستخلصة منها في بقية التحليلات الإحصائية</w:t>
      </w:r>
      <w:r w:rsidRPr="006F3055">
        <w:rPr>
          <w:rFonts w:ascii="Times New Roman" w:hAnsi="Times New Roman" w:cs="Times New Roman"/>
          <w:sz w:val="28"/>
          <w:szCs w:val="28"/>
          <w:lang w:val="en-GB" w:bidi="ar-EG"/>
        </w:rPr>
        <w:t>.</w:t>
      </w:r>
    </w:p>
    <w:p w14:paraId="14685344" w14:textId="3EA0FC1C" w:rsidR="00246378" w:rsidRPr="00AC42C7" w:rsidRDefault="00246378" w:rsidP="00246378">
      <w:pPr>
        <w:bidi/>
        <w:rPr>
          <w:b/>
          <w:bCs/>
          <w:lang w:bidi="ar-EG"/>
        </w:rPr>
      </w:pPr>
      <w:r>
        <w:rPr>
          <w:rFonts w:hint="cs"/>
          <w:b/>
          <w:bCs/>
          <w:rtl/>
          <w:lang w:bidi="ar-EG"/>
        </w:rPr>
        <w:t xml:space="preserve">3.6.4. </w:t>
      </w:r>
      <w:r w:rsidRPr="00AC42C7">
        <w:rPr>
          <w:b/>
          <w:bCs/>
          <w:rtl/>
        </w:rPr>
        <w:t>نتائج التحليل العاملي التوكيدي</w:t>
      </w:r>
      <w:r>
        <w:rPr>
          <w:rFonts w:hint="cs"/>
          <w:b/>
          <w:bCs/>
          <w:rtl/>
          <w:lang w:bidi="ar-EG"/>
        </w:rPr>
        <w:t xml:space="preserve"> </w:t>
      </w:r>
      <w:r w:rsidRPr="00AC42C7">
        <w:rPr>
          <w:b/>
          <w:bCs/>
          <w:lang w:bidi="ar-EG"/>
        </w:rPr>
        <w:t>(CFA)</w:t>
      </w:r>
    </w:p>
    <w:p w14:paraId="014F1F6A" w14:textId="0AFB1AF4" w:rsidR="00246378" w:rsidRPr="00AC42C7" w:rsidRDefault="004A1CE3" w:rsidP="00246378">
      <w:pPr>
        <w:bidi/>
        <w:rPr>
          <w:b/>
          <w:bCs/>
          <w:lang w:bidi="ar-EG"/>
        </w:rPr>
      </w:pPr>
      <w:r>
        <w:rPr>
          <w:rFonts w:hint="cs"/>
          <w:b/>
          <w:bCs/>
          <w:rtl/>
          <w:lang w:bidi="ar-EG"/>
        </w:rPr>
        <w:t>3.6.4.1.</w:t>
      </w:r>
      <w:r w:rsidR="00246378">
        <w:rPr>
          <w:rFonts w:hint="cs"/>
          <w:b/>
          <w:bCs/>
          <w:rtl/>
          <w:lang w:bidi="ar-EG"/>
        </w:rPr>
        <w:t xml:space="preserve"> </w:t>
      </w:r>
      <w:r w:rsidR="00246378" w:rsidRPr="00AC42C7">
        <w:rPr>
          <w:b/>
          <w:bCs/>
          <w:rtl/>
        </w:rPr>
        <w:t>اختبار نموذج القياس</w:t>
      </w:r>
    </w:p>
    <w:p w14:paraId="5374D277" w14:textId="77777777" w:rsidR="00246378" w:rsidRDefault="00246378" w:rsidP="00246378">
      <w:pPr>
        <w:bidi/>
        <w:rPr>
          <w:rtl/>
          <w:lang w:bidi="ar-EG"/>
        </w:rPr>
      </w:pPr>
      <w:r w:rsidRPr="00AC42C7">
        <w:rPr>
          <w:rtl/>
        </w:rPr>
        <w:t xml:space="preserve">تم استخدام برنامج </w:t>
      </w:r>
      <w:r w:rsidRPr="00AC42C7">
        <w:rPr>
          <w:b/>
          <w:bCs/>
          <w:lang w:bidi="ar-EG"/>
        </w:rPr>
        <w:t>IBM SPSS AMOS</w:t>
      </w:r>
      <w:r>
        <w:rPr>
          <w:rFonts w:hint="cs"/>
          <w:rtl/>
          <w:lang w:bidi="ar-EG"/>
        </w:rPr>
        <w:t xml:space="preserve"> </w:t>
      </w:r>
      <w:r w:rsidRPr="00AC42C7">
        <w:rPr>
          <w:rtl/>
        </w:rPr>
        <w:t>لإجراء التحليل العاملي التوكيدي</w:t>
      </w:r>
      <w:r w:rsidRPr="00AC42C7">
        <w:rPr>
          <w:lang w:bidi="ar-EG"/>
        </w:rPr>
        <w:t xml:space="preserve"> (CFA) </w:t>
      </w:r>
      <w:r w:rsidRPr="00AC42C7">
        <w:rPr>
          <w:rtl/>
        </w:rPr>
        <w:t>بهدف التحقق من صلاحية نموذج القياس المقترح، وذلك بالاعتماد على أسلوب التقدير بالحد الأقصى للاحتمال</w:t>
      </w:r>
      <w:r>
        <w:rPr>
          <w:rFonts w:hint="cs"/>
          <w:rtl/>
          <w:lang w:bidi="ar-EG"/>
        </w:rPr>
        <w:t xml:space="preserve"> </w:t>
      </w:r>
      <w:r w:rsidRPr="00AC42C7">
        <w:rPr>
          <w:lang w:bidi="ar-EG"/>
        </w:rPr>
        <w:t>(Maximum Likelihood Estimation)</w:t>
      </w:r>
      <w:r>
        <w:rPr>
          <w:rFonts w:hint="cs"/>
          <w:rtl/>
          <w:lang w:bidi="ar-EG"/>
        </w:rPr>
        <w:t>.</w:t>
      </w:r>
      <w:r w:rsidRPr="00AC42C7">
        <w:rPr>
          <w:lang w:bidi="ar-EG"/>
        </w:rPr>
        <w:t xml:space="preserve"> </w:t>
      </w:r>
      <w:r w:rsidRPr="00AC42C7">
        <w:rPr>
          <w:rtl/>
        </w:rPr>
        <w:t>اشتمل النموذج على متغيرين كامنَيْن رئيسيين تم قياسهما بعدد من المؤشرات الظاهرة، حيث تم تثبيت أحد معاملات التحميل لكل عامل عند القيمة (1) لضبط مقياس القياس</w:t>
      </w:r>
      <w:r w:rsidRPr="00AC42C7">
        <w:rPr>
          <w:lang w:bidi="ar-EG"/>
        </w:rPr>
        <w:t>.</w:t>
      </w:r>
    </w:p>
    <w:p w14:paraId="43BAF879" w14:textId="51C19413" w:rsidR="00246378" w:rsidRDefault="00246378" w:rsidP="00246378">
      <w:pPr>
        <w:bidi/>
        <w:rPr>
          <w:rtl/>
          <w:lang w:bidi="ar-EG"/>
        </w:rPr>
      </w:pPr>
      <w:r>
        <w:rPr>
          <w:rFonts w:hint="cs"/>
          <w:rtl/>
          <w:lang w:bidi="ar-EG"/>
        </w:rPr>
        <w:t>جدول (3-9): يوضح مؤشرات الحكم عل</w:t>
      </w:r>
      <w:r w:rsidR="00EB39A8">
        <w:rPr>
          <w:rFonts w:hint="cs"/>
          <w:rtl/>
          <w:lang w:bidi="ar-EG"/>
        </w:rPr>
        <w:t>ى</w:t>
      </w:r>
      <w:r>
        <w:rPr>
          <w:rFonts w:hint="cs"/>
          <w:rtl/>
          <w:lang w:bidi="ar-EG"/>
        </w:rPr>
        <w:t xml:space="preserve"> جودة توفيق النموذج التحليل للعامل التوكيدي لأداة الاستبانة </w:t>
      </w:r>
    </w:p>
    <w:tbl>
      <w:tblPr>
        <w:bidiVisual/>
        <w:tblW w:w="6332" w:type="pct"/>
        <w:tblInd w:w="-1394" w:type="dxa"/>
        <w:tblLook w:val="04A0" w:firstRow="1" w:lastRow="0" w:firstColumn="1" w:lastColumn="0" w:noHBand="0" w:noVBand="1"/>
      </w:tblPr>
      <w:tblGrid>
        <w:gridCol w:w="700"/>
        <w:gridCol w:w="744"/>
        <w:gridCol w:w="717"/>
        <w:gridCol w:w="816"/>
        <w:gridCol w:w="717"/>
        <w:gridCol w:w="717"/>
        <w:gridCol w:w="717"/>
        <w:gridCol w:w="1130"/>
        <w:gridCol w:w="1028"/>
        <w:gridCol w:w="755"/>
        <w:gridCol w:w="1048"/>
        <w:gridCol w:w="683"/>
        <w:gridCol w:w="1051"/>
        <w:gridCol w:w="1005"/>
      </w:tblGrid>
      <w:tr w:rsidR="00246378" w:rsidRPr="00AC42C7" w14:paraId="52FFE0A9" w14:textId="77777777" w:rsidTr="009F1C88">
        <w:trPr>
          <w:trHeight w:val="792"/>
        </w:trPr>
        <w:tc>
          <w:tcPr>
            <w:tcW w:w="296" w:type="pct"/>
            <w:tcBorders>
              <w:top w:val="single" w:sz="8" w:space="0" w:color="auto"/>
              <w:left w:val="single" w:sz="8" w:space="0" w:color="auto"/>
              <w:bottom w:val="single" w:sz="4" w:space="0" w:color="auto"/>
              <w:right w:val="single" w:sz="4" w:space="0" w:color="auto"/>
            </w:tcBorders>
            <w:vAlign w:val="center"/>
            <w:hideMark/>
          </w:tcPr>
          <w:p w14:paraId="76DB05B5" w14:textId="77777777" w:rsidR="00246378" w:rsidRPr="00AC42C7" w:rsidRDefault="00246378" w:rsidP="009F1C88">
            <w:pPr>
              <w:bidi/>
              <w:spacing w:after="0" w:line="240" w:lineRule="auto"/>
              <w:jc w:val="center"/>
              <w:rPr>
                <w:rFonts w:ascii="Arial" w:eastAsia="Times New Roman" w:hAnsi="Arial" w:cs="Arial"/>
                <w:b/>
                <w:bCs/>
                <w:color w:val="000000"/>
                <w:kern w:val="0"/>
                <w:sz w:val="20"/>
                <w:szCs w:val="20"/>
                <w14:ligatures w14:val="none"/>
              </w:rPr>
            </w:pPr>
            <w:r w:rsidRPr="00AC42C7">
              <w:rPr>
                <w:rFonts w:ascii="Arial" w:eastAsia="Times New Roman" w:hAnsi="Arial" w:cs="Arial"/>
                <w:b/>
                <w:bCs/>
                <w:color w:val="000000"/>
                <w:kern w:val="0"/>
                <w:sz w:val="20"/>
                <w:szCs w:val="20"/>
                <w:rtl/>
                <w14:ligatures w14:val="none"/>
              </w:rPr>
              <w:t>المؤشر</w:t>
            </w:r>
          </w:p>
        </w:tc>
        <w:tc>
          <w:tcPr>
            <w:tcW w:w="314" w:type="pct"/>
            <w:tcBorders>
              <w:top w:val="single" w:sz="8" w:space="0" w:color="auto"/>
              <w:left w:val="single" w:sz="4" w:space="0" w:color="auto"/>
              <w:bottom w:val="single" w:sz="4" w:space="0" w:color="auto"/>
              <w:right w:val="single" w:sz="4" w:space="0" w:color="auto"/>
            </w:tcBorders>
            <w:vAlign w:val="center"/>
            <w:hideMark/>
          </w:tcPr>
          <w:p w14:paraId="4B76E318" w14:textId="77777777" w:rsidR="00246378" w:rsidRPr="00AC42C7" w:rsidRDefault="00246378" w:rsidP="009F1C88">
            <w:pPr>
              <w:spacing w:after="0" w:line="240" w:lineRule="auto"/>
              <w:jc w:val="center"/>
              <w:rPr>
                <w:rFonts w:ascii="Arial" w:eastAsia="Times New Roman" w:hAnsi="Arial" w:cs="Arial"/>
                <w:color w:val="000000"/>
                <w:kern w:val="0"/>
                <w:sz w:val="20"/>
                <w:szCs w:val="20"/>
                <w:rtl/>
                <w14:ligatures w14:val="none"/>
              </w:rPr>
            </w:pPr>
            <w:r w:rsidRPr="00AC42C7">
              <w:rPr>
                <w:rFonts w:ascii="Arial" w:eastAsia="Times New Roman" w:hAnsi="Arial" w:cs="Arial"/>
                <w:color w:val="000000"/>
                <w:kern w:val="0"/>
                <w:sz w:val="20"/>
                <w:szCs w:val="20"/>
                <w14:ligatures w14:val="none"/>
              </w:rPr>
              <w:t>CMIN / DF (χ²/</w:t>
            </w:r>
            <w:proofErr w:type="spellStart"/>
            <w:r w:rsidRPr="00AC42C7">
              <w:rPr>
                <w:rFonts w:ascii="Arial" w:eastAsia="Times New Roman" w:hAnsi="Arial" w:cs="Arial"/>
                <w:color w:val="000000"/>
                <w:kern w:val="0"/>
                <w:sz w:val="20"/>
                <w:szCs w:val="20"/>
                <w14:ligatures w14:val="none"/>
              </w:rPr>
              <w:t>df</w:t>
            </w:r>
            <w:proofErr w:type="spellEnd"/>
            <w:r w:rsidRPr="00AC42C7">
              <w:rPr>
                <w:rFonts w:ascii="Arial" w:eastAsia="Times New Roman" w:hAnsi="Arial" w:cs="Arial"/>
                <w:color w:val="000000"/>
                <w:kern w:val="0"/>
                <w:sz w:val="20"/>
                <w:szCs w:val="20"/>
                <w14:ligatures w14:val="none"/>
              </w:rPr>
              <w:t>)</w:t>
            </w:r>
          </w:p>
        </w:tc>
        <w:tc>
          <w:tcPr>
            <w:tcW w:w="303" w:type="pct"/>
            <w:tcBorders>
              <w:top w:val="single" w:sz="8" w:space="0" w:color="auto"/>
              <w:left w:val="single" w:sz="4" w:space="0" w:color="auto"/>
              <w:bottom w:val="single" w:sz="4" w:space="0" w:color="auto"/>
              <w:right w:val="single" w:sz="4" w:space="0" w:color="auto"/>
            </w:tcBorders>
            <w:vAlign w:val="center"/>
            <w:hideMark/>
          </w:tcPr>
          <w:p w14:paraId="2AF2F0C1" w14:textId="77777777" w:rsidR="00246378" w:rsidRPr="00AC42C7" w:rsidRDefault="00246378" w:rsidP="009F1C88">
            <w:pPr>
              <w:spacing w:after="0" w:line="240" w:lineRule="auto"/>
              <w:jc w:val="center"/>
              <w:rPr>
                <w:rFonts w:ascii="Arial" w:eastAsia="Times New Roman" w:hAnsi="Arial" w:cs="Arial"/>
                <w:color w:val="000000"/>
                <w:kern w:val="0"/>
                <w:sz w:val="20"/>
                <w:szCs w:val="20"/>
                <w14:ligatures w14:val="none"/>
              </w:rPr>
            </w:pPr>
            <w:r w:rsidRPr="00AC42C7">
              <w:rPr>
                <w:rFonts w:ascii="Arial" w:eastAsia="Times New Roman" w:hAnsi="Arial" w:cs="Arial"/>
                <w:color w:val="000000"/>
                <w:kern w:val="0"/>
                <w:sz w:val="20"/>
                <w:szCs w:val="20"/>
                <w14:ligatures w14:val="none"/>
              </w:rPr>
              <w:t>CFI</w:t>
            </w:r>
          </w:p>
        </w:tc>
        <w:tc>
          <w:tcPr>
            <w:tcW w:w="345" w:type="pct"/>
            <w:tcBorders>
              <w:top w:val="single" w:sz="8" w:space="0" w:color="auto"/>
              <w:left w:val="single" w:sz="4" w:space="0" w:color="auto"/>
              <w:bottom w:val="single" w:sz="4" w:space="0" w:color="auto"/>
              <w:right w:val="single" w:sz="4" w:space="0" w:color="auto"/>
            </w:tcBorders>
            <w:vAlign w:val="center"/>
            <w:hideMark/>
          </w:tcPr>
          <w:p w14:paraId="450AD835" w14:textId="77777777" w:rsidR="00246378" w:rsidRPr="00AC42C7" w:rsidRDefault="00246378" w:rsidP="009F1C88">
            <w:pPr>
              <w:spacing w:after="0" w:line="240" w:lineRule="auto"/>
              <w:jc w:val="center"/>
              <w:rPr>
                <w:rFonts w:ascii="Arial" w:eastAsia="Times New Roman" w:hAnsi="Arial" w:cs="Arial"/>
                <w:color w:val="000000"/>
                <w:kern w:val="0"/>
                <w:sz w:val="20"/>
                <w:szCs w:val="20"/>
                <w14:ligatures w14:val="none"/>
              </w:rPr>
            </w:pPr>
            <w:r w:rsidRPr="00AC42C7">
              <w:rPr>
                <w:rFonts w:ascii="Arial" w:eastAsia="Times New Roman" w:hAnsi="Arial" w:cs="Arial"/>
                <w:color w:val="000000"/>
                <w:kern w:val="0"/>
                <w:sz w:val="20"/>
                <w:szCs w:val="20"/>
                <w14:ligatures w14:val="none"/>
              </w:rPr>
              <w:t>TLI (NNFI)</w:t>
            </w:r>
          </w:p>
        </w:tc>
        <w:tc>
          <w:tcPr>
            <w:tcW w:w="303" w:type="pct"/>
            <w:tcBorders>
              <w:top w:val="single" w:sz="8" w:space="0" w:color="auto"/>
              <w:left w:val="single" w:sz="4" w:space="0" w:color="auto"/>
              <w:bottom w:val="single" w:sz="4" w:space="0" w:color="auto"/>
              <w:right w:val="single" w:sz="4" w:space="0" w:color="auto"/>
            </w:tcBorders>
            <w:vAlign w:val="center"/>
            <w:hideMark/>
          </w:tcPr>
          <w:p w14:paraId="4C1536A8" w14:textId="77777777" w:rsidR="00246378" w:rsidRPr="00AC42C7" w:rsidRDefault="00246378" w:rsidP="009F1C88">
            <w:pPr>
              <w:spacing w:after="0" w:line="240" w:lineRule="auto"/>
              <w:jc w:val="center"/>
              <w:rPr>
                <w:rFonts w:ascii="Arial" w:eastAsia="Times New Roman" w:hAnsi="Arial" w:cs="Arial"/>
                <w:color w:val="000000"/>
                <w:kern w:val="0"/>
                <w:sz w:val="20"/>
                <w:szCs w:val="20"/>
                <w14:ligatures w14:val="none"/>
              </w:rPr>
            </w:pPr>
            <w:r w:rsidRPr="00AC42C7">
              <w:rPr>
                <w:rFonts w:ascii="Arial" w:eastAsia="Times New Roman" w:hAnsi="Arial" w:cs="Arial"/>
                <w:color w:val="000000"/>
                <w:kern w:val="0"/>
                <w:sz w:val="20"/>
                <w:szCs w:val="20"/>
                <w14:ligatures w14:val="none"/>
              </w:rPr>
              <w:t>IFI</w:t>
            </w:r>
          </w:p>
        </w:tc>
        <w:tc>
          <w:tcPr>
            <w:tcW w:w="303" w:type="pct"/>
            <w:tcBorders>
              <w:top w:val="single" w:sz="8" w:space="0" w:color="auto"/>
              <w:left w:val="single" w:sz="4" w:space="0" w:color="auto"/>
              <w:bottom w:val="single" w:sz="4" w:space="0" w:color="auto"/>
              <w:right w:val="single" w:sz="4" w:space="0" w:color="auto"/>
            </w:tcBorders>
            <w:vAlign w:val="center"/>
            <w:hideMark/>
          </w:tcPr>
          <w:p w14:paraId="64DE96DB" w14:textId="77777777" w:rsidR="00246378" w:rsidRPr="00AC42C7" w:rsidRDefault="00246378" w:rsidP="009F1C88">
            <w:pPr>
              <w:spacing w:after="0" w:line="240" w:lineRule="auto"/>
              <w:jc w:val="center"/>
              <w:rPr>
                <w:rFonts w:ascii="Arial" w:eastAsia="Times New Roman" w:hAnsi="Arial" w:cs="Arial"/>
                <w:color w:val="000000"/>
                <w:kern w:val="0"/>
                <w:sz w:val="20"/>
                <w:szCs w:val="20"/>
                <w14:ligatures w14:val="none"/>
              </w:rPr>
            </w:pPr>
            <w:r w:rsidRPr="00AC42C7">
              <w:rPr>
                <w:rFonts w:ascii="Arial" w:eastAsia="Times New Roman" w:hAnsi="Arial" w:cs="Arial"/>
                <w:color w:val="000000"/>
                <w:kern w:val="0"/>
                <w:sz w:val="20"/>
                <w:szCs w:val="20"/>
                <w14:ligatures w14:val="none"/>
              </w:rPr>
              <w:t>NFI</w:t>
            </w:r>
          </w:p>
        </w:tc>
        <w:tc>
          <w:tcPr>
            <w:tcW w:w="303" w:type="pct"/>
            <w:tcBorders>
              <w:top w:val="single" w:sz="8" w:space="0" w:color="auto"/>
              <w:left w:val="single" w:sz="4" w:space="0" w:color="auto"/>
              <w:bottom w:val="single" w:sz="4" w:space="0" w:color="auto"/>
              <w:right w:val="single" w:sz="4" w:space="0" w:color="auto"/>
            </w:tcBorders>
            <w:vAlign w:val="center"/>
            <w:hideMark/>
          </w:tcPr>
          <w:p w14:paraId="4A4E48DE" w14:textId="77777777" w:rsidR="00246378" w:rsidRPr="00AC42C7" w:rsidRDefault="00246378" w:rsidP="009F1C88">
            <w:pPr>
              <w:spacing w:after="0" w:line="240" w:lineRule="auto"/>
              <w:jc w:val="center"/>
              <w:rPr>
                <w:rFonts w:ascii="Arial" w:eastAsia="Times New Roman" w:hAnsi="Arial" w:cs="Arial"/>
                <w:color w:val="000000"/>
                <w:kern w:val="0"/>
                <w:sz w:val="20"/>
                <w:szCs w:val="20"/>
                <w14:ligatures w14:val="none"/>
              </w:rPr>
            </w:pPr>
            <w:r w:rsidRPr="00AC42C7">
              <w:rPr>
                <w:rFonts w:ascii="Arial" w:eastAsia="Times New Roman" w:hAnsi="Arial" w:cs="Arial"/>
                <w:color w:val="000000"/>
                <w:kern w:val="0"/>
                <w:sz w:val="20"/>
                <w:szCs w:val="20"/>
                <w14:ligatures w14:val="none"/>
              </w:rPr>
              <w:t>RFI</w:t>
            </w:r>
          </w:p>
        </w:tc>
        <w:tc>
          <w:tcPr>
            <w:tcW w:w="500" w:type="pct"/>
            <w:tcBorders>
              <w:top w:val="single" w:sz="8" w:space="0" w:color="auto"/>
              <w:left w:val="single" w:sz="4" w:space="0" w:color="auto"/>
              <w:bottom w:val="single" w:sz="4" w:space="0" w:color="auto"/>
              <w:right w:val="single" w:sz="4" w:space="0" w:color="auto"/>
            </w:tcBorders>
            <w:vAlign w:val="center"/>
            <w:hideMark/>
          </w:tcPr>
          <w:p w14:paraId="384E4969" w14:textId="77777777" w:rsidR="00246378" w:rsidRPr="00AC42C7" w:rsidRDefault="00246378" w:rsidP="009F1C88">
            <w:pPr>
              <w:spacing w:after="0" w:line="240" w:lineRule="auto"/>
              <w:jc w:val="center"/>
              <w:rPr>
                <w:rFonts w:ascii="Arial" w:eastAsia="Times New Roman" w:hAnsi="Arial" w:cs="Arial"/>
                <w:color w:val="000000"/>
                <w:kern w:val="0"/>
                <w:sz w:val="20"/>
                <w:szCs w:val="20"/>
                <w14:ligatures w14:val="none"/>
              </w:rPr>
            </w:pPr>
            <w:r w:rsidRPr="00AC42C7">
              <w:rPr>
                <w:rFonts w:ascii="Arial" w:eastAsia="Times New Roman" w:hAnsi="Arial" w:cs="Arial"/>
                <w:color w:val="000000"/>
                <w:kern w:val="0"/>
                <w:sz w:val="20"/>
                <w:szCs w:val="20"/>
                <w14:ligatures w14:val="none"/>
              </w:rPr>
              <w:t>RMSEA (90% CI)</w:t>
            </w:r>
          </w:p>
        </w:tc>
        <w:tc>
          <w:tcPr>
            <w:tcW w:w="326" w:type="pct"/>
            <w:tcBorders>
              <w:top w:val="single" w:sz="8" w:space="0" w:color="auto"/>
              <w:left w:val="single" w:sz="4" w:space="0" w:color="auto"/>
              <w:bottom w:val="single" w:sz="4" w:space="0" w:color="auto"/>
              <w:right w:val="single" w:sz="4" w:space="0" w:color="auto"/>
            </w:tcBorders>
            <w:vAlign w:val="center"/>
            <w:hideMark/>
          </w:tcPr>
          <w:p w14:paraId="2E63160A" w14:textId="77777777" w:rsidR="00246378" w:rsidRPr="00AC42C7" w:rsidRDefault="00246378" w:rsidP="009F1C88">
            <w:pPr>
              <w:spacing w:after="0" w:line="240" w:lineRule="auto"/>
              <w:jc w:val="center"/>
              <w:rPr>
                <w:rFonts w:ascii="Arial" w:eastAsia="Times New Roman" w:hAnsi="Arial" w:cs="Arial"/>
                <w:color w:val="000000"/>
                <w:kern w:val="0"/>
                <w:sz w:val="20"/>
                <w:szCs w:val="20"/>
                <w14:ligatures w14:val="none"/>
              </w:rPr>
            </w:pPr>
            <w:r w:rsidRPr="00AC42C7">
              <w:rPr>
                <w:rFonts w:ascii="Arial" w:eastAsia="Times New Roman" w:hAnsi="Arial" w:cs="Arial"/>
                <w:color w:val="000000"/>
                <w:kern w:val="0"/>
                <w:sz w:val="20"/>
                <w:szCs w:val="20"/>
                <w14:ligatures w14:val="none"/>
              </w:rPr>
              <w:t>PCLOSE</w:t>
            </w:r>
          </w:p>
        </w:tc>
        <w:tc>
          <w:tcPr>
            <w:tcW w:w="341" w:type="pct"/>
            <w:tcBorders>
              <w:top w:val="single" w:sz="8" w:space="0" w:color="auto"/>
              <w:left w:val="single" w:sz="4" w:space="0" w:color="auto"/>
              <w:bottom w:val="single" w:sz="4" w:space="0" w:color="auto"/>
              <w:right w:val="single" w:sz="4" w:space="0" w:color="auto"/>
            </w:tcBorders>
            <w:vAlign w:val="center"/>
            <w:hideMark/>
          </w:tcPr>
          <w:p w14:paraId="2A514FC2" w14:textId="77777777" w:rsidR="00246378" w:rsidRPr="00AC42C7" w:rsidRDefault="00246378" w:rsidP="009F1C88">
            <w:pPr>
              <w:spacing w:after="0" w:line="240" w:lineRule="auto"/>
              <w:jc w:val="center"/>
              <w:rPr>
                <w:rFonts w:ascii="Arial" w:eastAsia="Times New Roman" w:hAnsi="Arial" w:cs="Arial"/>
                <w:color w:val="000000"/>
                <w:kern w:val="0"/>
                <w:sz w:val="20"/>
                <w:szCs w:val="20"/>
                <w14:ligatures w14:val="none"/>
              </w:rPr>
            </w:pPr>
            <w:r w:rsidRPr="00AC42C7">
              <w:rPr>
                <w:rFonts w:ascii="Arial" w:eastAsia="Times New Roman" w:hAnsi="Arial" w:cs="Arial"/>
                <w:color w:val="000000"/>
                <w:kern w:val="0"/>
                <w:sz w:val="20"/>
                <w:szCs w:val="20"/>
                <w14:ligatures w14:val="none"/>
              </w:rPr>
              <w:t>RMR</w:t>
            </w:r>
          </w:p>
        </w:tc>
        <w:tc>
          <w:tcPr>
            <w:tcW w:w="465" w:type="pct"/>
            <w:tcBorders>
              <w:top w:val="single" w:sz="8" w:space="0" w:color="auto"/>
              <w:left w:val="single" w:sz="4" w:space="0" w:color="auto"/>
              <w:bottom w:val="single" w:sz="4" w:space="0" w:color="auto"/>
              <w:right w:val="single" w:sz="4" w:space="0" w:color="auto"/>
            </w:tcBorders>
            <w:vAlign w:val="center"/>
            <w:hideMark/>
          </w:tcPr>
          <w:p w14:paraId="0C6D7BF4" w14:textId="77777777" w:rsidR="00246378" w:rsidRPr="00AC42C7" w:rsidRDefault="00246378" w:rsidP="009F1C88">
            <w:pPr>
              <w:spacing w:after="0" w:line="240" w:lineRule="auto"/>
              <w:jc w:val="center"/>
              <w:rPr>
                <w:rFonts w:ascii="Arial" w:eastAsia="Times New Roman" w:hAnsi="Arial" w:cs="Arial"/>
                <w:color w:val="000000"/>
                <w:kern w:val="0"/>
                <w:sz w:val="20"/>
                <w:szCs w:val="20"/>
                <w14:ligatures w14:val="none"/>
              </w:rPr>
            </w:pPr>
            <w:r w:rsidRPr="00AC42C7">
              <w:rPr>
                <w:rFonts w:ascii="Arial" w:eastAsia="Times New Roman" w:hAnsi="Arial" w:cs="Arial"/>
                <w:color w:val="000000"/>
                <w:kern w:val="0"/>
                <w:sz w:val="20"/>
                <w:szCs w:val="20"/>
                <w14:ligatures w14:val="none"/>
              </w:rPr>
              <w:t>GFI</w:t>
            </w:r>
          </w:p>
        </w:tc>
        <w:tc>
          <w:tcPr>
            <w:tcW w:w="288" w:type="pct"/>
            <w:tcBorders>
              <w:top w:val="single" w:sz="8" w:space="0" w:color="auto"/>
              <w:left w:val="single" w:sz="4" w:space="0" w:color="auto"/>
              <w:bottom w:val="single" w:sz="4" w:space="0" w:color="auto"/>
              <w:right w:val="single" w:sz="4" w:space="0" w:color="auto"/>
            </w:tcBorders>
            <w:vAlign w:val="center"/>
            <w:hideMark/>
          </w:tcPr>
          <w:p w14:paraId="5F38F523" w14:textId="77777777" w:rsidR="00246378" w:rsidRPr="00AC42C7" w:rsidRDefault="00246378" w:rsidP="009F1C88">
            <w:pPr>
              <w:spacing w:after="0" w:line="240" w:lineRule="auto"/>
              <w:jc w:val="center"/>
              <w:rPr>
                <w:rFonts w:ascii="Arial" w:eastAsia="Times New Roman" w:hAnsi="Arial" w:cs="Arial"/>
                <w:color w:val="000000"/>
                <w:kern w:val="0"/>
                <w:sz w:val="20"/>
                <w:szCs w:val="20"/>
                <w14:ligatures w14:val="none"/>
              </w:rPr>
            </w:pPr>
            <w:r w:rsidRPr="00AC42C7">
              <w:rPr>
                <w:rFonts w:ascii="Arial" w:eastAsia="Times New Roman" w:hAnsi="Arial" w:cs="Arial"/>
                <w:color w:val="000000"/>
                <w:kern w:val="0"/>
                <w:sz w:val="20"/>
                <w:szCs w:val="20"/>
                <w14:ligatures w14:val="none"/>
              </w:rPr>
              <w:t>AGFI</w:t>
            </w:r>
          </w:p>
        </w:tc>
        <w:tc>
          <w:tcPr>
            <w:tcW w:w="460" w:type="pct"/>
            <w:tcBorders>
              <w:top w:val="single" w:sz="8" w:space="0" w:color="auto"/>
              <w:left w:val="single" w:sz="4" w:space="0" w:color="auto"/>
              <w:bottom w:val="single" w:sz="4" w:space="0" w:color="auto"/>
              <w:right w:val="single" w:sz="4" w:space="0" w:color="auto"/>
            </w:tcBorders>
            <w:vAlign w:val="center"/>
            <w:hideMark/>
          </w:tcPr>
          <w:p w14:paraId="27213415" w14:textId="77777777" w:rsidR="00246378" w:rsidRPr="00AC42C7" w:rsidRDefault="00246378" w:rsidP="009F1C88">
            <w:pPr>
              <w:spacing w:after="0" w:line="240" w:lineRule="auto"/>
              <w:jc w:val="center"/>
              <w:rPr>
                <w:rFonts w:ascii="Arial" w:eastAsia="Times New Roman" w:hAnsi="Arial" w:cs="Arial"/>
                <w:color w:val="000000"/>
                <w:kern w:val="0"/>
                <w:sz w:val="20"/>
                <w:szCs w:val="20"/>
                <w14:ligatures w14:val="none"/>
              </w:rPr>
            </w:pPr>
            <w:r w:rsidRPr="00AC42C7">
              <w:rPr>
                <w:rFonts w:ascii="Arial" w:eastAsia="Times New Roman" w:hAnsi="Arial" w:cs="Arial"/>
                <w:color w:val="000000"/>
                <w:kern w:val="0"/>
                <w:sz w:val="20"/>
                <w:szCs w:val="20"/>
                <w14:ligatures w14:val="none"/>
              </w:rPr>
              <w:t>AIC</w:t>
            </w:r>
          </w:p>
        </w:tc>
        <w:tc>
          <w:tcPr>
            <w:tcW w:w="454" w:type="pct"/>
            <w:tcBorders>
              <w:top w:val="single" w:sz="8" w:space="0" w:color="auto"/>
              <w:left w:val="single" w:sz="4" w:space="0" w:color="auto"/>
              <w:bottom w:val="single" w:sz="4" w:space="0" w:color="auto"/>
              <w:right w:val="single" w:sz="8" w:space="0" w:color="auto"/>
            </w:tcBorders>
            <w:vAlign w:val="center"/>
            <w:hideMark/>
          </w:tcPr>
          <w:p w14:paraId="3FD7C07A" w14:textId="77777777" w:rsidR="00246378" w:rsidRPr="00AC42C7" w:rsidRDefault="00246378" w:rsidP="009F1C88">
            <w:pPr>
              <w:spacing w:after="0" w:line="240" w:lineRule="auto"/>
              <w:jc w:val="center"/>
              <w:rPr>
                <w:rFonts w:ascii="Arial" w:eastAsia="Times New Roman" w:hAnsi="Arial" w:cs="Arial"/>
                <w:color w:val="000000"/>
                <w:kern w:val="0"/>
                <w:sz w:val="20"/>
                <w:szCs w:val="20"/>
                <w14:ligatures w14:val="none"/>
              </w:rPr>
            </w:pPr>
            <w:r w:rsidRPr="00AC42C7">
              <w:rPr>
                <w:rFonts w:ascii="Arial" w:eastAsia="Times New Roman" w:hAnsi="Arial" w:cs="Arial"/>
                <w:color w:val="000000"/>
                <w:kern w:val="0"/>
                <w:sz w:val="20"/>
                <w:szCs w:val="20"/>
                <w14:ligatures w14:val="none"/>
              </w:rPr>
              <w:t>Hoelter (.05/.01)</w:t>
            </w:r>
          </w:p>
        </w:tc>
      </w:tr>
      <w:tr w:rsidR="00246378" w:rsidRPr="00AC42C7" w14:paraId="619BEA4A" w14:textId="77777777" w:rsidTr="009F1C88">
        <w:trPr>
          <w:trHeight w:val="918"/>
        </w:trPr>
        <w:tc>
          <w:tcPr>
            <w:tcW w:w="296" w:type="pct"/>
            <w:tcBorders>
              <w:top w:val="nil"/>
              <w:left w:val="single" w:sz="8" w:space="0" w:color="auto"/>
              <w:bottom w:val="single" w:sz="4" w:space="0" w:color="auto"/>
              <w:right w:val="single" w:sz="4" w:space="0" w:color="auto"/>
            </w:tcBorders>
            <w:vAlign w:val="center"/>
            <w:hideMark/>
          </w:tcPr>
          <w:p w14:paraId="3D5A9327" w14:textId="77777777" w:rsidR="00246378" w:rsidRPr="00AC42C7" w:rsidRDefault="00246378" w:rsidP="009F1C88">
            <w:pPr>
              <w:bidi/>
              <w:spacing w:after="0" w:line="240" w:lineRule="auto"/>
              <w:jc w:val="center"/>
              <w:rPr>
                <w:rFonts w:ascii="Arial" w:eastAsia="Times New Roman" w:hAnsi="Arial" w:cs="Arial"/>
                <w:b/>
                <w:bCs/>
                <w:color w:val="000000"/>
                <w:kern w:val="0"/>
                <w:sz w:val="20"/>
                <w:szCs w:val="20"/>
                <w14:ligatures w14:val="none"/>
              </w:rPr>
            </w:pPr>
            <w:r w:rsidRPr="00AC42C7">
              <w:rPr>
                <w:rFonts w:ascii="Arial" w:eastAsia="Times New Roman" w:hAnsi="Arial" w:cs="Arial"/>
                <w:b/>
                <w:bCs/>
                <w:color w:val="000000"/>
                <w:kern w:val="0"/>
                <w:sz w:val="20"/>
                <w:szCs w:val="20"/>
                <w:rtl/>
                <w14:ligatures w14:val="none"/>
              </w:rPr>
              <w:t>القيمة</w:t>
            </w:r>
          </w:p>
        </w:tc>
        <w:tc>
          <w:tcPr>
            <w:tcW w:w="314" w:type="pct"/>
            <w:tcBorders>
              <w:top w:val="nil"/>
              <w:left w:val="single" w:sz="4" w:space="0" w:color="auto"/>
              <w:bottom w:val="single" w:sz="4" w:space="0" w:color="auto"/>
              <w:right w:val="single" w:sz="4" w:space="0" w:color="auto"/>
            </w:tcBorders>
            <w:vAlign w:val="center"/>
            <w:hideMark/>
          </w:tcPr>
          <w:p w14:paraId="56CC1E40" w14:textId="77777777" w:rsidR="00246378" w:rsidRPr="00AC42C7" w:rsidRDefault="00246378" w:rsidP="009F1C88">
            <w:pPr>
              <w:spacing w:after="0" w:line="240" w:lineRule="auto"/>
              <w:jc w:val="center"/>
              <w:rPr>
                <w:rFonts w:ascii="Arial" w:eastAsia="Times New Roman" w:hAnsi="Arial" w:cs="Arial"/>
                <w:b/>
                <w:bCs/>
                <w:color w:val="000000"/>
                <w:kern w:val="0"/>
                <w:sz w:val="20"/>
                <w:szCs w:val="20"/>
                <w:rtl/>
                <w14:ligatures w14:val="none"/>
              </w:rPr>
            </w:pPr>
            <w:r w:rsidRPr="00AC42C7">
              <w:rPr>
                <w:rFonts w:ascii="Arial" w:eastAsia="Times New Roman" w:hAnsi="Arial" w:cs="Arial"/>
                <w:b/>
                <w:bCs/>
                <w:color w:val="000000"/>
                <w:kern w:val="0"/>
                <w:sz w:val="20"/>
                <w:szCs w:val="20"/>
                <w14:ligatures w14:val="none"/>
              </w:rPr>
              <w:t>1.406</w:t>
            </w:r>
          </w:p>
        </w:tc>
        <w:tc>
          <w:tcPr>
            <w:tcW w:w="303" w:type="pct"/>
            <w:tcBorders>
              <w:top w:val="nil"/>
              <w:left w:val="single" w:sz="4" w:space="0" w:color="auto"/>
              <w:bottom w:val="single" w:sz="4" w:space="0" w:color="auto"/>
              <w:right w:val="single" w:sz="4" w:space="0" w:color="auto"/>
            </w:tcBorders>
            <w:vAlign w:val="center"/>
            <w:hideMark/>
          </w:tcPr>
          <w:p w14:paraId="6FB16A58" w14:textId="77777777" w:rsidR="00246378" w:rsidRPr="00AC42C7" w:rsidRDefault="00246378" w:rsidP="009F1C88">
            <w:pPr>
              <w:spacing w:after="0" w:line="240" w:lineRule="auto"/>
              <w:jc w:val="center"/>
              <w:rPr>
                <w:rFonts w:ascii="Arial" w:eastAsia="Times New Roman" w:hAnsi="Arial" w:cs="Arial"/>
                <w:b/>
                <w:bCs/>
                <w:color w:val="000000"/>
                <w:kern w:val="0"/>
                <w:sz w:val="20"/>
                <w:szCs w:val="20"/>
                <w14:ligatures w14:val="none"/>
              </w:rPr>
            </w:pPr>
            <w:r w:rsidRPr="00AC42C7">
              <w:rPr>
                <w:rFonts w:ascii="Arial" w:eastAsia="Times New Roman" w:hAnsi="Arial" w:cs="Arial"/>
                <w:b/>
                <w:bCs/>
                <w:color w:val="000000"/>
                <w:kern w:val="0"/>
                <w:sz w:val="20"/>
                <w:szCs w:val="20"/>
                <w14:ligatures w14:val="none"/>
              </w:rPr>
              <w:t>0.975</w:t>
            </w:r>
          </w:p>
        </w:tc>
        <w:tc>
          <w:tcPr>
            <w:tcW w:w="345" w:type="pct"/>
            <w:tcBorders>
              <w:top w:val="nil"/>
              <w:left w:val="single" w:sz="4" w:space="0" w:color="auto"/>
              <w:bottom w:val="single" w:sz="4" w:space="0" w:color="auto"/>
              <w:right w:val="single" w:sz="4" w:space="0" w:color="auto"/>
            </w:tcBorders>
            <w:vAlign w:val="center"/>
            <w:hideMark/>
          </w:tcPr>
          <w:p w14:paraId="04499DCB" w14:textId="77777777" w:rsidR="00246378" w:rsidRPr="00AC42C7" w:rsidRDefault="00246378" w:rsidP="009F1C88">
            <w:pPr>
              <w:spacing w:after="0" w:line="240" w:lineRule="auto"/>
              <w:jc w:val="center"/>
              <w:rPr>
                <w:rFonts w:ascii="Arial" w:eastAsia="Times New Roman" w:hAnsi="Arial" w:cs="Arial"/>
                <w:b/>
                <w:bCs/>
                <w:color w:val="000000"/>
                <w:kern w:val="0"/>
                <w:sz w:val="20"/>
                <w:szCs w:val="20"/>
                <w14:ligatures w14:val="none"/>
              </w:rPr>
            </w:pPr>
            <w:r w:rsidRPr="00AC42C7">
              <w:rPr>
                <w:rFonts w:ascii="Arial" w:eastAsia="Times New Roman" w:hAnsi="Arial" w:cs="Arial"/>
                <w:b/>
                <w:bCs/>
                <w:color w:val="000000"/>
                <w:kern w:val="0"/>
                <w:sz w:val="20"/>
                <w:szCs w:val="20"/>
                <w14:ligatures w14:val="none"/>
              </w:rPr>
              <w:t>0.973</w:t>
            </w:r>
          </w:p>
        </w:tc>
        <w:tc>
          <w:tcPr>
            <w:tcW w:w="303" w:type="pct"/>
            <w:tcBorders>
              <w:top w:val="nil"/>
              <w:left w:val="single" w:sz="4" w:space="0" w:color="auto"/>
              <w:bottom w:val="single" w:sz="4" w:space="0" w:color="auto"/>
              <w:right w:val="single" w:sz="4" w:space="0" w:color="auto"/>
            </w:tcBorders>
            <w:vAlign w:val="center"/>
            <w:hideMark/>
          </w:tcPr>
          <w:p w14:paraId="173736E9" w14:textId="77777777" w:rsidR="00246378" w:rsidRPr="00AC42C7" w:rsidRDefault="00246378" w:rsidP="009F1C88">
            <w:pPr>
              <w:spacing w:after="0" w:line="240" w:lineRule="auto"/>
              <w:jc w:val="center"/>
              <w:rPr>
                <w:rFonts w:ascii="Arial" w:eastAsia="Times New Roman" w:hAnsi="Arial" w:cs="Arial"/>
                <w:b/>
                <w:bCs/>
                <w:color w:val="000000"/>
                <w:kern w:val="0"/>
                <w:sz w:val="20"/>
                <w:szCs w:val="20"/>
                <w14:ligatures w14:val="none"/>
              </w:rPr>
            </w:pPr>
            <w:r w:rsidRPr="00AC42C7">
              <w:rPr>
                <w:rFonts w:ascii="Arial" w:eastAsia="Times New Roman" w:hAnsi="Arial" w:cs="Arial"/>
                <w:b/>
                <w:bCs/>
                <w:color w:val="000000"/>
                <w:kern w:val="0"/>
                <w:sz w:val="20"/>
                <w:szCs w:val="20"/>
                <w14:ligatures w14:val="none"/>
              </w:rPr>
              <w:t>0.975</w:t>
            </w:r>
          </w:p>
        </w:tc>
        <w:tc>
          <w:tcPr>
            <w:tcW w:w="303" w:type="pct"/>
            <w:tcBorders>
              <w:top w:val="nil"/>
              <w:left w:val="single" w:sz="4" w:space="0" w:color="auto"/>
              <w:bottom w:val="single" w:sz="4" w:space="0" w:color="auto"/>
              <w:right w:val="single" w:sz="4" w:space="0" w:color="auto"/>
            </w:tcBorders>
            <w:vAlign w:val="center"/>
            <w:hideMark/>
          </w:tcPr>
          <w:p w14:paraId="3C424B08" w14:textId="77777777" w:rsidR="00246378" w:rsidRPr="00AC42C7" w:rsidRDefault="00246378" w:rsidP="009F1C88">
            <w:pPr>
              <w:spacing w:after="0" w:line="240" w:lineRule="auto"/>
              <w:jc w:val="center"/>
              <w:rPr>
                <w:rFonts w:ascii="Arial" w:eastAsia="Times New Roman" w:hAnsi="Arial" w:cs="Arial"/>
                <w:b/>
                <w:bCs/>
                <w:color w:val="000000"/>
                <w:kern w:val="0"/>
                <w:sz w:val="20"/>
                <w:szCs w:val="20"/>
                <w14:ligatures w14:val="none"/>
              </w:rPr>
            </w:pPr>
            <w:r w:rsidRPr="00AC42C7">
              <w:rPr>
                <w:rFonts w:ascii="Arial" w:eastAsia="Times New Roman" w:hAnsi="Arial" w:cs="Arial"/>
                <w:b/>
                <w:bCs/>
                <w:color w:val="000000"/>
                <w:kern w:val="0"/>
                <w:sz w:val="20"/>
                <w:szCs w:val="20"/>
                <w14:ligatures w14:val="none"/>
              </w:rPr>
              <w:t>0.918</w:t>
            </w:r>
          </w:p>
        </w:tc>
        <w:tc>
          <w:tcPr>
            <w:tcW w:w="303" w:type="pct"/>
            <w:tcBorders>
              <w:top w:val="nil"/>
              <w:left w:val="single" w:sz="4" w:space="0" w:color="auto"/>
              <w:bottom w:val="single" w:sz="4" w:space="0" w:color="auto"/>
              <w:right w:val="single" w:sz="4" w:space="0" w:color="auto"/>
            </w:tcBorders>
            <w:vAlign w:val="center"/>
            <w:hideMark/>
          </w:tcPr>
          <w:p w14:paraId="56454932" w14:textId="77777777" w:rsidR="00246378" w:rsidRPr="00AC42C7" w:rsidRDefault="00246378" w:rsidP="009F1C88">
            <w:pPr>
              <w:spacing w:after="0" w:line="240" w:lineRule="auto"/>
              <w:jc w:val="center"/>
              <w:rPr>
                <w:rFonts w:ascii="Arial" w:eastAsia="Times New Roman" w:hAnsi="Arial" w:cs="Arial"/>
                <w:b/>
                <w:bCs/>
                <w:color w:val="000000"/>
                <w:kern w:val="0"/>
                <w:sz w:val="20"/>
                <w:szCs w:val="20"/>
                <w14:ligatures w14:val="none"/>
              </w:rPr>
            </w:pPr>
            <w:r w:rsidRPr="00AC42C7">
              <w:rPr>
                <w:rFonts w:ascii="Arial" w:eastAsia="Times New Roman" w:hAnsi="Arial" w:cs="Arial"/>
                <w:b/>
                <w:bCs/>
                <w:color w:val="000000"/>
                <w:kern w:val="0"/>
                <w:sz w:val="20"/>
                <w:szCs w:val="20"/>
                <w14:ligatures w14:val="none"/>
              </w:rPr>
              <w:t>0.913</w:t>
            </w:r>
          </w:p>
        </w:tc>
        <w:tc>
          <w:tcPr>
            <w:tcW w:w="500" w:type="pct"/>
            <w:tcBorders>
              <w:top w:val="nil"/>
              <w:left w:val="single" w:sz="4" w:space="0" w:color="auto"/>
              <w:bottom w:val="single" w:sz="4" w:space="0" w:color="auto"/>
              <w:right w:val="single" w:sz="4" w:space="0" w:color="auto"/>
            </w:tcBorders>
            <w:vAlign w:val="center"/>
            <w:hideMark/>
          </w:tcPr>
          <w:p w14:paraId="3B15F475" w14:textId="77777777" w:rsidR="00246378" w:rsidRPr="00AC42C7" w:rsidRDefault="00246378" w:rsidP="009F1C88">
            <w:pPr>
              <w:spacing w:after="0" w:line="240" w:lineRule="auto"/>
              <w:jc w:val="center"/>
              <w:rPr>
                <w:rFonts w:ascii="Arial" w:eastAsia="Times New Roman" w:hAnsi="Arial" w:cs="Arial"/>
                <w:b/>
                <w:bCs/>
                <w:color w:val="000000"/>
                <w:kern w:val="0"/>
                <w:sz w:val="20"/>
                <w:szCs w:val="20"/>
                <w14:ligatures w14:val="none"/>
              </w:rPr>
            </w:pPr>
            <w:r w:rsidRPr="00AC42C7">
              <w:rPr>
                <w:rFonts w:ascii="Arial" w:eastAsia="Times New Roman" w:hAnsi="Arial" w:cs="Arial"/>
                <w:b/>
                <w:bCs/>
                <w:color w:val="000000"/>
                <w:kern w:val="0"/>
                <w:sz w:val="20"/>
                <w:szCs w:val="20"/>
                <w14:ligatures w14:val="none"/>
              </w:rPr>
              <w:t>0.032</w:t>
            </w:r>
            <w:r w:rsidRPr="00AC42C7">
              <w:rPr>
                <w:rFonts w:ascii="Arial" w:eastAsia="Times New Roman" w:hAnsi="Arial" w:cs="Arial"/>
                <w:color w:val="000000"/>
                <w:kern w:val="0"/>
                <w:sz w:val="20"/>
                <w:szCs w:val="20"/>
                <w14:ligatures w14:val="none"/>
              </w:rPr>
              <w:t xml:space="preserve"> (LO .027 – HI .037)</w:t>
            </w:r>
          </w:p>
        </w:tc>
        <w:tc>
          <w:tcPr>
            <w:tcW w:w="326" w:type="pct"/>
            <w:tcBorders>
              <w:top w:val="nil"/>
              <w:left w:val="single" w:sz="4" w:space="0" w:color="auto"/>
              <w:bottom w:val="single" w:sz="4" w:space="0" w:color="auto"/>
              <w:right w:val="single" w:sz="4" w:space="0" w:color="auto"/>
            </w:tcBorders>
            <w:vAlign w:val="center"/>
            <w:hideMark/>
          </w:tcPr>
          <w:p w14:paraId="544FF88E" w14:textId="77777777" w:rsidR="00246378" w:rsidRPr="00AC42C7" w:rsidRDefault="00246378" w:rsidP="009F1C88">
            <w:pPr>
              <w:spacing w:after="0" w:line="240" w:lineRule="auto"/>
              <w:jc w:val="center"/>
              <w:rPr>
                <w:rFonts w:ascii="Arial" w:eastAsia="Times New Roman" w:hAnsi="Arial" w:cs="Arial"/>
                <w:b/>
                <w:bCs/>
                <w:color w:val="000000"/>
                <w:kern w:val="0"/>
                <w:sz w:val="20"/>
                <w:szCs w:val="20"/>
                <w14:ligatures w14:val="none"/>
              </w:rPr>
            </w:pPr>
            <w:r w:rsidRPr="00AC42C7">
              <w:rPr>
                <w:rFonts w:ascii="Arial" w:eastAsia="Times New Roman" w:hAnsi="Arial" w:cs="Arial"/>
                <w:b/>
                <w:bCs/>
                <w:color w:val="000000"/>
                <w:kern w:val="0"/>
                <w:sz w:val="20"/>
                <w:szCs w:val="20"/>
                <w14:ligatures w14:val="none"/>
              </w:rPr>
              <w:t>1</w:t>
            </w:r>
          </w:p>
        </w:tc>
        <w:tc>
          <w:tcPr>
            <w:tcW w:w="341" w:type="pct"/>
            <w:tcBorders>
              <w:top w:val="nil"/>
              <w:left w:val="single" w:sz="4" w:space="0" w:color="auto"/>
              <w:bottom w:val="single" w:sz="4" w:space="0" w:color="auto"/>
              <w:right w:val="single" w:sz="4" w:space="0" w:color="auto"/>
            </w:tcBorders>
            <w:vAlign w:val="center"/>
            <w:hideMark/>
          </w:tcPr>
          <w:p w14:paraId="1AFF4770" w14:textId="77777777" w:rsidR="00246378" w:rsidRPr="00AC42C7" w:rsidRDefault="00246378" w:rsidP="009F1C88">
            <w:pPr>
              <w:spacing w:after="0" w:line="240" w:lineRule="auto"/>
              <w:jc w:val="center"/>
              <w:rPr>
                <w:rFonts w:ascii="Arial" w:eastAsia="Times New Roman" w:hAnsi="Arial" w:cs="Arial"/>
                <w:b/>
                <w:bCs/>
                <w:color w:val="000000"/>
                <w:kern w:val="0"/>
                <w:sz w:val="20"/>
                <w:szCs w:val="20"/>
                <w14:ligatures w14:val="none"/>
              </w:rPr>
            </w:pPr>
            <w:r w:rsidRPr="00AC42C7">
              <w:rPr>
                <w:rFonts w:ascii="Arial" w:eastAsia="Times New Roman" w:hAnsi="Arial" w:cs="Arial"/>
                <w:b/>
                <w:bCs/>
                <w:color w:val="000000"/>
                <w:kern w:val="0"/>
                <w:sz w:val="20"/>
                <w:szCs w:val="20"/>
                <w14:ligatures w14:val="none"/>
              </w:rPr>
              <w:t>0.029</w:t>
            </w:r>
          </w:p>
        </w:tc>
        <w:tc>
          <w:tcPr>
            <w:tcW w:w="465" w:type="pct"/>
            <w:tcBorders>
              <w:top w:val="nil"/>
              <w:left w:val="single" w:sz="4" w:space="0" w:color="auto"/>
              <w:bottom w:val="single" w:sz="4" w:space="0" w:color="auto"/>
              <w:right w:val="single" w:sz="4" w:space="0" w:color="auto"/>
            </w:tcBorders>
            <w:vAlign w:val="center"/>
            <w:hideMark/>
          </w:tcPr>
          <w:p w14:paraId="4E646416" w14:textId="77777777" w:rsidR="00246378" w:rsidRPr="00AC42C7" w:rsidRDefault="00246378" w:rsidP="009F1C88">
            <w:pPr>
              <w:spacing w:after="0" w:line="240" w:lineRule="auto"/>
              <w:jc w:val="center"/>
              <w:rPr>
                <w:rFonts w:ascii="Arial" w:eastAsia="Times New Roman" w:hAnsi="Arial" w:cs="Arial"/>
                <w:b/>
                <w:bCs/>
                <w:color w:val="000000"/>
                <w:kern w:val="0"/>
                <w:sz w:val="20"/>
                <w:szCs w:val="20"/>
                <w14:ligatures w14:val="none"/>
              </w:rPr>
            </w:pPr>
            <w:r w:rsidRPr="00AC42C7">
              <w:rPr>
                <w:rFonts w:ascii="Arial" w:eastAsia="Times New Roman" w:hAnsi="Arial" w:cs="Arial"/>
                <w:b/>
                <w:bCs/>
                <w:color w:val="000000"/>
                <w:kern w:val="0"/>
                <w:sz w:val="20"/>
                <w:szCs w:val="20"/>
                <w14:ligatures w14:val="none"/>
              </w:rPr>
              <w:t>0.892</w:t>
            </w:r>
          </w:p>
        </w:tc>
        <w:tc>
          <w:tcPr>
            <w:tcW w:w="288" w:type="pct"/>
            <w:tcBorders>
              <w:top w:val="nil"/>
              <w:left w:val="single" w:sz="4" w:space="0" w:color="auto"/>
              <w:bottom w:val="single" w:sz="4" w:space="0" w:color="auto"/>
              <w:right w:val="single" w:sz="4" w:space="0" w:color="auto"/>
            </w:tcBorders>
            <w:vAlign w:val="center"/>
            <w:hideMark/>
          </w:tcPr>
          <w:p w14:paraId="7C607602" w14:textId="77777777" w:rsidR="00246378" w:rsidRPr="00AC42C7" w:rsidRDefault="00246378" w:rsidP="009F1C88">
            <w:pPr>
              <w:spacing w:after="0" w:line="240" w:lineRule="auto"/>
              <w:jc w:val="center"/>
              <w:rPr>
                <w:rFonts w:ascii="Arial" w:eastAsia="Times New Roman" w:hAnsi="Arial" w:cs="Arial"/>
                <w:b/>
                <w:bCs/>
                <w:color w:val="000000"/>
                <w:kern w:val="0"/>
                <w:sz w:val="20"/>
                <w:szCs w:val="20"/>
                <w14:ligatures w14:val="none"/>
              </w:rPr>
            </w:pPr>
            <w:r w:rsidRPr="00AC42C7">
              <w:rPr>
                <w:rFonts w:ascii="Arial" w:eastAsia="Times New Roman" w:hAnsi="Arial" w:cs="Arial"/>
                <w:b/>
                <w:bCs/>
                <w:color w:val="000000"/>
                <w:kern w:val="0"/>
                <w:sz w:val="20"/>
                <w:szCs w:val="20"/>
                <w14:ligatures w14:val="none"/>
              </w:rPr>
              <w:t>0.88</w:t>
            </w:r>
          </w:p>
        </w:tc>
        <w:tc>
          <w:tcPr>
            <w:tcW w:w="460" w:type="pct"/>
            <w:tcBorders>
              <w:top w:val="nil"/>
              <w:left w:val="single" w:sz="4" w:space="0" w:color="auto"/>
              <w:bottom w:val="single" w:sz="4" w:space="0" w:color="auto"/>
              <w:right w:val="single" w:sz="4" w:space="0" w:color="auto"/>
            </w:tcBorders>
            <w:vAlign w:val="center"/>
            <w:hideMark/>
          </w:tcPr>
          <w:p w14:paraId="1B9C18A6" w14:textId="77777777" w:rsidR="00246378" w:rsidRPr="00AC42C7" w:rsidRDefault="00246378" w:rsidP="009F1C88">
            <w:pPr>
              <w:spacing w:after="0" w:line="240" w:lineRule="auto"/>
              <w:jc w:val="center"/>
              <w:rPr>
                <w:rFonts w:ascii="Arial" w:eastAsia="Times New Roman" w:hAnsi="Arial" w:cs="Arial"/>
                <w:b/>
                <w:bCs/>
                <w:color w:val="000000"/>
                <w:kern w:val="0"/>
                <w:sz w:val="20"/>
                <w:szCs w:val="20"/>
                <w14:ligatures w14:val="none"/>
              </w:rPr>
            </w:pPr>
            <w:r w:rsidRPr="00AC42C7">
              <w:rPr>
                <w:rFonts w:ascii="Arial" w:eastAsia="Times New Roman" w:hAnsi="Arial" w:cs="Arial"/>
                <w:b/>
                <w:bCs/>
                <w:color w:val="000000"/>
                <w:kern w:val="0"/>
                <w:sz w:val="20"/>
                <w:szCs w:val="20"/>
                <w14:ligatures w14:val="none"/>
              </w:rPr>
              <w:t>1087.591</w:t>
            </w:r>
          </w:p>
        </w:tc>
        <w:tc>
          <w:tcPr>
            <w:tcW w:w="454" w:type="pct"/>
            <w:tcBorders>
              <w:top w:val="nil"/>
              <w:left w:val="single" w:sz="4" w:space="0" w:color="auto"/>
              <w:bottom w:val="single" w:sz="4" w:space="0" w:color="auto"/>
              <w:right w:val="single" w:sz="8" w:space="0" w:color="auto"/>
            </w:tcBorders>
            <w:vAlign w:val="center"/>
            <w:hideMark/>
          </w:tcPr>
          <w:p w14:paraId="4E6A5DC3" w14:textId="77777777" w:rsidR="00246378" w:rsidRPr="00AC42C7" w:rsidRDefault="00246378" w:rsidP="009F1C88">
            <w:pPr>
              <w:spacing w:after="0" w:line="240" w:lineRule="auto"/>
              <w:jc w:val="center"/>
              <w:rPr>
                <w:rFonts w:ascii="Arial" w:eastAsia="Times New Roman" w:hAnsi="Arial" w:cs="Arial"/>
                <w:b/>
                <w:bCs/>
                <w:color w:val="000000"/>
                <w:kern w:val="0"/>
                <w:sz w:val="20"/>
                <w:szCs w:val="20"/>
                <w14:ligatures w14:val="none"/>
              </w:rPr>
            </w:pPr>
            <w:r w:rsidRPr="00AC42C7">
              <w:rPr>
                <w:rFonts w:ascii="Arial" w:eastAsia="Times New Roman" w:hAnsi="Arial" w:cs="Arial"/>
                <w:b/>
                <w:bCs/>
                <w:color w:val="000000"/>
                <w:kern w:val="0"/>
                <w:sz w:val="20"/>
                <w:szCs w:val="20"/>
                <w14:ligatures w14:val="none"/>
              </w:rPr>
              <w:t>310 / 322</w:t>
            </w:r>
          </w:p>
        </w:tc>
      </w:tr>
      <w:tr w:rsidR="00246378" w:rsidRPr="00AC42C7" w14:paraId="30A5DDE0" w14:textId="77777777" w:rsidTr="009F1C88">
        <w:trPr>
          <w:trHeight w:val="1332"/>
        </w:trPr>
        <w:tc>
          <w:tcPr>
            <w:tcW w:w="296" w:type="pct"/>
            <w:tcBorders>
              <w:top w:val="nil"/>
              <w:left w:val="single" w:sz="8" w:space="0" w:color="auto"/>
              <w:bottom w:val="single" w:sz="8" w:space="0" w:color="auto"/>
              <w:right w:val="single" w:sz="4" w:space="0" w:color="auto"/>
            </w:tcBorders>
            <w:vAlign w:val="center"/>
            <w:hideMark/>
          </w:tcPr>
          <w:p w14:paraId="3577FAAA" w14:textId="77777777" w:rsidR="00246378" w:rsidRPr="00AC42C7" w:rsidRDefault="00246378" w:rsidP="009F1C88">
            <w:pPr>
              <w:bidi/>
              <w:spacing w:after="0" w:line="240" w:lineRule="auto"/>
              <w:jc w:val="center"/>
              <w:rPr>
                <w:rFonts w:ascii="Arial" w:eastAsia="Times New Roman" w:hAnsi="Arial" w:cs="Arial"/>
                <w:b/>
                <w:bCs/>
                <w:color w:val="000000"/>
                <w:kern w:val="0"/>
                <w:sz w:val="20"/>
                <w:szCs w:val="20"/>
                <w14:ligatures w14:val="none"/>
              </w:rPr>
            </w:pPr>
            <w:r w:rsidRPr="00AC42C7">
              <w:rPr>
                <w:rFonts w:ascii="Arial" w:eastAsia="Times New Roman" w:hAnsi="Arial" w:cs="Arial"/>
                <w:b/>
                <w:bCs/>
                <w:color w:val="000000"/>
                <w:kern w:val="0"/>
                <w:sz w:val="20"/>
                <w:szCs w:val="20"/>
                <w:rtl/>
                <w14:ligatures w14:val="none"/>
              </w:rPr>
              <w:t>معيار القبول / ملاحظة</w:t>
            </w:r>
          </w:p>
        </w:tc>
        <w:tc>
          <w:tcPr>
            <w:tcW w:w="314" w:type="pct"/>
            <w:tcBorders>
              <w:top w:val="nil"/>
              <w:left w:val="single" w:sz="4" w:space="0" w:color="auto"/>
              <w:bottom w:val="single" w:sz="8" w:space="0" w:color="auto"/>
              <w:right w:val="single" w:sz="4" w:space="0" w:color="auto"/>
            </w:tcBorders>
            <w:vAlign w:val="center"/>
            <w:hideMark/>
          </w:tcPr>
          <w:p w14:paraId="56D8272B" w14:textId="77777777" w:rsidR="00246378" w:rsidRPr="00AC42C7" w:rsidRDefault="00246378" w:rsidP="009F1C88">
            <w:pPr>
              <w:bidi/>
              <w:spacing w:after="0" w:line="240" w:lineRule="auto"/>
              <w:jc w:val="center"/>
              <w:rPr>
                <w:rFonts w:ascii="Arial" w:eastAsia="Times New Roman" w:hAnsi="Arial" w:cs="Arial"/>
                <w:color w:val="000000"/>
                <w:kern w:val="0"/>
                <w:sz w:val="20"/>
                <w:szCs w:val="20"/>
                <w:rtl/>
                <w14:ligatures w14:val="none"/>
              </w:rPr>
            </w:pPr>
            <w:r w:rsidRPr="00AC42C7">
              <w:rPr>
                <w:rFonts w:ascii="Arial" w:eastAsia="Times New Roman" w:hAnsi="Arial" w:cs="Arial"/>
                <w:color w:val="000000"/>
                <w:kern w:val="0"/>
                <w:sz w:val="20"/>
                <w:szCs w:val="20"/>
                <w:rtl/>
                <w14:ligatures w14:val="none"/>
              </w:rPr>
              <w:t>ممتاز (&lt; 2 مشجّع؛ &lt; 3 مقبول)</w:t>
            </w:r>
          </w:p>
        </w:tc>
        <w:tc>
          <w:tcPr>
            <w:tcW w:w="303" w:type="pct"/>
            <w:tcBorders>
              <w:top w:val="nil"/>
              <w:left w:val="single" w:sz="4" w:space="0" w:color="auto"/>
              <w:bottom w:val="single" w:sz="8" w:space="0" w:color="auto"/>
              <w:right w:val="single" w:sz="4" w:space="0" w:color="auto"/>
            </w:tcBorders>
            <w:vAlign w:val="center"/>
            <w:hideMark/>
          </w:tcPr>
          <w:p w14:paraId="3D638D8A" w14:textId="77777777" w:rsidR="00246378" w:rsidRPr="00AC42C7" w:rsidRDefault="00246378" w:rsidP="009F1C88">
            <w:pPr>
              <w:bidi/>
              <w:spacing w:after="0" w:line="240" w:lineRule="auto"/>
              <w:jc w:val="center"/>
              <w:rPr>
                <w:rFonts w:ascii="Arial" w:eastAsia="Times New Roman" w:hAnsi="Arial" w:cs="Arial"/>
                <w:color w:val="000000"/>
                <w:kern w:val="0"/>
                <w:sz w:val="20"/>
                <w:szCs w:val="20"/>
                <w:rtl/>
                <w14:ligatures w14:val="none"/>
              </w:rPr>
            </w:pPr>
            <w:r w:rsidRPr="00AC42C7">
              <w:rPr>
                <w:rFonts w:ascii="Arial" w:eastAsia="Times New Roman" w:hAnsi="Arial" w:cs="Arial"/>
                <w:color w:val="000000"/>
                <w:kern w:val="0"/>
                <w:sz w:val="20"/>
                <w:szCs w:val="20"/>
                <w:rtl/>
                <w14:ligatures w14:val="none"/>
              </w:rPr>
              <w:t>ممتاز (≥ 0.95)</w:t>
            </w:r>
          </w:p>
        </w:tc>
        <w:tc>
          <w:tcPr>
            <w:tcW w:w="345" w:type="pct"/>
            <w:tcBorders>
              <w:top w:val="nil"/>
              <w:left w:val="single" w:sz="4" w:space="0" w:color="auto"/>
              <w:bottom w:val="single" w:sz="8" w:space="0" w:color="auto"/>
              <w:right w:val="single" w:sz="4" w:space="0" w:color="auto"/>
            </w:tcBorders>
            <w:vAlign w:val="center"/>
            <w:hideMark/>
          </w:tcPr>
          <w:p w14:paraId="2F39B6B5" w14:textId="77777777" w:rsidR="00246378" w:rsidRPr="00AC42C7" w:rsidRDefault="00246378" w:rsidP="009F1C88">
            <w:pPr>
              <w:bidi/>
              <w:spacing w:after="0" w:line="240" w:lineRule="auto"/>
              <w:jc w:val="center"/>
              <w:rPr>
                <w:rFonts w:ascii="Arial" w:eastAsia="Times New Roman" w:hAnsi="Arial" w:cs="Arial"/>
                <w:color w:val="000000"/>
                <w:kern w:val="0"/>
                <w:sz w:val="20"/>
                <w:szCs w:val="20"/>
                <w:rtl/>
                <w14:ligatures w14:val="none"/>
              </w:rPr>
            </w:pPr>
            <w:r w:rsidRPr="00AC42C7">
              <w:rPr>
                <w:rFonts w:ascii="Arial" w:eastAsia="Times New Roman" w:hAnsi="Arial" w:cs="Arial"/>
                <w:color w:val="000000"/>
                <w:kern w:val="0"/>
                <w:sz w:val="20"/>
                <w:szCs w:val="20"/>
                <w:rtl/>
                <w14:ligatures w14:val="none"/>
              </w:rPr>
              <w:t>ممتاز (≥ 0.95)</w:t>
            </w:r>
          </w:p>
        </w:tc>
        <w:tc>
          <w:tcPr>
            <w:tcW w:w="303" w:type="pct"/>
            <w:tcBorders>
              <w:top w:val="nil"/>
              <w:left w:val="single" w:sz="4" w:space="0" w:color="auto"/>
              <w:bottom w:val="single" w:sz="8" w:space="0" w:color="auto"/>
              <w:right w:val="single" w:sz="4" w:space="0" w:color="auto"/>
            </w:tcBorders>
            <w:vAlign w:val="center"/>
            <w:hideMark/>
          </w:tcPr>
          <w:p w14:paraId="542313D8" w14:textId="77777777" w:rsidR="00246378" w:rsidRPr="00AC42C7" w:rsidRDefault="00246378" w:rsidP="009F1C88">
            <w:pPr>
              <w:bidi/>
              <w:spacing w:after="0" w:line="240" w:lineRule="auto"/>
              <w:jc w:val="center"/>
              <w:rPr>
                <w:rFonts w:ascii="Arial" w:eastAsia="Times New Roman" w:hAnsi="Arial" w:cs="Arial"/>
                <w:color w:val="000000"/>
                <w:kern w:val="0"/>
                <w:sz w:val="20"/>
                <w:szCs w:val="20"/>
                <w:rtl/>
                <w14:ligatures w14:val="none"/>
              </w:rPr>
            </w:pPr>
            <w:r w:rsidRPr="00AC42C7">
              <w:rPr>
                <w:rFonts w:ascii="Arial" w:eastAsia="Times New Roman" w:hAnsi="Arial" w:cs="Arial"/>
                <w:color w:val="000000"/>
                <w:kern w:val="0"/>
                <w:sz w:val="20"/>
                <w:szCs w:val="20"/>
                <w:rtl/>
                <w14:ligatures w14:val="none"/>
              </w:rPr>
              <w:t>ممتاز</w:t>
            </w:r>
          </w:p>
        </w:tc>
        <w:tc>
          <w:tcPr>
            <w:tcW w:w="303" w:type="pct"/>
            <w:tcBorders>
              <w:top w:val="nil"/>
              <w:left w:val="single" w:sz="4" w:space="0" w:color="auto"/>
              <w:bottom w:val="single" w:sz="8" w:space="0" w:color="auto"/>
              <w:right w:val="single" w:sz="4" w:space="0" w:color="auto"/>
            </w:tcBorders>
            <w:vAlign w:val="center"/>
            <w:hideMark/>
          </w:tcPr>
          <w:p w14:paraId="60BD3A5B" w14:textId="77777777" w:rsidR="00246378" w:rsidRPr="00AC42C7" w:rsidRDefault="00246378" w:rsidP="009F1C88">
            <w:pPr>
              <w:bidi/>
              <w:spacing w:after="0" w:line="240" w:lineRule="auto"/>
              <w:jc w:val="center"/>
              <w:rPr>
                <w:rFonts w:ascii="Arial" w:eastAsia="Times New Roman" w:hAnsi="Arial" w:cs="Arial"/>
                <w:color w:val="000000"/>
                <w:kern w:val="0"/>
                <w:sz w:val="20"/>
                <w:szCs w:val="20"/>
                <w:rtl/>
                <w14:ligatures w14:val="none"/>
              </w:rPr>
            </w:pPr>
            <w:r w:rsidRPr="00AC42C7">
              <w:rPr>
                <w:rFonts w:ascii="Arial" w:eastAsia="Times New Roman" w:hAnsi="Arial" w:cs="Arial"/>
                <w:color w:val="000000"/>
                <w:kern w:val="0"/>
                <w:sz w:val="20"/>
                <w:szCs w:val="20"/>
                <w:rtl/>
                <w14:ligatures w14:val="none"/>
              </w:rPr>
              <w:t>جيد (≥ 0.90)</w:t>
            </w:r>
          </w:p>
        </w:tc>
        <w:tc>
          <w:tcPr>
            <w:tcW w:w="303" w:type="pct"/>
            <w:tcBorders>
              <w:top w:val="nil"/>
              <w:left w:val="single" w:sz="4" w:space="0" w:color="auto"/>
              <w:bottom w:val="single" w:sz="8" w:space="0" w:color="auto"/>
              <w:right w:val="single" w:sz="4" w:space="0" w:color="auto"/>
            </w:tcBorders>
            <w:vAlign w:val="center"/>
            <w:hideMark/>
          </w:tcPr>
          <w:p w14:paraId="56749CAF" w14:textId="77777777" w:rsidR="00246378" w:rsidRPr="00AC42C7" w:rsidRDefault="00246378" w:rsidP="009F1C88">
            <w:pPr>
              <w:bidi/>
              <w:spacing w:after="0" w:line="240" w:lineRule="auto"/>
              <w:jc w:val="center"/>
              <w:rPr>
                <w:rFonts w:ascii="Arial" w:eastAsia="Times New Roman" w:hAnsi="Arial" w:cs="Arial"/>
                <w:color w:val="000000"/>
                <w:kern w:val="0"/>
                <w:sz w:val="20"/>
                <w:szCs w:val="20"/>
                <w:rtl/>
                <w14:ligatures w14:val="none"/>
              </w:rPr>
            </w:pPr>
            <w:r w:rsidRPr="00AC42C7">
              <w:rPr>
                <w:rFonts w:ascii="Arial" w:eastAsia="Times New Roman" w:hAnsi="Arial" w:cs="Arial"/>
                <w:color w:val="000000"/>
                <w:kern w:val="0"/>
                <w:sz w:val="20"/>
                <w:szCs w:val="20"/>
                <w:rtl/>
                <w14:ligatures w14:val="none"/>
              </w:rPr>
              <w:t>جيد</w:t>
            </w:r>
          </w:p>
        </w:tc>
        <w:tc>
          <w:tcPr>
            <w:tcW w:w="500" w:type="pct"/>
            <w:tcBorders>
              <w:top w:val="nil"/>
              <w:left w:val="single" w:sz="4" w:space="0" w:color="auto"/>
              <w:bottom w:val="single" w:sz="8" w:space="0" w:color="auto"/>
              <w:right w:val="single" w:sz="4" w:space="0" w:color="auto"/>
            </w:tcBorders>
            <w:vAlign w:val="center"/>
            <w:hideMark/>
          </w:tcPr>
          <w:p w14:paraId="52ABC76E" w14:textId="77777777" w:rsidR="00246378" w:rsidRPr="00AC42C7" w:rsidRDefault="00246378" w:rsidP="009F1C88">
            <w:pPr>
              <w:bidi/>
              <w:spacing w:after="0" w:line="240" w:lineRule="auto"/>
              <w:jc w:val="center"/>
              <w:rPr>
                <w:rFonts w:ascii="Arial" w:eastAsia="Times New Roman" w:hAnsi="Arial" w:cs="Arial"/>
                <w:color w:val="000000"/>
                <w:kern w:val="0"/>
                <w:sz w:val="20"/>
                <w:szCs w:val="20"/>
                <w:rtl/>
                <w14:ligatures w14:val="none"/>
              </w:rPr>
            </w:pPr>
            <w:r w:rsidRPr="00AC42C7">
              <w:rPr>
                <w:rFonts w:ascii="Arial" w:eastAsia="Times New Roman" w:hAnsi="Arial" w:cs="Arial"/>
                <w:color w:val="000000"/>
                <w:kern w:val="0"/>
                <w:sz w:val="20"/>
                <w:szCs w:val="20"/>
                <w:rtl/>
                <w14:ligatures w14:val="none"/>
              </w:rPr>
              <w:t>ممتاز (≤ 0.05 ممتاز؛ ≤ 0.08 مقبول)</w:t>
            </w:r>
          </w:p>
        </w:tc>
        <w:tc>
          <w:tcPr>
            <w:tcW w:w="326" w:type="pct"/>
            <w:tcBorders>
              <w:top w:val="nil"/>
              <w:left w:val="single" w:sz="4" w:space="0" w:color="auto"/>
              <w:bottom w:val="single" w:sz="8" w:space="0" w:color="auto"/>
              <w:right w:val="single" w:sz="4" w:space="0" w:color="auto"/>
            </w:tcBorders>
            <w:vAlign w:val="center"/>
            <w:hideMark/>
          </w:tcPr>
          <w:p w14:paraId="230EA958" w14:textId="77777777" w:rsidR="00246378" w:rsidRPr="00AC42C7" w:rsidRDefault="00246378" w:rsidP="009F1C88">
            <w:pPr>
              <w:bidi/>
              <w:spacing w:after="0" w:line="240" w:lineRule="auto"/>
              <w:jc w:val="center"/>
              <w:rPr>
                <w:rFonts w:ascii="Arial" w:eastAsia="Times New Roman" w:hAnsi="Arial" w:cs="Arial"/>
                <w:color w:val="000000"/>
                <w:kern w:val="0"/>
                <w:sz w:val="20"/>
                <w:szCs w:val="20"/>
                <w:rtl/>
                <w14:ligatures w14:val="none"/>
              </w:rPr>
            </w:pPr>
            <w:r w:rsidRPr="00AC42C7">
              <w:rPr>
                <w:rFonts w:ascii="Arial" w:eastAsia="Times New Roman" w:hAnsi="Arial" w:cs="Arial"/>
                <w:color w:val="000000"/>
                <w:kern w:val="0"/>
                <w:sz w:val="20"/>
                <w:szCs w:val="20"/>
                <w:rtl/>
                <w14:ligatures w14:val="none"/>
              </w:rPr>
              <w:t xml:space="preserve">يدل أن </w:t>
            </w:r>
            <w:r w:rsidRPr="00AC42C7">
              <w:rPr>
                <w:rFonts w:ascii="Arial" w:eastAsia="Times New Roman" w:hAnsi="Arial" w:cs="Arial"/>
                <w:color w:val="000000"/>
                <w:kern w:val="0"/>
                <w:sz w:val="20"/>
                <w:szCs w:val="20"/>
                <w14:ligatures w14:val="none"/>
              </w:rPr>
              <w:t>RMSEA</w:t>
            </w:r>
            <w:r w:rsidRPr="00AC42C7">
              <w:rPr>
                <w:rFonts w:ascii="Arial" w:eastAsia="Times New Roman" w:hAnsi="Arial" w:cs="Arial"/>
                <w:color w:val="000000"/>
                <w:kern w:val="0"/>
                <w:sz w:val="20"/>
                <w:szCs w:val="20"/>
                <w:rtl/>
                <w14:ligatures w14:val="none"/>
              </w:rPr>
              <w:t xml:space="preserve"> غير دال عن اختلال ملموس</w:t>
            </w:r>
          </w:p>
        </w:tc>
        <w:tc>
          <w:tcPr>
            <w:tcW w:w="341" w:type="pct"/>
            <w:tcBorders>
              <w:top w:val="nil"/>
              <w:left w:val="single" w:sz="4" w:space="0" w:color="auto"/>
              <w:bottom w:val="single" w:sz="8" w:space="0" w:color="auto"/>
              <w:right w:val="single" w:sz="4" w:space="0" w:color="auto"/>
            </w:tcBorders>
            <w:vAlign w:val="center"/>
            <w:hideMark/>
          </w:tcPr>
          <w:p w14:paraId="04835B68" w14:textId="77777777" w:rsidR="00246378" w:rsidRPr="00AC42C7" w:rsidRDefault="00246378" w:rsidP="009F1C88">
            <w:pPr>
              <w:bidi/>
              <w:spacing w:after="0" w:line="240" w:lineRule="auto"/>
              <w:jc w:val="center"/>
              <w:rPr>
                <w:rFonts w:ascii="Arial" w:eastAsia="Times New Roman" w:hAnsi="Arial" w:cs="Arial"/>
                <w:color w:val="000000"/>
                <w:kern w:val="0"/>
                <w:sz w:val="20"/>
                <w:szCs w:val="20"/>
                <w:rtl/>
                <w14:ligatures w14:val="none"/>
              </w:rPr>
            </w:pPr>
            <w:r w:rsidRPr="00AC42C7">
              <w:rPr>
                <w:rFonts w:ascii="Arial" w:eastAsia="Times New Roman" w:hAnsi="Arial" w:cs="Arial"/>
                <w:color w:val="000000"/>
                <w:kern w:val="0"/>
                <w:sz w:val="20"/>
                <w:szCs w:val="20"/>
                <w:rtl/>
                <w14:ligatures w14:val="none"/>
              </w:rPr>
              <w:t>منخفض (أفضل أقرب إلى 0)</w:t>
            </w:r>
          </w:p>
        </w:tc>
        <w:tc>
          <w:tcPr>
            <w:tcW w:w="465" w:type="pct"/>
            <w:tcBorders>
              <w:top w:val="nil"/>
              <w:left w:val="single" w:sz="4" w:space="0" w:color="auto"/>
              <w:bottom w:val="single" w:sz="8" w:space="0" w:color="auto"/>
              <w:right w:val="single" w:sz="4" w:space="0" w:color="auto"/>
            </w:tcBorders>
            <w:vAlign w:val="center"/>
            <w:hideMark/>
          </w:tcPr>
          <w:p w14:paraId="3E564E5E" w14:textId="77777777" w:rsidR="00246378" w:rsidRPr="00AC42C7" w:rsidRDefault="00246378" w:rsidP="009F1C88">
            <w:pPr>
              <w:bidi/>
              <w:spacing w:after="0" w:line="240" w:lineRule="auto"/>
              <w:jc w:val="center"/>
              <w:rPr>
                <w:rFonts w:ascii="Arial" w:eastAsia="Times New Roman" w:hAnsi="Arial" w:cs="Arial"/>
                <w:color w:val="000000"/>
                <w:kern w:val="0"/>
                <w:sz w:val="20"/>
                <w:szCs w:val="20"/>
                <w:rtl/>
                <w14:ligatures w14:val="none"/>
              </w:rPr>
            </w:pPr>
            <w:r w:rsidRPr="00AC42C7">
              <w:rPr>
                <w:rFonts w:ascii="Arial" w:eastAsia="Times New Roman" w:hAnsi="Arial" w:cs="Arial"/>
                <w:color w:val="000000"/>
                <w:kern w:val="0"/>
                <w:sz w:val="20"/>
                <w:szCs w:val="20"/>
                <w:rtl/>
                <w14:ligatures w14:val="none"/>
              </w:rPr>
              <w:t>قريب من الحد المقبول (≥ 0.90 يُفضّل)</w:t>
            </w:r>
          </w:p>
        </w:tc>
        <w:tc>
          <w:tcPr>
            <w:tcW w:w="288" w:type="pct"/>
            <w:tcBorders>
              <w:top w:val="nil"/>
              <w:left w:val="single" w:sz="4" w:space="0" w:color="auto"/>
              <w:bottom w:val="single" w:sz="8" w:space="0" w:color="auto"/>
              <w:right w:val="single" w:sz="4" w:space="0" w:color="auto"/>
            </w:tcBorders>
            <w:vAlign w:val="center"/>
            <w:hideMark/>
          </w:tcPr>
          <w:p w14:paraId="10093EB9" w14:textId="77777777" w:rsidR="00246378" w:rsidRPr="00AC42C7" w:rsidRDefault="00246378" w:rsidP="009F1C88">
            <w:pPr>
              <w:bidi/>
              <w:spacing w:after="0" w:line="240" w:lineRule="auto"/>
              <w:jc w:val="center"/>
              <w:rPr>
                <w:rFonts w:ascii="Arial" w:eastAsia="Times New Roman" w:hAnsi="Arial" w:cs="Arial"/>
                <w:color w:val="000000"/>
                <w:kern w:val="0"/>
                <w:sz w:val="20"/>
                <w:szCs w:val="20"/>
                <w:rtl/>
                <w14:ligatures w14:val="none"/>
              </w:rPr>
            </w:pPr>
            <w:r w:rsidRPr="00AC42C7">
              <w:rPr>
                <w:rFonts w:ascii="Arial" w:eastAsia="Times New Roman" w:hAnsi="Arial" w:cs="Arial"/>
                <w:color w:val="000000"/>
                <w:kern w:val="0"/>
                <w:sz w:val="20"/>
                <w:szCs w:val="20"/>
                <w:rtl/>
                <w14:ligatures w14:val="none"/>
              </w:rPr>
              <w:t>قريب من الحد المقبول</w:t>
            </w:r>
          </w:p>
        </w:tc>
        <w:tc>
          <w:tcPr>
            <w:tcW w:w="460" w:type="pct"/>
            <w:tcBorders>
              <w:top w:val="nil"/>
              <w:left w:val="single" w:sz="4" w:space="0" w:color="auto"/>
              <w:bottom w:val="single" w:sz="8" w:space="0" w:color="auto"/>
              <w:right w:val="single" w:sz="4" w:space="0" w:color="auto"/>
            </w:tcBorders>
            <w:vAlign w:val="center"/>
            <w:hideMark/>
          </w:tcPr>
          <w:p w14:paraId="4DB7F920" w14:textId="77777777" w:rsidR="00246378" w:rsidRPr="00AC42C7" w:rsidRDefault="00246378" w:rsidP="009F1C88">
            <w:pPr>
              <w:bidi/>
              <w:spacing w:after="0" w:line="240" w:lineRule="auto"/>
              <w:jc w:val="center"/>
              <w:rPr>
                <w:rFonts w:ascii="Arial" w:eastAsia="Times New Roman" w:hAnsi="Arial" w:cs="Arial"/>
                <w:color w:val="000000"/>
                <w:kern w:val="0"/>
                <w:sz w:val="20"/>
                <w:szCs w:val="20"/>
                <w:rtl/>
                <w14:ligatures w14:val="none"/>
              </w:rPr>
            </w:pPr>
            <w:r w:rsidRPr="00AC42C7">
              <w:rPr>
                <w:rFonts w:ascii="Arial" w:eastAsia="Times New Roman" w:hAnsi="Arial" w:cs="Arial"/>
                <w:color w:val="000000"/>
                <w:kern w:val="0"/>
                <w:sz w:val="20"/>
                <w:szCs w:val="20"/>
                <w:rtl/>
                <w14:ligatures w14:val="none"/>
              </w:rPr>
              <w:t>للمقارنات النموذجية</w:t>
            </w:r>
          </w:p>
        </w:tc>
        <w:tc>
          <w:tcPr>
            <w:tcW w:w="454" w:type="pct"/>
            <w:tcBorders>
              <w:top w:val="nil"/>
              <w:left w:val="single" w:sz="4" w:space="0" w:color="auto"/>
              <w:bottom w:val="single" w:sz="8" w:space="0" w:color="auto"/>
              <w:right w:val="single" w:sz="8" w:space="0" w:color="auto"/>
            </w:tcBorders>
            <w:vAlign w:val="center"/>
            <w:hideMark/>
          </w:tcPr>
          <w:p w14:paraId="25DD2A20" w14:textId="77777777" w:rsidR="00246378" w:rsidRPr="00AC42C7" w:rsidRDefault="00246378" w:rsidP="009F1C88">
            <w:pPr>
              <w:bidi/>
              <w:spacing w:after="0" w:line="240" w:lineRule="auto"/>
              <w:jc w:val="center"/>
              <w:rPr>
                <w:rFonts w:ascii="Arial" w:eastAsia="Times New Roman" w:hAnsi="Arial" w:cs="Arial"/>
                <w:color w:val="000000"/>
                <w:kern w:val="0"/>
                <w:sz w:val="20"/>
                <w:szCs w:val="20"/>
                <w:rtl/>
                <w14:ligatures w14:val="none"/>
              </w:rPr>
            </w:pPr>
            <w:r w:rsidRPr="00AC42C7">
              <w:rPr>
                <w:rFonts w:ascii="Arial" w:eastAsia="Times New Roman" w:hAnsi="Arial" w:cs="Arial"/>
                <w:color w:val="000000"/>
                <w:kern w:val="0"/>
                <w:sz w:val="20"/>
                <w:szCs w:val="20"/>
                <w:rtl/>
                <w14:ligatures w14:val="none"/>
              </w:rPr>
              <w:t>دلالة على حجم عينة كافٍ للمطابقة</w:t>
            </w:r>
          </w:p>
        </w:tc>
      </w:tr>
    </w:tbl>
    <w:p w14:paraId="663DA274" w14:textId="77777777" w:rsidR="00246378" w:rsidRDefault="00246378" w:rsidP="00246378">
      <w:pPr>
        <w:bidi/>
        <w:rPr>
          <w:rtl/>
        </w:rPr>
      </w:pPr>
    </w:p>
    <w:p w14:paraId="034F0650" w14:textId="239FFACE" w:rsidR="00FB0B52" w:rsidRPr="001F2C0F" w:rsidRDefault="00246378" w:rsidP="001F2C0F">
      <w:pPr>
        <w:bidi/>
        <w:rPr>
          <w:lang w:val="en-GB" w:bidi="ar-EG"/>
        </w:rPr>
      </w:pPr>
      <w:r w:rsidRPr="00AC42C7">
        <w:rPr>
          <w:rtl/>
        </w:rPr>
        <w:t>أظهرت نتائج مؤشرات جودة المطابقة أن النموذج يتمتع بدرجة ملاءمة مرتفعة للبيانات. فقد بلغت قيمة مربع كاي المعدل على درجات الحرية</w:t>
      </w:r>
      <w:r w:rsidRPr="00AC42C7">
        <w:rPr>
          <w:lang w:bidi="ar-EG"/>
        </w:rPr>
        <w:t xml:space="preserve"> (χ²/</w:t>
      </w:r>
      <w:proofErr w:type="spellStart"/>
      <w:r w:rsidRPr="00AC42C7">
        <w:rPr>
          <w:lang w:bidi="ar-EG"/>
        </w:rPr>
        <w:t>df</w:t>
      </w:r>
      <w:proofErr w:type="spellEnd"/>
      <w:r w:rsidRPr="00AC42C7">
        <w:rPr>
          <w:lang w:bidi="ar-EG"/>
        </w:rPr>
        <w:t>) (1.406)</w:t>
      </w:r>
      <w:r w:rsidRPr="00AC42C7">
        <w:rPr>
          <w:rtl/>
        </w:rPr>
        <w:t>، وهي أقل من الحد المقبول (3)، مما يدل على توافق جيد بين النموذج والبيانات. كما بلغت قيمة مؤشر المطابقة المقارن</w:t>
      </w:r>
      <w:r w:rsidRPr="00AC42C7">
        <w:rPr>
          <w:lang w:bidi="ar-EG"/>
        </w:rPr>
        <w:t xml:space="preserve"> (CFI = 0.975) </w:t>
      </w:r>
      <w:r w:rsidRPr="00AC42C7">
        <w:rPr>
          <w:rtl/>
        </w:rPr>
        <w:t>ومؤشر تاكر-لويس</w:t>
      </w:r>
      <w:r>
        <w:rPr>
          <w:rFonts w:hint="cs"/>
          <w:rtl/>
          <w:lang w:bidi="ar-EG"/>
        </w:rPr>
        <w:t xml:space="preserve"> </w:t>
      </w:r>
      <w:r w:rsidRPr="00AC42C7">
        <w:rPr>
          <w:lang w:bidi="ar-EG"/>
        </w:rPr>
        <w:t>(TLI = 0.973)</w:t>
      </w:r>
      <w:r w:rsidRPr="00AC42C7">
        <w:rPr>
          <w:rtl/>
        </w:rPr>
        <w:t>، وهما يتجاوزان الحد المعياري المقبول (0.95)، مما يشير إلى جودة مطابقة ممتازة. كذلك جاءت قيمة جذر متوسط مربع الخطأ التقريبي</w:t>
      </w:r>
      <w:r w:rsidRPr="00AC42C7">
        <w:rPr>
          <w:lang w:bidi="ar-EG"/>
        </w:rPr>
        <w:t xml:space="preserve"> </w:t>
      </w:r>
      <w:r>
        <w:rPr>
          <w:rFonts w:hint="cs"/>
          <w:rtl/>
          <w:lang w:bidi="ar-EG"/>
        </w:rPr>
        <w:t>(</w:t>
      </w:r>
      <w:r w:rsidRPr="00AC42C7">
        <w:rPr>
          <w:lang w:bidi="ar-EG"/>
        </w:rPr>
        <w:t>RMSEA = 0.032</w:t>
      </w:r>
      <w:r>
        <w:rPr>
          <w:rFonts w:hint="cs"/>
          <w:rtl/>
          <w:lang w:bidi="ar-EG"/>
        </w:rPr>
        <w:t>)</w:t>
      </w:r>
      <w:r w:rsidRPr="00AC42C7">
        <w:rPr>
          <w:lang w:bidi="ar-EG"/>
        </w:rPr>
        <w:t xml:space="preserve"> </w:t>
      </w:r>
      <w:r w:rsidRPr="00AC42C7">
        <w:rPr>
          <w:rtl/>
        </w:rPr>
        <w:t>ضمن النطاق المثالي (≤ 0.05)، مع فترة ثقة 90% تراوحت بين (0.027 – 0.037)، بالإضافة إلى قيمة</w:t>
      </w:r>
      <w:r w:rsidRPr="00AC42C7">
        <w:rPr>
          <w:lang w:bidi="ar-EG"/>
        </w:rPr>
        <w:t xml:space="preserve"> PCLOSE </w:t>
      </w:r>
      <w:r w:rsidRPr="00AC42C7">
        <w:rPr>
          <w:rtl/>
        </w:rPr>
        <w:t>البالغة (1.000)، مما يعزز فرضية الملاءمة الجيدة للنموذج. أما مؤشر</w:t>
      </w:r>
      <w:r w:rsidRPr="00AC42C7">
        <w:rPr>
          <w:lang w:bidi="ar-EG"/>
        </w:rPr>
        <w:t xml:space="preserve"> GFI </w:t>
      </w:r>
      <w:r w:rsidRPr="00AC42C7">
        <w:rPr>
          <w:rtl/>
        </w:rPr>
        <w:t>فقد بلغ (0.892) وهو قريب من الحد المعياري (0.90)، ويمكن تفسيره في ضوء عدد المؤشرات الكبير داخل النموذج</w:t>
      </w:r>
      <w:r w:rsidRPr="00AC42C7">
        <w:rPr>
          <w:lang w:bidi="ar-EG"/>
        </w:rPr>
        <w:t>.</w:t>
      </w:r>
      <w:r>
        <w:rPr>
          <w:rFonts w:hint="cs"/>
          <w:rtl/>
          <w:lang w:bidi="ar-EG"/>
        </w:rPr>
        <w:t xml:space="preserve"> </w:t>
      </w:r>
      <w:r w:rsidRPr="00AC42C7">
        <w:rPr>
          <w:rtl/>
        </w:rPr>
        <w:t>بناءً على هذه القيم، يمكن الاستنتاج أن نموذج القياس المقترح يحقق مستوى ملاءمة إحصائية جيد جداً للبيانات الميدانية</w:t>
      </w:r>
      <w:r w:rsidRPr="00AC42C7">
        <w:rPr>
          <w:lang w:bidi="ar-EG"/>
        </w:rPr>
        <w:t>.</w:t>
      </w:r>
    </w:p>
    <w:p w14:paraId="4FA7E558" w14:textId="3DC6B4A5" w:rsidR="00FB0B52" w:rsidRDefault="00FB0B52" w:rsidP="00FB0B52">
      <w:pPr>
        <w:bidi/>
        <w:rPr>
          <w:rtl/>
          <w:lang w:val="en-GB" w:bidi="ar-EG"/>
        </w:rPr>
      </w:pPr>
      <w:r>
        <w:rPr>
          <w:rFonts w:hint="cs"/>
          <w:rtl/>
          <w:lang w:val="en-GB" w:bidi="ar-EG"/>
        </w:rPr>
        <w:t>الجدول (3-10) يوضح نتائج مسارات التحليل العامل التوكيدي لعبارات مقاييس ابعاد الاداء التنظيمي:</w:t>
      </w:r>
    </w:p>
    <w:tbl>
      <w:tblPr>
        <w:bidiVisual/>
        <w:tblW w:w="8736" w:type="dxa"/>
        <w:tblLook w:val="04A0" w:firstRow="1" w:lastRow="0" w:firstColumn="1" w:lastColumn="0" w:noHBand="0" w:noVBand="1"/>
      </w:tblPr>
      <w:tblGrid>
        <w:gridCol w:w="5481"/>
        <w:gridCol w:w="1843"/>
        <w:gridCol w:w="1412"/>
      </w:tblGrid>
      <w:tr w:rsidR="00FB0B52" w:rsidRPr="00FB0B52" w14:paraId="38B06399" w14:textId="77777777" w:rsidTr="00FB0B52">
        <w:trPr>
          <w:trHeight w:val="288"/>
        </w:trPr>
        <w:tc>
          <w:tcPr>
            <w:tcW w:w="5481" w:type="dxa"/>
            <w:tcBorders>
              <w:top w:val="single" w:sz="4" w:space="0" w:color="auto"/>
              <w:left w:val="single" w:sz="4" w:space="0" w:color="auto"/>
              <w:bottom w:val="single" w:sz="4" w:space="0" w:color="auto"/>
              <w:right w:val="single" w:sz="4" w:space="0" w:color="auto"/>
            </w:tcBorders>
            <w:vAlign w:val="center"/>
            <w:hideMark/>
          </w:tcPr>
          <w:p w14:paraId="00770B49" w14:textId="77777777" w:rsidR="00FB0B52" w:rsidRPr="00FB0B52" w:rsidRDefault="00FB0B52" w:rsidP="00FB0B52">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العبارات</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1F8A1A5" w14:textId="77777777" w:rsidR="00FB0B52" w:rsidRPr="00FB0B52" w:rsidRDefault="00FB0B52" w:rsidP="00FB0B52">
            <w:pPr>
              <w:bidi/>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أنظمة العمل عالية الأداء</w:t>
            </w:r>
          </w:p>
        </w:tc>
        <w:tc>
          <w:tcPr>
            <w:tcW w:w="1412" w:type="dxa"/>
            <w:tcBorders>
              <w:top w:val="single" w:sz="4" w:space="0" w:color="auto"/>
              <w:left w:val="single" w:sz="4" w:space="0" w:color="auto"/>
              <w:bottom w:val="single" w:sz="4" w:space="0" w:color="auto"/>
              <w:right w:val="single" w:sz="4" w:space="0" w:color="auto"/>
            </w:tcBorders>
            <w:vAlign w:val="center"/>
            <w:hideMark/>
          </w:tcPr>
          <w:p w14:paraId="6A5E24A3" w14:textId="77777777" w:rsidR="00FB0B52" w:rsidRPr="00FB0B52" w:rsidRDefault="00FB0B52" w:rsidP="00FB0B52">
            <w:pPr>
              <w:bidi/>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الأداء الإبداعي</w:t>
            </w:r>
          </w:p>
        </w:tc>
      </w:tr>
      <w:tr w:rsidR="00FB0B52" w:rsidRPr="00FB0B52" w14:paraId="09512F32" w14:textId="77777777" w:rsidTr="00FB0B52">
        <w:trPr>
          <w:trHeight w:val="576"/>
        </w:trPr>
        <w:tc>
          <w:tcPr>
            <w:tcW w:w="5481" w:type="dxa"/>
            <w:tcBorders>
              <w:top w:val="nil"/>
              <w:left w:val="single" w:sz="4" w:space="0" w:color="auto"/>
              <w:bottom w:val="single" w:sz="4" w:space="0" w:color="auto"/>
              <w:right w:val="single" w:sz="4" w:space="0" w:color="auto"/>
            </w:tcBorders>
            <w:vAlign w:val="center"/>
            <w:hideMark/>
          </w:tcPr>
          <w:p w14:paraId="61E9AB03"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1. اختيار الموظفين بناءً على معايير دقيقة تتوافق مع متطلبات الوظيفة</w:t>
            </w:r>
          </w:p>
        </w:tc>
        <w:tc>
          <w:tcPr>
            <w:tcW w:w="1843" w:type="dxa"/>
            <w:tcBorders>
              <w:top w:val="nil"/>
              <w:left w:val="single" w:sz="4" w:space="0" w:color="auto"/>
              <w:bottom w:val="single" w:sz="4" w:space="0" w:color="auto"/>
              <w:right w:val="single" w:sz="4" w:space="0" w:color="auto"/>
            </w:tcBorders>
            <w:vAlign w:val="center"/>
            <w:hideMark/>
          </w:tcPr>
          <w:p w14:paraId="5C528866"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0.739</w:t>
            </w:r>
          </w:p>
        </w:tc>
        <w:tc>
          <w:tcPr>
            <w:tcW w:w="1412" w:type="dxa"/>
            <w:tcBorders>
              <w:top w:val="nil"/>
              <w:left w:val="single" w:sz="4" w:space="0" w:color="auto"/>
              <w:bottom w:val="single" w:sz="4" w:space="0" w:color="auto"/>
              <w:right w:val="single" w:sz="4" w:space="0" w:color="auto"/>
            </w:tcBorders>
            <w:vAlign w:val="center"/>
            <w:hideMark/>
          </w:tcPr>
          <w:p w14:paraId="6547A9FD"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15042D2F" w14:textId="77777777" w:rsidTr="00FB0B52">
        <w:trPr>
          <w:trHeight w:val="132"/>
        </w:trPr>
        <w:tc>
          <w:tcPr>
            <w:tcW w:w="5481" w:type="dxa"/>
            <w:tcBorders>
              <w:top w:val="nil"/>
              <w:left w:val="single" w:sz="4" w:space="0" w:color="auto"/>
              <w:bottom w:val="single" w:sz="4" w:space="0" w:color="auto"/>
              <w:right w:val="single" w:sz="4" w:space="0" w:color="auto"/>
            </w:tcBorders>
            <w:vAlign w:val="center"/>
            <w:hideMark/>
          </w:tcPr>
          <w:p w14:paraId="0A8C544E"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3. يتم التركيز على مهارات الإبداع والابتكار عند اختيار الموظفين الجدد.</w:t>
            </w:r>
          </w:p>
        </w:tc>
        <w:tc>
          <w:tcPr>
            <w:tcW w:w="1843" w:type="dxa"/>
            <w:tcBorders>
              <w:top w:val="nil"/>
              <w:left w:val="single" w:sz="4" w:space="0" w:color="auto"/>
              <w:bottom w:val="single" w:sz="4" w:space="0" w:color="auto"/>
              <w:right w:val="single" w:sz="4" w:space="0" w:color="auto"/>
            </w:tcBorders>
            <w:vAlign w:val="center"/>
            <w:hideMark/>
          </w:tcPr>
          <w:p w14:paraId="448ADE39"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0.777</w:t>
            </w:r>
          </w:p>
        </w:tc>
        <w:tc>
          <w:tcPr>
            <w:tcW w:w="1412" w:type="dxa"/>
            <w:tcBorders>
              <w:top w:val="nil"/>
              <w:left w:val="single" w:sz="4" w:space="0" w:color="auto"/>
              <w:bottom w:val="single" w:sz="4" w:space="0" w:color="auto"/>
              <w:right w:val="single" w:sz="4" w:space="0" w:color="auto"/>
            </w:tcBorders>
            <w:vAlign w:val="center"/>
            <w:hideMark/>
          </w:tcPr>
          <w:p w14:paraId="1E7BF8CA"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5E6C97C9" w14:textId="77777777" w:rsidTr="00FB0B52">
        <w:trPr>
          <w:trHeight w:val="292"/>
        </w:trPr>
        <w:tc>
          <w:tcPr>
            <w:tcW w:w="5481" w:type="dxa"/>
            <w:tcBorders>
              <w:top w:val="nil"/>
              <w:left w:val="single" w:sz="4" w:space="0" w:color="auto"/>
              <w:bottom w:val="single" w:sz="4" w:space="0" w:color="auto"/>
              <w:right w:val="single" w:sz="4" w:space="0" w:color="auto"/>
            </w:tcBorders>
            <w:vAlign w:val="center"/>
            <w:hideMark/>
          </w:tcPr>
          <w:p w14:paraId="5C4628B5"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4. تشارك الإدارة العليا في قرارات التعيين لضمان جودة الاختيار.</w:t>
            </w:r>
          </w:p>
        </w:tc>
        <w:tc>
          <w:tcPr>
            <w:tcW w:w="1843" w:type="dxa"/>
            <w:tcBorders>
              <w:top w:val="nil"/>
              <w:left w:val="single" w:sz="4" w:space="0" w:color="auto"/>
              <w:bottom w:val="single" w:sz="4" w:space="0" w:color="auto"/>
              <w:right w:val="single" w:sz="4" w:space="0" w:color="auto"/>
            </w:tcBorders>
            <w:vAlign w:val="center"/>
            <w:hideMark/>
          </w:tcPr>
          <w:p w14:paraId="0A949048"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0.786</w:t>
            </w:r>
          </w:p>
        </w:tc>
        <w:tc>
          <w:tcPr>
            <w:tcW w:w="1412" w:type="dxa"/>
            <w:tcBorders>
              <w:top w:val="nil"/>
              <w:left w:val="single" w:sz="4" w:space="0" w:color="auto"/>
              <w:bottom w:val="single" w:sz="4" w:space="0" w:color="auto"/>
              <w:right w:val="single" w:sz="4" w:space="0" w:color="auto"/>
            </w:tcBorders>
            <w:vAlign w:val="center"/>
            <w:hideMark/>
          </w:tcPr>
          <w:p w14:paraId="006FDC8C"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758F97A2" w14:textId="77777777" w:rsidTr="00FB0B52">
        <w:trPr>
          <w:trHeight w:val="126"/>
        </w:trPr>
        <w:tc>
          <w:tcPr>
            <w:tcW w:w="5481" w:type="dxa"/>
            <w:tcBorders>
              <w:top w:val="nil"/>
              <w:left w:val="single" w:sz="4" w:space="0" w:color="auto"/>
              <w:bottom w:val="single" w:sz="4" w:space="0" w:color="auto"/>
              <w:right w:val="single" w:sz="4" w:space="0" w:color="auto"/>
            </w:tcBorders>
            <w:vAlign w:val="center"/>
            <w:hideMark/>
          </w:tcPr>
          <w:p w14:paraId="0707EB51"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5. توفر المنظمة برامج تدريب منتظمة لتحسين مهارات الموظفين.</w:t>
            </w:r>
          </w:p>
        </w:tc>
        <w:tc>
          <w:tcPr>
            <w:tcW w:w="1843" w:type="dxa"/>
            <w:tcBorders>
              <w:top w:val="nil"/>
              <w:left w:val="single" w:sz="4" w:space="0" w:color="auto"/>
              <w:bottom w:val="single" w:sz="4" w:space="0" w:color="auto"/>
              <w:right w:val="single" w:sz="4" w:space="0" w:color="auto"/>
            </w:tcBorders>
            <w:vAlign w:val="center"/>
            <w:hideMark/>
          </w:tcPr>
          <w:p w14:paraId="55DB3394"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0.758</w:t>
            </w:r>
          </w:p>
        </w:tc>
        <w:tc>
          <w:tcPr>
            <w:tcW w:w="1412" w:type="dxa"/>
            <w:tcBorders>
              <w:top w:val="nil"/>
              <w:left w:val="single" w:sz="4" w:space="0" w:color="auto"/>
              <w:bottom w:val="single" w:sz="4" w:space="0" w:color="auto"/>
              <w:right w:val="single" w:sz="4" w:space="0" w:color="auto"/>
            </w:tcBorders>
            <w:vAlign w:val="center"/>
            <w:hideMark/>
          </w:tcPr>
          <w:p w14:paraId="55569499"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45CD20E8" w14:textId="77777777" w:rsidTr="00FB0B52">
        <w:trPr>
          <w:trHeight w:val="272"/>
        </w:trPr>
        <w:tc>
          <w:tcPr>
            <w:tcW w:w="5481" w:type="dxa"/>
            <w:tcBorders>
              <w:top w:val="nil"/>
              <w:left w:val="single" w:sz="4" w:space="0" w:color="auto"/>
              <w:bottom w:val="single" w:sz="4" w:space="0" w:color="auto"/>
              <w:right w:val="single" w:sz="4" w:space="0" w:color="auto"/>
            </w:tcBorders>
            <w:vAlign w:val="center"/>
            <w:hideMark/>
          </w:tcPr>
          <w:p w14:paraId="20B90AD4"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lastRenderedPageBreak/>
              <w:t>6. يتم ربط التدريب بأهداف العمل ومتطلبات التطوير المستقبلية.</w:t>
            </w:r>
          </w:p>
        </w:tc>
        <w:tc>
          <w:tcPr>
            <w:tcW w:w="1843" w:type="dxa"/>
            <w:tcBorders>
              <w:top w:val="nil"/>
              <w:left w:val="single" w:sz="4" w:space="0" w:color="auto"/>
              <w:bottom w:val="single" w:sz="4" w:space="0" w:color="auto"/>
              <w:right w:val="single" w:sz="4" w:space="0" w:color="auto"/>
            </w:tcBorders>
            <w:vAlign w:val="center"/>
            <w:hideMark/>
          </w:tcPr>
          <w:p w14:paraId="75E12CEC"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0.702</w:t>
            </w:r>
          </w:p>
        </w:tc>
        <w:tc>
          <w:tcPr>
            <w:tcW w:w="1412" w:type="dxa"/>
            <w:tcBorders>
              <w:top w:val="nil"/>
              <w:left w:val="single" w:sz="4" w:space="0" w:color="auto"/>
              <w:bottom w:val="single" w:sz="4" w:space="0" w:color="auto"/>
              <w:right w:val="single" w:sz="4" w:space="0" w:color="auto"/>
            </w:tcBorders>
            <w:vAlign w:val="center"/>
            <w:hideMark/>
          </w:tcPr>
          <w:p w14:paraId="5A8545A1"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05BBA48D" w14:textId="77777777" w:rsidTr="00FB0B52">
        <w:trPr>
          <w:trHeight w:val="276"/>
        </w:trPr>
        <w:tc>
          <w:tcPr>
            <w:tcW w:w="5481" w:type="dxa"/>
            <w:tcBorders>
              <w:top w:val="nil"/>
              <w:left w:val="single" w:sz="4" w:space="0" w:color="auto"/>
              <w:bottom w:val="single" w:sz="4" w:space="0" w:color="auto"/>
              <w:right w:val="single" w:sz="4" w:space="0" w:color="auto"/>
            </w:tcBorders>
            <w:vAlign w:val="center"/>
            <w:hideMark/>
          </w:tcPr>
          <w:p w14:paraId="697441F0"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7. يتم تشجيع الموظفين على حضور الدورات الداخلية والخارجية.</w:t>
            </w:r>
          </w:p>
        </w:tc>
        <w:tc>
          <w:tcPr>
            <w:tcW w:w="1843" w:type="dxa"/>
            <w:tcBorders>
              <w:top w:val="nil"/>
              <w:left w:val="single" w:sz="4" w:space="0" w:color="auto"/>
              <w:bottom w:val="single" w:sz="4" w:space="0" w:color="auto"/>
              <w:right w:val="single" w:sz="4" w:space="0" w:color="auto"/>
            </w:tcBorders>
            <w:vAlign w:val="center"/>
            <w:hideMark/>
          </w:tcPr>
          <w:p w14:paraId="2C129657"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0.766</w:t>
            </w:r>
          </w:p>
        </w:tc>
        <w:tc>
          <w:tcPr>
            <w:tcW w:w="1412" w:type="dxa"/>
            <w:tcBorders>
              <w:top w:val="nil"/>
              <w:left w:val="single" w:sz="4" w:space="0" w:color="auto"/>
              <w:bottom w:val="single" w:sz="4" w:space="0" w:color="auto"/>
              <w:right w:val="single" w:sz="4" w:space="0" w:color="auto"/>
            </w:tcBorders>
            <w:vAlign w:val="center"/>
            <w:hideMark/>
          </w:tcPr>
          <w:p w14:paraId="601E4EA3"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5A444A07" w14:textId="77777777" w:rsidTr="00FB0B52">
        <w:trPr>
          <w:trHeight w:val="138"/>
        </w:trPr>
        <w:tc>
          <w:tcPr>
            <w:tcW w:w="5481" w:type="dxa"/>
            <w:tcBorders>
              <w:top w:val="nil"/>
              <w:left w:val="single" w:sz="4" w:space="0" w:color="auto"/>
              <w:bottom w:val="single" w:sz="4" w:space="0" w:color="auto"/>
              <w:right w:val="single" w:sz="4" w:space="0" w:color="auto"/>
            </w:tcBorders>
            <w:vAlign w:val="center"/>
            <w:hideMark/>
          </w:tcPr>
          <w:p w14:paraId="0AA466D4"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8. تقيّم الإدارة احتياجات التدريب بناءً على نتائج الأداء.</w:t>
            </w:r>
          </w:p>
        </w:tc>
        <w:tc>
          <w:tcPr>
            <w:tcW w:w="1843" w:type="dxa"/>
            <w:tcBorders>
              <w:top w:val="nil"/>
              <w:left w:val="single" w:sz="4" w:space="0" w:color="auto"/>
              <w:bottom w:val="single" w:sz="4" w:space="0" w:color="auto"/>
              <w:right w:val="single" w:sz="4" w:space="0" w:color="auto"/>
            </w:tcBorders>
            <w:vAlign w:val="center"/>
            <w:hideMark/>
          </w:tcPr>
          <w:p w14:paraId="60098FEE"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0.696</w:t>
            </w:r>
          </w:p>
        </w:tc>
        <w:tc>
          <w:tcPr>
            <w:tcW w:w="1412" w:type="dxa"/>
            <w:tcBorders>
              <w:top w:val="nil"/>
              <w:left w:val="single" w:sz="4" w:space="0" w:color="auto"/>
              <w:bottom w:val="single" w:sz="4" w:space="0" w:color="auto"/>
              <w:right w:val="single" w:sz="4" w:space="0" w:color="auto"/>
            </w:tcBorders>
            <w:vAlign w:val="center"/>
            <w:hideMark/>
          </w:tcPr>
          <w:p w14:paraId="69E39126"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25B41E04" w14:textId="77777777" w:rsidTr="00FB0B52">
        <w:trPr>
          <w:trHeight w:val="141"/>
        </w:trPr>
        <w:tc>
          <w:tcPr>
            <w:tcW w:w="5481" w:type="dxa"/>
            <w:tcBorders>
              <w:top w:val="nil"/>
              <w:left w:val="single" w:sz="4" w:space="0" w:color="auto"/>
              <w:bottom w:val="single" w:sz="4" w:space="0" w:color="auto"/>
              <w:right w:val="single" w:sz="4" w:space="0" w:color="auto"/>
            </w:tcBorders>
            <w:vAlign w:val="center"/>
            <w:hideMark/>
          </w:tcPr>
          <w:p w14:paraId="08D8C59D"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9. تُقدَّم المكافآت بناءً على الأداء الفردي المتميز.</w:t>
            </w:r>
          </w:p>
        </w:tc>
        <w:tc>
          <w:tcPr>
            <w:tcW w:w="1843" w:type="dxa"/>
            <w:tcBorders>
              <w:top w:val="nil"/>
              <w:left w:val="single" w:sz="4" w:space="0" w:color="auto"/>
              <w:bottom w:val="single" w:sz="4" w:space="0" w:color="auto"/>
              <w:right w:val="single" w:sz="4" w:space="0" w:color="auto"/>
            </w:tcBorders>
            <w:vAlign w:val="center"/>
            <w:hideMark/>
          </w:tcPr>
          <w:p w14:paraId="7F21CE0E"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0.713</w:t>
            </w:r>
          </w:p>
        </w:tc>
        <w:tc>
          <w:tcPr>
            <w:tcW w:w="1412" w:type="dxa"/>
            <w:tcBorders>
              <w:top w:val="nil"/>
              <w:left w:val="single" w:sz="4" w:space="0" w:color="auto"/>
              <w:bottom w:val="single" w:sz="4" w:space="0" w:color="auto"/>
              <w:right w:val="single" w:sz="4" w:space="0" w:color="auto"/>
            </w:tcBorders>
            <w:vAlign w:val="center"/>
            <w:hideMark/>
          </w:tcPr>
          <w:p w14:paraId="4EEAEDDD"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034ADD4B" w14:textId="77777777" w:rsidTr="00FB0B52">
        <w:trPr>
          <w:trHeight w:val="131"/>
        </w:trPr>
        <w:tc>
          <w:tcPr>
            <w:tcW w:w="5481" w:type="dxa"/>
            <w:tcBorders>
              <w:top w:val="nil"/>
              <w:left w:val="single" w:sz="4" w:space="0" w:color="auto"/>
              <w:bottom w:val="single" w:sz="4" w:space="0" w:color="auto"/>
              <w:right w:val="single" w:sz="4" w:space="0" w:color="auto"/>
            </w:tcBorders>
            <w:vAlign w:val="center"/>
            <w:hideMark/>
          </w:tcPr>
          <w:p w14:paraId="09F0340E"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10. يتم تحفيز العاملين على الإبداع من خلال نظام مكافآت عادل.</w:t>
            </w:r>
          </w:p>
        </w:tc>
        <w:tc>
          <w:tcPr>
            <w:tcW w:w="1843" w:type="dxa"/>
            <w:tcBorders>
              <w:top w:val="nil"/>
              <w:left w:val="single" w:sz="4" w:space="0" w:color="auto"/>
              <w:bottom w:val="single" w:sz="4" w:space="0" w:color="auto"/>
              <w:right w:val="single" w:sz="4" w:space="0" w:color="auto"/>
            </w:tcBorders>
            <w:vAlign w:val="center"/>
            <w:hideMark/>
          </w:tcPr>
          <w:p w14:paraId="5F09C431"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0.766</w:t>
            </w:r>
          </w:p>
        </w:tc>
        <w:tc>
          <w:tcPr>
            <w:tcW w:w="1412" w:type="dxa"/>
            <w:tcBorders>
              <w:top w:val="nil"/>
              <w:left w:val="single" w:sz="4" w:space="0" w:color="auto"/>
              <w:bottom w:val="single" w:sz="4" w:space="0" w:color="auto"/>
              <w:right w:val="single" w:sz="4" w:space="0" w:color="auto"/>
            </w:tcBorders>
            <w:vAlign w:val="center"/>
            <w:hideMark/>
          </w:tcPr>
          <w:p w14:paraId="14B8741B"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48B96713" w14:textId="77777777" w:rsidTr="00FB0B52">
        <w:trPr>
          <w:trHeight w:val="58"/>
        </w:trPr>
        <w:tc>
          <w:tcPr>
            <w:tcW w:w="5481" w:type="dxa"/>
            <w:tcBorders>
              <w:top w:val="nil"/>
              <w:left w:val="single" w:sz="4" w:space="0" w:color="auto"/>
              <w:bottom w:val="single" w:sz="4" w:space="0" w:color="auto"/>
              <w:right w:val="single" w:sz="4" w:space="0" w:color="auto"/>
            </w:tcBorders>
            <w:vAlign w:val="center"/>
            <w:hideMark/>
          </w:tcPr>
          <w:p w14:paraId="6A184389"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11. تشمل الحوافز مكافآت مالية وغير مالية.</w:t>
            </w:r>
          </w:p>
        </w:tc>
        <w:tc>
          <w:tcPr>
            <w:tcW w:w="1843" w:type="dxa"/>
            <w:tcBorders>
              <w:top w:val="nil"/>
              <w:left w:val="single" w:sz="4" w:space="0" w:color="auto"/>
              <w:bottom w:val="single" w:sz="4" w:space="0" w:color="auto"/>
              <w:right w:val="single" w:sz="4" w:space="0" w:color="auto"/>
            </w:tcBorders>
            <w:vAlign w:val="center"/>
            <w:hideMark/>
          </w:tcPr>
          <w:p w14:paraId="3FE3CEF1"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0.759</w:t>
            </w:r>
          </w:p>
        </w:tc>
        <w:tc>
          <w:tcPr>
            <w:tcW w:w="1412" w:type="dxa"/>
            <w:tcBorders>
              <w:top w:val="nil"/>
              <w:left w:val="single" w:sz="4" w:space="0" w:color="auto"/>
              <w:bottom w:val="single" w:sz="4" w:space="0" w:color="auto"/>
              <w:right w:val="single" w:sz="4" w:space="0" w:color="auto"/>
            </w:tcBorders>
            <w:vAlign w:val="center"/>
            <w:hideMark/>
          </w:tcPr>
          <w:p w14:paraId="2186BACF"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40E4B9C9" w14:textId="77777777" w:rsidTr="00FB0B52">
        <w:trPr>
          <w:trHeight w:val="153"/>
        </w:trPr>
        <w:tc>
          <w:tcPr>
            <w:tcW w:w="5481" w:type="dxa"/>
            <w:tcBorders>
              <w:top w:val="nil"/>
              <w:left w:val="single" w:sz="4" w:space="0" w:color="auto"/>
              <w:bottom w:val="single" w:sz="4" w:space="0" w:color="auto"/>
              <w:right w:val="single" w:sz="4" w:space="0" w:color="auto"/>
            </w:tcBorders>
            <w:vAlign w:val="center"/>
            <w:hideMark/>
          </w:tcPr>
          <w:p w14:paraId="0BB40F82"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12. تُمنح الترقيات بناءً على الأداء وليس الأقدمية.</w:t>
            </w:r>
          </w:p>
        </w:tc>
        <w:tc>
          <w:tcPr>
            <w:tcW w:w="1843" w:type="dxa"/>
            <w:tcBorders>
              <w:top w:val="nil"/>
              <w:left w:val="single" w:sz="4" w:space="0" w:color="auto"/>
              <w:bottom w:val="single" w:sz="4" w:space="0" w:color="auto"/>
              <w:right w:val="single" w:sz="4" w:space="0" w:color="auto"/>
            </w:tcBorders>
            <w:vAlign w:val="center"/>
            <w:hideMark/>
          </w:tcPr>
          <w:p w14:paraId="15C3AC45"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0.742</w:t>
            </w:r>
          </w:p>
        </w:tc>
        <w:tc>
          <w:tcPr>
            <w:tcW w:w="1412" w:type="dxa"/>
            <w:tcBorders>
              <w:top w:val="nil"/>
              <w:left w:val="single" w:sz="4" w:space="0" w:color="auto"/>
              <w:bottom w:val="single" w:sz="4" w:space="0" w:color="auto"/>
              <w:right w:val="single" w:sz="4" w:space="0" w:color="auto"/>
            </w:tcBorders>
            <w:vAlign w:val="center"/>
            <w:hideMark/>
          </w:tcPr>
          <w:p w14:paraId="0EB495D5"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7C41E899" w14:textId="77777777" w:rsidTr="00FB0B52">
        <w:trPr>
          <w:trHeight w:val="157"/>
        </w:trPr>
        <w:tc>
          <w:tcPr>
            <w:tcW w:w="5481" w:type="dxa"/>
            <w:tcBorders>
              <w:top w:val="nil"/>
              <w:left w:val="single" w:sz="4" w:space="0" w:color="auto"/>
              <w:bottom w:val="single" w:sz="4" w:space="0" w:color="auto"/>
              <w:right w:val="single" w:sz="4" w:space="0" w:color="auto"/>
            </w:tcBorders>
            <w:vAlign w:val="center"/>
            <w:hideMark/>
          </w:tcPr>
          <w:p w14:paraId="21B830B5"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14. يُشجَّع العاملون على طرح أفكار ومقترحات تطويرية.</w:t>
            </w:r>
          </w:p>
        </w:tc>
        <w:tc>
          <w:tcPr>
            <w:tcW w:w="1843" w:type="dxa"/>
            <w:tcBorders>
              <w:top w:val="nil"/>
              <w:left w:val="single" w:sz="4" w:space="0" w:color="auto"/>
              <w:bottom w:val="single" w:sz="4" w:space="0" w:color="auto"/>
              <w:right w:val="single" w:sz="4" w:space="0" w:color="auto"/>
            </w:tcBorders>
            <w:vAlign w:val="center"/>
            <w:hideMark/>
          </w:tcPr>
          <w:p w14:paraId="32315DAE"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0.726</w:t>
            </w:r>
          </w:p>
        </w:tc>
        <w:tc>
          <w:tcPr>
            <w:tcW w:w="1412" w:type="dxa"/>
            <w:tcBorders>
              <w:top w:val="nil"/>
              <w:left w:val="single" w:sz="4" w:space="0" w:color="auto"/>
              <w:bottom w:val="single" w:sz="4" w:space="0" w:color="auto"/>
              <w:right w:val="single" w:sz="4" w:space="0" w:color="auto"/>
            </w:tcBorders>
            <w:vAlign w:val="center"/>
            <w:hideMark/>
          </w:tcPr>
          <w:p w14:paraId="2AE3B274"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30CCE96C" w14:textId="77777777" w:rsidTr="00FB0B52">
        <w:trPr>
          <w:trHeight w:val="161"/>
        </w:trPr>
        <w:tc>
          <w:tcPr>
            <w:tcW w:w="5481" w:type="dxa"/>
            <w:tcBorders>
              <w:top w:val="nil"/>
              <w:left w:val="single" w:sz="4" w:space="0" w:color="auto"/>
              <w:bottom w:val="single" w:sz="4" w:space="0" w:color="auto"/>
              <w:right w:val="single" w:sz="4" w:space="0" w:color="auto"/>
            </w:tcBorders>
            <w:vAlign w:val="center"/>
            <w:hideMark/>
          </w:tcPr>
          <w:p w14:paraId="07853B55"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15. تتبنى الإدارة أسلوب الحوار المفتوح مع الموظفين عند اتخاذ القرارات.</w:t>
            </w:r>
          </w:p>
        </w:tc>
        <w:tc>
          <w:tcPr>
            <w:tcW w:w="1843" w:type="dxa"/>
            <w:tcBorders>
              <w:top w:val="nil"/>
              <w:left w:val="single" w:sz="4" w:space="0" w:color="auto"/>
              <w:bottom w:val="single" w:sz="4" w:space="0" w:color="auto"/>
              <w:right w:val="single" w:sz="4" w:space="0" w:color="auto"/>
            </w:tcBorders>
            <w:vAlign w:val="center"/>
            <w:hideMark/>
          </w:tcPr>
          <w:p w14:paraId="1D41E833"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0.754</w:t>
            </w:r>
          </w:p>
        </w:tc>
        <w:tc>
          <w:tcPr>
            <w:tcW w:w="1412" w:type="dxa"/>
            <w:tcBorders>
              <w:top w:val="nil"/>
              <w:left w:val="single" w:sz="4" w:space="0" w:color="auto"/>
              <w:bottom w:val="single" w:sz="4" w:space="0" w:color="auto"/>
              <w:right w:val="single" w:sz="4" w:space="0" w:color="auto"/>
            </w:tcBorders>
            <w:vAlign w:val="center"/>
            <w:hideMark/>
          </w:tcPr>
          <w:p w14:paraId="0475A879"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56935A5B" w14:textId="77777777" w:rsidTr="00FB0B52">
        <w:trPr>
          <w:trHeight w:val="165"/>
        </w:trPr>
        <w:tc>
          <w:tcPr>
            <w:tcW w:w="5481" w:type="dxa"/>
            <w:tcBorders>
              <w:top w:val="nil"/>
              <w:left w:val="single" w:sz="4" w:space="0" w:color="auto"/>
              <w:bottom w:val="single" w:sz="4" w:space="0" w:color="auto"/>
              <w:right w:val="single" w:sz="4" w:space="0" w:color="auto"/>
            </w:tcBorders>
            <w:vAlign w:val="center"/>
            <w:hideMark/>
          </w:tcPr>
          <w:p w14:paraId="4023A84E"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16. يتم تقييم أداء الموظفين وفق معايير موضوعية ومعلنة.</w:t>
            </w:r>
          </w:p>
        </w:tc>
        <w:tc>
          <w:tcPr>
            <w:tcW w:w="1843" w:type="dxa"/>
            <w:tcBorders>
              <w:top w:val="nil"/>
              <w:left w:val="single" w:sz="4" w:space="0" w:color="auto"/>
              <w:bottom w:val="single" w:sz="4" w:space="0" w:color="auto"/>
              <w:right w:val="single" w:sz="4" w:space="0" w:color="auto"/>
            </w:tcBorders>
            <w:vAlign w:val="center"/>
            <w:hideMark/>
          </w:tcPr>
          <w:p w14:paraId="32FC8A89"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0.674</w:t>
            </w:r>
          </w:p>
        </w:tc>
        <w:tc>
          <w:tcPr>
            <w:tcW w:w="1412" w:type="dxa"/>
            <w:tcBorders>
              <w:top w:val="nil"/>
              <w:left w:val="single" w:sz="4" w:space="0" w:color="auto"/>
              <w:bottom w:val="single" w:sz="4" w:space="0" w:color="auto"/>
              <w:right w:val="single" w:sz="4" w:space="0" w:color="auto"/>
            </w:tcBorders>
            <w:vAlign w:val="center"/>
            <w:hideMark/>
          </w:tcPr>
          <w:p w14:paraId="1D5B6737"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20612EC2" w14:textId="77777777" w:rsidTr="00FB0B52">
        <w:trPr>
          <w:trHeight w:val="58"/>
        </w:trPr>
        <w:tc>
          <w:tcPr>
            <w:tcW w:w="5481" w:type="dxa"/>
            <w:tcBorders>
              <w:top w:val="nil"/>
              <w:left w:val="single" w:sz="4" w:space="0" w:color="auto"/>
              <w:bottom w:val="single" w:sz="4" w:space="0" w:color="auto"/>
              <w:right w:val="single" w:sz="4" w:space="0" w:color="auto"/>
            </w:tcBorders>
            <w:vAlign w:val="center"/>
            <w:hideMark/>
          </w:tcPr>
          <w:p w14:paraId="6DFE49CB"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17. يحصل الموظفون على تغذية راجعة منتظمة حول أدائهم.</w:t>
            </w:r>
          </w:p>
        </w:tc>
        <w:tc>
          <w:tcPr>
            <w:tcW w:w="1843" w:type="dxa"/>
            <w:tcBorders>
              <w:top w:val="nil"/>
              <w:left w:val="single" w:sz="4" w:space="0" w:color="auto"/>
              <w:bottom w:val="single" w:sz="4" w:space="0" w:color="auto"/>
              <w:right w:val="single" w:sz="4" w:space="0" w:color="auto"/>
            </w:tcBorders>
            <w:vAlign w:val="center"/>
            <w:hideMark/>
          </w:tcPr>
          <w:p w14:paraId="4F61F0CC"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0.678</w:t>
            </w:r>
          </w:p>
        </w:tc>
        <w:tc>
          <w:tcPr>
            <w:tcW w:w="1412" w:type="dxa"/>
            <w:tcBorders>
              <w:top w:val="nil"/>
              <w:left w:val="single" w:sz="4" w:space="0" w:color="auto"/>
              <w:bottom w:val="single" w:sz="4" w:space="0" w:color="auto"/>
              <w:right w:val="single" w:sz="4" w:space="0" w:color="auto"/>
            </w:tcBorders>
            <w:vAlign w:val="center"/>
            <w:hideMark/>
          </w:tcPr>
          <w:p w14:paraId="7B5FAC48"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24A4C293" w14:textId="77777777" w:rsidTr="00FB0B52">
        <w:trPr>
          <w:trHeight w:val="58"/>
        </w:trPr>
        <w:tc>
          <w:tcPr>
            <w:tcW w:w="5481" w:type="dxa"/>
            <w:tcBorders>
              <w:top w:val="nil"/>
              <w:left w:val="single" w:sz="4" w:space="0" w:color="auto"/>
              <w:bottom w:val="single" w:sz="4" w:space="0" w:color="auto"/>
              <w:right w:val="single" w:sz="4" w:space="0" w:color="auto"/>
            </w:tcBorders>
            <w:vAlign w:val="center"/>
            <w:hideMark/>
          </w:tcPr>
          <w:p w14:paraId="4B4B91D5"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18. تُستخدم نتائج التقييم في تحديد فرص الترقية والتطوير.</w:t>
            </w:r>
          </w:p>
        </w:tc>
        <w:tc>
          <w:tcPr>
            <w:tcW w:w="1843" w:type="dxa"/>
            <w:tcBorders>
              <w:top w:val="nil"/>
              <w:left w:val="single" w:sz="4" w:space="0" w:color="auto"/>
              <w:bottom w:val="single" w:sz="4" w:space="0" w:color="auto"/>
              <w:right w:val="single" w:sz="4" w:space="0" w:color="auto"/>
            </w:tcBorders>
            <w:vAlign w:val="center"/>
            <w:hideMark/>
          </w:tcPr>
          <w:p w14:paraId="2D266B8D"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0.725</w:t>
            </w:r>
          </w:p>
        </w:tc>
        <w:tc>
          <w:tcPr>
            <w:tcW w:w="1412" w:type="dxa"/>
            <w:tcBorders>
              <w:top w:val="nil"/>
              <w:left w:val="single" w:sz="4" w:space="0" w:color="auto"/>
              <w:bottom w:val="single" w:sz="4" w:space="0" w:color="auto"/>
              <w:right w:val="single" w:sz="4" w:space="0" w:color="auto"/>
            </w:tcBorders>
            <w:vAlign w:val="center"/>
            <w:hideMark/>
          </w:tcPr>
          <w:p w14:paraId="35F8CB87"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7E42E1F7" w14:textId="77777777" w:rsidTr="00FB0B52">
        <w:trPr>
          <w:trHeight w:val="191"/>
        </w:trPr>
        <w:tc>
          <w:tcPr>
            <w:tcW w:w="5481" w:type="dxa"/>
            <w:tcBorders>
              <w:top w:val="nil"/>
              <w:left w:val="single" w:sz="4" w:space="0" w:color="auto"/>
              <w:bottom w:val="single" w:sz="4" w:space="0" w:color="auto"/>
              <w:right w:val="single" w:sz="4" w:space="0" w:color="auto"/>
            </w:tcBorders>
            <w:vAlign w:val="center"/>
            <w:hideMark/>
          </w:tcPr>
          <w:p w14:paraId="5FC954A5"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19. تُمنح للموظفين الصلاحيات اللازمة لإنجاز مهامهم بكفاءة.</w:t>
            </w:r>
          </w:p>
        </w:tc>
        <w:tc>
          <w:tcPr>
            <w:tcW w:w="1843" w:type="dxa"/>
            <w:tcBorders>
              <w:top w:val="nil"/>
              <w:left w:val="single" w:sz="4" w:space="0" w:color="auto"/>
              <w:bottom w:val="single" w:sz="4" w:space="0" w:color="auto"/>
              <w:right w:val="single" w:sz="4" w:space="0" w:color="auto"/>
            </w:tcBorders>
            <w:vAlign w:val="center"/>
            <w:hideMark/>
          </w:tcPr>
          <w:p w14:paraId="49C13693"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0.703</w:t>
            </w:r>
          </w:p>
        </w:tc>
        <w:tc>
          <w:tcPr>
            <w:tcW w:w="1412" w:type="dxa"/>
            <w:tcBorders>
              <w:top w:val="nil"/>
              <w:left w:val="single" w:sz="4" w:space="0" w:color="auto"/>
              <w:bottom w:val="single" w:sz="4" w:space="0" w:color="auto"/>
              <w:right w:val="single" w:sz="4" w:space="0" w:color="auto"/>
            </w:tcBorders>
            <w:vAlign w:val="center"/>
            <w:hideMark/>
          </w:tcPr>
          <w:p w14:paraId="1457902E"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067FC427" w14:textId="77777777" w:rsidTr="00FB0B52">
        <w:trPr>
          <w:trHeight w:val="195"/>
        </w:trPr>
        <w:tc>
          <w:tcPr>
            <w:tcW w:w="5481" w:type="dxa"/>
            <w:tcBorders>
              <w:top w:val="nil"/>
              <w:left w:val="single" w:sz="4" w:space="0" w:color="auto"/>
              <w:bottom w:val="single" w:sz="4" w:space="0" w:color="auto"/>
              <w:right w:val="single" w:sz="4" w:space="0" w:color="auto"/>
            </w:tcBorders>
            <w:vAlign w:val="center"/>
            <w:hideMark/>
          </w:tcPr>
          <w:p w14:paraId="66E3B5D7"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20. تُشجّع الإدارة العاملين على اتخاذ القرارات المناسبة لأعمالهم.</w:t>
            </w:r>
          </w:p>
        </w:tc>
        <w:tc>
          <w:tcPr>
            <w:tcW w:w="1843" w:type="dxa"/>
            <w:tcBorders>
              <w:top w:val="nil"/>
              <w:left w:val="single" w:sz="4" w:space="0" w:color="auto"/>
              <w:bottom w:val="single" w:sz="4" w:space="0" w:color="auto"/>
              <w:right w:val="single" w:sz="4" w:space="0" w:color="auto"/>
            </w:tcBorders>
            <w:vAlign w:val="center"/>
            <w:hideMark/>
          </w:tcPr>
          <w:p w14:paraId="48C3F5B6"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0.747</w:t>
            </w:r>
          </w:p>
        </w:tc>
        <w:tc>
          <w:tcPr>
            <w:tcW w:w="1412" w:type="dxa"/>
            <w:tcBorders>
              <w:top w:val="nil"/>
              <w:left w:val="single" w:sz="4" w:space="0" w:color="auto"/>
              <w:bottom w:val="single" w:sz="4" w:space="0" w:color="auto"/>
              <w:right w:val="single" w:sz="4" w:space="0" w:color="auto"/>
            </w:tcBorders>
            <w:vAlign w:val="center"/>
            <w:hideMark/>
          </w:tcPr>
          <w:p w14:paraId="20B62395"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67B0696A" w14:textId="77777777" w:rsidTr="00FB0B52">
        <w:trPr>
          <w:trHeight w:val="245"/>
        </w:trPr>
        <w:tc>
          <w:tcPr>
            <w:tcW w:w="5481" w:type="dxa"/>
            <w:tcBorders>
              <w:top w:val="nil"/>
              <w:left w:val="single" w:sz="4" w:space="0" w:color="auto"/>
              <w:bottom w:val="single" w:sz="4" w:space="0" w:color="auto"/>
              <w:right w:val="single" w:sz="4" w:space="0" w:color="auto"/>
            </w:tcBorders>
            <w:vAlign w:val="center"/>
            <w:hideMark/>
          </w:tcPr>
          <w:p w14:paraId="6E94C868"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21. يشعر الموظفون بأنهم موثوق بهم وقادرون على المبادرة الذاتية.</w:t>
            </w:r>
          </w:p>
        </w:tc>
        <w:tc>
          <w:tcPr>
            <w:tcW w:w="1843" w:type="dxa"/>
            <w:tcBorders>
              <w:top w:val="nil"/>
              <w:left w:val="single" w:sz="4" w:space="0" w:color="auto"/>
              <w:bottom w:val="single" w:sz="4" w:space="0" w:color="auto"/>
              <w:right w:val="single" w:sz="4" w:space="0" w:color="auto"/>
            </w:tcBorders>
            <w:vAlign w:val="center"/>
            <w:hideMark/>
          </w:tcPr>
          <w:p w14:paraId="5CD93F7B"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0.77</w:t>
            </w:r>
          </w:p>
        </w:tc>
        <w:tc>
          <w:tcPr>
            <w:tcW w:w="1412" w:type="dxa"/>
            <w:tcBorders>
              <w:top w:val="nil"/>
              <w:left w:val="single" w:sz="4" w:space="0" w:color="auto"/>
              <w:bottom w:val="single" w:sz="4" w:space="0" w:color="auto"/>
              <w:right w:val="single" w:sz="4" w:space="0" w:color="auto"/>
            </w:tcBorders>
            <w:vAlign w:val="center"/>
            <w:hideMark/>
          </w:tcPr>
          <w:p w14:paraId="15653BB6"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29581BDA" w14:textId="77777777" w:rsidTr="00FB0B52">
        <w:trPr>
          <w:trHeight w:val="58"/>
        </w:trPr>
        <w:tc>
          <w:tcPr>
            <w:tcW w:w="5481" w:type="dxa"/>
            <w:tcBorders>
              <w:top w:val="nil"/>
              <w:left w:val="single" w:sz="4" w:space="0" w:color="auto"/>
              <w:bottom w:val="single" w:sz="4" w:space="0" w:color="auto"/>
              <w:right w:val="single" w:sz="4" w:space="0" w:color="auto"/>
            </w:tcBorders>
            <w:vAlign w:val="center"/>
            <w:hideMark/>
          </w:tcPr>
          <w:p w14:paraId="75C8FF77"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22. يتم الاعتراف بمساهمات الموظفين في تحسين الأداء التنظيمي.</w:t>
            </w:r>
          </w:p>
        </w:tc>
        <w:tc>
          <w:tcPr>
            <w:tcW w:w="1843" w:type="dxa"/>
            <w:tcBorders>
              <w:top w:val="nil"/>
              <w:left w:val="single" w:sz="4" w:space="0" w:color="auto"/>
              <w:bottom w:val="single" w:sz="4" w:space="0" w:color="auto"/>
              <w:right w:val="single" w:sz="4" w:space="0" w:color="auto"/>
            </w:tcBorders>
            <w:vAlign w:val="center"/>
            <w:hideMark/>
          </w:tcPr>
          <w:p w14:paraId="3AFD7104"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0.747</w:t>
            </w:r>
          </w:p>
        </w:tc>
        <w:tc>
          <w:tcPr>
            <w:tcW w:w="1412" w:type="dxa"/>
            <w:tcBorders>
              <w:top w:val="nil"/>
              <w:left w:val="single" w:sz="4" w:space="0" w:color="auto"/>
              <w:bottom w:val="single" w:sz="4" w:space="0" w:color="auto"/>
              <w:right w:val="single" w:sz="4" w:space="0" w:color="auto"/>
            </w:tcBorders>
            <w:vAlign w:val="center"/>
            <w:hideMark/>
          </w:tcPr>
          <w:p w14:paraId="27E578CD"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4D12ABCB" w14:textId="77777777" w:rsidTr="00FB0B52">
        <w:trPr>
          <w:trHeight w:val="65"/>
        </w:trPr>
        <w:tc>
          <w:tcPr>
            <w:tcW w:w="5481" w:type="dxa"/>
            <w:tcBorders>
              <w:top w:val="nil"/>
              <w:left w:val="single" w:sz="4" w:space="0" w:color="auto"/>
              <w:bottom w:val="single" w:sz="4" w:space="0" w:color="auto"/>
              <w:right w:val="single" w:sz="4" w:space="0" w:color="auto"/>
            </w:tcBorders>
            <w:vAlign w:val="center"/>
            <w:hideMark/>
          </w:tcPr>
          <w:p w14:paraId="343149B2"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eastAsia="en-GB"/>
                <w14:ligatures w14:val="none"/>
              </w:rPr>
              <w:t>23. يتم دعم العاملين في تحمل المسؤولية عن نتائج أعمالهم.</w:t>
            </w:r>
          </w:p>
        </w:tc>
        <w:tc>
          <w:tcPr>
            <w:tcW w:w="1843" w:type="dxa"/>
            <w:tcBorders>
              <w:top w:val="nil"/>
              <w:left w:val="single" w:sz="4" w:space="0" w:color="auto"/>
              <w:bottom w:val="single" w:sz="4" w:space="0" w:color="auto"/>
              <w:right w:val="single" w:sz="4" w:space="0" w:color="auto"/>
            </w:tcBorders>
            <w:vAlign w:val="center"/>
            <w:hideMark/>
          </w:tcPr>
          <w:p w14:paraId="61E500C9"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c>
          <w:tcPr>
            <w:tcW w:w="1412" w:type="dxa"/>
            <w:tcBorders>
              <w:top w:val="nil"/>
              <w:left w:val="single" w:sz="4" w:space="0" w:color="auto"/>
              <w:bottom w:val="single" w:sz="4" w:space="0" w:color="auto"/>
              <w:right w:val="single" w:sz="4" w:space="0" w:color="auto"/>
            </w:tcBorders>
            <w:vAlign w:val="center"/>
            <w:hideMark/>
          </w:tcPr>
          <w:p w14:paraId="295C1808"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w:t>
            </w:r>
          </w:p>
        </w:tc>
      </w:tr>
      <w:tr w:rsidR="00FB0B52" w:rsidRPr="00FB0B52" w14:paraId="59F7A1C1" w14:textId="77777777" w:rsidTr="00FB0B52">
        <w:trPr>
          <w:trHeight w:val="211"/>
        </w:trPr>
        <w:tc>
          <w:tcPr>
            <w:tcW w:w="5481" w:type="dxa"/>
            <w:tcBorders>
              <w:top w:val="nil"/>
              <w:left w:val="single" w:sz="4" w:space="0" w:color="auto"/>
              <w:bottom w:val="single" w:sz="4" w:space="0" w:color="auto"/>
              <w:right w:val="single" w:sz="4" w:space="0" w:color="auto"/>
            </w:tcBorders>
            <w:vAlign w:val="center"/>
            <w:hideMark/>
          </w:tcPr>
          <w:p w14:paraId="6055701F"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24. تتبنّى المنظمة التغيير بسهولة لمواكبة متطلبات السوق.</w:t>
            </w:r>
          </w:p>
        </w:tc>
        <w:tc>
          <w:tcPr>
            <w:tcW w:w="1843" w:type="dxa"/>
            <w:tcBorders>
              <w:top w:val="nil"/>
              <w:left w:val="single" w:sz="4" w:space="0" w:color="auto"/>
              <w:bottom w:val="single" w:sz="4" w:space="0" w:color="auto"/>
              <w:right w:val="single" w:sz="4" w:space="0" w:color="auto"/>
            </w:tcBorders>
            <w:vAlign w:val="center"/>
            <w:hideMark/>
          </w:tcPr>
          <w:p w14:paraId="48BB4C3F"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0.67</w:t>
            </w:r>
          </w:p>
        </w:tc>
        <w:tc>
          <w:tcPr>
            <w:tcW w:w="1412" w:type="dxa"/>
            <w:tcBorders>
              <w:top w:val="nil"/>
              <w:left w:val="single" w:sz="4" w:space="0" w:color="auto"/>
              <w:bottom w:val="single" w:sz="4" w:space="0" w:color="auto"/>
              <w:right w:val="single" w:sz="4" w:space="0" w:color="auto"/>
            </w:tcBorders>
            <w:vAlign w:val="center"/>
            <w:hideMark/>
          </w:tcPr>
          <w:p w14:paraId="5468F7CF"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1369BDDF" w14:textId="77777777" w:rsidTr="00FB0B52">
        <w:trPr>
          <w:trHeight w:val="215"/>
        </w:trPr>
        <w:tc>
          <w:tcPr>
            <w:tcW w:w="5481" w:type="dxa"/>
            <w:tcBorders>
              <w:top w:val="nil"/>
              <w:left w:val="single" w:sz="4" w:space="0" w:color="auto"/>
              <w:bottom w:val="single" w:sz="4" w:space="0" w:color="auto"/>
              <w:right w:val="single" w:sz="4" w:space="0" w:color="auto"/>
            </w:tcBorders>
            <w:vAlign w:val="center"/>
            <w:hideMark/>
          </w:tcPr>
          <w:p w14:paraId="0C0555FD"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25. تشجع الإدارة التجريب وتقبّل الأفكار الجديدة.</w:t>
            </w:r>
          </w:p>
        </w:tc>
        <w:tc>
          <w:tcPr>
            <w:tcW w:w="1843" w:type="dxa"/>
            <w:tcBorders>
              <w:top w:val="nil"/>
              <w:left w:val="single" w:sz="4" w:space="0" w:color="auto"/>
              <w:bottom w:val="single" w:sz="4" w:space="0" w:color="auto"/>
              <w:right w:val="single" w:sz="4" w:space="0" w:color="auto"/>
            </w:tcBorders>
            <w:vAlign w:val="center"/>
            <w:hideMark/>
          </w:tcPr>
          <w:p w14:paraId="43C07B77"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0.742</w:t>
            </w:r>
          </w:p>
        </w:tc>
        <w:tc>
          <w:tcPr>
            <w:tcW w:w="1412" w:type="dxa"/>
            <w:tcBorders>
              <w:top w:val="nil"/>
              <w:left w:val="single" w:sz="4" w:space="0" w:color="auto"/>
              <w:bottom w:val="single" w:sz="4" w:space="0" w:color="auto"/>
              <w:right w:val="single" w:sz="4" w:space="0" w:color="auto"/>
            </w:tcBorders>
            <w:vAlign w:val="center"/>
            <w:hideMark/>
          </w:tcPr>
          <w:p w14:paraId="4A4D52AE"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7D9589E3" w14:textId="77777777" w:rsidTr="00FB0B52">
        <w:trPr>
          <w:trHeight w:val="78"/>
        </w:trPr>
        <w:tc>
          <w:tcPr>
            <w:tcW w:w="5481" w:type="dxa"/>
            <w:tcBorders>
              <w:top w:val="nil"/>
              <w:left w:val="single" w:sz="4" w:space="0" w:color="auto"/>
              <w:bottom w:val="single" w:sz="4" w:space="0" w:color="auto"/>
              <w:right w:val="single" w:sz="4" w:space="0" w:color="auto"/>
            </w:tcBorders>
            <w:vAlign w:val="center"/>
            <w:hideMark/>
          </w:tcPr>
          <w:p w14:paraId="5AA5D3A0"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26. يمتلك جميع الموظفين فهمًا واضحًا لرؤية ورسالة المنظمة.</w:t>
            </w:r>
          </w:p>
        </w:tc>
        <w:tc>
          <w:tcPr>
            <w:tcW w:w="1843" w:type="dxa"/>
            <w:tcBorders>
              <w:top w:val="nil"/>
              <w:left w:val="single" w:sz="4" w:space="0" w:color="auto"/>
              <w:bottom w:val="single" w:sz="4" w:space="0" w:color="auto"/>
              <w:right w:val="single" w:sz="4" w:space="0" w:color="auto"/>
            </w:tcBorders>
            <w:vAlign w:val="center"/>
            <w:hideMark/>
          </w:tcPr>
          <w:p w14:paraId="26B48322"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0.726</w:t>
            </w:r>
          </w:p>
        </w:tc>
        <w:tc>
          <w:tcPr>
            <w:tcW w:w="1412" w:type="dxa"/>
            <w:tcBorders>
              <w:top w:val="nil"/>
              <w:left w:val="single" w:sz="4" w:space="0" w:color="auto"/>
              <w:bottom w:val="single" w:sz="4" w:space="0" w:color="auto"/>
              <w:right w:val="single" w:sz="4" w:space="0" w:color="auto"/>
            </w:tcBorders>
            <w:vAlign w:val="center"/>
            <w:hideMark/>
          </w:tcPr>
          <w:p w14:paraId="7617794E"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2A66755F" w14:textId="77777777" w:rsidTr="00FB0B52">
        <w:trPr>
          <w:trHeight w:val="58"/>
        </w:trPr>
        <w:tc>
          <w:tcPr>
            <w:tcW w:w="5481" w:type="dxa"/>
            <w:tcBorders>
              <w:top w:val="nil"/>
              <w:left w:val="single" w:sz="4" w:space="0" w:color="auto"/>
              <w:bottom w:val="single" w:sz="4" w:space="0" w:color="auto"/>
              <w:right w:val="single" w:sz="4" w:space="0" w:color="auto"/>
            </w:tcBorders>
            <w:vAlign w:val="center"/>
            <w:hideMark/>
          </w:tcPr>
          <w:p w14:paraId="6CD7C0AC"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27. تتوافق أهداف الأفراد مع الأهداف الاستراتيجية للمؤسسة.</w:t>
            </w:r>
          </w:p>
        </w:tc>
        <w:tc>
          <w:tcPr>
            <w:tcW w:w="1843" w:type="dxa"/>
            <w:tcBorders>
              <w:top w:val="nil"/>
              <w:left w:val="single" w:sz="4" w:space="0" w:color="auto"/>
              <w:bottom w:val="single" w:sz="4" w:space="0" w:color="auto"/>
              <w:right w:val="single" w:sz="4" w:space="0" w:color="auto"/>
            </w:tcBorders>
            <w:vAlign w:val="center"/>
            <w:hideMark/>
          </w:tcPr>
          <w:p w14:paraId="2C078663"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0.67</w:t>
            </w:r>
          </w:p>
        </w:tc>
        <w:tc>
          <w:tcPr>
            <w:tcW w:w="1412" w:type="dxa"/>
            <w:tcBorders>
              <w:top w:val="nil"/>
              <w:left w:val="single" w:sz="4" w:space="0" w:color="auto"/>
              <w:bottom w:val="single" w:sz="4" w:space="0" w:color="auto"/>
              <w:right w:val="single" w:sz="4" w:space="0" w:color="auto"/>
            </w:tcBorders>
            <w:vAlign w:val="center"/>
            <w:hideMark/>
          </w:tcPr>
          <w:p w14:paraId="37BB6034"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2B8171B9" w14:textId="77777777" w:rsidTr="00FB0B52">
        <w:trPr>
          <w:trHeight w:val="119"/>
        </w:trPr>
        <w:tc>
          <w:tcPr>
            <w:tcW w:w="5481" w:type="dxa"/>
            <w:tcBorders>
              <w:top w:val="nil"/>
              <w:left w:val="single" w:sz="4" w:space="0" w:color="auto"/>
              <w:bottom w:val="single" w:sz="4" w:space="0" w:color="auto"/>
              <w:right w:val="single" w:sz="4" w:space="0" w:color="auto"/>
            </w:tcBorders>
            <w:vAlign w:val="center"/>
            <w:hideMark/>
          </w:tcPr>
          <w:p w14:paraId="37B1861E"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eastAsia="en-GB"/>
                <w14:ligatures w14:val="none"/>
              </w:rPr>
              <w:t>28. تسود بين العاملين قيم تنظيمية مشتركة تحكم سلوكهم المهني.</w:t>
            </w:r>
          </w:p>
        </w:tc>
        <w:tc>
          <w:tcPr>
            <w:tcW w:w="1843" w:type="dxa"/>
            <w:tcBorders>
              <w:top w:val="nil"/>
              <w:left w:val="single" w:sz="4" w:space="0" w:color="auto"/>
              <w:bottom w:val="single" w:sz="4" w:space="0" w:color="auto"/>
              <w:right w:val="single" w:sz="4" w:space="0" w:color="auto"/>
            </w:tcBorders>
            <w:vAlign w:val="center"/>
            <w:hideMark/>
          </w:tcPr>
          <w:p w14:paraId="3073071D"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c>
          <w:tcPr>
            <w:tcW w:w="1412" w:type="dxa"/>
            <w:tcBorders>
              <w:top w:val="nil"/>
              <w:left w:val="single" w:sz="4" w:space="0" w:color="auto"/>
              <w:bottom w:val="single" w:sz="4" w:space="0" w:color="auto"/>
              <w:right w:val="single" w:sz="4" w:space="0" w:color="auto"/>
            </w:tcBorders>
            <w:vAlign w:val="center"/>
            <w:hideMark/>
          </w:tcPr>
          <w:p w14:paraId="47E4B1AF"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0.73</w:t>
            </w:r>
          </w:p>
        </w:tc>
      </w:tr>
      <w:tr w:rsidR="00FB0B52" w:rsidRPr="00FB0B52" w14:paraId="60210179" w14:textId="77777777" w:rsidTr="00FB0B52">
        <w:trPr>
          <w:trHeight w:val="89"/>
        </w:trPr>
        <w:tc>
          <w:tcPr>
            <w:tcW w:w="5481" w:type="dxa"/>
            <w:tcBorders>
              <w:top w:val="nil"/>
              <w:left w:val="single" w:sz="4" w:space="0" w:color="auto"/>
              <w:bottom w:val="single" w:sz="4" w:space="0" w:color="auto"/>
              <w:right w:val="single" w:sz="4" w:space="0" w:color="auto"/>
            </w:tcBorders>
            <w:vAlign w:val="center"/>
            <w:hideMark/>
          </w:tcPr>
          <w:p w14:paraId="1FF4964F"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29. يتم التعامل مع النزاعات بطريقة عادلة ومنظمة.</w:t>
            </w:r>
          </w:p>
        </w:tc>
        <w:tc>
          <w:tcPr>
            <w:tcW w:w="1843" w:type="dxa"/>
            <w:tcBorders>
              <w:top w:val="nil"/>
              <w:left w:val="single" w:sz="4" w:space="0" w:color="auto"/>
              <w:bottom w:val="single" w:sz="4" w:space="0" w:color="auto"/>
              <w:right w:val="single" w:sz="4" w:space="0" w:color="auto"/>
            </w:tcBorders>
            <w:vAlign w:val="center"/>
            <w:hideMark/>
          </w:tcPr>
          <w:p w14:paraId="05370ED9"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0.811</w:t>
            </w:r>
          </w:p>
        </w:tc>
        <w:tc>
          <w:tcPr>
            <w:tcW w:w="1412" w:type="dxa"/>
            <w:tcBorders>
              <w:top w:val="nil"/>
              <w:left w:val="single" w:sz="4" w:space="0" w:color="auto"/>
              <w:bottom w:val="single" w:sz="4" w:space="0" w:color="auto"/>
              <w:right w:val="single" w:sz="4" w:space="0" w:color="auto"/>
            </w:tcBorders>
            <w:vAlign w:val="center"/>
            <w:hideMark/>
          </w:tcPr>
          <w:p w14:paraId="2C414C83"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4A6F3263" w14:textId="77777777" w:rsidTr="00FB0B52">
        <w:trPr>
          <w:trHeight w:val="94"/>
        </w:trPr>
        <w:tc>
          <w:tcPr>
            <w:tcW w:w="5481" w:type="dxa"/>
            <w:tcBorders>
              <w:top w:val="nil"/>
              <w:left w:val="single" w:sz="4" w:space="0" w:color="auto"/>
              <w:bottom w:val="single" w:sz="4" w:space="0" w:color="auto"/>
              <w:right w:val="single" w:sz="4" w:space="0" w:color="auto"/>
            </w:tcBorders>
            <w:vAlign w:val="center"/>
            <w:hideMark/>
          </w:tcPr>
          <w:p w14:paraId="6D426E86"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30. يشعر الموظفون بالانتماء إلى مؤسستهم.</w:t>
            </w:r>
          </w:p>
        </w:tc>
        <w:tc>
          <w:tcPr>
            <w:tcW w:w="1843" w:type="dxa"/>
            <w:tcBorders>
              <w:top w:val="nil"/>
              <w:left w:val="single" w:sz="4" w:space="0" w:color="auto"/>
              <w:bottom w:val="single" w:sz="4" w:space="0" w:color="auto"/>
              <w:right w:val="single" w:sz="4" w:space="0" w:color="auto"/>
            </w:tcBorders>
            <w:vAlign w:val="center"/>
            <w:hideMark/>
          </w:tcPr>
          <w:p w14:paraId="2896F647"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0.793</w:t>
            </w:r>
          </w:p>
        </w:tc>
        <w:tc>
          <w:tcPr>
            <w:tcW w:w="1412" w:type="dxa"/>
            <w:tcBorders>
              <w:top w:val="nil"/>
              <w:left w:val="single" w:sz="4" w:space="0" w:color="auto"/>
              <w:bottom w:val="single" w:sz="4" w:space="0" w:color="auto"/>
              <w:right w:val="single" w:sz="4" w:space="0" w:color="auto"/>
            </w:tcBorders>
            <w:vAlign w:val="center"/>
            <w:hideMark/>
          </w:tcPr>
          <w:p w14:paraId="4272D557"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r>
      <w:tr w:rsidR="00FB0B52" w:rsidRPr="00FB0B52" w14:paraId="638A4DD7" w14:textId="77777777" w:rsidTr="00FB0B52">
        <w:trPr>
          <w:trHeight w:val="58"/>
        </w:trPr>
        <w:tc>
          <w:tcPr>
            <w:tcW w:w="5481" w:type="dxa"/>
            <w:tcBorders>
              <w:top w:val="nil"/>
              <w:left w:val="single" w:sz="4" w:space="0" w:color="auto"/>
              <w:bottom w:val="single" w:sz="4" w:space="0" w:color="auto"/>
              <w:right w:val="single" w:sz="4" w:space="0" w:color="auto"/>
            </w:tcBorders>
            <w:vAlign w:val="center"/>
            <w:hideMark/>
          </w:tcPr>
          <w:p w14:paraId="26ECDA41"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31. يُشجَّع التعاون والعمل الجماعي بين الزملاء.</w:t>
            </w:r>
          </w:p>
        </w:tc>
        <w:tc>
          <w:tcPr>
            <w:tcW w:w="1843" w:type="dxa"/>
            <w:tcBorders>
              <w:top w:val="nil"/>
              <w:left w:val="single" w:sz="4" w:space="0" w:color="auto"/>
              <w:bottom w:val="single" w:sz="4" w:space="0" w:color="auto"/>
              <w:right w:val="single" w:sz="4" w:space="0" w:color="auto"/>
            </w:tcBorders>
            <w:vAlign w:val="center"/>
            <w:hideMark/>
          </w:tcPr>
          <w:p w14:paraId="677DC4BB"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c>
          <w:tcPr>
            <w:tcW w:w="1412" w:type="dxa"/>
            <w:tcBorders>
              <w:top w:val="nil"/>
              <w:left w:val="single" w:sz="4" w:space="0" w:color="auto"/>
              <w:bottom w:val="single" w:sz="4" w:space="0" w:color="auto"/>
              <w:right w:val="single" w:sz="4" w:space="0" w:color="auto"/>
            </w:tcBorders>
            <w:vAlign w:val="center"/>
            <w:hideMark/>
          </w:tcPr>
          <w:p w14:paraId="5EF120F5"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0.766</w:t>
            </w:r>
          </w:p>
        </w:tc>
      </w:tr>
      <w:tr w:rsidR="00FB0B52" w:rsidRPr="00FB0B52" w14:paraId="49F2AAD8" w14:textId="77777777" w:rsidTr="00FB0B52">
        <w:trPr>
          <w:trHeight w:val="102"/>
        </w:trPr>
        <w:tc>
          <w:tcPr>
            <w:tcW w:w="5481" w:type="dxa"/>
            <w:tcBorders>
              <w:top w:val="nil"/>
              <w:left w:val="single" w:sz="4" w:space="0" w:color="auto"/>
              <w:bottom w:val="single" w:sz="4" w:space="0" w:color="auto"/>
              <w:right w:val="single" w:sz="4" w:space="0" w:color="auto"/>
            </w:tcBorders>
            <w:vAlign w:val="center"/>
            <w:hideMark/>
          </w:tcPr>
          <w:p w14:paraId="4BD90E17"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eastAsia="en-GB"/>
                <w14:ligatures w14:val="none"/>
              </w:rPr>
              <w:t>32. يُنظر إلى الموظفين على أنهم مساهمون رئيسيون في نجاح المنظمة.</w:t>
            </w:r>
          </w:p>
        </w:tc>
        <w:tc>
          <w:tcPr>
            <w:tcW w:w="1843" w:type="dxa"/>
            <w:tcBorders>
              <w:top w:val="nil"/>
              <w:left w:val="single" w:sz="4" w:space="0" w:color="auto"/>
              <w:bottom w:val="single" w:sz="4" w:space="0" w:color="auto"/>
              <w:right w:val="single" w:sz="4" w:space="0" w:color="auto"/>
            </w:tcBorders>
            <w:vAlign w:val="center"/>
            <w:hideMark/>
          </w:tcPr>
          <w:p w14:paraId="60FE7227"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c>
          <w:tcPr>
            <w:tcW w:w="1412" w:type="dxa"/>
            <w:tcBorders>
              <w:top w:val="nil"/>
              <w:left w:val="single" w:sz="4" w:space="0" w:color="auto"/>
              <w:bottom w:val="single" w:sz="4" w:space="0" w:color="auto"/>
              <w:right w:val="single" w:sz="4" w:space="0" w:color="auto"/>
            </w:tcBorders>
            <w:vAlign w:val="center"/>
            <w:hideMark/>
          </w:tcPr>
          <w:p w14:paraId="1C6E2E4B"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0.78</w:t>
            </w:r>
          </w:p>
        </w:tc>
      </w:tr>
      <w:tr w:rsidR="00FB0B52" w:rsidRPr="00FB0B52" w14:paraId="18B12008" w14:textId="77777777" w:rsidTr="00FB0B52">
        <w:trPr>
          <w:trHeight w:val="58"/>
        </w:trPr>
        <w:tc>
          <w:tcPr>
            <w:tcW w:w="5481" w:type="dxa"/>
            <w:tcBorders>
              <w:top w:val="nil"/>
              <w:left w:val="single" w:sz="4" w:space="0" w:color="auto"/>
              <w:bottom w:val="single" w:sz="4" w:space="0" w:color="auto"/>
              <w:right w:val="single" w:sz="4" w:space="0" w:color="auto"/>
            </w:tcBorders>
            <w:vAlign w:val="center"/>
            <w:hideMark/>
          </w:tcPr>
          <w:p w14:paraId="7D90F1C3"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33. أقدّم بانتظام أفكارًا جديدة لتحسين العمل.</w:t>
            </w:r>
          </w:p>
        </w:tc>
        <w:tc>
          <w:tcPr>
            <w:tcW w:w="1843" w:type="dxa"/>
            <w:tcBorders>
              <w:top w:val="nil"/>
              <w:left w:val="single" w:sz="4" w:space="0" w:color="auto"/>
              <w:bottom w:val="single" w:sz="4" w:space="0" w:color="auto"/>
              <w:right w:val="single" w:sz="4" w:space="0" w:color="auto"/>
            </w:tcBorders>
            <w:vAlign w:val="center"/>
            <w:hideMark/>
          </w:tcPr>
          <w:p w14:paraId="3C97C91D"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c>
          <w:tcPr>
            <w:tcW w:w="1412" w:type="dxa"/>
            <w:tcBorders>
              <w:top w:val="nil"/>
              <w:left w:val="single" w:sz="4" w:space="0" w:color="auto"/>
              <w:bottom w:val="single" w:sz="4" w:space="0" w:color="auto"/>
              <w:right w:val="single" w:sz="4" w:space="0" w:color="auto"/>
            </w:tcBorders>
            <w:vAlign w:val="center"/>
            <w:hideMark/>
          </w:tcPr>
          <w:p w14:paraId="260B405E"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0.708</w:t>
            </w:r>
          </w:p>
        </w:tc>
      </w:tr>
      <w:tr w:rsidR="00FB0B52" w:rsidRPr="00FB0B52" w14:paraId="459815A7" w14:textId="77777777" w:rsidTr="00FB0B52">
        <w:trPr>
          <w:trHeight w:val="58"/>
        </w:trPr>
        <w:tc>
          <w:tcPr>
            <w:tcW w:w="5481" w:type="dxa"/>
            <w:tcBorders>
              <w:top w:val="nil"/>
              <w:left w:val="single" w:sz="4" w:space="0" w:color="auto"/>
              <w:bottom w:val="single" w:sz="4" w:space="0" w:color="auto"/>
              <w:right w:val="single" w:sz="4" w:space="0" w:color="auto"/>
            </w:tcBorders>
            <w:vAlign w:val="center"/>
            <w:hideMark/>
          </w:tcPr>
          <w:p w14:paraId="5E268A20"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34. أبحث عن حلول مبتكرة للتحديات اليومية.</w:t>
            </w:r>
          </w:p>
        </w:tc>
        <w:tc>
          <w:tcPr>
            <w:tcW w:w="1843" w:type="dxa"/>
            <w:tcBorders>
              <w:top w:val="nil"/>
              <w:left w:val="single" w:sz="4" w:space="0" w:color="auto"/>
              <w:bottom w:val="single" w:sz="4" w:space="0" w:color="auto"/>
              <w:right w:val="single" w:sz="4" w:space="0" w:color="auto"/>
            </w:tcBorders>
            <w:vAlign w:val="center"/>
            <w:hideMark/>
          </w:tcPr>
          <w:p w14:paraId="078DE8D0"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c>
          <w:tcPr>
            <w:tcW w:w="1412" w:type="dxa"/>
            <w:tcBorders>
              <w:top w:val="nil"/>
              <w:left w:val="single" w:sz="4" w:space="0" w:color="auto"/>
              <w:bottom w:val="single" w:sz="4" w:space="0" w:color="auto"/>
              <w:right w:val="single" w:sz="4" w:space="0" w:color="auto"/>
            </w:tcBorders>
            <w:vAlign w:val="center"/>
            <w:hideMark/>
          </w:tcPr>
          <w:p w14:paraId="6A29185A"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0.754</w:t>
            </w:r>
          </w:p>
        </w:tc>
      </w:tr>
      <w:tr w:rsidR="00FB0B52" w:rsidRPr="00FB0B52" w14:paraId="02A1379B" w14:textId="77777777" w:rsidTr="00FB0B52">
        <w:trPr>
          <w:trHeight w:val="58"/>
        </w:trPr>
        <w:tc>
          <w:tcPr>
            <w:tcW w:w="5481" w:type="dxa"/>
            <w:tcBorders>
              <w:top w:val="nil"/>
              <w:left w:val="single" w:sz="4" w:space="0" w:color="auto"/>
              <w:bottom w:val="single" w:sz="4" w:space="0" w:color="auto"/>
              <w:right w:val="single" w:sz="4" w:space="0" w:color="auto"/>
            </w:tcBorders>
            <w:vAlign w:val="center"/>
            <w:hideMark/>
          </w:tcPr>
          <w:p w14:paraId="76838327"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35. أشارك في تطوير الخدمات أو العمليات في مؤسستي.</w:t>
            </w:r>
          </w:p>
        </w:tc>
        <w:tc>
          <w:tcPr>
            <w:tcW w:w="1843" w:type="dxa"/>
            <w:tcBorders>
              <w:top w:val="nil"/>
              <w:left w:val="single" w:sz="4" w:space="0" w:color="auto"/>
              <w:bottom w:val="single" w:sz="4" w:space="0" w:color="auto"/>
              <w:right w:val="single" w:sz="4" w:space="0" w:color="auto"/>
            </w:tcBorders>
            <w:vAlign w:val="center"/>
            <w:hideMark/>
          </w:tcPr>
          <w:p w14:paraId="2E4B670E"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c>
          <w:tcPr>
            <w:tcW w:w="1412" w:type="dxa"/>
            <w:tcBorders>
              <w:top w:val="nil"/>
              <w:left w:val="single" w:sz="4" w:space="0" w:color="auto"/>
              <w:bottom w:val="single" w:sz="4" w:space="0" w:color="auto"/>
              <w:right w:val="single" w:sz="4" w:space="0" w:color="auto"/>
            </w:tcBorders>
            <w:vAlign w:val="center"/>
            <w:hideMark/>
          </w:tcPr>
          <w:p w14:paraId="1DBD4F8B"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0.783</w:t>
            </w:r>
          </w:p>
        </w:tc>
      </w:tr>
      <w:tr w:rsidR="00FB0B52" w:rsidRPr="00FB0B52" w14:paraId="317F1F8C" w14:textId="77777777" w:rsidTr="00FB0B52">
        <w:trPr>
          <w:trHeight w:val="58"/>
        </w:trPr>
        <w:tc>
          <w:tcPr>
            <w:tcW w:w="5481" w:type="dxa"/>
            <w:tcBorders>
              <w:top w:val="nil"/>
              <w:left w:val="single" w:sz="4" w:space="0" w:color="auto"/>
              <w:bottom w:val="single" w:sz="4" w:space="0" w:color="auto"/>
              <w:right w:val="single" w:sz="4" w:space="0" w:color="auto"/>
            </w:tcBorders>
            <w:vAlign w:val="center"/>
            <w:hideMark/>
          </w:tcPr>
          <w:p w14:paraId="7DDED9F2"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36. أُظهر استعدادًا لتجربة أساليب جديدة في أداء مهامي</w:t>
            </w:r>
          </w:p>
        </w:tc>
        <w:tc>
          <w:tcPr>
            <w:tcW w:w="1843" w:type="dxa"/>
            <w:tcBorders>
              <w:top w:val="nil"/>
              <w:left w:val="single" w:sz="4" w:space="0" w:color="auto"/>
              <w:bottom w:val="single" w:sz="4" w:space="0" w:color="auto"/>
              <w:right w:val="single" w:sz="4" w:space="0" w:color="auto"/>
            </w:tcBorders>
            <w:vAlign w:val="center"/>
            <w:hideMark/>
          </w:tcPr>
          <w:p w14:paraId="695C124C"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c>
          <w:tcPr>
            <w:tcW w:w="1412" w:type="dxa"/>
            <w:tcBorders>
              <w:top w:val="nil"/>
              <w:left w:val="single" w:sz="4" w:space="0" w:color="auto"/>
              <w:bottom w:val="single" w:sz="4" w:space="0" w:color="auto"/>
              <w:right w:val="single" w:sz="4" w:space="0" w:color="auto"/>
            </w:tcBorders>
            <w:vAlign w:val="center"/>
            <w:hideMark/>
          </w:tcPr>
          <w:p w14:paraId="0C36E86C"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0.744</w:t>
            </w:r>
          </w:p>
        </w:tc>
      </w:tr>
      <w:tr w:rsidR="00FB0B52" w:rsidRPr="00FB0B52" w14:paraId="19780D4E" w14:textId="77777777" w:rsidTr="00FB0B52">
        <w:trPr>
          <w:trHeight w:val="58"/>
        </w:trPr>
        <w:tc>
          <w:tcPr>
            <w:tcW w:w="5481" w:type="dxa"/>
            <w:tcBorders>
              <w:top w:val="nil"/>
              <w:left w:val="single" w:sz="4" w:space="0" w:color="auto"/>
              <w:bottom w:val="single" w:sz="4" w:space="0" w:color="auto"/>
              <w:right w:val="single" w:sz="4" w:space="0" w:color="auto"/>
            </w:tcBorders>
            <w:vAlign w:val="center"/>
            <w:hideMark/>
          </w:tcPr>
          <w:p w14:paraId="74EA0D0E"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37. أساهم في تنفيذ الأفكار الجديدة وتحويلها إلى واقع عملي.</w:t>
            </w:r>
          </w:p>
        </w:tc>
        <w:tc>
          <w:tcPr>
            <w:tcW w:w="1843" w:type="dxa"/>
            <w:tcBorders>
              <w:top w:val="nil"/>
              <w:left w:val="single" w:sz="4" w:space="0" w:color="auto"/>
              <w:bottom w:val="single" w:sz="4" w:space="0" w:color="auto"/>
              <w:right w:val="single" w:sz="4" w:space="0" w:color="auto"/>
            </w:tcBorders>
            <w:vAlign w:val="center"/>
            <w:hideMark/>
          </w:tcPr>
          <w:p w14:paraId="5203D210"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c>
          <w:tcPr>
            <w:tcW w:w="1412" w:type="dxa"/>
            <w:tcBorders>
              <w:top w:val="nil"/>
              <w:left w:val="single" w:sz="4" w:space="0" w:color="auto"/>
              <w:bottom w:val="single" w:sz="4" w:space="0" w:color="auto"/>
              <w:right w:val="single" w:sz="4" w:space="0" w:color="auto"/>
            </w:tcBorders>
            <w:vAlign w:val="center"/>
            <w:hideMark/>
          </w:tcPr>
          <w:p w14:paraId="779E92F1"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0.785</w:t>
            </w:r>
          </w:p>
        </w:tc>
      </w:tr>
      <w:tr w:rsidR="00FB0B52" w:rsidRPr="00FB0B52" w14:paraId="16DB116B" w14:textId="77777777" w:rsidTr="00FB0B52">
        <w:trPr>
          <w:trHeight w:val="58"/>
        </w:trPr>
        <w:tc>
          <w:tcPr>
            <w:tcW w:w="5481" w:type="dxa"/>
            <w:tcBorders>
              <w:top w:val="nil"/>
              <w:left w:val="single" w:sz="4" w:space="0" w:color="auto"/>
              <w:bottom w:val="single" w:sz="4" w:space="0" w:color="auto"/>
              <w:right w:val="single" w:sz="4" w:space="0" w:color="auto"/>
            </w:tcBorders>
            <w:vAlign w:val="center"/>
            <w:hideMark/>
          </w:tcPr>
          <w:p w14:paraId="2DA33697"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38. أعمل على تحسين جودة الخدمات المقدّمة من خلال الابتكار.</w:t>
            </w:r>
          </w:p>
        </w:tc>
        <w:tc>
          <w:tcPr>
            <w:tcW w:w="1843" w:type="dxa"/>
            <w:tcBorders>
              <w:top w:val="nil"/>
              <w:left w:val="single" w:sz="4" w:space="0" w:color="auto"/>
              <w:bottom w:val="single" w:sz="4" w:space="0" w:color="auto"/>
              <w:right w:val="single" w:sz="4" w:space="0" w:color="auto"/>
            </w:tcBorders>
            <w:vAlign w:val="center"/>
            <w:hideMark/>
          </w:tcPr>
          <w:p w14:paraId="6971FCBE"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c>
          <w:tcPr>
            <w:tcW w:w="1412" w:type="dxa"/>
            <w:tcBorders>
              <w:top w:val="nil"/>
              <w:left w:val="single" w:sz="4" w:space="0" w:color="auto"/>
              <w:bottom w:val="single" w:sz="4" w:space="0" w:color="auto"/>
              <w:right w:val="single" w:sz="4" w:space="0" w:color="auto"/>
            </w:tcBorders>
            <w:vAlign w:val="center"/>
            <w:hideMark/>
          </w:tcPr>
          <w:p w14:paraId="54FA0693"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0.76</w:t>
            </w:r>
          </w:p>
        </w:tc>
      </w:tr>
      <w:tr w:rsidR="00FB0B52" w:rsidRPr="00FB0B52" w14:paraId="034BD7C3" w14:textId="77777777" w:rsidTr="00FB0B52">
        <w:trPr>
          <w:trHeight w:val="58"/>
        </w:trPr>
        <w:tc>
          <w:tcPr>
            <w:tcW w:w="5481" w:type="dxa"/>
            <w:tcBorders>
              <w:top w:val="nil"/>
              <w:left w:val="single" w:sz="4" w:space="0" w:color="auto"/>
              <w:bottom w:val="single" w:sz="4" w:space="0" w:color="auto"/>
              <w:right w:val="single" w:sz="4" w:space="0" w:color="auto"/>
            </w:tcBorders>
            <w:vAlign w:val="center"/>
            <w:hideMark/>
          </w:tcPr>
          <w:p w14:paraId="6D37EB71"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39. أُبادر بطرح أفكار تطويرية حتى دون طلب رسمي.</w:t>
            </w:r>
          </w:p>
        </w:tc>
        <w:tc>
          <w:tcPr>
            <w:tcW w:w="1843" w:type="dxa"/>
            <w:tcBorders>
              <w:top w:val="nil"/>
              <w:left w:val="single" w:sz="4" w:space="0" w:color="auto"/>
              <w:bottom w:val="single" w:sz="4" w:space="0" w:color="auto"/>
              <w:right w:val="single" w:sz="4" w:space="0" w:color="auto"/>
            </w:tcBorders>
            <w:vAlign w:val="center"/>
            <w:hideMark/>
          </w:tcPr>
          <w:p w14:paraId="15504963"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c>
          <w:tcPr>
            <w:tcW w:w="1412" w:type="dxa"/>
            <w:tcBorders>
              <w:top w:val="nil"/>
              <w:left w:val="single" w:sz="4" w:space="0" w:color="auto"/>
              <w:bottom w:val="single" w:sz="4" w:space="0" w:color="auto"/>
              <w:right w:val="single" w:sz="4" w:space="0" w:color="auto"/>
            </w:tcBorders>
            <w:vAlign w:val="center"/>
            <w:hideMark/>
          </w:tcPr>
          <w:p w14:paraId="441C0DD7"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0.78</w:t>
            </w:r>
          </w:p>
        </w:tc>
      </w:tr>
      <w:tr w:rsidR="00FB0B52" w:rsidRPr="00FB0B52" w14:paraId="47FEB0AA" w14:textId="77777777" w:rsidTr="00FB0B52">
        <w:trPr>
          <w:trHeight w:val="58"/>
        </w:trPr>
        <w:tc>
          <w:tcPr>
            <w:tcW w:w="5481" w:type="dxa"/>
            <w:tcBorders>
              <w:top w:val="nil"/>
              <w:left w:val="single" w:sz="4" w:space="0" w:color="auto"/>
              <w:bottom w:val="single" w:sz="4" w:space="0" w:color="auto"/>
              <w:right w:val="single" w:sz="4" w:space="0" w:color="auto"/>
            </w:tcBorders>
            <w:vAlign w:val="center"/>
            <w:hideMark/>
          </w:tcPr>
          <w:p w14:paraId="0FA10179" w14:textId="77777777" w:rsidR="00FB0B52" w:rsidRPr="00FB0B52" w:rsidRDefault="00FB0B52" w:rsidP="00FB0B52">
            <w:pPr>
              <w:bidi/>
              <w:spacing w:after="0" w:line="240" w:lineRule="auto"/>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rtl/>
                <w:lang w:val="en-GB" w:eastAsia="en-GB"/>
                <w14:ligatures w14:val="none"/>
              </w:rPr>
              <w:t>42. أعتبر الإبداع جزءًا أساسيًا من مسؤوليتي المهنية.</w:t>
            </w:r>
          </w:p>
        </w:tc>
        <w:tc>
          <w:tcPr>
            <w:tcW w:w="1843" w:type="dxa"/>
            <w:tcBorders>
              <w:top w:val="nil"/>
              <w:left w:val="single" w:sz="4" w:space="0" w:color="auto"/>
              <w:bottom w:val="single" w:sz="4" w:space="0" w:color="auto"/>
              <w:right w:val="single" w:sz="4" w:space="0" w:color="auto"/>
            </w:tcBorders>
            <w:vAlign w:val="center"/>
            <w:hideMark/>
          </w:tcPr>
          <w:p w14:paraId="2EC24A30"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 </w:t>
            </w:r>
          </w:p>
        </w:tc>
        <w:tc>
          <w:tcPr>
            <w:tcW w:w="1412" w:type="dxa"/>
            <w:tcBorders>
              <w:top w:val="nil"/>
              <w:left w:val="single" w:sz="4" w:space="0" w:color="auto"/>
              <w:bottom w:val="single" w:sz="4" w:space="0" w:color="auto"/>
              <w:right w:val="single" w:sz="4" w:space="0" w:color="auto"/>
            </w:tcBorders>
            <w:vAlign w:val="center"/>
            <w:hideMark/>
          </w:tcPr>
          <w:p w14:paraId="6EA4EC00" w14:textId="77777777" w:rsidR="00FB0B52" w:rsidRPr="00FB0B52" w:rsidRDefault="00FB0B52" w:rsidP="00FB0B52">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FB0B52">
              <w:rPr>
                <w:rFonts w:ascii="Aptos Narrow" w:eastAsia="Times New Roman" w:hAnsi="Aptos Narrow" w:cs="Times New Roman"/>
                <w:color w:val="000000"/>
                <w:kern w:val="0"/>
                <w:sz w:val="22"/>
                <w:szCs w:val="22"/>
                <w:lang w:val="en-GB" w:eastAsia="en-GB"/>
                <w14:ligatures w14:val="none"/>
              </w:rPr>
              <w:t>0.67</w:t>
            </w:r>
          </w:p>
        </w:tc>
      </w:tr>
    </w:tbl>
    <w:p w14:paraId="77ADFCD8" w14:textId="2DFD4B67" w:rsidR="00FB0B52" w:rsidRDefault="00FB0B52" w:rsidP="00FB0B52">
      <w:pPr>
        <w:bidi/>
        <w:rPr>
          <w:rtl/>
          <w:lang w:bidi="ar-EG"/>
        </w:rPr>
      </w:pPr>
      <w:r>
        <w:rPr>
          <w:rFonts w:hint="cs"/>
          <w:rtl/>
          <w:lang w:bidi="ar-EG"/>
        </w:rPr>
        <w:t>الشكل المقابل يضح نتائج ال ِ</w:t>
      </w:r>
      <w:r>
        <w:rPr>
          <w:lang w:bidi="ar-EG"/>
        </w:rPr>
        <w:t xml:space="preserve">AMOS </w:t>
      </w:r>
      <w:r>
        <w:rPr>
          <w:rFonts w:hint="cs"/>
          <w:rtl/>
          <w:lang w:bidi="ar-EG"/>
        </w:rPr>
        <w:t>:</w:t>
      </w:r>
    </w:p>
    <w:p w14:paraId="35770561" w14:textId="4B6573E5" w:rsidR="00FB0B52" w:rsidRDefault="00FB0B52" w:rsidP="001F2C0F">
      <w:pPr>
        <w:bidi/>
        <w:rPr>
          <w:rtl/>
          <w:lang w:bidi="ar-EG"/>
        </w:rPr>
      </w:pPr>
      <w:r w:rsidRPr="007F4BE6">
        <w:rPr>
          <w:rFonts w:cs="Arial"/>
          <w:noProof/>
          <w:rtl/>
          <w:lang w:bidi="ar-EG"/>
        </w:rPr>
        <w:lastRenderedPageBreak/>
        <w:drawing>
          <wp:inline distT="0" distB="0" distL="0" distR="0" wp14:anchorId="57EA3313" wp14:editId="7D684159">
            <wp:extent cx="5280660" cy="6766560"/>
            <wp:effectExtent l="0" t="0" r="0" b="0"/>
            <wp:docPr id="9351664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013854" name=""/>
                    <pic:cNvPicPr/>
                  </pic:nvPicPr>
                  <pic:blipFill>
                    <a:blip r:embed="rId13"/>
                    <a:stretch>
                      <a:fillRect/>
                    </a:stretch>
                  </pic:blipFill>
                  <pic:spPr>
                    <a:xfrm>
                      <a:off x="0" y="0"/>
                      <a:ext cx="5281118" cy="6767147"/>
                    </a:xfrm>
                    <a:prstGeom prst="rect">
                      <a:avLst/>
                    </a:prstGeom>
                  </pic:spPr>
                </pic:pic>
              </a:graphicData>
            </a:graphic>
          </wp:inline>
        </w:drawing>
      </w:r>
    </w:p>
    <w:p w14:paraId="6E9C3F93" w14:textId="4290C4F4" w:rsidR="00FB0B52" w:rsidRPr="00AC42C7" w:rsidRDefault="00FB0B52" w:rsidP="00FB0B52">
      <w:pPr>
        <w:bidi/>
        <w:rPr>
          <w:b/>
          <w:bCs/>
          <w:lang w:bidi="ar-EG"/>
        </w:rPr>
      </w:pPr>
      <w:r>
        <w:rPr>
          <w:rFonts w:hint="cs"/>
          <w:b/>
          <w:bCs/>
          <w:rtl/>
          <w:lang w:bidi="ar-EG"/>
        </w:rPr>
        <w:t xml:space="preserve">3.6.4.2. </w:t>
      </w:r>
      <w:r w:rsidRPr="00AC42C7">
        <w:rPr>
          <w:b/>
          <w:bCs/>
          <w:rtl/>
        </w:rPr>
        <w:t xml:space="preserve">الصدق </w:t>
      </w:r>
      <w:proofErr w:type="spellStart"/>
      <w:r w:rsidRPr="00AC42C7">
        <w:rPr>
          <w:b/>
          <w:bCs/>
          <w:rtl/>
        </w:rPr>
        <w:t>التقاربي</w:t>
      </w:r>
      <w:proofErr w:type="spellEnd"/>
      <w:r>
        <w:rPr>
          <w:rFonts w:hint="cs"/>
          <w:b/>
          <w:bCs/>
          <w:rtl/>
          <w:lang w:bidi="ar-EG"/>
        </w:rPr>
        <w:t xml:space="preserve"> </w:t>
      </w:r>
      <w:r w:rsidRPr="00AC42C7">
        <w:rPr>
          <w:b/>
          <w:bCs/>
          <w:lang w:bidi="ar-EG"/>
        </w:rPr>
        <w:t>(Convergent Validity)</w:t>
      </w:r>
    </w:p>
    <w:p w14:paraId="7B3FE5A8" w14:textId="77777777" w:rsidR="00FB0B52" w:rsidRDefault="00FB0B52" w:rsidP="00FB0B52">
      <w:pPr>
        <w:bidi/>
        <w:rPr>
          <w:rtl/>
          <w:lang w:bidi="ar-EG"/>
        </w:rPr>
      </w:pPr>
      <w:r w:rsidRPr="00AC42C7">
        <w:rPr>
          <w:rtl/>
        </w:rPr>
        <w:t xml:space="preserve">تم فحص الصدق </w:t>
      </w:r>
      <w:proofErr w:type="spellStart"/>
      <w:r w:rsidRPr="00AC42C7">
        <w:rPr>
          <w:rtl/>
        </w:rPr>
        <w:t>التقاربي</w:t>
      </w:r>
      <w:proofErr w:type="spellEnd"/>
      <w:r w:rsidRPr="00AC42C7">
        <w:rPr>
          <w:rtl/>
        </w:rPr>
        <w:t xml:space="preserve"> من خلال تحليل معاملات التحميل المعيارية</w:t>
      </w:r>
      <w:r>
        <w:rPr>
          <w:rFonts w:hint="cs"/>
          <w:rtl/>
          <w:lang w:bidi="ar-EG"/>
        </w:rPr>
        <w:t xml:space="preserve"> </w:t>
      </w:r>
      <w:r w:rsidRPr="00AC42C7">
        <w:rPr>
          <w:lang w:bidi="ar-EG"/>
        </w:rPr>
        <w:t>(Standardized Loadings)</w:t>
      </w:r>
      <w:r w:rsidRPr="00AC42C7">
        <w:rPr>
          <w:rtl/>
        </w:rPr>
        <w:t>، ومتوسط التباين المستخرج</w:t>
      </w:r>
      <w:r>
        <w:rPr>
          <w:rFonts w:hint="cs"/>
          <w:rtl/>
          <w:lang w:bidi="ar-EG"/>
        </w:rPr>
        <w:t xml:space="preserve"> </w:t>
      </w:r>
      <w:r w:rsidRPr="00AC42C7">
        <w:rPr>
          <w:lang w:bidi="ar-EG"/>
        </w:rPr>
        <w:t>(AVE)</w:t>
      </w:r>
      <w:r w:rsidRPr="00AC42C7">
        <w:rPr>
          <w:rtl/>
        </w:rPr>
        <w:t>، ومعامل الثبات المركب</w:t>
      </w:r>
      <w:r>
        <w:rPr>
          <w:rFonts w:hint="cs"/>
          <w:rtl/>
          <w:lang w:bidi="ar-EG"/>
        </w:rPr>
        <w:t xml:space="preserve"> </w:t>
      </w:r>
      <w:r w:rsidRPr="00AC42C7">
        <w:rPr>
          <w:lang w:bidi="ar-EG"/>
        </w:rPr>
        <w:t>(CR)</w:t>
      </w:r>
      <w:r>
        <w:rPr>
          <w:rFonts w:hint="cs"/>
          <w:rtl/>
          <w:lang w:bidi="ar-EG"/>
        </w:rPr>
        <w:t>.</w:t>
      </w:r>
    </w:p>
    <w:tbl>
      <w:tblPr>
        <w:bidiVisual/>
        <w:tblW w:w="7370" w:type="dxa"/>
        <w:jc w:val="center"/>
        <w:tblLook w:val="04A0" w:firstRow="1" w:lastRow="0" w:firstColumn="1" w:lastColumn="0" w:noHBand="0" w:noVBand="1"/>
      </w:tblPr>
      <w:tblGrid>
        <w:gridCol w:w="2348"/>
        <w:gridCol w:w="1630"/>
        <w:gridCol w:w="1409"/>
        <w:gridCol w:w="850"/>
        <w:gridCol w:w="1133"/>
      </w:tblGrid>
      <w:tr w:rsidR="00FB0B52" w:rsidRPr="007F4BE6" w14:paraId="1DE37177" w14:textId="77777777" w:rsidTr="009F1C88">
        <w:trPr>
          <w:trHeight w:val="765"/>
          <w:jc w:val="center"/>
        </w:trPr>
        <w:tc>
          <w:tcPr>
            <w:tcW w:w="2348" w:type="dxa"/>
            <w:tcBorders>
              <w:top w:val="single" w:sz="8" w:space="0" w:color="auto"/>
              <w:left w:val="single" w:sz="8" w:space="0" w:color="auto"/>
              <w:bottom w:val="single" w:sz="4" w:space="0" w:color="auto"/>
              <w:right w:val="single" w:sz="4" w:space="0" w:color="auto"/>
            </w:tcBorders>
            <w:vAlign w:val="center"/>
            <w:hideMark/>
          </w:tcPr>
          <w:p w14:paraId="5D5A5697" w14:textId="77777777" w:rsidR="00FB0B52" w:rsidRPr="007F4BE6" w:rsidRDefault="00FB0B52" w:rsidP="009F1C88">
            <w:pPr>
              <w:bidi/>
              <w:spacing w:after="0" w:line="240" w:lineRule="auto"/>
              <w:jc w:val="center"/>
              <w:rPr>
                <w:rFonts w:ascii="Arial" w:eastAsia="Times New Roman" w:hAnsi="Arial" w:cs="Arial"/>
                <w:b/>
                <w:bCs/>
                <w:color w:val="000000"/>
                <w:kern w:val="0"/>
                <w:sz w:val="20"/>
                <w:szCs w:val="20"/>
                <w14:ligatures w14:val="none"/>
              </w:rPr>
            </w:pPr>
            <w:r w:rsidRPr="007F4BE6">
              <w:rPr>
                <w:rFonts w:ascii="Arial" w:eastAsia="Times New Roman" w:hAnsi="Arial" w:cs="Arial"/>
                <w:b/>
                <w:bCs/>
                <w:color w:val="000000"/>
                <w:kern w:val="0"/>
                <w:sz w:val="20"/>
                <w:szCs w:val="20"/>
                <w:rtl/>
                <w14:ligatures w14:val="none"/>
              </w:rPr>
              <w:lastRenderedPageBreak/>
              <w:t>لبناء الكامن</w:t>
            </w:r>
          </w:p>
        </w:tc>
        <w:tc>
          <w:tcPr>
            <w:tcW w:w="1630" w:type="dxa"/>
            <w:tcBorders>
              <w:top w:val="single" w:sz="8" w:space="0" w:color="auto"/>
              <w:left w:val="single" w:sz="4" w:space="0" w:color="auto"/>
              <w:bottom w:val="single" w:sz="4" w:space="0" w:color="auto"/>
              <w:right w:val="single" w:sz="4" w:space="0" w:color="auto"/>
            </w:tcBorders>
            <w:vAlign w:val="center"/>
            <w:hideMark/>
          </w:tcPr>
          <w:p w14:paraId="6DB8C2BB" w14:textId="77777777" w:rsidR="00FB0B52" w:rsidRPr="007F4BE6" w:rsidRDefault="00FB0B52" w:rsidP="009F1C88">
            <w:pPr>
              <w:bidi/>
              <w:spacing w:after="0" w:line="240" w:lineRule="auto"/>
              <w:jc w:val="center"/>
              <w:rPr>
                <w:rFonts w:ascii="Arial" w:eastAsia="Times New Roman" w:hAnsi="Arial" w:cs="Arial"/>
                <w:b/>
                <w:bCs/>
                <w:color w:val="000000"/>
                <w:kern w:val="0"/>
                <w:sz w:val="20"/>
                <w:szCs w:val="20"/>
                <w:rtl/>
                <w14:ligatures w14:val="none"/>
              </w:rPr>
            </w:pPr>
            <w:r w:rsidRPr="007F4BE6">
              <w:rPr>
                <w:rFonts w:ascii="Arial" w:eastAsia="Times New Roman" w:hAnsi="Arial" w:cs="Arial"/>
                <w:b/>
                <w:bCs/>
                <w:color w:val="000000"/>
                <w:kern w:val="0"/>
                <w:sz w:val="20"/>
                <w:szCs w:val="20"/>
                <w:rtl/>
                <w14:ligatures w14:val="none"/>
              </w:rPr>
              <w:t>عدد المؤشرات المستخدمة في التقدير</w:t>
            </w:r>
          </w:p>
        </w:tc>
        <w:tc>
          <w:tcPr>
            <w:tcW w:w="1409" w:type="dxa"/>
            <w:tcBorders>
              <w:top w:val="single" w:sz="8" w:space="0" w:color="auto"/>
              <w:left w:val="single" w:sz="4" w:space="0" w:color="auto"/>
              <w:bottom w:val="single" w:sz="4" w:space="0" w:color="auto"/>
              <w:right w:val="single" w:sz="4" w:space="0" w:color="auto"/>
            </w:tcBorders>
            <w:vAlign w:val="center"/>
            <w:hideMark/>
          </w:tcPr>
          <w:p w14:paraId="64138501" w14:textId="77777777" w:rsidR="00FB0B52" w:rsidRPr="007F4BE6" w:rsidRDefault="00FB0B52" w:rsidP="009F1C88">
            <w:pPr>
              <w:bidi/>
              <w:spacing w:after="0" w:line="240" w:lineRule="auto"/>
              <w:jc w:val="center"/>
              <w:rPr>
                <w:rFonts w:ascii="Arial" w:eastAsia="Times New Roman" w:hAnsi="Arial" w:cs="Arial"/>
                <w:b/>
                <w:bCs/>
                <w:color w:val="000000"/>
                <w:kern w:val="0"/>
                <w:sz w:val="20"/>
                <w:szCs w:val="20"/>
                <w:rtl/>
                <w14:ligatures w14:val="none"/>
              </w:rPr>
            </w:pPr>
            <w:r w:rsidRPr="007F4BE6">
              <w:rPr>
                <w:rFonts w:ascii="Arial" w:eastAsia="Times New Roman" w:hAnsi="Arial" w:cs="Arial"/>
                <w:b/>
                <w:bCs/>
                <w:color w:val="000000"/>
                <w:kern w:val="0"/>
                <w:sz w:val="20"/>
                <w:szCs w:val="20"/>
                <w:rtl/>
                <w14:ligatures w14:val="none"/>
              </w:rPr>
              <w:t>مدى التحميلات (</w:t>
            </w:r>
            <w:r w:rsidRPr="007F4BE6">
              <w:rPr>
                <w:rFonts w:ascii="Arial" w:eastAsia="Times New Roman" w:hAnsi="Arial" w:cs="Arial"/>
                <w:b/>
                <w:bCs/>
                <w:color w:val="000000"/>
                <w:kern w:val="0"/>
                <w:sz w:val="20"/>
                <w:szCs w:val="20"/>
                <w14:ligatures w14:val="none"/>
              </w:rPr>
              <w:t>Std</w:t>
            </w:r>
            <w:r w:rsidRPr="007F4BE6">
              <w:rPr>
                <w:rFonts w:ascii="Arial" w:eastAsia="Times New Roman" w:hAnsi="Arial" w:cs="Arial"/>
                <w:b/>
                <w:bCs/>
                <w:color w:val="000000"/>
                <w:kern w:val="0"/>
                <w:sz w:val="20"/>
                <w:szCs w:val="20"/>
                <w:rtl/>
                <w14:ligatures w14:val="none"/>
              </w:rPr>
              <w:t xml:space="preserve">. </w:t>
            </w:r>
            <w:r w:rsidRPr="007F4BE6">
              <w:rPr>
                <w:rFonts w:ascii="Arial" w:eastAsia="Times New Roman" w:hAnsi="Arial" w:cs="Arial"/>
                <w:b/>
                <w:bCs/>
                <w:color w:val="000000"/>
                <w:kern w:val="0"/>
                <w:sz w:val="20"/>
                <w:szCs w:val="20"/>
                <w14:ligatures w14:val="none"/>
              </w:rPr>
              <w:t>Loadings</w:t>
            </w:r>
            <w:r w:rsidRPr="007F4BE6">
              <w:rPr>
                <w:rFonts w:ascii="Arial" w:eastAsia="Times New Roman" w:hAnsi="Arial" w:cs="Arial"/>
                <w:b/>
                <w:bCs/>
                <w:color w:val="000000"/>
                <w:kern w:val="0"/>
                <w:sz w:val="20"/>
                <w:szCs w:val="20"/>
                <w:rtl/>
                <w14:ligatures w14:val="none"/>
              </w:rPr>
              <w:t>)</w:t>
            </w:r>
          </w:p>
        </w:tc>
        <w:tc>
          <w:tcPr>
            <w:tcW w:w="850" w:type="dxa"/>
            <w:tcBorders>
              <w:top w:val="single" w:sz="8" w:space="0" w:color="auto"/>
              <w:left w:val="single" w:sz="4" w:space="0" w:color="auto"/>
              <w:bottom w:val="single" w:sz="4" w:space="0" w:color="auto"/>
              <w:right w:val="single" w:sz="4" w:space="0" w:color="auto"/>
            </w:tcBorders>
            <w:vAlign w:val="center"/>
            <w:hideMark/>
          </w:tcPr>
          <w:p w14:paraId="5BE267FB" w14:textId="77777777" w:rsidR="00FB0B52" w:rsidRPr="007F4BE6" w:rsidRDefault="00FB0B52" w:rsidP="009F1C88">
            <w:pPr>
              <w:spacing w:after="0" w:line="240" w:lineRule="auto"/>
              <w:jc w:val="center"/>
              <w:rPr>
                <w:rFonts w:ascii="Arial" w:eastAsia="Times New Roman" w:hAnsi="Arial" w:cs="Arial"/>
                <w:b/>
                <w:bCs/>
                <w:color w:val="000000"/>
                <w:kern w:val="0"/>
                <w:sz w:val="20"/>
                <w:szCs w:val="20"/>
                <w:rtl/>
                <w14:ligatures w14:val="none"/>
              </w:rPr>
            </w:pPr>
            <w:r w:rsidRPr="007F4BE6">
              <w:rPr>
                <w:rFonts w:ascii="Arial" w:eastAsia="Times New Roman" w:hAnsi="Arial" w:cs="Arial"/>
                <w:b/>
                <w:bCs/>
                <w:color w:val="000000"/>
                <w:kern w:val="0"/>
                <w:sz w:val="20"/>
                <w:szCs w:val="20"/>
                <w14:ligatures w14:val="none"/>
              </w:rPr>
              <w:t>AVE</w:t>
            </w:r>
          </w:p>
        </w:tc>
        <w:tc>
          <w:tcPr>
            <w:tcW w:w="1133" w:type="dxa"/>
            <w:tcBorders>
              <w:top w:val="single" w:sz="8" w:space="0" w:color="auto"/>
              <w:left w:val="single" w:sz="4" w:space="0" w:color="auto"/>
              <w:bottom w:val="single" w:sz="4" w:space="0" w:color="auto"/>
              <w:right w:val="single" w:sz="8" w:space="0" w:color="auto"/>
            </w:tcBorders>
            <w:vAlign w:val="center"/>
            <w:hideMark/>
          </w:tcPr>
          <w:p w14:paraId="17BBE240" w14:textId="77777777" w:rsidR="00FB0B52" w:rsidRPr="007F4BE6" w:rsidRDefault="00FB0B52" w:rsidP="009F1C88">
            <w:pPr>
              <w:spacing w:after="0" w:line="240" w:lineRule="auto"/>
              <w:jc w:val="center"/>
              <w:rPr>
                <w:rFonts w:ascii="Arial" w:eastAsia="Times New Roman" w:hAnsi="Arial" w:cs="Arial"/>
                <w:b/>
                <w:bCs/>
                <w:color w:val="000000"/>
                <w:kern w:val="0"/>
                <w:sz w:val="20"/>
                <w:szCs w:val="20"/>
                <w14:ligatures w14:val="none"/>
              </w:rPr>
            </w:pPr>
            <w:r w:rsidRPr="007F4BE6">
              <w:rPr>
                <w:rFonts w:ascii="Arial" w:eastAsia="Times New Roman" w:hAnsi="Arial" w:cs="Arial"/>
                <w:b/>
                <w:bCs/>
                <w:color w:val="000000"/>
                <w:kern w:val="0"/>
                <w:sz w:val="20"/>
                <w:szCs w:val="20"/>
                <w14:ligatures w14:val="none"/>
              </w:rPr>
              <w:t>CR</w:t>
            </w:r>
          </w:p>
        </w:tc>
      </w:tr>
      <w:tr w:rsidR="00FB0B52" w:rsidRPr="007F4BE6" w14:paraId="2148A70E" w14:textId="77777777" w:rsidTr="009F1C88">
        <w:trPr>
          <w:trHeight w:val="1126"/>
          <w:jc w:val="center"/>
        </w:trPr>
        <w:tc>
          <w:tcPr>
            <w:tcW w:w="2348" w:type="dxa"/>
            <w:tcBorders>
              <w:top w:val="nil"/>
              <w:left w:val="single" w:sz="8" w:space="0" w:color="auto"/>
              <w:bottom w:val="single" w:sz="4" w:space="0" w:color="auto"/>
              <w:right w:val="single" w:sz="4" w:space="0" w:color="auto"/>
            </w:tcBorders>
            <w:vAlign w:val="center"/>
            <w:hideMark/>
          </w:tcPr>
          <w:p w14:paraId="3984AF42" w14:textId="77777777" w:rsidR="00FB0B52" w:rsidRPr="007F4BE6" w:rsidRDefault="00FB0B52" w:rsidP="009F1C88">
            <w:pPr>
              <w:bidi/>
              <w:spacing w:after="0" w:line="240" w:lineRule="auto"/>
              <w:jc w:val="center"/>
              <w:rPr>
                <w:rFonts w:ascii="Arial" w:eastAsia="Times New Roman" w:hAnsi="Arial" w:cs="Arial"/>
                <w:color w:val="000000"/>
                <w:kern w:val="0"/>
                <w:sz w:val="20"/>
                <w:szCs w:val="20"/>
                <w14:ligatures w14:val="none"/>
              </w:rPr>
            </w:pPr>
            <w:r w:rsidRPr="007F4BE6">
              <w:rPr>
                <w:rFonts w:ascii="Arial" w:eastAsia="Times New Roman" w:hAnsi="Arial" w:cs="Arial"/>
                <w:color w:val="000000"/>
                <w:kern w:val="0"/>
                <w:sz w:val="20"/>
                <w:szCs w:val="20"/>
                <w:rtl/>
                <w14:ligatures w14:val="none"/>
              </w:rPr>
              <w:t>العامل رقم (1) — (ممارسات/ثقافة مجمّعة)</w:t>
            </w:r>
          </w:p>
        </w:tc>
        <w:tc>
          <w:tcPr>
            <w:tcW w:w="1630" w:type="dxa"/>
            <w:tcBorders>
              <w:top w:val="nil"/>
              <w:left w:val="single" w:sz="4" w:space="0" w:color="auto"/>
              <w:bottom w:val="single" w:sz="4" w:space="0" w:color="auto"/>
              <w:right w:val="single" w:sz="4" w:space="0" w:color="auto"/>
            </w:tcBorders>
            <w:vAlign w:val="center"/>
            <w:hideMark/>
          </w:tcPr>
          <w:p w14:paraId="32444654" w14:textId="77777777" w:rsidR="00FB0B52" w:rsidRPr="007F4BE6" w:rsidRDefault="00FB0B52" w:rsidP="009F1C88">
            <w:pPr>
              <w:spacing w:after="0" w:line="240" w:lineRule="auto"/>
              <w:jc w:val="center"/>
              <w:rPr>
                <w:rFonts w:ascii="Arial" w:eastAsia="Times New Roman" w:hAnsi="Arial" w:cs="Arial"/>
                <w:b/>
                <w:bCs/>
                <w:color w:val="000000"/>
                <w:kern w:val="0"/>
                <w:sz w:val="20"/>
                <w:szCs w:val="20"/>
                <w:rtl/>
                <w14:ligatures w14:val="none"/>
              </w:rPr>
            </w:pPr>
            <w:r w:rsidRPr="007F4BE6">
              <w:rPr>
                <w:rFonts w:ascii="Arial" w:eastAsia="Times New Roman" w:hAnsi="Arial" w:cs="Arial"/>
                <w:b/>
                <w:bCs/>
                <w:color w:val="000000"/>
                <w:kern w:val="0"/>
                <w:sz w:val="20"/>
                <w:szCs w:val="20"/>
                <w14:ligatures w14:val="none"/>
              </w:rPr>
              <w:t>26</w:t>
            </w:r>
            <w:r w:rsidRPr="007F4BE6">
              <w:rPr>
                <w:rFonts w:ascii="Arial" w:eastAsia="Times New Roman" w:hAnsi="Arial" w:cs="Arial"/>
                <w:color w:val="000000"/>
                <w:kern w:val="0"/>
                <w:sz w:val="20"/>
                <w:szCs w:val="20"/>
                <w14:ligatures w14:val="none"/>
              </w:rPr>
              <w:t xml:space="preserve"> (</w:t>
            </w:r>
            <w:r w:rsidRPr="007F4BE6">
              <w:rPr>
                <w:rFonts w:ascii="Arial" w:eastAsia="Times New Roman" w:hAnsi="Arial" w:cs="Arial"/>
                <w:color w:val="000000"/>
                <w:kern w:val="0"/>
                <w:sz w:val="20"/>
                <w:szCs w:val="20"/>
                <w:rtl/>
                <w14:ligatures w14:val="none"/>
              </w:rPr>
              <w:t>المؤشرات المحللة ضمن</w:t>
            </w:r>
            <w:r w:rsidRPr="007F4BE6">
              <w:rPr>
                <w:rFonts w:ascii="Arial" w:eastAsia="Times New Roman" w:hAnsi="Arial" w:cs="Arial"/>
                <w:color w:val="000000"/>
                <w:kern w:val="0"/>
                <w:sz w:val="20"/>
                <w:szCs w:val="20"/>
                <w14:ligatures w14:val="none"/>
              </w:rPr>
              <w:t xml:space="preserve"> block “&lt;--- 1”)</w:t>
            </w:r>
          </w:p>
        </w:tc>
        <w:tc>
          <w:tcPr>
            <w:tcW w:w="1409" w:type="dxa"/>
            <w:tcBorders>
              <w:top w:val="nil"/>
              <w:left w:val="single" w:sz="4" w:space="0" w:color="auto"/>
              <w:bottom w:val="single" w:sz="4" w:space="0" w:color="auto"/>
              <w:right w:val="single" w:sz="4" w:space="0" w:color="auto"/>
            </w:tcBorders>
            <w:vAlign w:val="center"/>
            <w:hideMark/>
          </w:tcPr>
          <w:p w14:paraId="004AC5B5" w14:textId="77777777" w:rsidR="00FB0B52" w:rsidRPr="007F4BE6" w:rsidRDefault="00FB0B52" w:rsidP="009F1C88">
            <w:pPr>
              <w:spacing w:after="0" w:line="240" w:lineRule="auto"/>
              <w:jc w:val="center"/>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0</w:t>
            </w:r>
            <w:r w:rsidRPr="007F4BE6">
              <w:rPr>
                <w:rFonts w:ascii="Arial" w:eastAsia="Times New Roman" w:hAnsi="Arial" w:cs="Arial"/>
                <w:color w:val="000000"/>
                <w:kern w:val="0"/>
                <w:sz w:val="20"/>
                <w:szCs w:val="20"/>
                <w14:ligatures w14:val="none"/>
              </w:rPr>
              <w:t xml:space="preserve">.670 – </w:t>
            </w:r>
            <w:r>
              <w:rPr>
                <w:rFonts w:ascii="Arial" w:eastAsia="Times New Roman" w:hAnsi="Arial" w:cs="Arial"/>
                <w:color w:val="000000"/>
                <w:kern w:val="0"/>
                <w:sz w:val="20"/>
                <w:szCs w:val="20"/>
                <w14:ligatures w14:val="none"/>
              </w:rPr>
              <w:t>0</w:t>
            </w:r>
            <w:r w:rsidRPr="007F4BE6">
              <w:rPr>
                <w:rFonts w:ascii="Arial" w:eastAsia="Times New Roman" w:hAnsi="Arial" w:cs="Arial"/>
                <w:color w:val="000000"/>
                <w:kern w:val="0"/>
                <w:sz w:val="20"/>
                <w:szCs w:val="20"/>
                <w14:ligatures w14:val="none"/>
              </w:rPr>
              <w:t>.811</w:t>
            </w:r>
          </w:p>
        </w:tc>
        <w:tc>
          <w:tcPr>
            <w:tcW w:w="850" w:type="dxa"/>
            <w:tcBorders>
              <w:top w:val="nil"/>
              <w:left w:val="single" w:sz="4" w:space="0" w:color="auto"/>
              <w:bottom w:val="single" w:sz="4" w:space="0" w:color="auto"/>
              <w:right w:val="single" w:sz="4" w:space="0" w:color="auto"/>
            </w:tcBorders>
            <w:vAlign w:val="center"/>
            <w:hideMark/>
          </w:tcPr>
          <w:p w14:paraId="4F8F6547" w14:textId="77777777" w:rsidR="00FB0B52" w:rsidRPr="007F4BE6" w:rsidRDefault="00FB0B52" w:rsidP="009F1C88">
            <w:pPr>
              <w:spacing w:after="0" w:line="240" w:lineRule="auto"/>
              <w:jc w:val="center"/>
              <w:rPr>
                <w:rFonts w:ascii="Arial" w:eastAsia="Times New Roman" w:hAnsi="Arial" w:cs="Arial"/>
                <w:b/>
                <w:bCs/>
                <w:color w:val="000000"/>
                <w:kern w:val="0"/>
                <w:sz w:val="20"/>
                <w:szCs w:val="20"/>
                <w14:ligatures w14:val="none"/>
              </w:rPr>
            </w:pPr>
            <w:r w:rsidRPr="007F4BE6">
              <w:rPr>
                <w:rFonts w:ascii="Arial" w:eastAsia="Times New Roman" w:hAnsi="Arial" w:cs="Arial"/>
                <w:b/>
                <w:bCs/>
                <w:color w:val="000000"/>
                <w:kern w:val="0"/>
                <w:sz w:val="20"/>
                <w:szCs w:val="20"/>
                <w14:ligatures w14:val="none"/>
              </w:rPr>
              <w:t>0.543</w:t>
            </w:r>
          </w:p>
        </w:tc>
        <w:tc>
          <w:tcPr>
            <w:tcW w:w="1133" w:type="dxa"/>
            <w:tcBorders>
              <w:top w:val="nil"/>
              <w:left w:val="single" w:sz="4" w:space="0" w:color="auto"/>
              <w:bottom w:val="single" w:sz="4" w:space="0" w:color="auto"/>
              <w:right w:val="single" w:sz="8" w:space="0" w:color="auto"/>
            </w:tcBorders>
            <w:vAlign w:val="center"/>
            <w:hideMark/>
          </w:tcPr>
          <w:p w14:paraId="4B2D3B4C" w14:textId="77777777" w:rsidR="00FB0B52" w:rsidRPr="007F4BE6" w:rsidRDefault="00FB0B52" w:rsidP="009F1C88">
            <w:pPr>
              <w:spacing w:after="0" w:line="240" w:lineRule="auto"/>
              <w:jc w:val="center"/>
              <w:rPr>
                <w:rFonts w:ascii="Arial" w:eastAsia="Times New Roman" w:hAnsi="Arial" w:cs="Arial"/>
                <w:b/>
                <w:bCs/>
                <w:color w:val="000000"/>
                <w:kern w:val="0"/>
                <w:sz w:val="20"/>
                <w:szCs w:val="20"/>
                <w14:ligatures w14:val="none"/>
              </w:rPr>
            </w:pPr>
            <w:r w:rsidRPr="007F4BE6">
              <w:rPr>
                <w:rFonts w:ascii="Arial" w:eastAsia="Times New Roman" w:hAnsi="Arial" w:cs="Arial"/>
                <w:b/>
                <w:bCs/>
                <w:color w:val="000000"/>
                <w:kern w:val="0"/>
                <w:sz w:val="20"/>
                <w:szCs w:val="20"/>
                <w14:ligatures w14:val="none"/>
              </w:rPr>
              <w:t>0.969</w:t>
            </w:r>
          </w:p>
        </w:tc>
      </w:tr>
      <w:tr w:rsidR="00FB0B52" w:rsidRPr="007F4BE6" w14:paraId="193E9490" w14:textId="77777777" w:rsidTr="009F1C88">
        <w:trPr>
          <w:trHeight w:val="844"/>
          <w:jc w:val="center"/>
        </w:trPr>
        <w:tc>
          <w:tcPr>
            <w:tcW w:w="2348" w:type="dxa"/>
            <w:tcBorders>
              <w:top w:val="nil"/>
              <w:left w:val="single" w:sz="8" w:space="0" w:color="auto"/>
              <w:bottom w:val="single" w:sz="8" w:space="0" w:color="auto"/>
              <w:right w:val="single" w:sz="4" w:space="0" w:color="auto"/>
            </w:tcBorders>
            <w:vAlign w:val="center"/>
            <w:hideMark/>
          </w:tcPr>
          <w:p w14:paraId="7B3D92C2" w14:textId="77777777" w:rsidR="00FB0B52" w:rsidRPr="007F4BE6" w:rsidRDefault="00FB0B52" w:rsidP="009F1C88">
            <w:pPr>
              <w:bidi/>
              <w:spacing w:after="0" w:line="240" w:lineRule="auto"/>
              <w:jc w:val="center"/>
              <w:rPr>
                <w:rFonts w:ascii="Arial" w:eastAsia="Times New Roman" w:hAnsi="Arial" w:cs="Arial"/>
                <w:color w:val="000000"/>
                <w:kern w:val="0"/>
                <w:sz w:val="20"/>
                <w:szCs w:val="20"/>
                <w14:ligatures w14:val="none"/>
              </w:rPr>
            </w:pPr>
            <w:r w:rsidRPr="007F4BE6">
              <w:rPr>
                <w:rFonts w:ascii="Arial" w:eastAsia="Times New Roman" w:hAnsi="Arial" w:cs="Arial"/>
                <w:color w:val="000000"/>
                <w:kern w:val="0"/>
                <w:sz w:val="20"/>
                <w:szCs w:val="20"/>
                <w:rtl/>
                <w14:ligatures w14:val="none"/>
              </w:rPr>
              <w:t>العامل رقم (2) — (الأداء الإبداعي)</w:t>
            </w:r>
          </w:p>
        </w:tc>
        <w:tc>
          <w:tcPr>
            <w:tcW w:w="1630" w:type="dxa"/>
            <w:tcBorders>
              <w:top w:val="nil"/>
              <w:left w:val="single" w:sz="4" w:space="0" w:color="auto"/>
              <w:bottom w:val="single" w:sz="8" w:space="0" w:color="auto"/>
              <w:right w:val="single" w:sz="4" w:space="0" w:color="auto"/>
            </w:tcBorders>
            <w:vAlign w:val="center"/>
            <w:hideMark/>
          </w:tcPr>
          <w:p w14:paraId="0434120B" w14:textId="77777777" w:rsidR="00FB0B52" w:rsidRPr="007F4BE6" w:rsidRDefault="00FB0B52" w:rsidP="009F1C88">
            <w:pPr>
              <w:spacing w:after="0" w:line="240" w:lineRule="auto"/>
              <w:jc w:val="center"/>
              <w:rPr>
                <w:rFonts w:ascii="Arial" w:eastAsia="Times New Roman" w:hAnsi="Arial" w:cs="Arial"/>
                <w:b/>
                <w:bCs/>
                <w:color w:val="000000"/>
                <w:kern w:val="0"/>
                <w:sz w:val="20"/>
                <w:szCs w:val="20"/>
                <w:rtl/>
                <w14:ligatures w14:val="none"/>
              </w:rPr>
            </w:pPr>
            <w:r w:rsidRPr="007F4BE6">
              <w:rPr>
                <w:rFonts w:ascii="Arial" w:eastAsia="Times New Roman" w:hAnsi="Arial" w:cs="Arial"/>
                <w:b/>
                <w:bCs/>
                <w:color w:val="000000"/>
                <w:kern w:val="0"/>
                <w:sz w:val="20"/>
                <w:szCs w:val="20"/>
                <w14:ligatures w14:val="none"/>
              </w:rPr>
              <w:t>12</w:t>
            </w:r>
            <w:r w:rsidRPr="007F4BE6">
              <w:rPr>
                <w:rFonts w:ascii="Arial" w:eastAsia="Times New Roman" w:hAnsi="Arial" w:cs="Arial"/>
                <w:color w:val="000000"/>
                <w:kern w:val="0"/>
                <w:sz w:val="20"/>
                <w:szCs w:val="20"/>
                <w14:ligatures w14:val="none"/>
              </w:rPr>
              <w:t xml:space="preserve"> (</w:t>
            </w:r>
            <w:r w:rsidRPr="007F4BE6">
              <w:rPr>
                <w:rFonts w:ascii="Arial" w:eastAsia="Times New Roman" w:hAnsi="Arial" w:cs="Arial"/>
                <w:color w:val="000000"/>
                <w:kern w:val="0"/>
                <w:sz w:val="20"/>
                <w:szCs w:val="20"/>
                <w:rtl/>
                <w14:ligatures w14:val="none"/>
              </w:rPr>
              <w:t>المؤشرات المحللة ضمن</w:t>
            </w:r>
            <w:r w:rsidRPr="007F4BE6">
              <w:rPr>
                <w:rFonts w:ascii="Arial" w:eastAsia="Times New Roman" w:hAnsi="Arial" w:cs="Arial"/>
                <w:color w:val="000000"/>
                <w:kern w:val="0"/>
                <w:sz w:val="20"/>
                <w:szCs w:val="20"/>
                <w14:ligatures w14:val="none"/>
              </w:rPr>
              <w:t xml:space="preserve"> block “&lt;--- 2”)</w:t>
            </w:r>
          </w:p>
        </w:tc>
        <w:tc>
          <w:tcPr>
            <w:tcW w:w="1409" w:type="dxa"/>
            <w:tcBorders>
              <w:top w:val="nil"/>
              <w:left w:val="single" w:sz="4" w:space="0" w:color="auto"/>
              <w:bottom w:val="single" w:sz="8" w:space="0" w:color="auto"/>
              <w:right w:val="single" w:sz="4" w:space="0" w:color="auto"/>
            </w:tcBorders>
            <w:vAlign w:val="center"/>
            <w:hideMark/>
          </w:tcPr>
          <w:p w14:paraId="5CA4E352" w14:textId="77777777" w:rsidR="00FB0B52" w:rsidRPr="007F4BE6" w:rsidRDefault="00FB0B52" w:rsidP="009F1C88">
            <w:pPr>
              <w:spacing w:after="0" w:line="240" w:lineRule="auto"/>
              <w:jc w:val="center"/>
              <w:rPr>
                <w:rFonts w:ascii="Arial" w:eastAsia="Times New Roman" w:hAnsi="Arial" w:cs="Arial"/>
                <w:color w:val="000000"/>
                <w:kern w:val="0"/>
                <w:sz w:val="20"/>
                <w:szCs w:val="20"/>
                <w14:ligatures w14:val="none"/>
              </w:rPr>
            </w:pPr>
            <w:r>
              <w:rPr>
                <w:rFonts w:ascii="Arial" w:eastAsia="Times New Roman" w:hAnsi="Arial" w:cs="Arial"/>
                <w:color w:val="000000"/>
                <w:kern w:val="0"/>
                <w:sz w:val="20"/>
                <w:szCs w:val="20"/>
                <w14:ligatures w14:val="none"/>
              </w:rPr>
              <w:t>0</w:t>
            </w:r>
            <w:r w:rsidRPr="007F4BE6">
              <w:rPr>
                <w:rFonts w:ascii="Arial" w:eastAsia="Times New Roman" w:hAnsi="Arial" w:cs="Arial"/>
                <w:color w:val="000000"/>
                <w:kern w:val="0"/>
                <w:sz w:val="20"/>
                <w:szCs w:val="20"/>
                <w14:ligatures w14:val="none"/>
              </w:rPr>
              <w:t xml:space="preserve">.670 – </w:t>
            </w:r>
            <w:r>
              <w:rPr>
                <w:rFonts w:ascii="Arial" w:eastAsia="Times New Roman" w:hAnsi="Arial" w:cs="Arial"/>
                <w:color w:val="000000"/>
                <w:kern w:val="0"/>
                <w:sz w:val="20"/>
                <w:szCs w:val="20"/>
                <w14:ligatures w14:val="none"/>
              </w:rPr>
              <w:t>0</w:t>
            </w:r>
            <w:r w:rsidRPr="007F4BE6">
              <w:rPr>
                <w:rFonts w:ascii="Arial" w:eastAsia="Times New Roman" w:hAnsi="Arial" w:cs="Arial"/>
                <w:color w:val="000000"/>
                <w:kern w:val="0"/>
                <w:sz w:val="20"/>
                <w:szCs w:val="20"/>
                <w14:ligatures w14:val="none"/>
              </w:rPr>
              <w:t>.811</w:t>
            </w:r>
          </w:p>
        </w:tc>
        <w:tc>
          <w:tcPr>
            <w:tcW w:w="850" w:type="dxa"/>
            <w:tcBorders>
              <w:top w:val="nil"/>
              <w:left w:val="single" w:sz="4" w:space="0" w:color="auto"/>
              <w:bottom w:val="single" w:sz="8" w:space="0" w:color="auto"/>
              <w:right w:val="single" w:sz="4" w:space="0" w:color="auto"/>
            </w:tcBorders>
            <w:vAlign w:val="center"/>
            <w:hideMark/>
          </w:tcPr>
          <w:p w14:paraId="3CB1AAE3" w14:textId="77777777" w:rsidR="00FB0B52" w:rsidRPr="007F4BE6" w:rsidRDefault="00FB0B52" w:rsidP="009F1C88">
            <w:pPr>
              <w:spacing w:after="0" w:line="240" w:lineRule="auto"/>
              <w:jc w:val="center"/>
              <w:rPr>
                <w:rFonts w:ascii="Arial" w:eastAsia="Times New Roman" w:hAnsi="Arial" w:cs="Arial"/>
                <w:b/>
                <w:bCs/>
                <w:color w:val="000000"/>
                <w:kern w:val="0"/>
                <w:sz w:val="20"/>
                <w:szCs w:val="20"/>
                <w14:ligatures w14:val="none"/>
              </w:rPr>
            </w:pPr>
            <w:r w:rsidRPr="007F4BE6">
              <w:rPr>
                <w:rFonts w:ascii="Arial" w:eastAsia="Times New Roman" w:hAnsi="Arial" w:cs="Arial"/>
                <w:b/>
                <w:bCs/>
                <w:color w:val="000000"/>
                <w:kern w:val="0"/>
                <w:sz w:val="20"/>
                <w:szCs w:val="20"/>
                <w14:ligatures w14:val="none"/>
              </w:rPr>
              <w:t>0.559</w:t>
            </w:r>
          </w:p>
        </w:tc>
        <w:tc>
          <w:tcPr>
            <w:tcW w:w="1133" w:type="dxa"/>
            <w:tcBorders>
              <w:top w:val="nil"/>
              <w:left w:val="single" w:sz="4" w:space="0" w:color="auto"/>
              <w:bottom w:val="single" w:sz="8" w:space="0" w:color="auto"/>
              <w:right w:val="single" w:sz="8" w:space="0" w:color="auto"/>
            </w:tcBorders>
            <w:vAlign w:val="center"/>
            <w:hideMark/>
          </w:tcPr>
          <w:p w14:paraId="06F5A81A" w14:textId="77777777" w:rsidR="00FB0B52" w:rsidRPr="007F4BE6" w:rsidRDefault="00FB0B52" w:rsidP="009F1C88">
            <w:pPr>
              <w:spacing w:after="0" w:line="240" w:lineRule="auto"/>
              <w:jc w:val="center"/>
              <w:rPr>
                <w:rFonts w:ascii="Arial" w:eastAsia="Times New Roman" w:hAnsi="Arial" w:cs="Arial"/>
                <w:b/>
                <w:bCs/>
                <w:color w:val="000000"/>
                <w:kern w:val="0"/>
                <w:sz w:val="20"/>
                <w:szCs w:val="20"/>
                <w14:ligatures w14:val="none"/>
              </w:rPr>
            </w:pPr>
            <w:r w:rsidRPr="007F4BE6">
              <w:rPr>
                <w:rFonts w:ascii="Arial" w:eastAsia="Times New Roman" w:hAnsi="Arial" w:cs="Arial"/>
                <w:b/>
                <w:bCs/>
                <w:color w:val="000000"/>
                <w:kern w:val="0"/>
                <w:sz w:val="20"/>
                <w:szCs w:val="20"/>
                <w14:ligatures w14:val="none"/>
              </w:rPr>
              <w:t>0.938</w:t>
            </w:r>
          </w:p>
        </w:tc>
      </w:tr>
    </w:tbl>
    <w:p w14:paraId="10D604C0" w14:textId="77777777" w:rsidR="00FB0B52" w:rsidRPr="00AC42C7" w:rsidRDefault="00FB0B52" w:rsidP="00FB0B52">
      <w:pPr>
        <w:bidi/>
        <w:rPr>
          <w:lang w:bidi="ar-EG"/>
        </w:rPr>
      </w:pPr>
    </w:p>
    <w:p w14:paraId="7D80E235" w14:textId="77777777" w:rsidR="00FB0B52" w:rsidRPr="00AC42C7" w:rsidRDefault="00FB0B52" w:rsidP="00FB0B52">
      <w:pPr>
        <w:bidi/>
        <w:rPr>
          <w:lang w:bidi="ar-EG"/>
        </w:rPr>
      </w:pPr>
      <w:r w:rsidRPr="00AC42C7">
        <w:rPr>
          <w:rtl/>
        </w:rPr>
        <w:t>أظهرت نتائج معاملات التحميل المعيارية أن جميع المؤشرات جاءت ذات دلالة إحصائية عند مستوى</w:t>
      </w:r>
      <w:r w:rsidRPr="00AC42C7">
        <w:rPr>
          <w:lang w:bidi="ar-EG"/>
        </w:rPr>
        <w:t xml:space="preserve"> (p &lt; 0.001)</w:t>
      </w:r>
      <w:r w:rsidRPr="00AC42C7">
        <w:rPr>
          <w:rtl/>
        </w:rPr>
        <w:t>، وتراوحت قيم التحميل بين (0.670 – 0.811)، وهي جميعها أعلى من الحد الأدنى المقبول (0.50)، مما يشير إلى قوة العلاقة بين البنود والمتغيرات الكامنة</w:t>
      </w:r>
      <w:r w:rsidRPr="00AC42C7">
        <w:rPr>
          <w:lang w:bidi="ar-EG"/>
        </w:rPr>
        <w:t>.</w:t>
      </w:r>
    </w:p>
    <w:p w14:paraId="54730EC1" w14:textId="77777777" w:rsidR="00FB0B52" w:rsidRPr="00AC42C7" w:rsidRDefault="00FB0B52" w:rsidP="00FB0B52">
      <w:pPr>
        <w:bidi/>
        <w:rPr>
          <w:lang w:bidi="ar-EG"/>
        </w:rPr>
      </w:pPr>
      <w:r w:rsidRPr="00AC42C7">
        <w:rPr>
          <w:rtl/>
        </w:rPr>
        <w:t>كما تم حساب متوسط التباين المستخرج</w:t>
      </w:r>
      <w:r w:rsidRPr="00AC42C7">
        <w:rPr>
          <w:lang w:bidi="ar-EG"/>
        </w:rPr>
        <w:t xml:space="preserve"> (AVE) </w:t>
      </w:r>
      <w:r w:rsidRPr="00AC42C7">
        <w:rPr>
          <w:rtl/>
        </w:rPr>
        <w:t>لكل متغير كامن، حيث بلغت قيمة</w:t>
      </w:r>
      <w:r w:rsidRPr="00AC42C7">
        <w:rPr>
          <w:lang w:bidi="ar-EG"/>
        </w:rPr>
        <w:t xml:space="preserve"> AVE </w:t>
      </w:r>
      <w:r w:rsidRPr="00AC42C7">
        <w:rPr>
          <w:rtl/>
        </w:rPr>
        <w:t>للعامل الأول (0.543)، وللعامل الثاني (0.559)، وهي قيم تتجاوز الحد الأدنى المقبول (0.50)، مما يدل على أن المتغيرات الكامنة تفسر أكثر من 50% من التباين في مؤشراتِها</w:t>
      </w:r>
      <w:r w:rsidRPr="00AC42C7">
        <w:rPr>
          <w:lang w:bidi="ar-EG"/>
        </w:rPr>
        <w:t>.</w:t>
      </w:r>
    </w:p>
    <w:p w14:paraId="5D09D38F" w14:textId="77777777" w:rsidR="00FB0B52" w:rsidRPr="00AC42C7" w:rsidRDefault="00FB0B52" w:rsidP="00FB0B52">
      <w:pPr>
        <w:bidi/>
        <w:rPr>
          <w:lang w:bidi="ar-EG"/>
        </w:rPr>
      </w:pPr>
      <w:r w:rsidRPr="00AC42C7">
        <w:rPr>
          <w:rtl/>
        </w:rPr>
        <w:t>أما معامل الثبات المركب</w:t>
      </w:r>
      <w:r w:rsidRPr="00AC42C7">
        <w:rPr>
          <w:lang w:bidi="ar-EG"/>
        </w:rPr>
        <w:t xml:space="preserve"> (CR)</w:t>
      </w:r>
      <w:r w:rsidRPr="00AC42C7">
        <w:rPr>
          <w:rtl/>
        </w:rPr>
        <w:t>، فقد بلغ (0.969) للعامل الأول، و(0.938) للعامل الثاني، وهي قيم تفوق الحد المعياري (0.70) بشكل واضح، مما يعكس اتساقاً داخلياً مرتفعاً واستقراراً في قياس البُنى النظرية</w:t>
      </w:r>
      <w:r w:rsidRPr="00AC42C7">
        <w:rPr>
          <w:lang w:bidi="ar-EG"/>
        </w:rPr>
        <w:t>.</w:t>
      </w:r>
    </w:p>
    <w:p w14:paraId="5A8320A1" w14:textId="77777777" w:rsidR="00FB0B52" w:rsidRDefault="00FB0B52" w:rsidP="00FB0B52">
      <w:pPr>
        <w:bidi/>
        <w:rPr>
          <w:rtl/>
          <w:lang w:bidi="ar-EG"/>
        </w:rPr>
      </w:pPr>
      <w:r w:rsidRPr="00AC42C7">
        <w:rPr>
          <w:rtl/>
        </w:rPr>
        <w:t xml:space="preserve">وعليه، يمكن التأكيد أن الصدق </w:t>
      </w:r>
      <w:proofErr w:type="spellStart"/>
      <w:r w:rsidRPr="00AC42C7">
        <w:rPr>
          <w:rtl/>
        </w:rPr>
        <w:t>التقاربي</w:t>
      </w:r>
      <w:proofErr w:type="spellEnd"/>
      <w:r w:rsidRPr="00AC42C7">
        <w:rPr>
          <w:rtl/>
        </w:rPr>
        <w:t xml:space="preserve"> متحقق في نموذج القياس</w:t>
      </w:r>
      <w:r w:rsidRPr="00AC42C7">
        <w:rPr>
          <w:lang w:bidi="ar-EG"/>
        </w:rPr>
        <w:t>.</w:t>
      </w:r>
    </w:p>
    <w:p w14:paraId="4A330FB3" w14:textId="3A97BE2B" w:rsidR="00FB0B52" w:rsidRPr="00FB0B52" w:rsidRDefault="00FB0B52" w:rsidP="00FB0B52">
      <w:pPr>
        <w:bidi/>
        <w:rPr>
          <w:lang w:bidi="ar-EG"/>
        </w:rPr>
      </w:pPr>
      <w:r>
        <w:rPr>
          <w:rFonts w:hint="cs"/>
          <w:b/>
          <w:bCs/>
          <w:rtl/>
          <w:lang w:bidi="ar-EG"/>
        </w:rPr>
        <w:t xml:space="preserve">3.6.4.3. </w:t>
      </w:r>
      <w:r w:rsidRPr="00AC42C7">
        <w:rPr>
          <w:b/>
          <w:bCs/>
          <w:rtl/>
        </w:rPr>
        <w:t xml:space="preserve">الصدق </w:t>
      </w:r>
      <w:proofErr w:type="spellStart"/>
      <w:r w:rsidRPr="00AC42C7">
        <w:rPr>
          <w:b/>
          <w:bCs/>
          <w:rtl/>
        </w:rPr>
        <w:t>التمايزي</w:t>
      </w:r>
      <w:proofErr w:type="spellEnd"/>
      <w:r>
        <w:rPr>
          <w:rFonts w:hint="cs"/>
          <w:b/>
          <w:bCs/>
          <w:rtl/>
          <w:lang w:bidi="ar-EG"/>
        </w:rPr>
        <w:t xml:space="preserve"> </w:t>
      </w:r>
      <w:r w:rsidRPr="00AC42C7">
        <w:rPr>
          <w:b/>
          <w:bCs/>
          <w:lang w:bidi="ar-EG"/>
        </w:rPr>
        <w:t>(Discriminant Validity)</w:t>
      </w:r>
    </w:p>
    <w:p w14:paraId="23EE10A8" w14:textId="77777777" w:rsidR="00FB0B52" w:rsidRPr="00AC42C7" w:rsidRDefault="00FB0B52" w:rsidP="00FB0B52">
      <w:pPr>
        <w:bidi/>
        <w:rPr>
          <w:lang w:bidi="ar-EG"/>
        </w:rPr>
      </w:pPr>
      <w:r w:rsidRPr="00AC42C7">
        <w:rPr>
          <w:rtl/>
        </w:rPr>
        <w:t xml:space="preserve">تم التحقق من الصدق </w:t>
      </w:r>
      <w:proofErr w:type="spellStart"/>
      <w:r w:rsidRPr="00AC42C7">
        <w:rPr>
          <w:rtl/>
        </w:rPr>
        <w:t>التمايزي</w:t>
      </w:r>
      <w:proofErr w:type="spellEnd"/>
      <w:r w:rsidRPr="00AC42C7">
        <w:rPr>
          <w:rtl/>
        </w:rPr>
        <w:t xml:space="preserve"> باستخدام معيار </w:t>
      </w:r>
      <w:proofErr w:type="spellStart"/>
      <w:r w:rsidRPr="00AC42C7">
        <w:rPr>
          <w:rtl/>
        </w:rPr>
        <w:t>فورنل</w:t>
      </w:r>
      <w:proofErr w:type="spellEnd"/>
      <w:r w:rsidRPr="00AC42C7">
        <w:rPr>
          <w:rtl/>
        </w:rPr>
        <w:t>–</w:t>
      </w:r>
      <w:proofErr w:type="spellStart"/>
      <w:r w:rsidRPr="00AC42C7">
        <w:rPr>
          <w:rtl/>
        </w:rPr>
        <w:t>لاركر</w:t>
      </w:r>
      <w:proofErr w:type="spellEnd"/>
      <w:r>
        <w:rPr>
          <w:rFonts w:hint="cs"/>
          <w:rtl/>
          <w:lang w:bidi="ar-EG"/>
        </w:rPr>
        <w:t xml:space="preserve"> </w:t>
      </w:r>
      <w:r w:rsidRPr="00AC42C7">
        <w:rPr>
          <w:lang w:bidi="ar-EG"/>
        </w:rPr>
        <w:t>(Fornell-Larcker Criterion)</w:t>
      </w:r>
      <w:r w:rsidRPr="00AC42C7">
        <w:rPr>
          <w:rtl/>
        </w:rPr>
        <w:t>، وذلك من خلال مقارنة الجذر التربيعي لقيمة</w:t>
      </w:r>
      <w:r w:rsidRPr="00AC42C7">
        <w:rPr>
          <w:lang w:bidi="ar-EG"/>
        </w:rPr>
        <w:t xml:space="preserve"> AVE </w:t>
      </w:r>
      <w:r w:rsidRPr="00AC42C7">
        <w:rPr>
          <w:rtl/>
        </w:rPr>
        <w:t>لكل متغير كامن بمعامل الارتباط بين المتغيرات</w:t>
      </w:r>
      <w:r w:rsidRPr="00AC42C7">
        <w:rPr>
          <w:lang w:bidi="ar-EG"/>
        </w:rPr>
        <w:t>.</w:t>
      </w:r>
    </w:p>
    <w:p w14:paraId="7F01D392" w14:textId="77777777" w:rsidR="00FB0B52" w:rsidRPr="00AC42C7" w:rsidRDefault="00FB0B52" w:rsidP="00FB0B52">
      <w:pPr>
        <w:bidi/>
        <w:rPr>
          <w:lang w:bidi="ar-EG"/>
        </w:rPr>
      </w:pPr>
      <w:r w:rsidRPr="00AC42C7">
        <w:rPr>
          <w:rtl/>
        </w:rPr>
        <w:t>بلغ الجذر التربيعي لـ</w:t>
      </w:r>
      <w:r w:rsidRPr="00AC42C7">
        <w:rPr>
          <w:lang w:bidi="ar-EG"/>
        </w:rPr>
        <w:t xml:space="preserve"> AVE </w:t>
      </w:r>
      <w:r w:rsidRPr="00AC42C7">
        <w:rPr>
          <w:rtl/>
        </w:rPr>
        <w:t>للعامل الأول (0.737)، وللعامل الثاني (0.748)، في حين بلغ معامل الارتباط بين العاملين (0.962)، وهي قيمة مرتفعة نسبياً</w:t>
      </w:r>
      <w:r w:rsidRPr="00AC42C7">
        <w:rPr>
          <w:lang w:bidi="ar-EG"/>
        </w:rPr>
        <w:t>.</w:t>
      </w:r>
    </w:p>
    <w:p w14:paraId="041E8061" w14:textId="77777777" w:rsidR="00FB0B52" w:rsidRDefault="00FB0B52" w:rsidP="00FB0B52">
      <w:pPr>
        <w:bidi/>
        <w:rPr>
          <w:rtl/>
          <w:lang w:bidi="ar-EG"/>
        </w:rPr>
      </w:pPr>
      <w:r w:rsidRPr="00AC42C7">
        <w:rPr>
          <w:rtl/>
        </w:rPr>
        <w:t>ونظراً لأن قيمة الارتباط بين العاملين تفوق الجذر التربيعي لقيم</w:t>
      </w:r>
      <w:r w:rsidRPr="00AC42C7">
        <w:rPr>
          <w:lang w:bidi="ar-EG"/>
        </w:rPr>
        <w:t xml:space="preserve"> AVE</w:t>
      </w:r>
      <w:r w:rsidRPr="00AC42C7">
        <w:rPr>
          <w:rtl/>
        </w:rPr>
        <w:t xml:space="preserve">، فإن ذلك يشير إلى وجود تداخل مرتفع بين المتغيرين الكامنين، مما يدل على أن الصدق </w:t>
      </w:r>
      <w:proofErr w:type="spellStart"/>
      <w:r w:rsidRPr="00AC42C7">
        <w:rPr>
          <w:rtl/>
        </w:rPr>
        <w:t>التمايزي</w:t>
      </w:r>
      <w:proofErr w:type="spellEnd"/>
      <w:r w:rsidRPr="00AC42C7">
        <w:rPr>
          <w:rtl/>
        </w:rPr>
        <w:t xml:space="preserve"> غير متحقق بشكل كامل وفق معيار </w:t>
      </w:r>
      <w:proofErr w:type="spellStart"/>
      <w:r w:rsidRPr="00AC42C7">
        <w:rPr>
          <w:rtl/>
        </w:rPr>
        <w:t>فورنل</w:t>
      </w:r>
      <w:proofErr w:type="spellEnd"/>
      <w:r w:rsidRPr="00AC42C7">
        <w:rPr>
          <w:rtl/>
        </w:rPr>
        <w:t>–</w:t>
      </w:r>
      <w:proofErr w:type="spellStart"/>
      <w:r w:rsidRPr="00AC42C7">
        <w:rPr>
          <w:rtl/>
        </w:rPr>
        <w:t>لاركر</w:t>
      </w:r>
      <w:proofErr w:type="spellEnd"/>
      <w:r w:rsidRPr="00AC42C7">
        <w:rPr>
          <w:rtl/>
        </w:rPr>
        <w:t>. وقد يُعزى ذلك إلى التقارب المفاهيمي العالي بين البعدين في السياق التطبيقي للدراسة، أو إلى احتمال وجود بُعد أعلى مرتبة يجمع بينهما</w:t>
      </w:r>
      <w:r w:rsidRPr="00AC42C7">
        <w:rPr>
          <w:lang w:bidi="ar-EG"/>
        </w:rPr>
        <w:t>.</w:t>
      </w:r>
    </w:p>
    <w:p w14:paraId="62F44119" w14:textId="77777777" w:rsidR="00FB0B52" w:rsidRDefault="00FB0B52" w:rsidP="00FB0B52">
      <w:pPr>
        <w:bidi/>
        <w:rPr>
          <w:rtl/>
          <w:lang w:bidi="ar-EG"/>
        </w:rPr>
      </w:pPr>
    </w:p>
    <w:p w14:paraId="6C4C07BD" w14:textId="77777777" w:rsidR="00FB0B52" w:rsidRDefault="00FB0B52" w:rsidP="00FB0B52">
      <w:pPr>
        <w:bidi/>
        <w:rPr>
          <w:rtl/>
          <w:lang w:bidi="ar-EG"/>
        </w:rPr>
      </w:pPr>
    </w:p>
    <w:p w14:paraId="7C05A6CB" w14:textId="77777777" w:rsidR="00FB0B52" w:rsidRPr="00AC42C7" w:rsidRDefault="00FB0B52" w:rsidP="00FB0B52">
      <w:pPr>
        <w:bidi/>
        <w:rPr>
          <w:lang w:bidi="ar-EG"/>
        </w:rPr>
      </w:pPr>
    </w:p>
    <w:p w14:paraId="212FB1ED" w14:textId="6AEB859B" w:rsidR="00FB0B52" w:rsidRPr="00AC42C7" w:rsidRDefault="00FB0B52" w:rsidP="00FB0B52">
      <w:pPr>
        <w:bidi/>
        <w:rPr>
          <w:b/>
          <w:bCs/>
          <w:lang w:bidi="ar-EG"/>
        </w:rPr>
      </w:pPr>
      <w:r>
        <w:rPr>
          <w:rFonts w:hint="cs"/>
          <w:b/>
          <w:bCs/>
          <w:rtl/>
          <w:lang w:bidi="ar-EG"/>
        </w:rPr>
        <w:t xml:space="preserve">3.6.4.4. </w:t>
      </w:r>
      <w:r w:rsidRPr="00AC42C7">
        <w:rPr>
          <w:b/>
          <w:bCs/>
          <w:rtl/>
        </w:rPr>
        <w:t>مؤشرات التعديل</w:t>
      </w:r>
      <w:r>
        <w:rPr>
          <w:rFonts w:hint="cs"/>
          <w:b/>
          <w:bCs/>
          <w:rtl/>
          <w:lang w:bidi="ar-EG"/>
        </w:rPr>
        <w:t xml:space="preserve"> </w:t>
      </w:r>
      <w:r w:rsidRPr="00AC42C7">
        <w:rPr>
          <w:b/>
          <w:bCs/>
          <w:lang w:bidi="ar-EG"/>
        </w:rPr>
        <w:t>(Modification Indices)</w:t>
      </w:r>
    </w:p>
    <w:p w14:paraId="3DC99CC7" w14:textId="77777777" w:rsidR="00FB0B52" w:rsidRPr="00AC42C7" w:rsidRDefault="00FB0B52" w:rsidP="00FB0B52">
      <w:pPr>
        <w:bidi/>
        <w:rPr>
          <w:lang w:bidi="ar-EG"/>
        </w:rPr>
      </w:pPr>
      <w:r w:rsidRPr="00AC42C7">
        <w:rPr>
          <w:rtl/>
        </w:rPr>
        <w:t>أظهرت نتائج مؤشرات التعديل</w:t>
      </w:r>
      <w:r w:rsidRPr="00AC42C7">
        <w:rPr>
          <w:lang w:bidi="ar-EG"/>
        </w:rPr>
        <w:t xml:space="preserve"> (MI) </w:t>
      </w:r>
      <w:r w:rsidRPr="00AC42C7">
        <w:rPr>
          <w:rtl/>
        </w:rPr>
        <w:t>وجود بعض العلاقات المحتملة بين أخطاء القياس، حيث تجاوزت بعض القيم</w:t>
      </w:r>
      <w:r w:rsidRPr="00AC42C7">
        <w:rPr>
          <w:lang w:bidi="ar-EG"/>
        </w:rPr>
        <w:t xml:space="preserve"> </w:t>
      </w:r>
      <w:r>
        <w:rPr>
          <w:rFonts w:hint="cs"/>
          <w:rtl/>
          <w:lang w:bidi="ar-EG"/>
        </w:rPr>
        <w:t>(</w:t>
      </w:r>
      <w:r w:rsidRPr="00AC42C7">
        <w:rPr>
          <w:lang w:bidi="ar-EG"/>
        </w:rPr>
        <w:t>MI &gt; 10</w:t>
      </w:r>
      <w:r>
        <w:rPr>
          <w:rFonts w:hint="cs"/>
          <w:rtl/>
          <w:lang w:bidi="ar-EG"/>
        </w:rPr>
        <w:t>)</w:t>
      </w:r>
      <w:r w:rsidRPr="00AC42C7">
        <w:rPr>
          <w:rtl/>
        </w:rPr>
        <w:t xml:space="preserve">، مما يشير إلى إمكانية تحسين ملاءمة النموذج في حال السماح بترابط بعض أخطاء البنود ذات الصياغة المتقاربة </w:t>
      </w:r>
      <w:r w:rsidRPr="00AC42C7">
        <w:rPr>
          <w:rtl/>
        </w:rPr>
        <w:lastRenderedPageBreak/>
        <w:t>مفاهيمياً. ومع ذلك، وبالاستناد إلى الاعتبارات النظرية، لم يتم إجراء تعديلات جوهرية على النموذج في هذه المرحلة حفاظاً على البنية النظرية الأصلية</w:t>
      </w:r>
      <w:r w:rsidRPr="00AC42C7">
        <w:rPr>
          <w:lang w:bidi="ar-EG"/>
        </w:rPr>
        <w:t>.</w:t>
      </w:r>
      <w:r>
        <w:rPr>
          <w:rFonts w:hint="cs"/>
          <w:rtl/>
          <w:lang w:bidi="ar-EG"/>
        </w:rPr>
        <w:t xml:space="preserve"> </w:t>
      </w:r>
      <w:r w:rsidRPr="00AC42C7">
        <w:rPr>
          <w:rtl/>
        </w:rPr>
        <w:t xml:space="preserve">بوجه عام، تشير نتائج التحليل العاملي التوكيدي إلى أن نموذج القياس يتمتع بدرجة ملاءمة عالية للبيانات، كما أن الصدق </w:t>
      </w:r>
      <w:proofErr w:type="spellStart"/>
      <w:r w:rsidRPr="00AC42C7">
        <w:rPr>
          <w:rtl/>
        </w:rPr>
        <w:t>التقاربي</w:t>
      </w:r>
      <w:proofErr w:type="spellEnd"/>
      <w:r w:rsidRPr="00AC42C7">
        <w:rPr>
          <w:rtl/>
        </w:rPr>
        <w:t xml:space="preserve"> والثبات المركب متحققان بدرجة قوية. إلا أن الصدق </w:t>
      </w:r>
      <w:proofErr w:type="spellStart"/>
      <w:r w:rsidRPr="00AC42C7">
        <w:rPr>
          <w:rtl/>
        </w:rPr>
        <w:t>التمايزي</w:t>
      </w:r>
      <w:proofErr w:type="spellEnd"/>
      <w:r w:rsidRPr="00AC42C7">
        <w:rPr>
          <w:rtl/>
        </w:rPr>
        <w:t xml:space="preserve"> أظهر مستوى عالياً من التداخل بين المتغيرين الكامنين، مما يستدعي مناقشة</w:t>
      </w:r>
      <w:r>
        <w:rPr>
          <w:rFonts w:hint="cs"/>
          <w:rtl/>
        </w:rPr>
        <w:t xml:space="preserve"> </w:t>
      </w:r>
      <w:r w:rsidRPr="00AC42C7">
        <w:rPr>
          <w:rtl/>
        </w:rPr>
        <w:t>اختبار نماذج بديلة (مثل النموذج الهرمي) في الدراسات المستقبلية</w:t>
      </w:r>
      <w:r w:rsidRPr="00AC42C7">
        <w:rPr>
          <w:lang w:bidi="ar-EG"/>
        </w:rPr>
        <w:t>.</w:t>
      </w:r>
    </w:p>
    <w:p w14:paraId="5C05952E" w14:textId="77777777" w:rsidR="00FB0B52" w:rsidRPr="00FB0B52" w:rsidRDefault="00FB0B52" w:rsidP="00FB0B52">
      <w:pPr>
        <w:bidi/>
        <w:rPr>
          <w:rtl/>
          <w:lang w:bidi="ar-EG"/>
        </w:rPr>
      </w:pPr>
    </w:p>
    <w:p w14:paraId="46312287" w14:textId="12495EE3"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3.7. تحليل البيانات</w:t>
      </w:r>
    </w:p>
    <w:p w14:paraId="6606667D" w14:textId="45DE852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تُعَدّ منهجية تحليل البيانات من المراحل المحورية في البحث العلمي، إذ تمثل الجسر الذي تنتقل من خلاله الدراسة من جمع البيانات إلى تفسيرها واستخلاص الدلالات العلمية منها. ونظرًا لاعتماد هذه الدراسة على </w:t>
      </w:r>
      <w:r w:rsidR="00E34DB7">
        <w:rPr>
          <w:rFonts w:ascii="Times New Roman" w:hAnsi="Times New Roman" w:cs="Times New Roman" w:hint="cs"/>
          <w:sz w:val="28"/>
          <w:szCs w:val="28"/>
          <w:rtl/>
        </w:rPr>
        <w:t>التصميم</w:t>
      </w:r>
      <w:r w:rsidRPr="00F806C7">
        <w:rPr>
          <w:rFonts w:ascii="Times New Roman" w:hAnsi="Times New Roman" w:cs="Times New Roman"/>
          <w:sz w:val="28"/>
          <w:szCs w:val="28"/>
          <w:rtl/>
        </w:rPr>
        <w:t xml:space="preserve"> </w:t>
      </w:r>
      <w:r w:rsidR="00E475A6">
        <w:rPr>
          <w:rFonts w:ascii="Times New Roman" w:hAnsi="Times New Roman" w:cs="Times New Roman" w:hint="cs"/>
          <w:sz w:val="28"/>
          <w:szCs w:val="28"/>
          <w:rtl/>
        </w:rPr>
        <w:t>الكمي</w:t>
      </w:r>
      <w:r w:rsidRPr="00F806C7">
        <w:rPr>
          <w:rFonts w:ascii="Times New Roman" w:hAnsi="Times New Roman" w:cs="Times New Roman"/>
          <w:sz w:val="28"/>
          <w:szCs w:val="28"/>
          <w:rtl/>
        </w:rPr>
        <w:t>، فقد تم استخدام استراتيجيات تحليل متعددة تُمكّن من معالجة البيانات بدقة، واختبار فرضيات الدراسة، والكشف عن العلاقات التفاعلية بين المتغيرات الرئيسة</w:t>
      </w:r>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أنظمة العمل عالية الأداء</w:t>
      </w:r>
      <w:r w:rsidRPr="00F806C7">
        <w:rPr>
          <w:rFonts w:ascii="Times New Roman" w:hAnsi="Times New Roman" w:cs="Times New Roman"/>
          <w:sz w:val="28"/>
          <w:szCs w:val="28"/>
        </w:rPr>
        <w:t xml:space="preserve"> (HPWS)</w:t>
      </w:r>
      <w:r w:rsidRPr="00F806C7">
        <w:rPr>
          <w:rFonts w:ascii="Times New Roman" w:hAnsi="Times New Roman" w:cs="Times New Roman"/>
          <w:sz w:val="28"/>
          <w:szCs w:val="28"/>
          <w:rtl/>
        </w:rPr>
        <w:t>، الثقافة التنظيمية، والأداء الإبداعي</w:t>
      </w:r>
      <w:r w:rsidRPr="00F806C7">
        <w:rPr>
          <w:rFonts w:ascii="Times New Roman" w:hAnsi="Times New Roman" w:cs="Times New Roman"/>
          <w:sz w:val="28"/>
          <w:szCs w:val="28"/>
        </w:rPr>
        <w:t>.</w:t>
      </w:r>
    </w:p>
    <w:p w14:paraId="1E96B443"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وقد تم تقسيم منهجية التحليل إلى ثلاثة مستويات مترابطة</w:t>
      </w:r>
      <w:r w:rsidRPr="00F806C7">
        <w:rPr>
          <w:rFonts w:ascii="Times New Roman" w:hAnsi="Times New Roman" w:cs="Times New Roman"/>
          <w:sz w:val="28"/>
          <w:szCs w:val="28"/>
        </w:rPr>
        <w:t>:</w:t>
      </w:r>
    </w:p>
    <w:p w14:paraId="168E2291" w14:textId="77777777" w:rsidR="00DE731D" w:rsidRPr="00F806C7" w:rsidRDefault="00DE731D" w:rsidP="00DE731D">
      <w:pPr>
        <w:numPr>
          <w:ilvl w:val="0"/>
          <w:numId w:val="117"/>
        </w:numPr>
        <w:tabs>
          <w:tab w:val="clear" w:pos="360"/>
          <w:tab w:val="num" w:pos="720"/>
        </w:tabs>
        <w:bidi/>
        <w:rPr>
          <w:rFonts w:ascii="Times New Roman" w:hAnsi="Times New Roman" w:cs="Times New Roman"/>
          <w:sz w:val="28"/>
          <w:szCs w:val="28"/>
        </w:rPr>
      </w:pPr>
      <w:r w:rsidRPr="00F806C7">
        <w:rPr>
          <w:rFonts w:ascii="Times New Roman" w:hAnsi="Times New Roman" w:cs="Times New Roman"/>
          <w:sz w:val="28"/>
          <w:szCs w:val="28"/>
          <w:rtl/>
        </w:rPr>
        <w:t>التحليل الكمي للبيانات المستخلصة من الاستبيانات</w:t>
      </w:r>
      <w:r w:rsidRPr="00F806C7">
        <w:rPr>
          <w:rFonts w:ascii="Times New Roman" w:hAnsi="Times New Roman" w:cs="Times New Roman"/>
          <w:sz w:val="28"/>
          <w:szCs w:val="28"/>
        </w:rPr>
        <w:t>.</w:t>
      </w:r>
    </w:p>
    <w:p w14:paraId="65D0DF4D" w14:textId="77777777" w:rsidR="00DE731D" w:rsidRPr="00F806C7" w:rsidRDefault="00DE731D" w:rsidP="00DE731D">
      <w:pPr>
        <w:numPr>
          <w:ilvl w:val="0"/>
          <w:numId w:val="117"/>
        </w:numPr>
        <w:tabs>
          <w:tab w:val="clear" w:pos="360"/>
          <w:tab w:val="num" w:pos="720"/>
        </w:tabs>
        <w:bidi/>
        <w:rPr>
          <w:rFonts w:ascii="Times New Roman" w:hAnsi="Times New Roman" w:cs="Times New Roman"/>
          <w:sz w:val="28"/>
          <w:szCs w:val="28"/>
        </w:rPr>
      </w:pPr>
      <w:r w:rsidRPr="00F806C7">
        <w:rPr>
          <w:rFonts w:ascii="Times New Roman" w:hAnsi="Times New Roman" w:cs="Times New Roman"/>
          <w:sz w:val="28"/>
          <w:szCs w:val="28"/>
          <w:rtl/>
        </w:rPr>
        <w:t>التحليل النوعي للمقابلات شبه المهيكلة</w:t>
      </w:r>
      <w:r w:rsidRPr="00F806C7">
        <w:rPr>
          <w:rFonts w:ascii="Times New Roman" w:hAnsi="Times New Roman" w:cs="Times New Roman"/>
          <w:sz w:val="28"/>
          <w:szCs w:val="28"/>
        </w:rPr>
        <w:t>.</w:t>
      </w:r>
    </w:p>
    <w:p w14:paraId="7653B695" w14:textId="10F78959" w:rsidR="00246378" w:rsidRPr="00246378" w:rsidRDefault="00DE731D" w:rsidP="00246378">
      <w:pPr>
        <w:numPr>
          <w:ilvl w:val="0"/>
          <w:numId w:val="117"/>
        </w:numPr>
        <w:tabs>
          <w:tab w:val="clear" w:pos="360"/>
          <w:tab w:val="num" w:pos="720"/>
        </w:tabs>
        <w:bidi/>
        <w:rPr>
          <w:rFonts w:ascii="Times New Roman" w:hAnsi="Times New Roman" w:cs="Times New Roman"/>
          <w:sz w:val="28"/>
          <w:szCs w:val="28"/>
        </w:rPr>
      </w:pPr>
      <w:r w:rsidRPr="00F806C7">
        <w:rPr>
          <w:rFonts w:ascii="Times New Roman" w:hAnsi="Times New Roman" w:cs="Times New Roman"/>
          <w:sz w:val="28"/>
          <w:szCs w:val="28"/>
          <w:rtl/>
        </w:rPr>
        <w:t xml:space="preserve">الدمج </w:t>
      </w:r>
      <w:r w:rsidRPr="004675F9">
        <w:rPr>
          <w:rFonts w:ascii="Times New Roman" w:hAnsi="Times New Roman" w:cs="Times New Roman"/>
          <w:sz w:val="28"/>
          <w:szCs w:val="28"/>
          <w:rtl/>
        </w:rPr>
        <w:t>والتكامل بين نتائج المنهجين للوصول إلى تفسير متكامل للظاهرة المدروسة</w:t>
      </w:r>
      <w:r w:rsidRPr="004675F9">
        <w:rPr>
          <w:rFonts w:ascii="Times New Roman" w:hAnsi="Times New Roman" w:cs="Times New Roman"/>
          <w:sz w:val="28"/>
          <w:szCs w:val="28"/>
        </w:rPr>
        <w:t>.</w:t>
      </w:r>
    </w:p>
    <w:p w14:paraId="1D9D4EB6" w14:textId="77777777" w:rsidR="00DE731D" w:rsidRPr="004675F9" w:rsidRDefault="00DE731D" w:rsidP="00DE731D">
      <w:pPr>
        <w:bidi/>
        <w:rPr>
          <w:rFonts w:ascii="Times New Roman" w:hAnsi="Times New Roman" w:cs="Times New Roman"/>
          <w:b/>
          <w:bCs/>
          <w:sz w:val="28"/>
          <w:szCs w:val="28"/>
          <w:rtl/>
        </w:rPr>
      </w:pPr>
      <w:r w:rsidRPr="004675F9">
        <w:rPr>
          <w:rFonts w:ascii="Times New Roman" w:hAnsi="Times New Roman" w:cs="Times New Roman"/>
          <w:b/>
          <w:bCs/>
          <w:sz w:val="28"/>
          <w:szCs w:val="28"/>
          <w:rtl/>
        </w:rPr>
        <w:t>3.7.1. إجراءات التحليل الكمي</w:t>
      </w:r>
    </w:p>
    <w:p w14:paraId="36E16B04" w14:textId="77777777" w:rsidR="00DE731D" w:rsidRPr="004675F9" w:rsidRDefault="00DE731D" w:rsidP="00DE731D">
      <w:pPr>
        <w:bidi/>
        <w:rPr>
          <w:rFonts w:ascii="Times New Roman" w:hAnsi="Times New Roman" w:cs="Times New Roman"/>
          <w:sz w:val="28"/>
          <w:szCs w:val="28"/>
        </w:rPr>
      </w:pPr>
      <w:r w:rsidRPr="004675F9">
        <w:rPr>
          <w:rFonts w:ascii="Times New Roman" w:hAnsi="Times New Roman" w:cs="Times New Roman"/>
          <w:sz w:val="28"/>
          <w:szCs w:val="28"/>
          <w:rtl/>
        </w:rPr>
        <w:t xml:space="preserve">سيتم تحليل البيانات الكمية باستخدام برامج </w:t>
      </w:r>
      <w:r w:rsidRPr="004675F9">
        <w:rPr>
          <w:rFonts w:ascii="Times New Roman" w:hAnsi="Times New Roman" w:cs="Times New Roman"/>
          <w:b/>
          <w:bCs/>
          <w:sz w:val="28"/>
          <w:szCs w:val="28"/>
        </w:rPr>
        <w:t xml:space="preserve">SPSS Version </w:t>
      </w:r>
      <w:proofErr w:type="gramStart"/>
      <w:r w:rsidRPr="004675F9">
        <w:rPr>
          <w:rFonts w:ascii="Times New Roman" w:hAnsi="Times New Roman" w:cs="Times New Roman"/>
          <w:b/>
          <w:bCs/>
          <w:sz w:val="28"/>
          <w:szCs w:val="28"/>
        </w:rPr>
        <w:t>28</w:t>
      </w:r>
      <w:r w:rsidRPr="004675F9">
        <w:rPr>
          <w:rFonts w:ascii="Times New Roman" w:hAnsi="Times New Roman" w:cs="Times New Roman"/>
          <w:b/>
          <w:bCs/>
          <w:sz w:val="28"/>
          <w:szCs w:val="28"/>
          <w:rtl/>
        </w:rPr>
        <w:t xml:space="preserve"> </w:t>
      </w:r>
      <w:r w:rsidRPr="004675F9">
        <w:rPr>
          <w:rFonts w:ascii="Times New Roman" w:hAnsi="Times New Roman" w:cs="Times New Roman"/>
          <w:sz w:val="28"/>
          <w:szCs w:val="28"/>
        </w:rPr>
        <w:t xml:space="preserve"> </w:t>
      </w:r>
      <w:r w:rsidRPr="004675F9">
        <w:rPr>
          <w:rFonts w:ascii="Times New Roman" w:hAnsi="Times New Roman" w:cs="Times New Roman"/>
          <w:sz w:val="28"/>
          <w:szCs w:val="28"/>
          <w:rtl/>
        </w:rPr>
        <w:t>في</w:t>
      </w:r>
      <w:proofErr w:type="gramEnd"/>
      <w:r w:rsidRPr="004675F9">
        <w:rPr>
          <w:rFonts w:ascii="Times New Roman" w:hAnsi="Times New Roman" w:cs="Times New Roman"/>
          <w:sz w:val="28"/>
          <w:szCs w:val="28"/>
          <w:rtl/>
        </w:rPr>
        <w:t xml:space="preserve"> بعض نماذج الوساطة. تم اختيار هذه الأدوات الإحصائية لمرونتها في معالجة البيانات المعقدة، وقدرتها على اختبار النماذج المفاهيمية المتعددة العلاقات.</w:t>
      </w:r>
    </w:p>
    <w:p w14:paraId="00D35C90" w14:textId="59ECD58C" w:rsidR="00DE731D" w:rsidRPr="004675F9" w:rsidRDefault="00611E7E" w:rsidP="00DE731D">
      <w:pPr>
        <w:bidi/>
        <w:rPr>
          <w:rFonts w:ascii="Times New Roman" w:hAnsi="Times New Roman" w:cs="Times New Roman"/>
          <w:sz w:val="28"/>
          <w:szCs w:val="28"/>
        </w:rPr>
      </w:pPr>
      <w:r w:rsidRPr="004675F9">
        <w:rPr>
          <w:rFonts w:ascii="Times New Roman" w:hAnsi="Times New Roman" w:cs="Times New Roman" w:hint="cs"/>
          <w:sz w:val="28"/>
          <w:szCs w:val="28"/>
          <w:rtl/>
        </w:rPr>
        <w:t>وست</w:t>
      </w:r>
      <w:r w:rsidR="00DE731D" w:rsidRPr="004675F9">
        <w:rPr>
          <w:rFonts w:ascii="Times New Roman" w:hAnsi="Times New Roman" w:cs="Times New Roman"/>
          <w:sz w:val="28"/>
          <w:szCs w:val="28"/>
          <w:rtl/>
        </w:rPr>
        <w:t>شمل مراحل التحليل الكمي الخطوات التالية</w:t>
      </w:r>
      <w:r w:rsidR="00DE731D" w:rsidRPr="004675F9">
        <w:rPr>
          <w:rFonts w:ascii="Times New Roman" w:hAnsi="Times New Roman" w:cs="Times New Roman"/>
          <w:sz w:val="28"/>
          <w:szCs w:val="28"/>
        </w:rPr>
        <w:t>:</w:t>
      </w:r>
    </w:p>
    <w:p w14:paraId="4792A733" w14:textId="77777777" w:rsidR="00DE731D" w:rsidRPr="004675F9" w:rsidRDefault="00DE731D" w:rsidP="00DE731D">
      <w:pPr>
        <w:bidi/>
        <w:rPr>
          <w:rFonts w:ascii="Times New Roman" w:hAnsi="Times New Roman" w:cs="Times New Roman"/>
          <w:b/>
          <w:bCs/>
          <w:sz w:val="28"/>
          <w:szCs w:val="28"/>
        </w:rPr>
      </w:pPr>
      <w:r w:rsidRPr="004675F9">
        <w:rPr>
          <w:rFonts w:ascii="Times New Roman" w:hAnsi="Times New Roman" w:cs="Times New Roman"/>
          <w:b/>
          <w:bCs/>
          <w:sz w:val="28"/>
          <w:szCs w:val="28"/>
          <w:rtl/>
        </w:rPr>
        <w:t xml:space="preserve">أولًا: الإحصاءات الوصفية </w:t>
      </w:r>
      <w:r w:rsidRPr="004675F9">
        <w:rPr>
          <w:rFonts w:ascii="Times New Roman" w:hAnsi="Times New Roman" w:cs="Times New Roman"/>
          <w:b/>
          <w:bCs/>
          <w:sz w:val="28"/>
          <w:szCs w:val="28"/>
        </w:rPr>
        <w:t>(Descriptive Statistics)</w:t>
      </w:r>
    </w:p>
    <w:p w14:paraId="602533C8" w14:textId="7DD8814D" w:rsidR="00DE731D" w:rsidRPr="004675F9" w:rsidRDefault="00E34DB7" w:rsidP="00DE731D">
      <w:pPr>
        <w:bidi/>
        <w:rPr>
          <w:rFonts w:ascii="Times New Roman" w:hAnsi="Times New Roman" w:cs="Times New Roman"/>
          <w:sz w:val="28"/>
          <w:szCs w:val="28"/>
        </w:rPr>
      </w:pPr>
      <w:r w:rsidRPr="004675F9">
        <w:rPr>
          <w:rFonts w:ascii="Times New Roman" w:hAnsi="Times New Roman" w:cs="Times New Roman" w:hint="cs"/>
          <w:sz w:val="28"/>
          <w:szCs w:val="28"/>
          <w:rtl/>
        </w:rPr>
        <w:t>سيتم</w:t>
      </w:r>
      <w:r w:rsidR="00DE731D" w:rsidRPr="004675F9">
        <w:rPr>
          <w:rFonts w:ascii="Times New Roman" w:hAnsi="Times New Roman" w:cs="Times New Roman"/>
          <w:sz w:val="28"/>
          <w:szCs w:val="28"/>
          <w:rtl/>
        </w:rPr>
        <w:t xml:space="preserve"> استخدام الإحصاءات الوصفية لتحليل الخصائص الديموغرافية للمشاركين (العمر، الجنس، التعليم، سنوات الخبرة، نوع الوظيفة، القطاع)، بالإضافة إلى حساب </w:t>
      </w:r>
      <w:r w:rsidR="00DE731D" w:rsidRPr="004675F9">
        <w:rPr>
          <w:rFonts w:ascii="Times New Roman" w:hAnsi="Times New Roman" w:cs="Times New Roman"/>
          <w:b/>
          <w:bCs/>
          <w:sz w:val="28"/>
          <w:szCs w:val="28"/>
          <w:rtl/>
        </w:rPr>
        <w:t>المتوسطات الحسابية، والانحرافات المعيارية، والنسب المئوية</w:t>
      </w:r>
      <w:r w:rsidR="00DE731D" w:rsidRPr="004675F9">
        <w:rPr>
          <w:rFonts w:ascii="Times New Roman" w:hAnsi="Times New Roman" w:cs="Times New Roman"/>
          <w:sz w:val="28"/>
          <w:szCs w:val="28"/>
          <w:rtl/>
        </w:rPr>
        <w:t xml:space="preserve"> لتوصيف اتجاهات استجابات العينة تجاه محاور الدراسة</w:t>
      </w:r>
      <w:r w:rsidR="00DE731D" w:rsidRPr="004675F9">
        <w:rPr>
          <w:rFonts w:ascii="Times New Roman" w:hAnsi="Times New Roman" w:cs="Times New Roman"/>
          <w:sz w:val="28"/>
          <w:szCs w:val="28"/>
        </w:rPr>
        <w:t>.</w:t>
      </w:r>
      <w:r w:rsidR="00DE731D" w:rsidRPr="004675F9">
        <w:rPr>
          <w:rFonts w:ascii="Times New Roman" w:hAnsi="Times New Roman" w:cs="Times New Roman"/>
          <w:sz w:val="28"/>
          <w:szCs w:val="28"/>
        </w:rPr>
        <w:br/>
      </w:r>
      <w:r w:rsidR="00DE731D" w:rsidRPr="004675F9">
        <w:rPr>
          <w:rFonts w:ascii="Times New Roman" w:hAnsi="Times New Roman" w:cs="Times New Roman"/>
          <w:sz w:val="28"/>
          <w:szCs w:val="28"/>
          <w:rtl/>
        </w:rPr>
        <w:t>تهدف هذه المرحلة إلى تكوين صورة عامة عن توزيع البيانات وتجانسها، وتحديد الاتجاهات السائدة في إدراك المبحوثين لممارسات</w:t>
      </w:r>
      <w:r w:rsidR="00DE731D" w:rsidRPr="004675F9">
        <w:rPr>
          <w:rFonts w:ascii="Times New Roman" w:hAnsi="Times New Roman" w:cs="Times New Roman"/>
          <w:sz w:val="28"/>
          <w:szCs w:val="28"/>
        </w:rPr>
        <w:t xml:space="preserve"> HPWS </w:t>
      </w:r>
      <w:r w:rsidR="00DE731D" w:rsidRPr="004675F9">
        <w:rPr>
          <w:rFonts w:ascii="Times New Roman" w:hAnsi="Times New Roman" w:cs="Times New Roman"/>
          <w:sz w:val="28"/>
          <w:szCs w:val="28"/>
          <w:rtl/>
        </w:rPr>
        <w:t>ومستوى الإبداع في بيئة العمل.</w:t>
      </w:r>
    </w:p>
    <w:p w14:paraId="0E406650" w14:textId="77777777" w:rsidR="00DE731D" w:rsidRPr="004675F9" w:rsidRDefault="00DE731D" w:rsidP="00DE731D">
      <w:pPr>
        <w:bidi/>
        <w:rPr>
          <w:rFonts w:ascii="Times New Roman" w:hAnsi="Times New Roman" w:cs="Times New Roman"/>
          <w:b/>
          <w:bCs/>
          <w:sz w:val="28"/>
          <w:szCs w:val="28"/>
        </w:rPr>
      </w:pPr>
      <w:r w:rsidRPr="004675F9">
        <w:rPr>
          <w:rFonts w:ascii="Times New Roman" w:hAnsi="Times New Roman" w:cs="Times New Roman"/>
          <w:b/>
          <w:bCs/>
          <w:sz w:val="28"/>
          <w:szCs w:val="28"/>
          <w:rtl/>
        </w:rPr>
        <w:t>ثانيًا: تحليل الارتباط والانحدار</w:t>
      </w:r>
      <w:r w:rsidRPr="004675F9">
        <w:rPr>
          <w:rFonts w:ascii="Times New Roman" w:hAnsi="Times New Roman" w:cs="Times New Roman"/>
          <w:b/>
          <w:bCs/>
          <w:sz w:val="28"/>
          <w:szCs w:val="28"/>
        </w:rPr>
        <w:t xml:space="preserve"> (Correlation and Regression Analysis)</w:t>
      </w:r>
    </w:p>
    <w:p w14:paraId="57A1B8B1" w14:textId="781F030B" w:rsidR="00DE731D" w:rsidRPr="00F806C7" w:rsidRDefault="00E34DB7" w:rsidP="00DE731D">
      <w:pPr>
        <w:bidi/>
        <w:rPr>
          <w:rFonts w:ascii="Times New Roman" w:hAnsi="Times New Roman" w:cs="Times New Roman"/>
          <w:sz w:val="28"/>
          <w:szCs w:val="28"/>
        </w:rPr>
      </w:pPr>
      <w:r w:rsidRPr="004675F9">
        <w:rPr>
          <w:rFonts w:ascii="Times New Roman" w:hAnsi="Times New Roman" w:cs="Times New Roman" w:hint="cs"/>
          <w:sz w:val="28"/>
          <w:szCs w:val="28"/>
          <w:rtl/>
        </w:rPr>
        <w:t>سيتم</w:t>
      </w:r>
      <w:r w:rsidR="00DE731D" w:rsidRPr="004675F9">
        <w:rPr>
          <w:rFonts w:ascii="Times New Roman" w:hAnsi="Times New Roman" w:cs="Times New Roman"/>
          <w:sz w:val="28"/>
          <w:szCs w:val="28"/>
          <w:rtl/>
        </w:rPr>
        <w:t xml:space="preserve"> اختبار طبيعة العلاقة بين المتغيرات الرئيسة باستخدام معامل ارتباط بيرسون</w:t>
      </w:r>
      <w:r w:rsidR="00DE731D" w:rsidRPr="004675F9">
        <w:rPr>
          <w:rFonts w:ascii="Times New Roman" w:hAnsi="Times New Roman" w:cs="Times New Roman"/>
          <w:sz w:val="28"/>
          <w:szCs w:val="28"/>
        </w:rPr>
        <w:t xml:space="preserve"> (Pearson’s r) </w:t>
      </w:r>
      <w:r w:rsidR="00DE731D" w:rsidRPr="004675F9">
        <w:rPr>
          <w:rFonts w:ascii="Times New Roman" w:hAnsi="Times New Roman" w:cs="Times New Roman"/>
          <w:sz w:val="28"/>
          <w:szCs w:val="28"/>
          <w:rtl/>
        </w:rPr>
        <w:t>لتحديد اتجاه وقوة العلاقات بين</w:t>
      </w:r>
      <w:r w:rsidR="00DE731D" w:rsidRPr="004675F9">
        <w:rPr>
          <w:rFonts w:ascii="Times New Roman" w:hAnsi="Times New Roman" w:cs="Times New Roman"/>
          <w:sz w:val="28"/>
          <w:szCs w:val="28"/>
        </w:rPr>
        <w:t xml:space="preserve"> HPWS</w:t>
      </w:r>
      <w:r w:rsidR="00DE731D" w:rsidRPr="004675F9">
        <w:rPr>
          <w:rFonts w:ascii="Times New Roman" w:hAnsi="Times New Roman" w:cs="Times New Roman"/>
          <w:sz w:val="28"/>
          <w:szCs w:val="28"/>
          <w:rtl/>
        </w:rPr>
        <w:t>، الثقافة التنظيمية، والأداء الإبداعي</w:t>
      </w:r>
      <w:r w:rsidR="00DE731D" w:rsidRPr="004675F9">
        <w:rPr>
          <w:rFonts w:ascii="Times New Roman" w:hAnsi="Times New Roman" w:cs="Times New Roman"/>
          <w:sz w:val="28"/>
          <w:szCs w:val="28"/>
        </w:rPr>
        <w:t>.</w:t>
      </w:r>
      <w:r w:rsidR="00DE731D" w:rsidRPr="004675F9">
        <w:rPr>
          <w:rFonts w:ascii="Times New Roman" w:hAnsi="Times New Roman" w:cs="Times New Roman"/>
          <w:sz w:val="28"/>
          <w:szCs w:val="28"/>
        </w:rPr>
        <w:br/>
      </w:r>
      <w:r w:rsidR="00DE731D" w:rsidRPr="004675F9">
        <w:rPr>
          <w:rFonts w:ascii="Times New Roman" w:hAnsi="Times New Roman" w:cs="Times New Roman"/>
          <w:sz w:val="28"/>
          <w:szCs w:val="28"/>
          <w:rtl/>
        </w:rPr>
        <w:lastRenderedPageBreak/>
        <w:t xml:space="preserve">بعد ذلك، </w:t>
      </w:r>
      <w:r w:rsidRPr="004675F9">
        <w:rPr>
          <w:rFonts w:ascii="Times New Roman" w:hAnsi="Times New Roman" w:cs="Times New Roman" w:hint="cs"/>
          <w:sz w:val="28"/>
          <w:szCs w:val="28"/>
          <w:rtl/>
        </w:rPr>
        <w:t>وايضا</w:t>
      </w:r>
      <w:r w:rsidR="00DE731D" w:rsidRPr="004675F9">
        <w:rPr>
          <w:rFonts w:ascii="Times New Roman" w:hAnsi="Times New Roman" w:cs="Times New Roman"/>
          <w:sz w:val="28"/>
          <w:szCs w:val="28"/>
          <w:rtl/>
        </w:rPr>
        <w:t xml:space="preserve"> تطبيق تحليل الانحدار المتعدد</w:t>
      </w:r>
      <w:r w:rsidR="00DE731D" w:rsidRPr="004675F9">
        <w:rPr>
          <w:rFonts w:ascii="Times New Roman" w:hAnsi="Times New Roman" w:cs="Times New Roman"/>
          <w:sz w:val="28"/>
          <w:szCs w:val="28"/>
        </w:rPr>
        <w:t xml:space="preserve"> (Multiple Regression Analysis) </w:t>
      </w:r>
      <w:r w:rsidR="00DE731D" w:rsidRPr="004675F9">
        <w:rPr>
          <w:rFonts w:ascii="Times New Roman" w:hAnsi="Times New Roman" w:cs="Times New Roman"/>
          <w:sz w:val="28"/>
          <w:szCs w:val="28"/>
          <w:rtl/>
        </w:rPr>
        <w:t>لاختبار تأثير</w:t>
      </w:r>
      <w:r w:rsidR="00DE731D" w:rsidRPr="004675F9">
        <w:rPr>
          <w:rFonts w:ascii="Times New Roman" w:hAnsi="Times New Roman" w:cs="Times New Roman"/>
          <w:sz w:val="28"/>
          <w:szCs w:val="28"/>
        </w:rPr>
        <w:t xml:space="preserve"> HPWS</w:t>
      </w:r>
      <w:r w:rsidRPr="004675F9">
        <w:rPr>
          <w:rFonts w:ascii="Times New Roman" w:hAnsi="Times New Roman" w:cs="Times New Roman" w:hint="cs"/>
          <w:sz w:val="28"/>
          <w:szCs w:val="28"/>
          <w:rtl/>
        </w:rPr>
        <w:t xml:space="preserve"> </w:t>
      </w:r>
      <w:r w:rsidR="00DE731D" w:rsidRPr="004675F9">
        <w:rPr>
          <w:rFonts w:ascii="Times New Roman" w:hAnsi="Times New Roman" w:cs="Times New Roman"/>
          <w:sz w:val="28"/>
          <w:szCs w:val="28"/>
          <w:rtl/>
        </w:rPr>
        <w:t>على الأداء الإبداعي، ودور الثقافة التنظيمية كوسيط جزئي أو كلي في هذه العلاقة</w:t>
      </w:r>
      <w:r w:rsidR="00DE731D" w:rsidRPr="004675F9">
        <w:rPr>
          <w:rFonts w:ascii="Times New Roman" w:hAnsi="Times New Roman" w:cs="Times New Roman"/>
          <w:sz w:val="28"/>
          <w:szCs w:val="28"/>
        </w:rPr>
        <w:t>.</w:t>
      </w:r>
      <w:r w:rsidR="00DE731D" w:rsidRPr="004675F9">
        <w:rPr>
          <w:rFonts w:ascii="Times New Roman" w:hAnsi="Times New Roman" w:cs="Times New Roman"/>
          <w:sz w:val="28"/>
          <w:szCs w:val="28"/>
        </w:rPr>
        <w:br/>
      </w:r>
      <w:r w:rsidR="00DE731D" w:rsidRPr="004675F9">
        <w:rPr>
          <w:rFonts w:ascii="Times New Roman" w:hAnsi="Times New Roman" w:cs="Times New Roman"/>
          <w:sz w:val="28"/>
          <w:szCs w:val="28"/>
          <w:rtl/>
        </w:rPr>
        <w:t>حيث يسمح هذا الأسلوب بتقدير الوزن النسبي لكل بُعد من أبعاد</w:t>
      </w:r>
      <w:r w:rsidR="00DE731D" w:rsidRPr="004675F9">
        <w:rPr>
          <w:rFonts w:ascii="Times New Roman" w:hAnsi="Times New Roman" w:cs="Times New Roman"/>
          <w:sz w:val="28"/>
          <w:szCs w:val="28"/>
        </w:rPr>
        <w:t xml:space="preserve"> HPWS </w:t>
      </w:r>
      <w:r w:rsidR="00DE731D" w:rsidRPr="004675F9">
        <w:rPr>
          <w:rFonts w:ascii="Times New Roman" w:hAnsi="Times New Roman" w:cs="Times New Roman"/>
          <w:sz w:val="28"/>
          <w:szCs w:val="28"/>
          <w:rtl/>
        </w:rPr>
        <w:t>في تفسير التباين في الأداء الإبداعي.</w:t>
      </w:r>
    </w:p>
    <w:p w14:paraId="72374FE4"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ثالثًا: اختبار الفروق (</w:t>
      </w:r>
      <w:r w:rsidRPr="00F806C7">
        <w:rPr>
          <w:rFonts w:ascii="Times New Roman" w:hAnsi="Times New Roman" w:cs="Times New Roman"/>
          <w:b/>
          <w:bCs/>
          <w:sz w:val="28"/>
          <w:szCs w:val="28"/>
        </w:rPr>
        <w:t>T-test</w:t>
      </w:r>
      <w:r w:rsidRPr="00F806C7">
        <w:rPr>
          <w:rFonts w:ascii="Times New Roman" w:hAnsi="Times New Roman" w:cs="Times New Roman"/>
          <w:b/>
          <w:bCs/>
          <w:sz w:val="28"/>
          <w:szCs w:val="28"/>
          <w:rtl/>
        </w:rPr>
        <w:t xml:space="preserve">، </w:t>
      </w:r>
      <w:r w:rsidRPr="00F806C7">
        <w:rPr>
          <w:rFonts w:ascii="Times New Roman" w:hAnsi="Times New Roman" w:cs="Times New Roman"/>
          <w:b/>
          <w:bCs/>
          <w:sz w:val="28"/>
          <w:szCs w:val="28"/>
        </w:rPr>
        <w:t>ANOVA</w:t>
      </w:r>
      <w:r w:rsidRPr="00F806C7">
        <w:rPr>
          <w:rFonts w:ascii="Times New Roman" w:hAnsi="Times New Roman" w:cs="Times New Roman"/>
          <w:b/>
          <w:bCs/>
          <w:sz w:val="28"/>
          <w:szCs w:val="28"/>
          <w:rtl/>
        </w:rPr>
        <w:t xml:space="preserve">) </w:t>
      </w:r>
    </w:p>
    <w:p w14:paraId="4F00C5C1" w14:textId="61DF2903"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للكشف عن الفروق الإحصائية بين المجموعات، </w:t>
      </w:r>
      <w:r w:rsidR="00E34DB7">
        <w:rPr>
          <w:rFonts w:ascii="Times New Roman" w:hAnsi="Times New Roman" w:cs="Times New Roman" w:hint="cs"/>
          <w:sz w:val="28"/>
          <w:szCs w:val="28"/>
          <w:rtl/>
        </w:rPr>
        <w:t>سيتم</w:t>
      </w:r>
      <w:r w:rsidRPr="00F806C7">
        <w:rPr>
          <w:rFonts w:ascii="Times New Roman" w:hAnsi="Times New Roman" w:cs="Times New Roman"/>
          <w:sz w:val="28"/>
          <w:szCs w:val="28"/>
          <w:rtl/>
        </w:rPr>
        <w:t xml:space="preserve"> استخدام</w:t>
      </w:r>
      <w:r w:rsidRPr="00F806C7">
        <w:rPr>
          <w:rFonts w:ascii="Times New Roman" w:hAnsi="Times New Roman" w:cs="Times New Roman"/>
          <w:sz w:val="28"/>
          <w:szCs w:val="28"/>
        </w:rPr>
        <w:t>:</w:t>
      </w:r>
    </w:p>
    <w:p w14:paraId="6BAF548D" w14:textId="77777777" w:rsidR="00DE731D" w:rsidRPr="00F806C7" w:rsidRDefault="00DE731D" w:rsidP="00DE731D">
      <w:pPr>
        <w:numPr>
          <w:ilvl w:val="0"/>
          <w:numId w:val="118"/>
        </w:numPr>
        <w:bidi/>
        <w:rPr>
          <w:rFonts w:ascii="Times New Roman" w:hAnsi="Times New Roman" w:cs="Times New Roman"/>
          <w:sz w:val="28"/>
          <w:szCs w:val="28"/>
        </w:rPr>
      </w:pPr>
      <w:r w:rsidRPr="00F806C7">
        <w:rPr>
          <w:rFonts w:ascii="Times New Roman" w:hAnsi="Times New Roman" w:cs="Times New Roman"/>
          <w:sz w:val="28"/>
          <w:szCs w:val="28"/>
          <w:rtl/>
        </w:rPr>
        <w:t>اختبار</w:t>
      </w:r>
      <w:r w:rsidRPr="00F806C7">
        <w:rPr>
          <w:rFonts w:ascii="Times New Roman" w:hAnsi="Times New Roman" w:cs="Times New Roman"/>
          <w:sz w:val="28"/>
          <w:szCs w:val="28"/>
        </w:rPr>
        <w:t xml:space="preserve"> (Independent Samples T-test) </w:t>
      </w:r>
      <w:r w:rsidRPr="00F806C7">
        <w:rPr>
          <w:rFonts w:ascii="Times New Roman" w:hAnsi="Times New Roman" w:cs="Times New Roman"/>
          <w:sz w:val="28"/>
          <w:szCs w:val="28"/>
          <w:rtl/>
        </w:rPr>
        <w:t>لمقارنة متوسطات الاستجابات بين قطاعي الفنادق والمطاعم</w:t>
      </w:r>
      <w:r w:rsidRPr="00F806C7">
        <w:rPr>
          <w:rFonts w:ascii="Times New Roman" w:hAnsi="Times New Roman" w:cs="Times New Roman"/>
          <w:sz w:val="28"/>
          <w:szCs w:val="28"/>
        </w:rPr>
        <w:t>.</w:t>
      </w:r>
    </w:p>
    <w:p w14:paraId="404BA474" w14:textId="77777777" w:rsidR="00DE731D" w:rsidRPr="00F806C7" w:rsidRDefault="00DE731D" w:rsidP="00DE731D">
      <w:pPr>
        <w:numPr>
          <w:ilvl w:val="0"/>
          <w:numId w:val="118"/>
        </w:numPr>
        <w:bidi/>
        <w:rPr>
          <w:rFonts w:ascii="Times New Roman" w:hAnsi="Times New Roman" w:cs="Times New Roman"/>
          <w:sz w:val="28"/>
          <w:szCs w:val="28"/>
        </w:rPr>
      </w:pPr>
      <w:r w:rsidRPr="00F806C7">
        <w:rPr>
          <w:rFonts w:ascii="Times New Roman" w:hAnsi="Times New Roman" w:cs="Times New Roman"/>
          <w:sz w:val="28"/>
          <w:szCs w:val="28"/>
          <w:rtl/>
        </w:rPr>
        <w:t>تحليل التباين الأحادي</w:t>
      </w:r>
      <w:r w:rsidRPr="00F806C7">
        <w:rPr>
          <w:rFonts w:ascii="Times New Roman" w:hAnsi="Times New Roman" w:cs="Times New Roman"/>
          <w:sz w:val="28"/>
          <w:szCs w:val="28"/>
        </w:rPr>
        <w:t xml:space="preserve"> (One-Way ANOVA) </w:t>
      </w:r>
      <w:r w:rsidRPr="00F806C7">
        <w:rPr>
          <w:rFonts w:ascii="Times New Roman" w:hAnsi="Times New Roman" w:cs="Times New Roman"/>
          <w:sz w:val="28"/>
          <w:szCs w:val="28"/>
          <w:rtl/>
        </w:rPr>
        <w:t>لدراسة الفروق بين الفئات الديموغرافية (مثل سنوات الخبرة أو المستوى الوظيفي)</w:t>
      </w:r>
      <w:r w:rsidRPr="00F806C7">
        <w:rPr>
          <w:rFonts w:ascii="Times New Roman" w:hAnsi="Times New Roman" w:cs="Times New Roman"/>
          <w:sz w:val="28"/>
          <w:szCs w:val="28"/>
        </w:rPr>
        <w:t>.</w:t>
      </w:r>
    </w:p>
    <w:p w14:paraId="30F0B9F4" w14:textId="5A492F45"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وفي حال وجود فروق دالة، </w:t>
      </w:r>
      <w:r w:rsidR="00611E7E">
        <w:rPr>
          <w:rFonts w:ascii="Times New Roman" w:hAnsi="Times New Roman" w:cs="Times New Roman" w:hint="cs"/>
          <w:sz w:val="28"/>
          <w:szCs w:val="28"/>
          <w:rtl/>
        </w:rPr>
        <w:t>سي</w:t>
      </w:r>
      <w:r w:rsidRPr="00F806C7">
        <w:rPr>
          <w:rFonts w:ascii="Times New Roman" w:hAnsi="Times New Roman" w:cs="Times New Roman"/>
          <w:sz w:val="28"/>
          <w:szCs w:val="28"/>
          <w:rtl/>
        </w:rPr>
        <w:t>تم تطبيق اختبار توكي</w:t>
      </w:r>
      <w:r w:rsidRPr="00F806C7">
        <w:rPr>
          <w:rFonts w:ascii="Times New Roman" w:hAnsi="Times New Roman" w:cs="Times New Roman"/>
          <w:sz w:val="28"/>
          <w:szCs w:val="28"/>
        </w:rPr>
        <w:t xml:space="preserve"> (Tukey Post Hoc Test) </w:t>
      </w:r>
      <w:r w:rsidRPr="00F806C7">
        <w:rPr>
          <w:rFonts w:ascii="Times New Roman" w:hAnsi="Times New Roman" w:cs="Times New Roman"/>
          <w:sz w:val="28"/>
          <w:szCs w:val="28"/>
          <w:rtl/>
        </w:rPr>
        <w:t>لتحديد مصدر الاختلاف بدقة</w:t>
      </w:r>
      <w:r w:rsidRPr="00F806C7">
        <w:rPr>
          <w:rFonts w:ascii="Times New Roman" w:hAnsi="Times New Roman" w:cs="Times New Roman"/>
          <w:sz w:val="28"/>
          <w:szCs w:val="28"/>
        </w:rPr>
        <w:t>.</w:t>
      </w:r>
      <w:r w:rsidRPr="00F806C7">
        <w:rPr>
          <w:rFonts w:ascii="Times New Roman" w:hAnsi="Times New Roman" w:cs="Times New Roman"/>
          <w:sz w:val="28"/>
          <w:szCs w:val="28"/>
        </w:rPr>
        <w:br/>
      </w:r>
      <w:r w:rsidRPr="00F806C7">
        <w:rPr>
          <w:rFonts w:ascii="Times New Roman" w:hAnsi="Times New Roman" w:cs="Times New Roman"/>
          <w:sz w:val="28"/>
          <w:szCs w:val="28"/>
          <w:rtl/>
        </w:rPr>
        <w:t>يتيح هذا التحليل اختبار فرضيات المقارنة وتحديد ما إذا كان السياق القطاعي يؤثر في العلاقة بين المتغيرات</w:t>
      </w:r>
      <w:r w:rsidRPr="00F806C7">
        <w:rPr>
          <w:rFonts w:ascii="Times New Roman" w:hAnsi="Times New Roman" w:cs="Times New Roman"/>
          <w:sz w:val="28"/>
          <w:szCs w:val="28"/>
        </w:rPr>
        <w:t>.</w:t>
      </w:r>
    </w:p>
    <w:p w14:paraId="1E1A87E1" w14:textId="71B99498"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رابعًا: اختبار الوساطة باستخدام</w:t>
      </w:r>
      <w:r w:rsidRPr="00F806C7">
        <w:rPr>
          <w:rFonts w:ascii="Times New Roman" w:hAnsi="Times New Roman" w:cs="Times New Roman"/>
          <w:sz w:val="28"/>
          <w:szCs w:val="28"/>
        </w:rPr>
        <w:t>SEM</w:t>
      </w:r>
      <w:r w:rsidR="00EF26A0">
        <w:rPr>
          <w:rFonts w:ascii="Times New Roman" w:hAnsi="Times New Roman" w:cs="Times New Roman"/>
          <w:sz w:val="28"/>
          <w:szCs w:val="28"/>
        </w:rPr>
        <w:t xml:space="preserve"> </w:t>
      </w:r>
      <w:r w:rsidR="00EF26A0">
        <w:rPr>
          <w:rFonts w:ascii="Times New Roman" w:hAnsi="Times New Roman" w:cs="Times New Roman"/>
          <w:sz w:val="28"/>
          <w:szCs w:val="28"/>
          <w:rtl/>
        </w:rPr>
        <w:tab/>
      </w:r>
    </w:p>
    <w:p w14:paraId="7ADB8C17" w14:textId="30E0DEB7" w:rsidR="00DE731D" w:rsidRPr="00F806C7" w:rsidRDefault="00EF26A0" w:rsidP="00DE731D">
      <w:pPr>
        <w:bidi/>
        <w:rPr>
          <w:rFonts w:ascii="Times New Roman" w:hAnsi="Times New Roman" w:cs="Times New Roman"/>
          <w:sz w:val="28"/>
          <w:szCs w:val="28"/>
        </w:rPr>
      </w:pPr>
      <w:r>
        <w:rPr>
          <w:rFonts w:ascii="Times New Roman" w:hAnsi="Times New Roman" w:cs="Times New Roman" w:hint="cs"/>
          <w:sz w:val="28"/>
          <w:szCs w:val="28"/>
          <w:rtl/>
          <w:lang w:bidi="ar-EG"/>
        </w:rPr>
        <w:t>سيتم</w:t>
      </w:r>
      <w:r w:rsidR="00DE731D" w:rsidRPr="00F806C7">
        <w:rPr>
          <w:rFonts w:ascii="Times New Roman" w:hAnsi="Times New Roman" w:cs="Times New Roman"/>
          <w:sz w:val="28"/>
          <w:szCs w:val="28"/>
          <w:rtl/>
        </w:rPr>
        <w:t xml:space="preserve"> اختبار الدور الوسيط للثقافة التنظيمية بين</w:t>
      </w:r>
      <w:r w:rsidR="00DE731D" w:rsidRPr="00F806C7">
        <w:rPr>
          <w:rFonts w:ascii="Times New Roman" w:hAnsi="Times New Roman" w:cs="Times New Roman"/>
          <w:sz w:val="28"/>
          <w:szCs w:val="28"/>
        </w:rPr>
        <w:t xml:space="preserve"> HPWS </w:t>
      </w:r>
      <w:r w:rsidR="00DE731D" w:rsidRPr="00F806C7">
        <w:rPr>
          <w:rFonts w:ascii="Times New Roman" w:hAnsi="Times New Roman" w:cs="Times New Roman"/>
          <w:sz w:val="28"/>
          <w:szCs w:val="28"/>
          <w:rtl/>
        </w:rPr>
        <w:t>والأداء الإبداعي باستخدام تقنيتين تكميليتين</w:t>
      </w:r>
      <w:r w:rsidR="00DE731D" w:rsidRPr="00F806C7">
        <w:rPr>
          <w:rFonts w:ascii="Times New Roman" w:hAnsi="Times New Roman" w:cs="Times New Roman"/>
          <w:sz w:val="28"/>
          <w:szCs w:val="28"/>
        </w:rPr>
        <w:t>:</w:t>
      </w:r>
    </w:p>
    <w:p w14:paraId="539A47E3" w14:textId="77777777" w:rsidR="00DE731D" w:rsidRPr="00F806C7" w:rsidRDefault="00DE731D" w:rsidP="00DE731D">
      <w:pPr>
        <w:numPr>
          <w:ilvl w:val="0"/>
          <w:numId w:val="119"/>
        </w:numPr>
        <w:bidi/>
        <w:rPr>
          <w:rFonts w:ascii="Times New Roman" w:hAnsi="Times New Roman" w:cs="Times New Roman"/>
          <w:sz w:val="28"/>
          <w:szCs w:val="28"/>
        </w:rPr>
      </w:pPr>
      <w:r w:rsidRPr="00F806C7">
        <w:rPr>
          <w:rFonts w:ascii="Times New Roman" w:hAnsi="Times New Roman" w:cs="Times New Roman"/>
          <w:b/>
          <w:bCs/>
          <w:sz w:val="28"/>
          <w:szCs w:val="28"/>
          <w:rtl/>
        </w:rPr>
        <w:t>تحليل المعادلات الهيكلية</w:t>
      </w:r>
      <w:r w:rsidRPr="00F806C7">
        <w:rPr>
          <w:rFonts w:ascii="Times New Roman" w:hAnsi="Times New Roman" w:cs="Times New Roman"/>
          <w:b/>
          <w:bCs/>
          <w:sz w:val="28"/>
          <w:szCs w:val="28"/>
        </w:rPr>
        <w:t xml:space="preserve"> (Structural Equation Modeling – SEM)</w:t>
      </w:r>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 xml:space="preserve">باستخدام برنامج </w:t>
      </w:r>
      <w:r w:rsidRPr="00F806C7">
        <w:rPr>
          <w:rFonts w:ascii="Times New Roman" w:hAnsi="Times New Roman" w:cs="Times New Roman"/>
          <w:b/>
          <w:bCs/>
          <w:sz w:val="28"/>
          <w:szCs w:val="28"/>
        </w:rPr>
        <w:t>AMOS</w:t>
      </w:r>
      <w:r w:rsidRPr="00F806C7">
        <w:rPr>
          <w:rFonts w:ascii="Times New Roman" w:hAnsi="Times New Roman" w:cs="Times New Roman"/>
          <w:sz w:val="28"/>
          <w:szCs w:val="28"/>
          <w:rtl/>
        </w:rPr>
        <w:t xml:space="preserve"> للتحقق من جودة النموذج الكلي والعلاقات السببية المفترضة بين المتغيرات</w:t>
      </w:r>
      <w:r w:rsidRPr="00F806C7">
        <w:rPr>
          <w:rFonts w:ascii="Times New Roman" w:hAnsi="Times New Roman" w:cs="Times New Roman"/>
          <w:sz w:val="28"/>
          <w:szCs w:val="28"/>
        </w:rPr>
        <w:t>.</w:t>
      </w:r>
    </w:p>
    <w:p w14:paraId="60C4C121" w14:textId="77777777" w:rsidR="00DE731D" w:rsidRDefault="00DE731D" w:rsidP="00DE731D">
      <w:pPr>
        <w:bidi/>
        <w:rPr>
          <w:rFonts w:ascii="Times New Roman" w:hAnsi="Times New Roman" w:cs="Times New Roman"/>
          <w:sz w:val="28"/>
          <w:szCs w:val="28"/>
          <w:rtl/>
        </w:rPr>
      </w:pPr>
      <w:r w:rsidRPr="00F806C7">
        <w:rPr>
          <w:rFonts w:ascii="Times New Roman" w:hAnsi="Times New Roman" w:cs="Times New Roman"/>
          <w:sz w:val="28"/>
          <w:szCs w:val="28"/>
          <w:rtl/>
        </w:rPr>
        <w:t>وكما تُعد هذه الخطوة مهمة في اختبار النموذج المفاهيمي للدراسة، لأنها تبيّن ما إذا كانت الثقافة التنظيمية تُعد آلية تفسيرية للعلاقة بين ممارسات</w:t>
      </w:r>
      <w:r w:rsidRPr="00F806C7">
        <w:rPr>
          <w:rFonts w:ascii="Times New Roman" w:hAnsi="Times New Roman" w:cs="Times New Roman"/>
          <w:sz w:val="28"/>
          <w:szCs w:val="28"/>
        </w:rPr>
        <w:t xml:space="preserve"> HPWS </w:t>
      </w:r>
      <w:r w:rsidRPr="00F806C7">
        <w:rPr>
          <w:rFonts w:ascii="Times New Roman" w:hAnsi="Times New Roman" w:cs="Times New Roman"/>
          <w:sz w:val="28"/>
          <w:szCs w:val="28"/>
          <w:rtl/>
        </w:rPr>
        <w:t>والإبداع الوظيفي</w:t>
      </w:r>
      <w:r w:rsidRPr="00F806C7">
        <w:rPr>
          <w:rFonts w:ascii="Times New Roman" w:hAnsi="Times New Roman" w:cs="Times New Roman"/>
          <w:sz w:val="28"/>
          <w:szCs w:val="28"/>
        </w:rPr>
        <w:t>.</w:t>
      </w:r>
    </w:p>
    <w:p w14:paraId="1D6E8ED6" w14:textId="77777777" w:rsidR="006F3055" w:rsidRPr="00F806C7" w:rsidRDefault="006F3055" w:rsidP="006F3055">
      <w:pPr>
        <w:bidi/>
        <w:rPr>
          <w:rFonts w:ascii="Times New Roman" w:hAnsi="Times New Roman" w:cs="Times New Roman"/>
          <w:sz w:val="28"/>
          <w:szCs w:val="28"/>
        </w:rPr>
      </w:pPr>
    </w:p>
    <w:p w14:paraId="3586B2C7"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3.8. الاعتبارات الأخلاقية للبحث</w:t>
      </w:r>
    </w:p>
    <w:p w14:paraId="0B855C5B"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sz w:val="28"/>
          <w:szCs w:val="28"/>
          <w:rtl/>
        </w:rPr>
        <w:t xml:space="preserve">تُعدّ الاعتبارات الأخلاقية من الركائز الأساسية في أي دراسة علمية، خصوصًا تلك التي تتعامل مع البشر كمشاركين في البحث. وتستند هذه الدراسة إلى المبادئ الأخلاقية المعتمدة في الأبحاث الأكاديمية، مثل احترام الكرامة الإنسانية، والشفافية، والسرية، والعدالة، والموافقة المستنيرة </w:t>
      </w:r>
      <w:r w:rsidRPr="00F806C7">
        <w:rPr>
          <w:rFonts w:ascii="Times New Roman" w:hAnsi="Times New Roman" w:cs="Times New Roman"/>
          <w:sz w:val="28"/>
          <w:szCs w:val="28"/>
          <w:rtl/>
        </w:rPr>
        <w:fldChar w:fldCharType="begin"/>
      </w:r>
      <w:r w:rsidRPr="00F806C7">
        <w:rPr>
          <w:rFonts w:ascii="Times New Roman" w:hAnsi="Times New Roman" w:cs="Times New Roman"/>
          <w:sz w:val="28"/>
          <w:szCs w:val="28"/>
          <w:rtl/>
        </w:rPr>
        <w:instrText xml:space="preserve"> </w:instrText>
      </w:r>
      <w:r w:rsidRPr="00F806C7">
        <w:rPr>
          <w:rFonts w:ascii="Times New Roman" w:hAnsi="Times New Roman" w:cs="Times New Roman"/>
          <w:sz w:val="28"/>
          <w:szCs w:val="28"/>
        </w:rPr>
        <w:instrText>ADDIN EN.CITE &lt;EndNote&gt;&lt;Cite&gt;&lt;Author&gt;Israel&lt;/Author&gt;&lt;Year&gt;2006&lt;/Year&gt;&lt;RecNum&gt;3103&lt;/RecNum&gt;&lt;DisplayText&gt;(Israel and Hay, 2006, Resnik, 2018)&lt;/DisplayText&gt;&lt;record&gt;&lt;rec-number&gt;3103&lt;/rec-number&gt;&lt;foreign-keys&gt;&lt;key app="EN" db-id="t5vttv59or5xwbe2zdm5ewrxd905arrpawff" timestamp="1760196814"&gt;3103&lt;/key&gt;&lt;/foreign-keys&gt;&lt;ref-type name="Book"&gt;6&lt;/ref-type&gt;&lt;contributors&gt;&lt;authors&gt;&lt;author&gt;Israel, Mark&lt;/author&gt;&lt;author&gt;Hay, Iain&lt;/author&gt;&lt;/authors&gt;&lt;/contributors&gt;&lt;titles&gt;&lt;title&gt;Research ethics for social scientists&lt;/title</w:instrText>
      </w:r>
      <w:r w:rsidRPr="00F806C7">
        <w:rPr>
          <w:rFonts w:ascii="Times New Roman" w:hAnsi="Times New Roman" w:cs="Times New Roman"/>
          <w:sz w:val="28"/>
          <w:szCs w:val="28"/>
          <w:rtl/>
        </w:rPr>
        <w:instrText>&gt;&lt;/</w:instrText>
      </w:r>
      <w:r w:rsidRPr="00F806C7">
        <w:rPr>
          <w:rFonts w:ascii="Times New Roman" w:hAnsi="Times New Roman" w:cs="Times New Roman"/>
          <w:sz w:val="28"/>
          <w:szCs w:val="28"/>
        </w:rPr>
        <w:instrText>titles&gt;&lt;dates&gt;&lt;year&gt;2006&lt;/year&gt;&lt;/dates&gt;&lt;publisher&gt;Sage&lt;/publisher&gt;&lt;isbn&gt;1847877761&lt;/isbn&gt;&lt;urls&gt;&lt;/urls&gt;&lt;/record&gt;&lt;/Cite&gt;&lt;Cite&gt;&lt;Author&gt;Resnik&lt;/Author&gt;&lt;Year&gt;2018&lt;/Year&gt;&lt;RecNum&gt;3104&lt;/RecNum&gt;&lt;record&gt;&lt;rec-number&gt;3104&lt;/rec-number&gt;&lt;foreign-keys&gt;&lt;key app="EN" db-id="t5vttv59or5xwbe2zdm5ewrxd905arrpawff" timestamp="1760196871"&gt;3104&lt;/key&gt;&lt;/foreign-keys&gt;&lt;ref-type name="Book"&gt;6&lt;/ref-type&gt;&lt;contributors&gt;&lt;authors&gt;&lt;author&gt;Resnik, David B&lt;/author&gt;&lt;/authors&gt;&lt;/contributors&gt;&lt;titles&gt;&lt;title&gt;The ethics of research with human subjects: Protecting people, advancing science, promoting trust&lt;/title&gt;&lt;/titles&gt;&lt;volume&gt;74&lt;/volume&gt;&lt;dates&gt;&lt;year&gt;2018&lt;/year&gt;&lt;/dates&gt;&lt;publisher&gt;Springer&lt;/publisher&gt;&lt;isbn&gt;3319687565&lt;/isbn&gt;&lt;urls&gt;&lt;/urls&gt;&lt;/record&gt;&lt;/Cite&gt;&lt;/EndNote</w:instrText>
      </w:r>
      <w:r w:rsidRPr="00F806C7">
        <w:rPr>
          <w:rFonts w:ascii="Times New Roman" w:hAnsi="Times New Roman" w:cs="Times New Roman"/>
          <w:sz w:val="28"/>
          <w:szCs w:val="28"/>
          <w:rtl/>
        </w:rPr>
        <w:instrText>&gt;</w:instrText>
      </w:r>
      <w:r w:rsidRPr="00F806C7">
        <w:rPr>
          <w:rFonts w:ascii="Times New Roman" w:hAnsi="Times New Roman" w:cs="Times New Roman"/>
          <w:sz w:val="28"/>
          <w:szCs w:val="28"/>
          <w:rtl/>
        </w:rPr>
        <w:fldChar w:fldCharType="separate"/>
      </w:r>
      <w:r w:rsidRPr="00F806C7">
        <w:rPr>
          <w:rFonts w:ascii="Times New Roman" w:hAnsi="Times New Roman" w:cs="Times New Roman"/>
          <w:noProof/>
          <w:sz w:val="28"/>
          <w:szCs w:val="28"/>
          <w:rtl/>
        </w:rPr>
        <w:t>(</w:t>
      </w:r>
      <w:r w:rsidRPr="00F806C7">
        <w:rPr>
          <w:rFonts w:ascii="Times New Roman" w:hAnsi="Times New Roman" w:cs="Times New Roman"/>
          <w:noProof/>
          <w:sz w:val="28"/>
          <w:szCs w:val="28"/>
        </w:rPr>
        <w:t>Israel and Hay, 2006, Resnik, 2018</w:t>
      </w:r>
      <w:r w:rsidRPr="00F806C7">
        <w:rPr>
          <w:rFonts w:ascii="Times New Roman" w:hAnsi="Times New Roman" w:cs="Times New Roman"/>
          <w:noProof/>
          <w:sz w:val="28"/>
          <w:szCs w:val="28"/>
          <w:rtl/>
        </w:rPr>
        <w:t>)</w:t>
      </w:r>
      <w:r w:rsidRPr="00F806C7">
        <w:rPr>
          <w:rFonts w:ascii="Times New Roman" w:hAnsi="Times New Roman" w:cs="Times New Roman"/>
          <w:sz w:val="28"/>
          <w:szCs w:val="28"/>
          <w:rtl/>
        </w:rPr>
        <w:fldChar w:fldCharType="end"/>
      </w:r>
      <w:r w:rsidRPr="00F806C7">
        <w:rPr>
          <w:rFonts w:ascii="Times New Roman" w:hAnsi="Times New Roman" w:cs="Times New Roman"/>
          <w:sz w:val="28"/>
          <w:szCs w:val="28"/>
          <w:rtl/>
        </w:rPr>
        <w:t>.</w:t>
      </w:r>
      <w:r w:rsidRPr="00F806C7">
        <w:rPr>
          <w:rFonts w:ascii="Times New Roman" w:hAnsi="Times New Roman" w:cs="Times New Roman"/>
          <w:sz w:val="28"/>
          <w:szCs w:val="28"/>
        </w:rPr>
        <w:br/>
      </w:r>
      <w:r w:rsidRPr="00F806C7">
        <w:rPr>
          <w:rFonts w:ascii="Times New Roman" w:hAnsi="Times New Roman" w:cs="Times New Roman"/>
          <w:sz w:val="28"/>
          <w:szCs w:val="28"/>
          <w:rtl/>
        </w:rPr>
        <w:t>وقد التزم الباحث بجميع الإجراءات الأخلاقية المعمول بها في الجامعات ومراكز البحوث في المملكة العربية السعودية، لضمان سلامة المشاركين وصحة البيانات التي تم جمعها، بما يتوافق مع معايير لجنة المراجعة المؤسسية.</w:t>
      </w:r>
    </w:p>
    <w:p w14:paraId="1634BD4B"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lastRenderedPageBreak/>
        <w:t xml:space="preserve">3.8.1. الموافقات الأخلاقية من لجنة المراجعة </w:t>
      </w:r>
      <w:r w:rsidRPr="00F806C7">
        <w:rPr>
          <w:rFonts w:ascii="Times New Roman" w:hAnsi="Times New Roman" w:cs="Times New Roman"/>
          <w:b/>
          <w:bCs/>
          <w:sz w:val="28"/>
          <w:szCs w:val="28"/>
        </w:rPr>
        <w:t>(IRB)</w:t>
      </w:r>
    </w:p>
    <w:p w14:paraId="004E9C80"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قبل البدء بجمع البيانات الميدانية، سيتم الحصول على الموافقة الأخلاقية الرسمية من لجنة المراجعة المؤسسية</w:t>
      </w:r>
      <w:r w:rsidRPr="00F806C7">
        <w:rPr>
          <w:rFonts w:ascii="Times New Roman" w:hAnsi="Times New Roman" w:cs="Times New Roman"/>
          <w:sz w:val="28"/>
          <w:szCs w:val="28"/>
        </w:rPr>
        <w:t xml:space="preserve"> (IRB) </w:t>
      </w:r>
      <w:r w:rsidRPr="00F806C7">
        <w:rPr>
          <w:rFonts w:ascii="Times New Roman" w:hAnsi="Times New Roman" w:cs="Times New Roman"/>
          <w:sz w:val="28"/>
          <w:szCs w:val="28"/>
          <w:rtl/>
        </w:rPr>
        <w:t>التابعة للجامعة</w:t>
      </w:r>
      <w:r w:rsidRPr="00F806C7">
        <w:rPr>
          <w:rFonts w:ascii="Times New Roman" w:hAnsi="Times New Roman" w:cs="Times New Roman"/>
          <w:sz w:val="28"/>
          <w:szCs w:val="28"/>
        </w:rPr>
        <w:t>.</w:t>
      </w:r>
      <w:r w:rsidRPr="00F806C7">
        <w:rPr>
          <w:rFonts w:ascii="Times New Roman" w:hAnsi="Times New Roman" w:cs="Times New Roman"/>
          <w:sz w:val="28"/>
          <w:szCs w:val="28"/>
        </w:rPr>
        <w:br/>
      </w:r>
      <w:r w:rsidRPr="00F806C7">
        <w:rPr>
          <w:rFonts w:ascii="Times New Roman" w:hAnsi="Times New Roman" w:cs="Times New Roman"/>
          <w:sz w:val="28"/>
          <w:szCs w:val="28"/>
          <w:rtl/>
        </w:rPr>
        <w:t>وسيتم تقديم ملف متكامل إلى اللجنة تتضمن ما يلي</w:t>
      </w:r>
      <w:r w:rsidRPr="00F806C7">
        <w:rPr>
          <w:rFonts w:ascii="Times New Roman" w:hAnsi="Times New Roman" w:cs="Times New Roman"/>
          <w:sz w:val="28"/>
          <w:szCs w:val="28"/>
        </w:rPr>
        <w:t>:</w:t>
      </w:r>
    </w:p>
    <w:p w14:paraId="62D67B18" w14:textId="77777777" w:rsidR="00DE731D" w:rsidRPr="00F806C7" w:rsidRDefault="00DE731D" w:rsidP="00DE731D">
      <w:pPr>
        <w:numPr>
          <w:ilvl w:val="0"/>
          <w:numId w:val="122"/>
        </w:numPr>
        <w:bidi/>
        <w:rPr>
          <w:rFonts w:ascii="Times New Roman" w:hAnsi="Times New Roman" w:cs="Times New Roman"/>
          <w:sz w:val="28"/>
          <w:szCs w:val="28"/>
        </w:rPr>
      </w:pPr>
      <w:r w:rsidRPr="00F806C7">
        <w:rPr>
          <w:rFonts w:ascii="Times New Roman" w:hAnsi="Times New Roman" w:cs="Times New Roman"/>
          <w:sz w:val="28"/>
          <w:szCs w:val="28"/>
          <w:rtl/>
        </w:rPr>
        <w:t>وصفًا تفصيليًا لأهداف الدراسة ومبرراتها</w:t>
      </w:r>
      <w:r w:rsidRPr="00F806C7">
        <w:rPr>
          <w:rFonts w:ascii="Times New Roman" w:hAnsi="Times New Roman" w:cs="Times New Roman"/>
          <w:sz w:val="28"/>
          <w:szCs w:val="28"/>
        </w:rPr>
        <w:t>.</w:t>
      </w:r>
    </w:p>
    <w:p w14:paraId="593D2215" w14:textId="77777777" w:rsidR="00DE731D" w:rsidRPr="00F806C7" w:rsidRDefault="00DE731D" w:rsidP="00DE731D">
      <w:pPr>
        <w:numPr>
          <w:ilvl w:val="0"/>
          <w:numId w:val="122"/>
        </w:numPr>
        <w:bidi/>
        <w:rPr>
          <w:rFonts w:ascii="Times New Roman" w:hAnsi="Times New Roman" w:cs="Times New Roman"/>
          <w:sz w:val="28"/>
          <w:szCs w:val="28"/>
        </w:rPr>
      </w:pPr>
      <w:r w:rsidRPr="00F806C7">
        <w:rPr>
          <w:rFonts w:ascii="Times New Roman" w:hAnsi="Times New Roman" w:cs="Times New Roman"/>
          <w:sz w:val="28"/>
          <w:szCs w:val="28"/>
          <w:rtl/>
        </w:rPr>
        <w:t>نسخًا من أدوات جمع البيانات (الاستبيان ودليل المقابلة)</w:t>
      </w:r>
      <w:r w:rsidRPr="00F806C7">
        <w:rPr>
          <w:rFonts w:ascii="Times New Roman" w:hAnsi="Times New Roman" w:cs="Times New Roman"/>
          <w:sz w:val="28"/>
          <w:szCs w:val="28"/>
        </w:rPr>
        <w:t>.</w:t>
      </w:r>
    </w:p>
    <w:p w14:paraId="19516A1B" w14:textId="77777777" w:rsidR="00DE731D" w:rsidRPr="00F806C7" w:rsidRDefault="00DE731D" w:rsidP="00DE731D">
      <w:pPr>
        <w:numPr>
          <w:ilvl w:val="0"/>
          <w:numId w:val="122"/>
        </w:numPr>
        <w:bidi/>
        <w:rPr>
          <w:rFonts w:ascii="Times New Roman" w:hAnsi="Times New Roman" w:cs="Times New Roman"/>
          <w:sz w:val="28"/>
          <w:szCs w:val="28"/>
        </w:rPr>
      </w:pPr>
      <w:r w:rsidRPr="00F806C7">
        <w:rPr>
          <w:rFonts w:ascii="Times New Roman" w:hAnsi="Times New Roman" w:cs="Times New Roman"/>
          <w:sz w:val="28"/>
          <w:szCs w:val="28"/>
          <w:rtl/>
        </w:rPr>
        <w:t>خطة توضح أساليب جمع البيانات وحماية سرية المشاركين</w:t>
      </w:r>
      <w:r w:rsidRPr="00F806C7">
        <w:rPr>
          <w:rFonts w:ascii="Times New Roman" w:hAnsi="Times New Roman" w:cs="Times New Roman"/>
          <w:sz w:val="28"/>
          <w:szCs w:val="28"/>
        </w:rPr>
        <w:t>.</w:t>
      </w:r>
    </w:p>
    <w:p w14:paraId="6360458E" w14:textId="77777777" w:rsidR="00DE731D" w:rsidRPr="00F806C7" w:rsidRDefault="00DE731D" w:rsidP="00DE731D">
      <w:pPr>
        <w:numPr>
          <w:ilvl w:val="0"/>
          <w:numId w:val="122"/>
        </w:numPr>
        <w:bidi/>
        <w:rPr>
          <w:rFonts w:ascii="Times New Roman" w:hAnsi="Times New Roman" w:cs="Times New Roman"/>
          <w:sz w:val="28"/>
          <w:szCs w:val="28"/>
        </w:rPr>
      </w:pPr>
      <w:r w:rsidRPr="00F806C7">
        <w:rPr>
          <w:rFonts w:ascii="Times New Roman" w:hAnsi="Times New Roman" w:cs="Times New Roman"/>
          <w:sz w:val="28"/>
          <w:szCs w:val="28"/>
          <w:rtl/>
        </w:rPr>
        <w:t>نماذج الموافقة المستنيرة</w:t>
      </w:r>
      <w:r w:rsidRPr="00F806C7">
        <w:rPr>
          <w:rFonts w:ascii="Times New Roman" w:hAnsi="Times New Roman" w:cs="Times New Roman"/>
          <w:sz w:val="28"/>
          <w:szCs w:val="28"/>
        </w:rPr>
        <w:t>.</w:t>
      </w:r>
    </w:p>
    <w:p w14:paraId="7F5937D1" w14:textId="77777777"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وبعد مراجعة الملف من قبل اللجنة، والحصول على الموافقة على لإجراء البحث وفق الضوابط الأخلاقية المعتمدة،</w:t>
      </w:r>
      <w:r w:rsidRPr="00F806C7">
        <w:rPr>
          <w:rFonts w:ascii="Times New Roman" w:hAnsi="Times New Roman" w:cs="Times New Roman"/>
          <w:sz w:val="28"/>
          <w:szCs w:val="28"/>
        </w:rPr>
        <w:br/>
      </w:r>
      <w:r w:rsidRPr="00F806C7">
        <w:rPr>
          <w:rFonts w:ascii="Times New Roman" w:hAnsi="Times New Roman" w:cs="Times New Roman"/>
          <w:sz w:val="28"/>
          <w:szCs w:val="28"/>
          <w:rtl/>
        </w:rPr>
        <w:t>وتُعد هذه الخطوة ضرورية لضمان التزام الباحث بمعايير الأمان البحثي ومنع أي انتهاك لحقوق المشاركين أو إساءة لاستخدام البيانات.</w:t>
      </w:r>
    </w:p>
    <w:p w14:paraId="1CBF47F6"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 xml:space="preserve">3.8.2. الموافقة المستنيرة للمشاركين </w:t>
      </w:r>
      <w:r w:rsidRPr="00F806C7">
        <w:rPr>
          <w:rFonts w:ascii="Times New Roman" w:hAnsi="Times New Roman" w:cs="Times New Roman"/>
          <w:b/>
          <w:bCs/>
          <w:sz w:val="28"/>
          <w:szCs w:val="28"/>
        </w:rPr>
        <w:t>(Informed Consent)</w:t>
      </w:r>
    </w:p>
    <w:p w14:paraId="71386595" w14:textId="61432A13" w:rsidR="00DE731D" w:rsidRPr="00F806C7" w:rsidRDefault="00611E7E" w:rsidP="00DE731D">
      <w:pPr>
        <w:bidi/>
        <w:rPr>
          <w:rFonts w:ascii="Times New Roman" w:hAnsi="Times New Roman" w:cs="Times New Roman"/>
          <w:sz w:val="28"/>
          <w:szCs w:val="28"/>
        </w:rPr>
      </w:pPr>
      <w:r>
        <w:rPr>
          <w:rFonts w:ascii="Times New Roman" w:hAnsi="Times New Roman" w:cs="Times New Roman" w:hint="cs"/>
          <w:sz w:val="28"/>
          <w:szCs w:val="28"/>
          <w:rtl/>
        </w:rPr>
        <w:t>سي</w:t>
      </w:r>
      <w:r w:rsidR="00DE731D" w:rsidRPr="00F806C7">
        <w:rPr>
          <w:rFonts w:ascii="Times New Roman" w:hAnsi="Times New Roman" w:cs="Times New Roman"/>
          <w:sz w:val="28"/>
          <w:szCs w:val="28"/>
          <w:rtl/>
        </w:rPr>
        <w:t>حرص الباحث على ضمان مشاركة الأفراد في الدراسة بشكل طوعي تمامًا بعد حصولهم على معلومات كافية حول أهداف البحث وطبيعته وإجراءاته</w:t>
      </w:r>
      <w:r w:rsidR="00DE731D" w:rsidRPr="00F806C7">
        <w:rPr>
          <w:rFonts w:ascii="Times New Roman" w:hAnsi="Times New Roman" w:cs="Times New Roman"/>
          <w:sz w:val="28"/>
          <w:szCs w:val="28"/>
        </w:rPr>
        <w:t>.</w:t>
      </w:r>
      <w:r w:rsidR="00DE731D" w:rsidRPr="00F806C7">
        <w:rPr>
          <w:rFonts w:ascii="Times New Roman" w:hAnsi="Times New Roman" w:cs="Times New Roman"/>
          <w:sz w:val="28"/>
          <w:szCs w:val="28"/>
        </w:rPr>
        <w:br/>
      </w:r>
      <w:r>
        <w:rPr>
          <w:rFonts w:ascii="Times New Roman" w:hAnsi="Times New Roman" w:cs="Times New Roman" w:hint="cs"/>
          <w:sz w:val="28"/>
          <w:szCs w:val="28"/>
          <w:rtl/>
        </w:rPr>
        <w:t>وسيتم</w:t>
      </w:r>
      <w:r w:rsidRPr="00F806C7">
        <w:rPr>
          <w:rFonts w:ascii="Times New Roman" w:hAnsi="Times New Roman" w:cs="Times New Roman"/>
          <w:sz w:val="28"/>
          <w:szCs w:val="28"/>
          <w:rtl/>
        </w:rPr>
        <w:t xml:space="preserve"> </w:t>
      </w:r>
      <w:r w:rsidR="00DE731D" w:rsidRPr="00F806C7">
        <w:rPr>
          <w:rFonts w:ascii="Times New Roman" w:hAnsi="Times New Roman" w:cs="Times New Roman"/>
          <w:sz w:val="28"/>
          <w:szCs w:val="28"/>
          <w:rtl/>
        </w:rPr>
        <w:t>تم تزويد المشاركين بنموذج موافقة مستنيرة مكتوبة يوضح</w:t>
      </w:r>
      <w:r w:rsidR="00DE731D" w:rsidRPr="00F806C7">
        <w:rPr>
          <w:rFonts w:ascii="Times New Roman" w:hAnsi="Times New Roman" w:cs="Times New Roman"/>
          <w:sz w:val="28"/>
          <w:szCs w:val="28"/>
        </w:rPr>
        <w:t>:</w:t>
      </w:r>
    </w:p>
    <w:p w14:paraId="1B9DEE55" w14:textId="77777777" w:rsidR="00DE731D" w:rsidRPr="00F806C7" w:rsidRDefault="00DE731D" w:rsidP="00DE731D">
      <w:pPr>
        <w:numPr>
          <w:ilvl w:val="0"/>
          <w:numId w:val="123"/>
        </w:numPr>
        <w:bidi/>
        <w:rPr>
          <w:rFonts w:ascii="Times New Roman" w:hAnsi="Times New Roman" w:cs="Times New Roman"/>
          <w:sz w:val="28"/>
          <w:szCs w:val="28"/>
        </w:rPr>
      </w:pPr>
      <w:r w:rsidRPr="00F806C7">
        <w:rPr>
          <w:rFonts w:ascii="Times New Roman" w:hAnsi="Times New Roman" w:cs="Times New Roman"/>
          <w:sz w:val="28"/>
          <w:szCs w:val="28"/>
          <w:rtl/>
        </w:rPr>
        <w:t>الغرض من الدراسة وأهدافها</w:t>
      </w:r>
      <w:r w:rsidRPr="00F806C7">
        <w:rPr>
          <w:rFonts w:ascii="Times New Roman" w:hAnsi="Times New Roman" w:cs="Times New Roman"/>
          <w:sz w:val="28"/>
          <w:szCs w:val="28"/>
        </w:rPr>
        <w:t>.</w:t>
      </w:r>
    </w:p>
    <w:p w14:paraId="14CCE742" w14:textId="77777777" w:rsidR="00DE731D" w:rsidRPr="00F806C7" w:rsidRDefault="00DE731D" w:rsidP="00DE731D">
      <w:pPr>
        <w:numPr>
          <w:ilvl w:val="0"/>
          <w:numId w:val="123"/>
        </w:numPr>
        <w:bidi/>
        <w:rPr>
          <w:rFonts w:ascii="Times New Roman" w:hAnsi="Times New Roman" w:cs="Times New Roman"/>
          <w:sz w:val="28"/>
          <w:szCs w:val="28"/>
        </w:rPr>
      </w:pPr>
      <w:r w:rsidRPr="00F806C7">
        <w:rPr>
          <w:rFonts w:ascii="Times New Roman" w:hAnsi="Times New Roman" w:cs="Times New Roman"/>
          <w:sz w:val="28"/>
          <w:szCs w:val="28"/>
          <w:rtl/>
        </w:rPr>
        <w:t>نوع المعلومات المطلوبة</w:t>
      </w:r>
      <w:r w:rsidRPr="00F806C7">
        <w:rPr>
          <w:rFonts w:ascii="Times New Roman" w:hAnsi="Times New Roman" w:cs="Times New Roman"/>
          <w:sz w:val="28"/>
          <w:szCs w:val="28"/>
        </w:rPr>
        <w:t>.</w:t>
      </w:r>
    </w:p>
    <w:p w14:paraId="13D0812E" w14:textId="77777777" w:rsidR="00DE731D" w:rsidRPr="00F806C7" w:rsidRDefault="00DE731D" w:rsidP="00DE731D">
      <w:pPr>
        <w:numPr>
          <w:ilvl w:val="0"/>
          <w:numId w:val="123"/>
        </w:numPr>
        <w:bidi/>
        <w:rPr>
          <w:rFonts w:ascii="Times New Roman" w:hAnsi="Times New Roman" w:cs="Times New Roman"/>
          <w:sz w:val="28"/>
          <w:szCs w:val="28"/>
        </w:rPr>
      </w:pPr>
      <w:r w:rsidRPr="00F806C7">
        <w:rPr>
          <w:rFonts w:ascii="Times New Roman" w:hAnsi="Times New Roman" w:cs="Times New Roman"/>
          <w:sz w:val="28"/>
          <w:szCs w:val="28"/>
          <w:rtl/>
        </w:rPr>
        <w:t>المدة المتوقعة للإجابة أو المقابلة</w:t>
      </w:r>
      <w:r w:rsidRPr="00F806C7">
        <w:rPr>
          <w:rFonts w:ascii="Times New Roman" w:hAnsi="Times New Roman" w:cs="Times New Roman"/>
          <w:sz w:val="28"/>
          <w:szCs w:val="28"/>
        </w:rPr>
        <w:t>.</w:t>
      </w:r>
    </w:p>
    <w:p w14:paraId="40F89003" w14:textId="77777777" w:rsidR="00DE731D" w:rsidRPr="00F806C7" w:rsidRDefault="00DE731D" w:rsidP="00DE731D">
      <w:pPr>
        <w:numPr>
          <w:ilvl w:val="0"/>
          <w:numId w:val="123"/>
        </w:numPr>
        <w:bidi/>
        <w:rPr>
          <w:rFonts w:ascii="Times New Roman" w:hAnsi="Times New Roman" w:cs="Times New Roman"/>
          <w:sz w:val="28"/>
          <w:szCs w:val="28"/>
        </w:rPr>
      </w:pPr>
      <w:r w:rsidRPr="00F806C7">
        <w:rPr>
          <w:rFonts w:ascii="Times New Roman" w:hAnsi="Times New Roman" w:cs="Times New Roman"/>
          <w:sz w:val="28"/>
          <w:szCs w:val="28"/>
          <w:rtl/>
        </w:rPr>
        <w:t>حق المشارك في الانسحاب في أي وقت دون أي تبعات</w:t>
      </w:r>
      <w:r w:rsidRPr="00F806C7">
        <w:rPr>
          <w:rFonts w:ascii="Times New Roman" w:hAnsi="Times New Roman" w:cs="Times New Roman"/>
          <w:sz w:val="28"/>
          <w:szCs w:val="28"/>
        </w:rPr>
        <w:t>.</w:t>
      </w:r>
    </w:p>
    <w:p w14:paraId="1AB995D0" w14:textId="77777777" w:rsidR="00DE731D" w:rsidRPr="00F806C7" w:rsidRDefault="00DE731D" w:rsidP="00DE731D">
      <w:pPr>
        <w:numPr>
          <w:ilvl w:val="0"/>
          <w:numId w:val="123"/>
        </w:numPr>
        <w:bidi/>
        <w:rPr>
          <w:rFonts w:ascii="Times New Roman" w:hAnsi="Times New Roman" w:cs="Times New Roman"/>
          <w:sz w:val="28"/>
          <w:szCs w:val="28"/>
        </w:rPr>
      </w:pPr>
      <w:r w:rsidRPr="00F806C7">
        <w:rPr>
          <w:rFonts w:ascii="Times New Roman" w:hAnsi="Times New Roman" w:cs="Times New Roman"/>
          <w:sz w:val="28"/>
          <w:szCs w:val="28"/>
          <w:rtl/>
        </w:rPr>
        <w:t>التأكيد على أن البيانات ستُستخدم لأغراض البحث العلمي فقط</w:t>
      </w:r>
      <w:r w:rsidRPr="00F806C7">
        <w:rPr>
          <w:rFonts w:ascii="Times New Roman" w:hAnsi="Times New Roman" w:cs="Times New Roman"/>
          <w:sz w:val="28"/>
          <w:szCs w:val="28"/>
        </w:rPr>
        <w:t>.</w:t>
      </w:r>
    </w:p>
    <w:p w14:paraId="5CB5146B" w14:textId="5418D13A" w:rsidR="00DE731D" w:rsidRDefault="00DE731D" w:rsidP="00DE731D">
      <w:pPr>
        <w:bidi/>
        <w:rPr>
          <w:rFonts w:ascii="Times New Roman" w:hAnsi="Times New Roman" w:cs="Times New Roman"/>
          <w:sz w:val="28"/>
          <w:szCs w:val="28"/>
          <w:rtl/>
        </w:rPr>
      </w:pPr>
      <w:r w:rsidRPr="00F806C7">
        <w:rPr>
          <w:rFonts w:ascii="Times New Roman" w:hAnsi="Times New Roman" w:cs="Times New Roman"/>
          <w:sz w:val="28"/>
          <w:szCs w:val="28"/>
          <w:rtl/>
        </w:rPr>
        <w:t xml:space="preserve">في حالة المقابلات، </w:t>
      </w:r>
      <w:r w:rsidR="00611E7E">
        <w:rPr>
          <w:rFonts w:ascii="Times New Roman" w:hAnsi="Times New Roman" w:cs="Times New Roman" w:hint="cs"/>
          <w:sz w:val="28"/>
          <w:szCs w:val="28"/>
          <w:rtl/>
        </w:rPr>
        <w:t>سي</w:t>
      </w:r>
      <w:r w:rsidR="00611E7E" w:rsidRPr="00F806C7">
        <w:rPr>
          <w:rFonts w:ascii="Times New Roman" w:hAnsi="Times New Roman" w:cs="Times New Roman"/>
          <w:sz w:val="28"/>
          <w:szCs w:val="28"/>
          <w:rtl/>
        </w:rPr>
        <w:t xml:space="preserve">تم </w:t>
      </w:r>
      <w:r w:rsidRPr="00F806C7">
        <w:rPr>
          <w:rFonts w:ascii="Times New Roman" w:hAnsi="Times New Roman" w:cs="Times New Roman"/>
          <w:sz w:val="28"/>
          <w:szCs w:val="28"/>
          <w:rtl/>
        </w:rPr>
        <w:t>توضيح أن التسجيل الصوتي سيتم بعد الحصول على إذن صريح من المشارك</w:t>
      </w:r>
      <w:r w:rsidRPr="00F806C7">
        <w:rPr>
          <w:rFonts w:ascii="Times New Roman" w:hAnsi="Times New Roman" w:cs="Times New Roman"/>
          <w:sz w:val="28"/>
          <w:szCs w:val="28"/>
        </w:rPr>
        <w:t>.</w:t>
      </w:r>
      <w:r w:rsidRPr="00F806C7">
        <w:rPr>
          <w:rFonts w:ascii="Times New Roman" w:hAnsi="Times New Roman" w:cs="Times New Roman"/>
          <w:sz w:val="28"/>
          <w:szCs w:val="28"/>
        </w:rPr>
        <w:br/>
      </w:r>
      <w:r w:rsidRPr="00F806C7">
        <w:rPr>
          <w:rFonts w:ascii="Times New Roman" w:hAnsi="Times New Roman" w:cs="Times New Roman"/>
          <w:sz w:val="28"/>
          <w:szCs w:val="28"/>
          <w:rtl/>
        </w:rPr>
        <w:t>كما تمت طباعة الاستمارات باللغتين العربية والإنجليزية لضمان وضوحها لجميع المشاركين، خصوصًا في ظل تنوع القوى العاملة في قطاعي الفنادق والمطاعم</w:t>
      </w:r>
      <w:r w:rsidRPr="00F806C7">
        <w:rPr>
          <w:rFonts w:ascii="Times New Roman" w:hAnsi="Times New Roman" w:cs="Times New Roman"/>
          <w:sz w:val="28"/>
          <w:szCs w:val="28"/>
        </w:rPr>
        <w:t>.</w:t>
      </w:r>
    </w:p>
    <w:p w14:paraId="4CC43ECF" w14:textId="77777777" w:rsidR="006F3055" w:rsidRDefault="006F3055" w:rsidP="006F3055">
      <w:pPr>
        <w:bidi/>
        <w:rPr>
          <w:rFonts w:ascii="Times New Roman" w:hAnsi="Times New Roman" w:cs="Times New Roman"/>
          <w:sz w:val="28"/>
          <w:szCs w:val="28"/>
          <w:rtl/>
        </w:rPr>
      </w:pPr>
    </w:p>
    <w:p w14:paraId="65FBCD6D" w14:textId="77777777" w:rsidR="006F3055" w:rsidRDefault="006F3055" w:rsidP="006F3055">
      <w:pPr>
        <w:bidi/>
        <w:rPr>
          <w:rFonts w:ascii="Times New Roman" w:hAnsi="Times New Roman" w:cs="Times New Roman"/>
          <w:sz w:val="28"/>
          <w:szCs w:val="28"/>
          <w:rtl/>
        </w:rPr>
      </w:pPr>
    </w:p>
    <w:p w14:paraId="370C135C" w14:textId="77777777" w:rsidR="006F3055" w:rsidRPr="00F806C7" w:rsidRDefault="006F3055" w:rsidP="006F3055">
      <w:pPr>
        <w:bidi/>
        <w:rPr>
          <w:rFonts w:ascii="Times New Roman" w:hAnsi="Times New Roman" w:cs="Times New Roman"/>
          <w:sz w:val="28"/>
          <w:szCs w:val="28"/>
        </w:rPr>
      </w:pPr>
    </w:p>
    <w:p w14:paraId="29DD2E21"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lastRenderedPageBreak/>
        <w:t xml:space="preserve">3.8.3. السرية وحماية الخصوصية </w:t>
      </w:r>
      <w:r w:rsidRPr="00F806C7">
        <w:rPr>
          <w:rFonts w:ascii="Times New Roman" w:hAnsi="Times New Roman" w:cs="Times New Roman"/>
          <w:b/>
          <w:bCs/>
          <w:sz w:val="28"/>
          <w:szCs w:val="28"/>
        </w:rPr>
        <w:t>(Confidentiality and Privacy)</w:t>
      </w:r>
    </w:p>
    <w:p w14:paraId="253F78FD" w14:textId="17290307" w:rsidR="00DE731D" w:rsidRPr="00F806C7" w:rsidRDefault="00611E7E" w:rsidP="00DE731D">
      <w:pPr>
        <w:bidi/>
        <w:rPr>
          <w:rFonts w:ascii="Times New Roman" w:hAnsi="Times New Roman" w:cs="Times New Roman"/>
          <w:sz w:val="28"/>
          <w:szCs w:val="28"/>
        </w:rPr>
      </w:pPr>
      <w:r>
        <w:rPr>
          <w:rFonts w:ascii="Times New Roman" w:hAnsi="Times New Roman" w:cs="Times New Roman" w:hint="cs"/>
          <w:sz w:val="28"/>
          <w:szCs w:val="28"/>
          <w:rtl/>
        </w:rPr>
        <w:t>سي</w:t>
      </w:r>
      <w:r w:rsidRPr="00F806C7">
        <w:rPr>
          <w:rFonts w:ascii="Times New Roman" w:hAnsi="Times New Roman" w:cs="Times New Roman"/>
          <w:sz w:val="28"/>
          <w:szCs w:val="28"/>
          <w:rtl/>
        </w:rPr>
        <w:t xml:space="preserve">تم </w:t>
      </w:r>
      <w:r w:rsidR="00DE731D" w:rsidRPr="00F806C7">
        <w:rPr>
          <w:rFonts w:ascii="Times New Roman" w:hAnsi="Times New Roman" w:cs="Times New Roman"/>
          <w:sz w:val="28"/>
          <w:szCs w:val="28"/>
          <w:rtl/>
        </w:rPr>
        <w:t xml:space="preserve">الالتزام بمبدأ </w:t>
      </w:r>
      <w:r w:rsidR="00DE731D" w:rsidRPr="00F806C7">
        <w:rPr>
          <w:rFonts w:ascii="Times New Roman" w:hAnsi="Times New Roman" w:cs="Times New Roman"/>
          <w:b/>
          <w:bCs/>
          <w:sz w:val="28"/>
          <w:szCs w:val="28"/>
          <w:rtl/>
        </w:rPr>
        <w:t>السرية التامة</w:t>
      </w:r>
      <w:r w:rsidR="00DE731D" w:rsidRPr="00F806C7">
        <w:rPr>
          <w:rFonts w:ascii="Times New Roman" w:hAnsi="Times New Roman" w:cs="Times New Roman"/>
          <w:sz w:val="28"/>
          <w:szCs w:val="28"/>
          <w:rtl/>
        </w:rPr>
        <w:t xml:space="preserve"> في التعامل مع بيانات المشاركين</w:t>
      </w:r>
      <w:r w:rsidR="00DE731D" w:rsidRPr="00F806C7">
        <w:rPr>
          <w:rFonts w:ascii="Times New Roman" w:hAnsi="Times New Roman" w:cs="Times New Roman"/>
          <w:sz w:val="28"/>
          <w:szCs w:val="28"/>
        </w:rPr>
        <w:t>.</w:t>
      </w:r>
      <w:r w:rsidR="00DE731D" w:rsidRPr="00F806C7">
        <w:rPr>
          <w:rFonts w:ascii="Times New Roman" w:hAnsi="Times New Roman" w:cs="Times New Roman"/>
          <w:sz w:val="28"/>
          <w:szCs w:val="28"/>
        </w:rPr>
        <w:br/>
      </w:r>
      <w:r w:rsidR="00DE731D" w:rsidRPr="00F806C7">
        <w:rPr>
          <w:rFonts w:ascii="Times New Roman" w:hAnsi="Times New Roman" w:cs="Times New Roman"/>
          <w:sz w:val="28"/>
          <w:szCs w:val="28"/>
          <w:rtl/>
        </w:rPr>
        <w:t>حُفظت جميع البيانات بطريقة تضمن عدم إمكانية التعرف على هوية الأفراد أو المؤسسات</w:t>
      </w:r>
      <w:r w:rsidR="00DE731D" w:rsidRPr="00F806C7">
        <w:rPr>
          <w:rFonts w:ascii="Times New Roman" w:hAnsi="Times New Roman" w:cs="Times New Roman"/>
          <w:sz w:val="28"/>
          <w:szCs w:val="28"/>
        </w:rPr>
        <w:t>.</w:t>
      </w:r>
      <w:r w:rsidR="00DE731D" w:rsidRPr="00F806C7">
        <w:rPr>
          <w:rFonts w:ascii="Times New Roman" w:hAnsi="Times New Roman" w:cs="Times New Roman"/>
          <w:sz w:val="28"/>
          <w:szCs w:val="28"/>
        </w:rPr>
        <w:br/>
      </w:r>
      <w:r w:rsidR="00DE731D" w:rsidRPr="00F806C7">
        <w:rPr>
          <w:rFonts w:ascii="Times New Roman" w:hAnsi="Times New Roman" w:cs="Times New Roman"/>
          <w:sz w:val="28"/>
          <w:szCs w:val="28"/>
          <w:rtl/>
        </w:rPr>
        <w:t>وقد تم اتباع الإجراءات التالية</w:t>
      </w:r>
      <w:r w:rsidR="00DE731D" w:rsidRPr="00F806C7">
        <w:rPr>
          <w:rFonts w:ascii="Times New Roman" w:hAnsi="Times New Roman" w:cs="Times New Roman"/>
          <w:sz w:val="28"/>
          <w:szCs w:val="28"/>
        </w:rPr>
        <w:t>:</w:t>
      </w:r>
    </w:p>
    <w:p w14:paraId="0F1142F4" w14:textId="77777777" w:rsidR="00DE731D" w:rsidRPr="00F806C7" w:rsidRDefault="00DE731D" w:rsidP="00DE731D">
      <w:pPr>
        <w:numPr>
          <w:ilvl w:val="0"/>
          <w:numId w:val="124"/>
        </w:numPr>
        <w:bidi/>
        <w:rPr>
          <w:rFonts w:ascii="Times New Roman" w:hAnsi="Times New Roman" w:cs="Times New Roman"/>
          <w:sz w:val="28"/>
          <w:szCs w:val="28"/>
        </w:rPr>
      </w:pPr>
      <w:r w:rsidRPr="00F806C7">
        <w:rPr>
          <w:rFonts w:ascii="Times New Roman" w:hAnsi="Times New Roman" w:cs="Times New Roman"/>
          <w:sz w:val="28"/>
          <w:szCs w:val="28"/>
          <w:rtl/>
        </w:rPr>
        <w:t>عدم تضمين أي أسماء شخصية أو بيانات تعريفية في ملفات التحليل</w:t>
      </w:r>
      <w:r w:rsidRPr="00F806C7">
        <w:rPr>
          <w:rFonts w:ascii="Times New Roman" w:hAnsi="Times New Roman" w:cs="Times New Roman"/>
          <w:sz w:val="28"/>
          <w:szCs w:val="28"/>
        </w:rPr>
        <w:t>.</w:t>
      </w:r>
    </w:p>
    <w:p w14:paraId="2442313B" w14:textId="77777777" w:rsidR="00DE731D" w:rsidRPr="00F806C7" w:rsidRDefault="00DE731D" w:rsidP="00DE731D">
      <w:pPr>
        <w:numPr>
          <w:ilvl w:val="0"/>
          <w:numId w:val="124"/>
        </w:numPr>
        <w:bidi/>
        <w:rPr>
          <w:rFonts w:ascii="Times New Roman" w:hAnsi="Times New Roman" w:cs="Times New Roman"/>
          <w:sz w:val="28"/>
          <w:szCs w:val="28"/>
        </w:rPr>
      </w:pPr>
      <w:r w:rsidRPr="00F806C7">
        <w:rPr>
          <w:rFonts w:ascii="Times New Roman" w:hAnsi="Times New Roman" w:cs="Times New Roman"/>
          <w:sz w:val="28"/>
          <w:szCs w:val="28"/>
          <w:rtl/>
        </w:rPr>
        <w:t>تخزين الملفات الإلكترونية في حاسوب الباحث الشخصي المحمي بكلمة مرور قوية</w:t>
      </w:r>
      <w:r w:rsidRPr="00F806C7">
        <w:rPr>
          <w:rFonts w:ascii="Times New Roman" w:hAnsi="Times New Roman" w:cs="Times New Roman"/>
          <w:sz w:val="28"/>
          <w:szCs w:val="28"/>
        </w:rPr>
        <w:t>.</w:t>
      </w:r>
    </w:p>
    <w:p w14:paraId="1A676CD1" w14:textId="77777777" w:rsidR="00DE731D" w:rsidRPr="00F806C7" w:rsidRDefault="00DE731D" w:rsidP="00DE731D">
      <w:pPr>
        <w:numPr>
          <w:ilvl w:val="0"/>
          <w:numId w:val="124"/>
        </w:numPr>
        <w:bidi/>
        <w:rPr>
          <w:rFonts w:ascii="Times New Roman" w:hAnsi="Times New Roman" w:cs="Times New Roman"/>
          <w:sz w:val="28"/>
          <w:szCs w:val="28"/>
        </w:rPr>
      </w:pPr>
      <w:r w:rsidRPr="00F806C7">
        <w:rPr>
          <w:rFonts w:ascii="Times New Roman" w:hAnsi="Times New Roman" w:cs="Times New Roman"/>
          <w:sz w:val="28"/>
          <w:szCs w:val="28"/>
          <w:rtl/>
        </w:rPr>
        <w:t>اقتصار الوصول إلى البيانات على الباحث فقط دون أي طرف ثالث</w:t>
      </w:r>
      <w:r w:rsidRPr="00F806C7">
        <w:rPr>
          <w:rFonts w:ascii="Times New Roman" w:hAnsi="Times New Roman" w:cs="Times New Roman"/>
          <w:sz w:val="28"/>
          <w:szCs w:val="28"/>
        </w:rPr>
        <w:t>.</w:t>
      </w:r>
    </w:p>
    <w:p w14:paraId="0CC6533D" w14:textId="08B665F5" w:rsidR="00DE731D" w:rsidRPr="00F806C7" w:rsidRDefault="00611E7E" w:rsidP="00DE731D">
      <w:pPr>
        <w:bidi/>
        <w:rPr>
          <w:rFonts w:ascii="Times New Roman" w:hAnsi="Times New Roman" w:cs="Times New Roman"/>
          <w:sz w:val="28"/>
          <w:szCs w:val="28"/>
        </w:rPr>
      </w:pPr>
      <w:r>
        <w:rPr>
          <w:rFonts w:ascii="Times New Roman" w:hAnsi="Times New Roman" w:cs="Times New Roman" w:hint="cs"/>
          <w:sz w:val="28"/>
          <w:szCs w:val="28"/>
          <w:rtl/>
        </w:rPr>
        <w:t>سي</w:t>
      </w:r>
      <w:r w:rsidRPr="00F806C7">
        <w:rPr>
          <w:rFonts w:ascii="Times New Roman" w:hAnsi="Times New Roman" w:cs="Times New Roman"/>
          <w:sz w:val="28"/>
          <w:szCs w:val="28"/>
          <w:rtl/>
        </w:rPr>
        <w:t xml:space="preserve">تم </w:t>
      </w:r>
      <w:r w:rsidR="00DE731D" w:rsidRPr="00F806C7">
        <w:rPr>
          <w:rFonts w:ascii="Times New Roman" w:hAnsi="Times New Roman" w:cs="Times New Roman"/>
          <w:sz w:val="28"/>
          <w:szCs w:val="28"/>
          <w:rtl/>
        </w:rPr>
        <w:t>التعامل مع جميع الاستبيانات الورقية والمقابلات المسجلة بسرية مطلقة، بحيث تُستخدم فقط لغرض الدراسة الأكاديمية، بما يتفق مع مبادئ السرية البحثية.</w:t>
      </w:r>
    </w:p>
    <w:p w14:paraId="2F73FF50" w14:textId="77777777" w:rsidR="00DE731D" w:rsidRPr="00F806C7" w:rsidRDefault="00DE731D" w:rsidP="00DE731D">
      <w:pPr>
        <w:bidi/>
        <w:rPr>
          <w:rFonts w:ascii="Times New Roman" w:hAnsi="Times New Roman" w:cs="Times New Roman"/>
          <w:b/>
          <w:bCs/>
          <w:sz w:val="28"/>
          <w:szCs w:val="28"/>
        </w:rPr>
      </w:pPr>
      <w:r w:rsidRPr="00F806C7">
        <w:rPr>
          <w:rFonts w:ascii="Times New Roman" w:hAnsi="Times New Roman" w:cs="Times New Roman"/>
          <w:b/>
          <w:bCs/>
          <w:sz w:val="28"/>
          <w:szCs w:val="28"/>
          <w:rtl/>
        </w:rPr>
        <w:t xml:space="preserve">3.8.4. آلية حفظ البيانات والتعامل معها </w:t>
      </w:r>
      <w:r w:rsidRPr="00F806C7">
        <w:rPr>
          <w:rFonts w:ascii="Times New Roman" w:hAnsi="Times New Roman" w:cs="Times New Roman"/>
          <w:b/>
          <w:bCs/>
          <w:sz w:val="28"/>
          <w:szCs w:val="28"/>
        </w:rPr>
        <w:t>(Data Storage and Handling)</w:t>
      </w:r>
    </w:p>
    <w:p w14:paraId="101663BA" w14:textId="3C5B1483" w:rsidR="00DE731D" w:rsidRPr="00F806C7" w:rsidRDefault="00DE731D" w:rsidP="00DE731D">
      <w:pPr>
        <w:bidi/>
        <w:rPr>
          <w:rFonts w:ascii="Times New Roman" w:hAnsi="Times New Roman" w:cs="Times New Roman"/>
          <w:sz w:val="28"/>
          <w:szCs w:val="28"/>
        </w:rPr>
      </w:pPr>
      <w:r w:rsidRPr="00F806C7">
        <w:rPr>
          <w:rFonts w:ascii="Times New Roman" w:hAnsi="Times New Roman" w:cs="Times New Roman"/>
          <w:sz w:val="28"/>
          <w:szCs w:val="28"/>
          <w:rtl/>
        </w:rPr>
        <w:t xml:space="preserve">بعد انتهاء جمع البيانات، </w:t>
      </w:r>
      <w:r w:rsidR="00611E7E">
        <w:rPr>
          <w:rFonts w:ascii="Times New Roman" w:hAnsi="Times New Roman" w:cs="Times New Roman" w:hint="cs"/>
          <w:sz w:val="28"/>
          <w:szCs w:val="28"/>
          <w:rtl/>
        </w:rPr>
        <w:t>سيتبع</w:t>
      </w:r>
      <w:r w:rsidR="00611E7E" w:rsidRPr="00F806C7">
        <w:rPr>
          <w:rFonts w:ascii="Times New Roman" w:hAnsi="Times New Roman" w:cs="Times New Roman"/>
          <w:sz w:val="28"/>
          <w:szCs w:val="28"/>
          <w:rtl/>
        </w:rPr>
        <w:t xml:space="preserve"> </w:t>
      </w:r>
      <w:r w:rsidRPr="00F806C7">
        <w:rPr>
          <w:rFonts w:ascii="Times New Roman" w:hAnsi="Times New Roman" w:cs="Times New Roman"/>
          <w:sz w:val="28"/>
          <w:szCs w:val="28"/>
          <w:rtl/>
        </w:rPr>
        <w:t xml:space="preserve">الباحث نظامًا منظمًا لحفظ البيانات والتعامل معها وفق معايير </w:t>
      </w:r>
      <w:r w:rsidRPr="00F806C7">
        <w:rPr>
          <w:rFonts w:ascii="Times New Roman" w:hAnsi="Times New Roman" w:cs="Times New Roman"/>
          <w:b/>
          <w:bCs/>
          <w:sz w:val="28"/>
          <w:szCs w:val="28"/>
          <w:rtl/>
        </w:rPr>
        <w:t>الأمان الرقمي</w:t>
      </w:r>
      <w:r w:rsidRPr="00F806C7">
        <w:rPr>
          <w:rFonts w:ascii="Times New Roman" w:hAnsi="Times New Roman" w:cs="Times New Roman"/>
          <w:sz w:val="28"/>
          <w:szCs w:val="28"/>
          <w:rtl/>
        </w:rPr>
        <w:t xml:space="preserve"> و</w:t>
      </w:r>
      <w:r w:rsidRPr="00F806C7">
        <w:rPr>
          <w:rFonts w:ascii="Times New Roman" w:hAnsi="Times New Roman" w:cs="Times New Roman"/>
          <w:b/>
          <w:bCs/>
          <w:sz w:val="28"/>
          <w:szCs w:val="28"/>
          <w:rtl/>
        </w:rPr>
        <w:t>النزاهة العلمية</w:t>
      </w:r>
      <w:r w:rsidRPr="00F806C7">
        <w:rPr>
          <w:rFonts w:ascii="Times New Roman" w:hAnsi="Times New Roman" w:cs="Times New Roman"/>
          <w:sz w:val="28"/>
          <w:szCs w:val="28"/>
          <w:rtl/>
        </w:rPr>
        <w:t>، وذلك على النحو التالي</w:t>
      </w:r>
      <w:r w:rsidRPr="00F806C7">
        <w:rPr>
          <w:rFonts w:ascii="Times New Roman" w:hAnsi="Times New Roman" w:cs="Times New Roman"/>
          <w:sz w:val="28"/>
          <w:szCs w:val="28"/>
        </w:rPr>
        <w:t>:</w:t>
      </w:r>
    </w:p>
    <w:p w14:paraId="45FC8ADF" w14:textId="77777777" w:rsidR="00DE731D" w:rsidRPr="00F806C7" w:rsidRDefault="00DE731D" w:rsidP="00DE731D">
      <w:pPr>
        <w:numPr>
          <w:ilvl w:val="0"/>
          <w:numId w:val="125"/>
        </w:numPr>
        <w:bidi/>
        <w:rPr>
          <w:rFonts w:ascii="Times New Roman" w:hAnsi="Times New Roman" w:cs="Times New Roman"/>
          <w:sz w:val="28"/>
          <w:szCs w:val="28"/>
        </w:rPr>
      </w:pPr>
      <w:r w:rsidRPr="00F806C7">
        <w:rPr>
          <w:rFonts w:ascii="Times New Roman" w:hAnsi="Times New Roman" w:cs="Times New Roman"/>
          <w:b/>
          <w:bCs/>
          <w:sz w:val="28"/>
          <w:szCs w:val="28"/>
          <w:rtl/>
        </w:rPr>
        <w:t>حفظ البيانات الرقمية</w:t>
      </w:r>
      <w:r w:rsidRPr="00F806C7">
        <w:rPr>
          <w:rFonts w:ascii="Times New Roman" w:hAnsi="Times New Roman" w:cs="Times New Roman"/>
          <w:sz w:val="28"/>
          <w:szCs w:val="28"/>
          <w:rtl/>
        </w:rPr>
        <w:t xml:space="preserve"> (ملفات </w:t>
      </w:r>
      <w:r w:rsidRPr="00F806C7">
        <w:rPr>
          <w:rFonts w:ascii="Times New Roman" w:hAnsi="Times New Roman" w:cs="Times New Roman"/>
          <w:sz w:val="28"/>
          <w:szCs w:val="28"/>
        </w:rPr>
        <w:t>Excel</w:t>
      </w:r>
      <w:r w:rsidRPr="00F806C7">
        <w:rPr>
          <w:rFonts w:ascii="Times New Roman" w:hAnsi="Times New Roman" w:cs="Times New Roman"/>
          <w:sz w:val="28"/>
          <w:szCs w:val="28"/>
          <w:rtl/>
        </w:rPr>
        <w:t xml:space="preserve">، </w:t>
      </w:r>
      <w:r w:rsidRPr="00F806C7">
        <w:rPr>
          <w:rFonts w:ascii="Times New Roman" w:hAnsi="Times New Roman" w:cs="Times New Roman"/>
          <w:sz w:val="28"/>
          <w:szCs w:val="28"/>
        </w:rPr>
        <w:t>SPSS</w:t>
      </w:r>
      <w:r w:rsidRPr="00F806C7">
        <w:rPr>
          <w:rFonts w:ascii="Times New Roman" w:hAnsi="Times New Roman" w:cs="Times New Roman"/>
          <w:sz w:val="28"/>
          <w:szCs w:val="28"/>
          <w:rtl/>
        </w:rPr>
        <w:t xml:space="preserve">، </w:t>
      </w:r>
      <w:r w:rsidRPr="00F806C7">
        <w:rPr>
          <w:rFonts w:ascii="Times New Roman" w:hAnsi="Times New Roman" w:cs="Times New Roman"/>
          <w:sz w:val="28"/>
          <w:szCs w:val="28"/>
        </w:rPr>
        <w:t>NVivo</w:t>
      </w:r>
      <w:r w:rsidRPr="00F806C7">
        <w:rPr>
          <w:rFonts w:ascii="Times New Roman" w:hAnsi="Times New Roman" w:cs="Times New Roman"/>
          <w:sz w:val="28"/>
          <w:szCs w:val="28"/>
          <w:rtl/>
        </w:rPr>
        <w:t>، التسجيلات الصوتية)</w:t>
      </w:r>
      <w:r w:rsidRPr="00F806C7">
        <w:rPr>
          <w:rFonts w:ascii="Times New Roman" w:hAnsi="Times New Roman" w:cs="Times New Roman"/>
          <w:sz w:val="28"/>
          <w:szCs w:val="28"/>
        </w:rPr>
        <w:t xml:space="preserve"> </w:t>
      </w:r>
      <w:r w:rsidRPr="00F806C7">
        <w:rPr>
          <w:rFonts w:ascii="Times New Roman" w:hAnsi="Times New Roman" w:cs="Times New Roman"/>
          <w:sz w:val="28"/>
          <w:szCs w:val="28"/>
          <w:rtl/>
        </w:rPr>
        <w:t>في مجلدات مشفرة ومحمية بكلمة مرور</w:t>
      </w:r>
      <w:r w:rsidRPr="00F806C7">
        <w:rPr>
          <w:rFonts w:ascii="Times New Roman" w:hAnsi="Times New Roman" w:cs="Times New Roman"/>
          <w:sz w:val="28"/>
          <w:szCs w:val="28"/>
        </w:rPr>
        <w:t>.</w:t>
      </w:r>
    </w:p>
    <w:p w14:paraId="04685E9D" w14:textId="77777777" w:rsidR="00DE731D" w:rsidRPr="00F806C7" w:rsidRDefault="00DE731D" w:rsidP="00DE731D">
      <w:pPr>
        <w:numPr>
          <w:ilvl w:val="0"/>
          <w:numId w:val="125"/>
        </w:numPr>
        <w:bidi/>
        <w:rPr>
          <w:rFonts w:ascii="Times New Roman" w:hAnsi="Times New Roman" w:cs="Times New Roman"/>
          <w:sz w:val="28"/>
          <w:szCs w:val="28"/>
        </w:rPr>
      </w:pPr>
      <w:r w:rsidRPr="00F806C7">
        <w:rPr>
          <w:rFonts w:ascii="Times New Roman" w:hAnsi="Times New Roman" w:cs="Times New Roman"/>
          <w:b/>
          <w:bCs/>
          <w:sz w:val="28"/>
          <w:szCs w:val="28"/>
          <w:rtl/>
        </w:rPr>
        <w:t>تخزين نسخة احتياطية</w:t>
      </w:r>
      <w:r w:rsidRPr="00F806C7">
        <w:rPr>
          <w:rFonts w:ascii="Times New Roman" w:hAnsi="Times New Roman" w:cs="Times New Roman"/>
          <w:sz w:val="28"/>
          <w:szCs w:val="28"/>
          <w:rtl/>
        </w:rPr>
        <w:t xml:space="preserve"> في وسيلة تخزين خارجية</w:t>
      </w:r>
      <w:r w:rsidRPr="00F806C7">
        <w:rPr>
          <w:rFonts w:ascii="Times New Roman" w:hAnsi="Times New Roman" w:cs="Times New Roman"/>
          <w:sz w:val="28"/>
          <w:szCs w:val="28"/>
        </w:rPr>
        <w:t xml:space="preserve"> (External Drive) </w:t>
      </w:r>
      <w:r w:rsidRPr="00F806C7">
        <w:rPr>
          <w:rFonts w:ascii="Times New Roman" w:hAnsi="Times New Roman" w:cs="Times New Roman"/>
          <w:sz w:val="28"/>
          <w:szCs w:val="28"/>
          <w:rtl/>
        </w:rPr>
        <w:t>مؤمنة ومحتفظ بها لدى الباحث فقط</w:t>
      </w:r>
      <w:r w:rsidRPr="00F806C7">
        <w:rPr>
          <w:rFonts w:ascii="Times New Roman" w:hAnsi="Times New Roman" w:cs="Times New Roman"/>
          <w:sz w:val="28"/>
          <w:szCs w:val="28"/>
        </w:rPr>
        <w:t>.</w:t>
      </w:r>
    </w:p>
    <w:p w14:paraId="33025918" w14:textId="77777777" w:rsidR="00DE731D" w:rsidRPr="00F806C7" w:rsidRDefault="00DE731D" w:rsidP="00DE731D">
      <w:pPr>
        <w:numPr>
          <w:ilvl w:val="0"/>
          <w:numId w:val="125"/>
        </w:numPr>
        <w:bidi/>
        <w:rPr>
          <w:rFonts w:ascii="Times New Roman" w:hAnsi="Times New Roman" w:cs="Times New Roman"/>
          <w:sz w:val="28"/>
          <w:szCs w:val="28"/>
        </w:rPr>
      </w:pPr>
      <w:r w:rsidRPr="00F806C7">
        <w:rPr>
          <w:rFonts w:ascii="Times New Roman" w:hAnsi="Times New Roman" w:cs="Times New Roman"/>
          <w:b/>
          <w:bCs/>
          <w:sz w:val="28"/>
          <w:szCs w:val="28"/>
          <w:rtl/>
        </w:rPr>
        <w:t>إتلاف النسخ الورقية</w:t>
      </w:r>
      <w:r w:rsidRPr="00F806C7">
        <w:rPr>
          <w:rFonts w:ascii="Times New Roman" w:hAnsi="Times New Roman" w:cs="Times New Roman"/>
          <w:sz w:val="28"/>
          <w:szCs w:val="28"/>
          <w:rtl/>
        </w:rPr>
        <w:t xml:space="preserve"> من الاستبيانات والملاحظات بعد انتهاء التحليل الإحصائي والنوعي لضمان حماية خصوصية المشاركين</w:t>
      </w:r>
      <w:r w:rsidRPr="00F806C7">
        <w:rPr>
          <w:rFonts w:ascii="Times New Roman" w:hAnsi="Times New Roman" w:cs="Times New Roman"/>
          <w:sz w:val="28"/>
          <w:szCs w:val="28"/>
        </w:rPr>
        <w:t>.</w:t>
      </w:r>
    </w:p>
    <w:p w14:paraId="7C20C010" w14:textId="77777777" w:rsidR="00DE731D" w:rsidRPr="00F806C7" w:rsidRDefault="00DE731D" w:rsidP="00DE731D">
      <w:pPr>
        <w:numPr>
          <w:ilvl w:val="0"/>
          <w:numId w:val="125"/>
        </w:numPr>
        <w:bidi/>
        <w:rPr>
          <w:rFonts w:ascii="Times New Roman" w:hAnsi="Times New Roman" w:cs="Times New Roman"/>
          <w:sz w:val="28"/>
          <w:szCs w:val="28"/>
        </w:rPr>
      </w:pPr>
      <w:r w:rsidRPr="00F806C7">
        <w:rPr>
          <w:rFonts w:ascii="Times New Roman" w:hAnsi="Times New Roman" w:cs="Times New Roman"/>
          <w:b/>
          <w:bCs/>
          <w:sz w:val="28"/>
          <w:szCs w:val="28"/>
          <w:rtl/>
        </w:rPr>
        <w:t>الاحتفاظ بالبيانات لمدة لا تتجاوز خمس سنوات</w:t>
      </w:r>
      <w:r w:rsidRPr="00F806C7">
        <w:rPr>
          <w:rFonts w:ascii="Times New Roman" w:hAnsi="Times New Roman" w:cs="Times New Roman"/>
          <w:sz w:val="28"/>
          <w:szCs w:val="28"/>
          <w:rtl/>
        </w:rPr>
        <w:t xml:space="preserve"> بعد النشر العلمي، تماشيًا مع سياسات الجامعة ومعايير البحوث الدولية.</w:t>
      </w:r>
    </w:p>
    <w:p w14:paraId="0F75178F" w14:textId="77777777" w:rsidR="00DE731D" w:rsidRPr="00F806C7" w:rsidRDefault="00DE731D" w:rsidP="00DE731D">
      <w:pPr>
        <w:numPr>
          <w:ilvl w:val="0"/>
          <w:numId w:val="125"/>
        </w:numPr>
        <w:bidi/>
        <w:rPr>
          <w:rFonts w:ascii="Times New Roman" w:hAnsi="Times New Roman" w:cs="Times New Roman"/>
          <w:sz w:val="28"/>
          <w:szCs w:val="28"/>
        </w:rPr>
      </w:pPr>
      <w:r w:rsidRPr="00F806C7">
        <w:rPr>
          <w:rFonts w:ascii="Times New Roman" w:hAnsi="Times New Roman" w:cs="Times New Roman"/>
          <w:b/>
          <w:bCs/>
          <w:sz w:val="28"/>
          <w:szCs w:val="28"/>
          <w:rtl/>
        </w:rPr>
        <w:t>عدم استخدام البيانات في أي دراسة أخرى</w:t>
      </w:r>
      <w:r w:rsidRPr="00F806C7">
        <w:rPr>
          <w:rFonts w:ascii="Times New Roman" w:hAnsi="Times New Roman" w:cs="Times New Roman"/>
          <w:sz w:val="28"/>
          <w:szCs w:val="28"/>
          <w:rtl/>
        </w:rPr>
        <w:t xml:space="preserve"> دون موافقة كتابية مسبقة من اللجنة الأخلاقية ومن المشاركين أنفسهم</w:t>
      </w:r>
      <w:r w:rsidRPr="00F806C7">
        <w:rPr>
          <w:rFonts w:ascii="Times New Roman" w:hAnsi="Times New Roman" w:cs="Times New Roman"/>
          <w:sz w:val="28"/>
          <w:szCs w:val="28"/>
        </w:rPr>
        <w:t>.</w:t>
      </w:r>
    </w:p>
    <w:p w14:paraId="1B101AA6" w14:textId="77777777" w:rsidR="00611E7E" w:rsidRDefault="00611E7E" w:rsidP="00611E7E">
      <w:pPr>
        <w:bidi/>
        <w:rPr>
          <w:rFonts w:ascii="Times New Roman" w:hAnsi="Times New Roman" w:cs="Times New Roman"/>
          <w:sz w:val="28"/>
          <w:szCs w:val="28"/>
          <w:rtl/>
        </w:rPr>
      </w:pPr>
      <w:r w:rsidRPr="00611E7E">
        <w:rPr>
          <w:rFonts w:ascii="Times New Roman" w:hAnsi="Times New Roman" w:cs="Times New Roman" w:hint="cs"/>
          <w:sz w:val="28"/>
          <w:szCs w:val="28"/>
          <w:rtl/>
        </w:rPr>
        <w:t>ترفع</w:t>
      </w:r>
      <w:r w:rsidRPr="00611E7E">
        <w:rPr>
          <w:rFonts w:ascii="Times New Roman" w:hAnsi="Times New Roman" w:cs="Times New Roman"/>
          <w:sz w:val="28"/>
          <w:szCs w:val="28"/>
          <w:rtl/>
        </w:rPr>
        <w:t xml:space="preserve"> هذه الإجراءات </w:t>
      </w:r>
      <w:r w:rsidRPr="00611E7E">
        <w:rPr>
          <w:rFonts w:ascii="Times New Roman" w:hAnsi="Times New Roman" w:cs="Times New Roman" w:hint="cs"/>
          <w:sz w:val="28"/>
          <w:szCs w:val="28"/>
          <w:rtl/>
        </w:rPr>
        <w:t xml:space="preserve">مستوى </w:t>
      </w:r>
      <w:r w:rsidRPr="00611E7E">
        <w:rPr>
          <w:rFonts w:ascii="Times New Roman" w:hAnsi="Times New Roman" w:cs="Times New Roman"/>
          <w:sz w:val="28"/>
          <w:szCs w:val="28"/>
          <w:rtl/>
        </w:rPr>
        <w:t>التزام الباحث بمبادئ الشفافية والمسؤولية البحثية، وتُسهم في تعزيز مصداقية الدراسة وضمان إمكانية مراجعة خطواتها المنهجية في المستقبل</w:t>
      </w:r>
      <w:r w:rsidRPr="00611E7E">
        <w:rPr>
          <w:rFonts w:ascii="Times New Roman" w:hAnsi="Times New Roman" w:cs="Times New Roman"/>
          <w:sz w:val="28"/>
          <w:szCs w:val="28"/>
        </w:rPr>
        <w:t>.</w:t>
      </w:r>
    </w:p>
    <w:p w14:paraId="34C05D4F" w14:textId="77777777" w:rsidR="006F3055" w:rsidRDefault="006F3055" w:rsidP="006F3055">
      <w:pPr>
        <w:bidi/>
        <w:rPr>
          <w:rFonts w:ascii="Times New Roman" w:hAnsi="Times New Roman" w:cs="Times New Roman"/>
          <w:sz w:val="28"/>
          <w:szCs w:val="28"/>
          <w:rtl/>
        </w:rPr>
      </w:pPr>
    </w:p>
    <w:p w14:paraId="030B7D87" w14:textId="77777777" w:rsidR="00793DFB" w:rsidRDefault="00793DFB" w:rsidP="00793DFB">
      <w:pPr>
        <w:bidi/>
        <w:jc w:val="center"/>
        <w:rPr>
          <w:b/>
          <w:bCs/>
          <w:rtl/>
        </w:rPr>
      </w:pPr>
      <w:r>
        <w:rPr>
          <w:rFonts w:hint="cs"/>
          <w:b/>
          <w:bCs/>
          <w:rtl/>
        </w:rPr>
        <w:t>الفصل الرابع: نتائج الدراسة الميدانية</w:t>
      </w:r>
    </w:p>
    <w:p w14:paraId="6ADB6142" w14:textId="77777777" w:rsidR="00793DFB" w:rsidRPr="00F209FA" w:rsidRDefault="00793DFB" w:rsidP="00793DFB">
      <w:pPr>
        <w:bidi/>
        <w:rPr>
          <w:b/>
          <w:bCs/>
        </w:rPr>
      </w:pPr>
      <w:r>
        <w:rPr>
          <w:rFonts w:hint="cs"/>
          <w:b/>
          <w:bCs/>
          <w:rtl/>
        </w:rPr>
        <w:t xml:space="preserve">4.1. </w:t>
      </w:r>
      <w:r w:rsidRPr="00F209FA">
        <w:rPr>
          <w:b/>
          <w:bCs/>
          <w:rtl/>
        </w:rPr>
        <w:t>تمهيد الفصل</w:t>
      </w:r>
    </w:p>
    <w:p w14:paraId="7D2F0A2D" w14:textId="77777777" w:rsidR="00793DFB" w:rsidRPr="00F209FA" w:rsidRDefault="00793DFB" w:rsidP="00793DFB">
      <w:pPr>
        <w:bidi/>
      </w:pPr>
      <w:r w:rsidRPr="00F209FA">
        <w:rPr>
          <w:rtl/>
        </w:rPr>
        <w:lastRenderedPageBreak/>
        <w:t>يمثل هذا الفصل الجانب التطبيقي للدراسة، حيث يتم الانتقال من الإطار النظري وصياغة الفروض إلى الاختبار الإمبريقي الدقيق للعلاقات بين متغيرات البحث. ويعرض الفصل نتائج التحليلات الإحصائية التي أُجريت بهدف التحقق من الفرضيات المتعلقة بأثر أنظمة العمل عالية الأداء على الإبداع الوظيفي، واختبار الدور الوسيط للثقافة التنظيمية، إضافة إلى تحليل الفروق بين قطاعي الفنادق والمطاعم بمدينة الرياض</w:t>
      </w:r>
      <w:r w:rsidRPr="00F209FA">
        <w:t>.</w:t>
      </w:r>
    </w:p>
    <w:p w14:paraId="10A6522B" w14:textId="77777777" w:rsidR="00793DFB" w:rsidRPr="00F209FA" w:rsidRDefault="00793DFB" w:rsidP="00793DFB">
      <w:pPr>
        <w:bidi/>
      </w:pPr>
      <w:r w:rsidRPr="00F209FA">
        <w:rPr>
          <w:rtl/>
        </w:rPr>
        <w:t>يهدف هذا الفصل إلى تحقيق ثلاثة أهداف رئيسة مترابطة</w:t>
      </w:r>
      <w:r w:rsidRPr="00F209FA">
        <w:t>:</w:t>
      </w:r>
    </w:p>
    <w:p w14:paraId="57AAEBCD" w14:textId="77777777" w:rsidR="00793DFB" w:rsidRPr="00F209FA" w:rsidRDefault="00793DFB" w:rsidP="00793DFB">
      <w:pPr>
        <w:numPr>
          <w:ilvl w:val="0"/>
          <w:numId w:val="138"/>
        </w:numPr>
        <w:bidi/>
      </w:pPr>
      <w:r w:rsidRPr="00F209FA">
        <w:rPr>
          <w:b/>
          <w:bCs/>
          <w:rtl/>
        </w:rPr>
        <w:t>تحليل البيانات مبدئيًا</w:t>
      </w:r>
      <w:r w:rsidRPr="00F209FA">
        <w:rPr>
          <w:rtl/>
        </w:rPr>
        <w:t xml:space="preserve"> من خلال توصيف خصائص العينة ومستويات المتغيرات المدروسة</w:t>
      </w:r>
      <w:r w:rsidRPr="00F209FA">
        <w:t>.</w:t>
      </w:r>
    </w:p>
    <w:p w14:paraId="5324E972" w14:textId="77777777" w:rsidR="00793DFB" w:rsidRPr="00F209FA" w:rsidRDefault="00793DFB" w:rsidP="00793DFB">
      <w:pPr>
        <w:numPr>
          <w:ilvl w:val="0"/>
          <w:numId w:val="138"/>
        </w:numPr>
        <w:bidi/>
      </w:pPr>
      <w:r w:rsidRPr="00F209FA">
        <w:rPr>
          <w:b/>
          <w:bCs/>
          <w:rtl/>
        </w:rPr>
        <w:t>التحقق من جودة أداة القياس</w:t>
      </w:r>
      <w:r w:rsidRPr="00F209FA">
        <w:rPr>
          <w:rtl/>
        </w:rPr>
        <w:t xml:space="preserve"> عبر اختبار الثبات والصدق البنائي لنموذج القياس</w:t>
      </w:r>
      <w:r w:rsidRPr="00F209FA">
        <w:t>.</w:t>
      </w:r>
    </w:p>
    <w:p w14:paraId="4A1C8950" w14:textId="77777777" w:rsidR="00793DFB" w:rsidRPr="00F209FA" w:rsidRDefault="00793DFB" w:rsidP="00793DFB">
      <w:pPr>
        <w:numPr>
          <w:ilvl w:val="0"/>
          <w:numId w:val="138"/>
        </w:numPr>
        <w:bidi/>
      </w:pPr>
      <w:r w:rsidRPr="00F209FA">
        <w:rPr>
          <w:b/>
          <w:bCs/>
          <w:rtl/>
        </w:rPr>
        <w:t>اختبار الفروض البحثية</w:t>
      </w:r>
      <w:r w:rsidRPr="00F209FA">
        <w:rPr>
          <w:rtl/>
        </w:rPr>
        <w:t xml:space="preserve"> من خلال تحليل العلاقات المباشرة وغير المباشرة بين المتغيرات باستخدام نمذجة المعادلات الهيكلية، وصولًا إلى تحديد مدى ملاءمة النموذج النظري المقترح للدراسة</w:t>
      </w:r>
      <w:r w:rsidRPr="00F209FA">
        <w:t>.</w:t>
      </w:r>
    </w:p>
    <w:p w14:paraId="43CCA62B" w14:textId="77777777" w:rsidR="00793DFB" w:rsidRPr="00F209FA" w:rsidRDefault="00793DFB" w:rsidP="00793DFB">
      <w:pPr>
        <w:bidi/>
      </w:pPr>
      <w:r w:rsidRPr="00F209FA">
        <w:rPr>
          <w:rtl/>
        </w:rPr>
        <w:t>وبذلك، يشكل هذا الفصل الأساس العلمي الذي تُبنى عليه مناقشة النتائج وتفسيرها في الفصل التالي</w:t>
      </w:r>
      <w:r w:rsidRPr="00F209FA">
        <w:t>.</w:t>
      </w:r>
    </w:p>
    <w:p w14:paraId="1D0F8CE0" w14:textId="77777777" w:rsidR="00793DFB" w:rsidRPr="00F209FA" w:rsidRDefault="00793DFB" w:rsidP="00793DFB">
      <w:pPr>
        <w:bidi/>
      </w:pPr>
      <w:r w:rsidRPr="00F209FA">
        <w:rPr>
          <w:rtl/>
        </w:rPr>
        <w:t>اعتمدت الدراسة إطارًا تحليليًا متكاملًا يجمع بين ثلاث مستويات من التحليل الإحصائي</w:t>
      </w:r>
      <w:r w:rsidRPr="00F209FA">
        <w:t>:</w:t>
      </w:r>
    </w:p>
    <w:p w14:paraId="789C2B43" w14:textId="77777777" w:rsidR="00793DFB" w:rsidRPr="00F209FA" w:rsidRDefault="00793DFB" w:rsidP="00793DFB">
      <w:pPr>
        <w:numPr>
          <w:ilvl w:val="0"/>
          <w:numId w:val="139"/>
        </w:numPr>
        <w:bidi/>
      </w:pPr>
      <w:r w:rsidRPr="00F209FA">
        <w:rPr>
          <w:b/>
          <w:bCs/>
          <w:rtl/>
        </w:rPr>
        <w:t>التحليل الوصفي</w:t>
      </w:r>
      <w:r w:rsidRPr="00F209FA">
        <w:br/>
      </w:r>
      <w:r w:rsidRPr="00F209FA">
        <w:rPr>
          <w:rtl/>
        </w:rPr>
        <w:t>لتوصيف الخصائص الديموغرافية لعينة الدراسة، وقياس المتوسطات الحسابية والانحرافات المعيارية لمتغيرات البحث، وتحليل درجة انتشار الممارسات المدروسة داخل مجتمع الدراسة</w:t>
      </w:r>
      <w:r w:rsidRPr="00F209FA">
        <w:t>.</w:t>
      </w:r>
    </w:p>
    <w:p w14:paraId="1A34AAE5" w14:textId="77777777" w:rsidR="00793DFB" w:rsidRPr="00F209FA" w:rsidRDefault="00793DFB" w:rsidP="00793DFB">
      <w:pPr>
        <w:numPr>
          <w:ilvl w:val="0"/>
          <w:numId w:val="139"/>
        </w:numPr>
        <w:bidi/>
      </w:pPr>
      <w:r w:rsidRPr="00F209FA">
        <w:rPr>
          <w:b/>
          <w:bCs/>
          <w:rtl/>
        </w:rPr>
        <w:t>التحليل الاستدلالي</w:t>
      </w:r>
      <w:r w:rsidRPr="00F209FA">
        <w:br/>
      </w:r>
      <w:r w:rsidRPr="00F209FA">
        <w:rPr>
          <w:rtl/>
        </w:rPr>
        <w:t>لاختبار دلالة العلاقات بين المتغيرات باستخدام معاملات الارتباط والانحدار، وفحص افتراضات التحليل الإحصائي مثل التوزيع الطبيعي والتعدد الخطي</w:t>
      </w:r>
      <w:r w:rsidRPr="00F209FA">
        <w:t>.</w:t>
      </w:r>
    </w:p>
    <w:p w14:paraId="718CC8EA" w14:textId="77777777" w:rsidR="00793DFB" w:rsidRPr="00F209FA" w:rsidRDefault="00793DFB" w:rsidP="00793DFB">
      <w:pPr>
        <w:numPr>
          <w:ilvl w:val="0"/>
          <w:numId w:val="139"/>
        </w:numPr>
        <w:bidi/>
      </w:pPr>
      <w:r w:rsidRPr="00F209FA">
        <w:rPr>
          <w:b/>
          <w:bCs/>
          <w:rtl/>
        </w:rPr>
        <w:t>نمذجة المعادلات الهيكلية</w:t>
      </w:r>
      <w:r>
        <w:rPr>
          <w:rFonts w:hint="cs"/>
          <w:b/>
          <w:bCs/>
          <w:rtl/>
        </w:rPr>
        <w:t xml:space="preserve"> </w:t>
      </w:r>
      <w:r w:rsidRPr="00F209FA">
        <w:rPr>
          <w:b/>
          <w:bCs/>
        </w:rPr>
        <w:t>(Structural Equation Modeling – SEM)</w:t>
      </w:r>
      <w:r w:rsidRPr="00F209FA">
        <w:br/>
      </w:r>
      <w:r w:rsidRPr="00F209FA">
        <w:rPr>
          <w:rtl/>
        </w:rPr>
        <w:t>لاختبار النموذج النظري الشامل، والذي يتضمن</w:t>
      </w:r>
      <w:r w:rsidRPr="00F209FA">
        <w:t>:</w:t>
      </w:r>
    </w:p>
    <w:p w14:paraId="41049BEA" w14:textId="77777777" w:rsidR="00793DFB" w:rsidRPr="00F209FA" w:rsidRDefault="00793DFB" w:rsidP="00793DFB">
      <w:pPr>
        <w:numPr>
          <w:ilvl w:val="1"/>
          <w:numId w:val="139"/>
        </w:numPr>
        <w:bidi/>
      </w:pPr>
      <w:r w:rsidRPr="00F209FA">
        <w:rPr>
          <w:rtl/>
        </w:rPr>
        <w:t>تحليل نموذج القياس</w:t>
      </w:r>
      <w:r w:rsidRPr="00F209FA">
        <w:t xml:space="preserve"> (Confirmatory Factor Analysis – CFA)</w:t>
      </w:r>
    </w:p>
    <w:p w14:paraId="68DE30DA" w14:textId="77777777" w:rsidR="00793DFB" w:rsidRPr="00F209FA" w:rsidRDefault="00793DFB" w:rsidP="00793DFB">
      <w:pPr>
        <w:numPr>
          <w:ilvl w:val="1"/>
          <w:numId w:val="139"/>
        </w:numPr>
        <w:bidi/>
      </w:pPr>
      <w:r w:rsidRPr="00F209FA">
        <w:rPr>
          <w:rtl/>
        </w:rPr>
        <w:t>تقدير العلاقات السببية بين المتغيرات الكامنة</w:t>
      </w:r>
    </w:p>
    <w:p w14:paraId="2F051B06" w14:textId="77777777" w:rsidR="00793DFB" w:rsidRPr="00F209FA" w:rsidRDefault="00793DFB" w:rsidP="00793DFB">
      <w:pPr>
        <w:numPr>
          <w:ilvl w:val="1"/>
          <w:numId w:val="139"/>
        </w:numPr>
        <w:bidi/>
      </w:pPr>
      <w:r w:rsidRPr="00F209FA">
        <w:rPr>
          <w:rtl/>
        </w:rPr>
        <w:t>اختبار التأثيرات المباشرة وغير المباشرة (الوساطة)</w:t>
      </w:r>
    </w:p>
    <w:p w14:paraId="71EA8A5F" w14:textId="77777777" w:rsidR="00793DFB" w:rsidRPr="00F209FA" w:rsidRDefault="00793DFB" w:rsidP="00793DFB">
      <w:pPr>
        <w:numPr>
          <w:ilvl w:val="1"/>
          <w:numId w:val="139"/>
        </w:numPr>
        <w:bidi/>
      </w:pPr>
      <w:r w:rsidRPr="00F209FA">
        <w:rPr>
          <w:rtl/>
        </w:rPr>
        <w:t>تقييم جودة المطابقة للنموذج البنيوي</w:t>
      </w:r>
    </w:p>
    <w:p w14:paraId="4DCB4C82" w14:textId="77777777" w:rsidR="00793DFB" w:rsidRPr="00F209FA" w:rsidRDefault="00793DFB" w:rsidP="00793DFB">
      <w:pPr>
        <w:bidi/>
      </w:pPr>
      <w:r w:rsidRPr="00F209FA">
        <w:rPr>
          <w:rtl/>
        </w:rPr>
        <w:t>وقد أتاح هذا الإطار التحليلي فحص العلاقات المعقدة بين المتغيرات في نموذج واحد متكامل، بما يعزز الدقة التفسيرية والقدرة على اختبار الفروض المركبة</w:t>
      </w:r>
      <w:r w:rsidRPr="00F209FA">
        <w:t>.</w:t>
      </w:r>
    </w:p>
    <w:p w14:paraId="0B42E395" w14:textId="77777777" w:rsidR="00793DFB" w:rsidRPr="00F209FA" w:rsidRDefault="00793DFB" w:rsidP="00793DFB">
      <w:pPr>
        <w:bidi/>
      </w:pPr>
      <w:r w:rsidRPr="00F209FA">
        <w:rPr>
          <w:rtl/>
        </w:rPr>
        <w:t>تم استخدام برنامجين إحصائيين متخصصين في تحليل البيانات</w:t>
      </w:r>
      <w:r w:rsidRPr="00F209FA">
        <w:t>:</w:t>
      </w:r>
    </w:p>
    <w:p w14:paraId="20218221" w14:textId="77777777" w:rsidR="00793DFB" w:rsidRPr="00F209FA" w:rsidRDefault="00793DFB" w:rsidP="00793DFB">
      <w:pPr>
        <w:numPr>
          <w:ilvl w:val="0"/>
          <w:numId w:val="140"/>
        </w:numPr>
        <w:bidi/>
      </w:pPr>
      <w:r w:rsidRPr="00F209FA">
        <w:rPr>
          <w:b/>
          <w:bCs/>
        </w:rPr>
        <w:t>SPSS (Statistical Package for the Social Sciences)</w:t>
      </w:r>
      <w:r w:rsidRPr="00F209FA">
        <w:br/>
      </w:r>
      <w:r w:rsidRPr="00F209FA">
        <w:rPr>
          <w:rtl/>
        </w:rPr>
        <w:t>لإجراء التحليلات الوصفية، واختبارات الثبات</w:t>
      </w:r>
      <w:r>
        <w:rPr>
          <w:rFonts w:hint="cs"/>
          <w:rtl/>
        </w:rPr>
        <w:t xml:space="preserve"> </w:t>
      </w:r>
      <w:r w:rsidRPr="00F209FA">
        <w:t xml:space="preserve">(Cronbach’s </w:t>
      </w:r>
      <w:proofErr w:type="gramStart"/>
      <w:r w:rsidRPr="00F209FA">
        <w:t>Alpha)</w:t>
      </w:r>
      <w:r w:rsidRPr="00F209FA">
        <w:rPr>
          <w:rtl/>
        </w:rPr>
        <w:t>،</w:t>
      </w:r>
      <w:proofErr w:type="gramEnd"/>
      <w:r w:rsidRPr="00F209FA">
        <w:rPr>
          <w:rtl/>
        </w:rPr>
        <w:t xml:space="preserve"> وتحليل الارتباط والانحدار، وفحص افتراضات التحليل الإحصائي</w:t>
      </w:r>
      <w:r w:rsidRPr="00F209FA">
        <w:t>.</w:t>
      </w:r>
    </w:p>
    <w:p w14:paraId="4089EBE7" w14:textId="77777777" w:rsidR="00793DFB" w:rsidRPr="00F209FA" w:rsidRDefault="00793DFB" w:rsidP="00793DFB">
      <w:pPr>
        <w:numPr>
          <w:ilvl w:val="0"/>
          <w:numId w:val="140"/>
        </w:numPr>
        <w:bidi/>
      </w:pPr>
      <w:r w:rsidRPr="00F209FA">
        <w:rPr>
          <w:b/>
          <w:bCs/>
        </w:rPr>
        <w:lastRenderedPageBreak/>
        <w:t>AMOS (Analysis of Moment Structures)</w:t>
      </w:r>
      <w:r w:rsidRPr="00F209FA">
        <w:br/>
      </w:r>
      <w:r w:rsidRPr="00F209FA">
        <w:rPr>
          <w:rtl/>
        </w:rPr>
        <w:t>لاختبار نموذج القياس عبر التحليل العاملي التوكيدي</w:t>
      </w:r>
      <w:r>
        <w:rPr>
          <w:rFonts w:hint="cs"/>
          <w:rtl/>
        </w:rPr>
        <w:t xml:space="preserve"> </w:t>
      </w:r>
      <w:r w:rsidRPr="00F209FA">
        <w:t>(CFA)</w:t>
      </w:r>
      <w:r w:rsidRPr="00F209FA">
        <w:rPr>
          <w:rtl/>
        </w:rPr>
        <w:t>، وبناء النموذج البنيوي، وتقدير معاملات المسار، واختبار التأثيرات المباشرة وغير المباشرة باستخدام أسلوب</w:t>
      </w:r>
      <w:r>
        <w:rPr>
          <w:rFonts w:hint="cs"/>
          <w:rtl/>
        </w:rPr>
        <w:t xml:space="preserve"> </w:t>
      </w:r>
      <w:r w:rsidRPr="00F209FA">
        <w:t>Bootstrapping</w:t>
      </w:r>
      <w:r>
        <w:rPr>
          <w:rFonts w:hint="cs"/>
          <w:rtl/>
        </w:rPr>
        <w:t>.</w:t>
      </w:r>
    </w:p>
    <w:p w14:paraId="062BD470" w14:textId="77777777" w:rsidR="00793DFB" w:rsidRPr="00F209FA" w:rsidRDefault="00793DFB" w:rsidP="00793DFB">
      <w:pPr>
        <w:bidi/>
      </w:pPr>
      <w:r w:rsidRPr="00F209FA">
        <w:rPr>
          <w:rtl/>
        </w:rPr>
        <w:t>وقد تم اختيار هذين البرنامجين نظرًا لملاءمتهما لطبيعة الدراسة القائمة على متغيرات كامنة وعلاقات سببية معقدة</w:t>
      </w:r>
      <w:r w:rsidRPr="00F209FA">
        <w:t>.</w:t>
      </w:r>
    </w:p>
    <w:p w14:paraId="5A818628" w14:textId="77777777" w:rsidR="00793DFB" w:rsidRPr="00F209FA" w:rsidRDefault="00793DFB" w:rsidP="00793DFB">
      <w:pPr>
        <w:bidi/>
      </w:pPr>
      <w:r w:rsidRPr="00F209FA">
        <w:rPr>
          <w:rtl/>
        </w:rPr>
        <w:t>تم تنظيم هذا الفصل وفق تسلسل منطقي يعكس مراحل التحليل الإحصائي، وذلك على النحو الآتي</w:t>
      </w:r>
      <w:r w:rsidRPr="00F209FA">
        <w:t>:</w:t>
      </w:r>
    </w:p>
    <w:p w14:paraId="36049296" w14:textId="77777777" w:rsidR="00793DFB" w:rsidRPr="00F209FA" w:rsidRDefault="00793DFB" w:rsidP="00793DFB">
      <w:pPr>
        <w:numPr>
          <w:ilvl w:val="0"/>
          <w:numId w:val="141"/>
        </w:numPr>
        <w:bidi/>
      </w:pPr>
      <w:r w:rsidRPr="00F209FA">
        <w:rPr>
          <w:rtl/>
        </w:rPr>
        <w:t>عرض التحليل الوصفي لخصائص العينة ومتغيرات الدراسة</w:t>
      </w:r>
      <w:r w:rsidRPr="00F209FA">
        <w:t>.</w:t>
      </w:r>
    </w:p>
    <w:p w14:paraId="6878471A" w14:textId="77777777" w:rsidR="00793DFB" w:rsidRPr="00F209FA" w:rsidRDefault="00793DFB" w:rsidP="00793DFB">
      <w:pPr>
        <w:numPr>
          <w:ilvl w:val="0"/>
          <w:numId w:val="141"/>
        </w:numPr>
        <w:bidi/>
      </w:pPr>
      <w:r w:rsidRPr="00F209FA">
        <w:rPr>
          <w:rtl/>
        </w:rPr>
        <w:t>تقييم جودة أداة القياس من حيث الثبات والصدق البنائي</w:t>
      </w:r>
      <w:r w:rsidRPr="00F209FA">
        <w:t>.</w:t>
      </w:r>
    </w:p>
    <w:p w14:paraId="694C9CA4" w14:textId="77777777" w:rsidR="00793DFB" w:rsidRPr="00F209FA" w:rsidRDefault="00793DFB" w:rsidP="00793DFB">
      <w:pPr>
        <w:numPr>
          <w:ilvl w:val="0"/>
          <w:numId w:val="141"/>
        </w:numPr>
        <w:bidi/>
      </w:pPr>
      <w:r w:rsidRPr="00F209FA">
        <w:rPr>
          <w:rtl/>
        </w:rPr>
        <w:t>اختبار افتراضات التحليل الإحصائي</w:t>
      </w:r>
      <w:r w:rsidRPr="00F209FA">
        <w:t>.</w:t>
      </w:r>
    </w:p>
    <w:p w14:paraId="3B222482" w14:textId="77777777" w:rsidR="00793DFB" w:rsidRPr="00F209FA" w:rsidRDefault="00793DFB" w:rsidP="00793DFB">
      <w:pPr>
        <w:numPr>
          <w:ilvl w:val="0"/>
          <w:numId w:val="141"/>
        </w:numPr>
        <w:bidi/>
      </w:pPr>
      <w:r w:rsidRPr="00F209FA">
        <w:rPr>
          <w:rtl/>
        </w:rPr>
        <w:t>تحليل نموذج القياس باستخدام</w:t>
      </w:r>
      <w:r w:rsidRPr="00F209FA">
        <w:t xml:space="preserve"> CFA</w:t>
      </w:r>
      <w:r>
        <w:rPr>
          <w:rFonts w:hint="cs"/>
          <w:rtl/>
          <w:lang w:bidi="ar-EG"/>
        </w:rPr>
        <w:t>.</w:t>
      </w:r>
    </w:p>
    <w:p w14:paraId="27DF5C68" w14:textId="77777777" w:rsidR="00793DFB" w:rsidRPr="00F209FA" w:rsidRDefault="00793DFB" w:rsidP="00793DFB">
      <w:pPr>
        <w:numPr>
          <w:ilvl w:val="0"/>
          <w:numId w:val="141"/>
        </w:numPr>
        <w:bidi/>
      </w:pPr>
      <w:r w:rsidRPr="00F209FA">
        <w:rPr>
          <w:rtl/>
        </w:rPr>
        <w:t>اختبار النموذج البنيوي والفروض المباشرة وغير المباشرة</w:t>
      </w:r>
      <w:r w:rsidRPr="00F209FA">
        <w:t>.</w:t>
      </w:r>
    </w:p>
    <w:p w14:paraId="3EE8B8B4" w14:textId="77777777" w:rsidR="00793DFB" w:rsidRPr="00F209FA" w:rsidRDefault="00793DFB" w:rsidP="00793DFB">
      <w:pPr>
        <w:numPr>
          <w:ilvl w:val="0"/>
          <w:numId w:val="141"/>
        </w:numPr>
        <w:bidi/>
      </w:pPr>
      <w:r w:rsidRPr="00F209FA">
        <w:rPr>
          <w:rtl/>
        </w:rPr>
        <w:t>تحليل الفروق بين قطاعي الفنادق والمطاعم</w:t>
      </w:r>
      <w:r w:rsidRPr="00F209FA">
        <w:t>.</w:t>
      </w:r>
    </w:p>
    <w:p w14:paraId="0102B0B4" w14:textId="77777777" w:rsidR="00793DFB" w:rsidRPr="00F209FA" w:rsidRDefault="00793DFB" w:rsidP="00793DFB">
      <w:pPr>
        <w:numPr>
          <w:ilvl w:val="0"/>
          <w:numId w:val="141"/>
        </w:numPr>
        <w:bidi/>
      </w:pPr>
      <w:r w:rsidRPr="00F209FA">
        <w:rPr>
          <w:rtl/>
        </w:rPr>
        <w:t>عرض ملخص شامل لنتائج اختبار الفروض</w:t>
      </w:r>
      <w:r w:rsidRPr="00F209FA">
        <w:t>.</w:t>
      </w:r>
    </w:p>
    <w:p w14:paraId="5F419EAA" w14:textId="77777777" w:rsidR="00793DFB" w:rsidRDefault="00793DFB" w:rsidP="00793DFB">
      <w:pPr>
        <w:bidi/>
        <w:rPr>
          <w:rtl/>
        </w:rPr>
      </w:pPr>
      <w:r w:rsidRPr="00F209FA">
        <w:rPr>
          <w:rtl/>
        </w:rPr>
        <w:t>ويهدف هذا التسلسل إلى ضمان وضوح العرض، ومنهجية التحليل، وترابط النتائج بما يخدم أهداف الدراسة ويعزز من مصداقيتها العلمية</w:t>
      </w:r>
      <w:r w:rsidRPr="00F209FA">
        <w:t>.</w:t>
      </w:r>
    </w:p>
    <w:p w14:paraId="7370BF37" w14:textId="77777777" w:rsidR="00793DFB" w:rsidRDefault="00793DFB" w:rsidP="00793DFB">
      <w:pPr>
        <w:bidi/>
        <w:rPr>
          <w:rtl/>
        </w:rPr>
      </w:pPr>
    </w:p>
    <w:p w14:paraId="47649605" w14:textId="77777777" w:rsidR="00793DFB" w:rsidRDefault="00793DFB" w:rsidP="00793DFB">
      <w:pPr>
        <w:bidi/>
        <w:rPr>
          <w:rtl/>
        </w:rPr>
      </w:pPr>
    </w:p>
    <w:p w14:paraId="78DC0D2A" w14:textId="77777777" w:rsidR="00793DFB" w:rsidRDefault="00793DFB" w:rsidP="00793DFB">
      <w:pPr>
        <w:bidi/>
        <w:rPr>
          <w:rtl/>
        </w:rPr>
      </w:pPr>
    </w:p>
    <w:p w14:paraId="2CF1EBCF" w14:textId="77777777" w:rsidR="00793DFB" w:rsidRDefault="00793DFB" w:rsidP="00793DFB">
      <w:pPr>
        <w:bidi/>
        <w:rPr>
          <w:rtl/>
        </w:rPr>
      </w:pPr>
    </w:p>
    <w:p w14:paraId="57F03F3C" w14:textId="77777777" w:rsidR="00793DFB" w:rsidRDefault="00793DFB" w:rsidP="00793DFB">
      <w:pPr>
        <w:bidi/>
        <w:rPr>
          <w:rtl/>
        </w:rPr>
      </w:pPr>
    </w:p>
    <w:p w14:paraId="36B6D53D" w14:textId="77777777" w:rsidR="00793DFB" w:rsidRDefault="00793DFB" w:rsidP="00793DFB">
      <w:pPr>
        <w:bidi/>
        <w:rPr>
          <w:rtl/>
        </w:rPr>
      </w:pPr>
    </w:p>
    <w:p w14:paraId="1F1F42FA" w14:textId="77777777" w:rsidR="00793DFB" w:rsidRDefault="00793DFB" w:rsidP="00793DFB">
      <w:pPr>
        <w:bidi/>
        <w:rPr>
          <w:rtl/>
        </w:rPr>
      </w:pPr>
    </w:p>
    <w:p w14:paraId="0D59450B" w14:textId="77777777" w:rsidR="00793DFB" w:rsidRDefault="00793DFB" w:rsidP="00793DFB">
      <w:pPr>
        <w:bidi/>
        <w:rPr>
          <w:rtl/>
        </w:rPr>
      </w:pPr>
    </w:p>
    <w:p w14:paraId="34BA70C4" w14:textId="77777777" w:rsidR="00793DFB" w:rsidRDefault="00793DFB" w:rsidP="00793DFB">
      <w:pPr>
        <w:bidi/>
        <w:rPr>
          <w:rtl/>
        </w:rPr>
      </w:pPr>
    </w:p>
    <w:p w14:paraId="6F84EAC3" w14:textId="77777777" w:rsidR="00793DFB" w:rsidRDefault="00793DFB" w:rsidP="00793DFB">
      <w:pPr>
        <w:bidi/>
        <w:rPr>
          <w:rtl/>
        </w:rPr>
      </w:pPr>
    </w:p>
    <w:p w14:paraId="592F39B1" w14:textId="77777777" w:rsidR="00793DFB" w:rsidRDefault="00793DFB" w:rsidP="00793DFB">
      <w:pPr>
        <w:bidi/>
        <w:rPr>
          <w:rtl/>
        </w:rPr>
      </w:pPr>
    </w:p>
    <w:p w14:paraId="03C52913" w14:textId="77777777" w:rsidR="00793DFB" w:rsidRPr="00542B76" w:rsidRDefault="00793DFB" w:rsidP="00793DFB">
      <w:pPr>
        <w:bidi/>
        <w:rPr>
          <w:b/>
          <w:bCs/>
        </w:rPr>
      </w:pPr>
      <w:r w:rsidRPr="00542B76">
        <w:rPr>
          <w:b/>
          <w:bCs/>
          <w:rtl/>
        </w:rPr>
        <w:t>أولًا: التحليل الوصفي للبيانات</w:t>
      </w:r>
    </w:p>
    <w:p w14:paraId="3DC5755A" w14:textId="77777777" w:rsidR="00793DFB" w:rsidRPr="002E65C3" w:rsidRDefault="00793DFB" w:rsidP="00793DFB">
      <w:pPr>
        <w:bidi/>
        <w:rPr>
          <w:b/>
          <w:bCs/>
          <w:rtl/>
        </w:rPr>
      </w:pPr>
      <w:r>
        <w:rPr>
          <w:rFonts w:hint="cs"/>
          <w:b/>
          <w:bCs/>
          <w:rtl/>
          <w:lang w:bidi="ar-EG"/>
        </w:rPr>
        <w:t xml:space="preserve">4.2. </w:t>
      </w:r>
      <w:r w:rsidRPr="00542B76">
        <w:rPr>
          <w:b/>
          <w:bCs/>
          <w:rtl/>
        </w:rPr>
        <w:t>الخصائص الديموغرافية لعينة الدراسة</w:t>
      </w:r>
      <w:r>
        <w:rPr>
          <w:rFonts w:hint="cs"/>
          <w:b/>
          <w:bCs/>
          <w:rtl/>
        </w:rPr>
        <w:t xml:space="preserve">: </w:t>
      </w:r>
      <w:r w:rsidRPr="00542B76">
        <w:rPr>
          <w:rtl/>
        </w:rPr>
        <w:t xml:space="preserve">بلغ حجم عينة الدراسة (400) مفردة من العاملين في قطاعي الفنادق والمطاعم بمدينة الرياض. ويُعد تحليل الخصائص الديموغرافية خطوة أساسية لفهم البنية الاجتماعية والمهنية للمبحوثين، </w:t>
      </w:r>
      <w:r w:rsidRPr="00542B76">
        <w:rPr>
          <w:rtl/>
        </w:rPr>
        <w:lastRenderedPageBreak/>
        <w:t>وتفسير النتائج اللاحقة في ضوء السياق التنظيمي والمهني الذي تنتمي إليه العينة. وفيما يلي عرض تفصيلي لتوزيع العينة وفق المتغيرات الديموغرافية المعتمدة في الدراسة</w:t>
      </w:r>
      <w:r w:rsidRPr="00542B76">
        <w:t>.</w:t>
      </w:r>
    </w:p>
    <w:p w14:paraId="5B33C10E" w14:textId="77777777" w:rsidR="00793DFB" w:rsidRDefault="00793DFB" w:rsidP="00793DFB">
      <w:pPr>
        <w:bidi/>
        <w:rPr>
          <w:rtl/>
        </w:rPr>
      </w:pPr>
      <w:r>
        <w:rPr>
          <w:rFonts w:hint="cs"/>
          <w:rtl/>
        </w:rPr>
        <w:t>جدول (4.1): يوضح البيانات الديموغرافية لعينة الدراسة المجمعة.</w:t>
      </w:r>
    </w:p>
    <w:tbl>
      <w:tblPr>
        <w:bidiVisual/>
        <w:tblW w:w="6795" w:type="dxa"/>
        <w:jc w:val="center"/>
        <w:tblLook w:val="04A0" w:firstRow="1" w:lastRow="0" w:firstColumn="1" w:lastColumn="0" w:noHBand="0" w:noVBand="1"/>
      </w:tblPr>
      <w:tblGrid>
        <w:gridCol w:w="1502"/>
        <w:gridCol w:w="1236"/>
        <w:gridCol w:w="619"/>
        <w:gridCol w:w="880"/>
        <w:gridCol w:w="753"/>
        <w:gridCol w:w="1805"/>
      </w:tblGrid>
      <w:tr w:rsidR="00793DFB" w:rsidRPr="002017EC" w14:paraId="1DC2A54A" w14:textId="77777777" w:rsidTr="009F1C88">
        <w:trPr>
          <w:trHeight w:val="58"/>
          <w:jc w:val="center"/>
        </w:trPr>
        <w:tc>
          <w:tcPr>
            <w:tcW w:w="1502" w:type="dxa"/>
            <w:vMerge w:val="restart"/>
            <w:tcBorders>
              <w:top w:val="single" w:sz="4" w:space="0" w:color="auto"/>
              <w:left w:val="single" w:sz="4" w:space="0" w:color="auto"/>
              <w:bottom w:val="single" w:sz="4" w:space="0" w:color="auto"/>
              <w:right w:val="single" w:sz="4" w:space="0" w:color="auto"/>
            </w:tcBorders>
            <w:vAlign w:val="center"/>
            <w:hideMark/>
          </w:tcPr>
          <w:p w14:paraId="6B821B3D" w14:textId="77777777" w:rsidR="00793DFB" w:rsidRPr="002017EC" w:rsidRDefault="00793DFB" w:rsidP="009F1C88">
            <w:pPr>
              <w:bidi/>
              <w:spacing w:after="0" w:line="240" w:lineRule="auto"/>
              <w:jc w:val="center"/>
              <w:rPr>
                <w:rFonts w:ascii="Arial" w:eastAsia="Times New Roman" w:hAnsi="Arial" w:cs="Arial"/>
                <w:color w:val="000000"/>
                <w:kern w:val="0"/>
                <w:sz w:val="20"/>
                <w:szCs w:val="20"/>
                <w:lang w:val="en-GB" w:eastAsia="en-GB"/>
                <w14:ligatures w14:val="none"/>
              </w:rPr>
            </w:pPr>
            <w:r w:rsidRPr="002017EC">
              <w:rPr>
                <w:rFonts w:ascii="Arial" w:eastAsia="Times New Roman" w:hAnsi="Arial" w:cs="Arial"/>
                <w:color w:val="000000"/>
                <w:kern w:val="0"/>
                <w:sz w:val="20"/>
                <w:szCs w:val="20"/>
                <w:rtl/>
                <w:lang w:val="en-GB" w:eastAsia="en-GB"/>
                <w14:ligatures w14:val="none"/>
              </w:rPr>
              <w:t>الجنس</w:t>
            </w:r>
          </w:p>
        </w:tc>
        <w:tc>
          <w:tcPr>
            <w:tcW w:w="1236" w:type="dxa"/>
            <w:tcBorders>
              <w:top w:val="single" w:sz="4" w:space="0" w:color="auto"/>
              <w:left w:val="single" w:sz="4" w:space="0" w:color="auto"/>
              <w:bottom w:val="single" w:sz="4" w:space="0" w:color="auto"/>
              <w:right w:val="single" w:sz="4" w:space="0" w:color="auto"/>
            </w:tcBorders>
            <w:vAlign w:val="center"/>
            <w:hideMark/>
          </w:tcPr>
          <w:p w14:paraId="795BD53D"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 </w:t>
            </w:r>
          </w:p>
        </w:tc>
        <w:tc>
          <w:tcPr>
            <w:tcW w:w="619" w:type="dxa"/>
            <w:tcBorders>
              <w:top w:val="single" w:sz="4" w:space="0" w:color="auto"/>
              <w:left w:val="single" w:sz="4" w:space="0" w:color="auto"/>
              <w:bottom w:val="single" w:sz="4" w:space="0" w:color="auto"/>
              <w:right w:val="single" w:sz="4" w:space="0" w:color="auto"/>
            </w:tcBorders>
            <w:vAlign w:val="center"/>
            <w:hideMark/>
          </w:tcPr>
          <w:p w14:paraId="53107C85"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rtl/>
                <w:lang w:val="en-GB" w:eastAsia="en-GB"/>
                <w14:ligatures w14:val="none"/>
              </w:rPr>
              <w:t>التكرار</w:t>
            </w:r>
          </w:p>
        </w:tc>
        <w:tc>
          <w:tcPr>
            <w:tcW w:w="880" w:type="dxa"/>
            <w:tcBorders>
              <w:top w:val="single" w:sz="4" w:space="0" w:color="auto"/>
              <w:left w:val="single" w:sz="4" w:space="0" w:color="auto"/>
              <w:bottom w:val="single" w:sz="4" w:space="0" w:color="auto"/>
              <w:right w:val="single" w:sz="4" w:space="0" w:color="auto"/>
            </w:tcBorders>
            <w:vAlign w:val="center"/>
            <w:hideMark/>
          </w:tcPr>
          <w:p w14:paraId="3A85E1CB"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النسبة</w:t>
            </w:r>
          </w:p>
        </w:tc>
        <w:tc>
          <w:tcPr>
            <w:tcW w:w="753" w:type="dxa"/>
            <w:tcBorders>
              <w:top w:val="single" w:sz="4" w:space="0" w:color="auto"/>
              <w:left w:val="single" w:sz="4" w:space="0" w:color="auto"/>
              <w:bottom w:val="single" w:sz="4" w:space="0" w:color="auto"/>
              <w:right w:val="single" w:sz="4" w:space="0" w:color="auto"/>
            </w:tcBorders>
            <w:vAlign w:val="center"/>
            <w:hideMark/>
          </w:tcPr>
          <w:p w14:paraId="3D33FCAB"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المتوسط</w:t>
            </w:r>
          </w:p>
        </w:tc>
        <w:tc>
          <w:tcPr>
            <w:tcW w:w="1805" w:type="dxa"/>
            <w:tcBorders>
              <w:top w:val="single" w:sz="4" w:space="0" w:color="auto"/>
              <w:left w:val="single" w:sz="4" w:space="0" w:color="auto"/>
              <w:bottom w:val="single" w:sz="4" w:space="0" w:color="auto"/>
              <w:right w:val="single" w:sz="4" w:space="0" w:color="auto"/>
            </w:tcBorders>
            <w:vAlign w:val="center"/>
            <w:hideMark/>
          </w:tcPr>
          <w:p w14:paraId="0E70F062"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الانحراف المعياري</w:t>
            </w:r>
          </w:p>
        </w:tc>
      </w:tr>
      <w:tr w:rsidR="00793DFB" w:rsidRPr="002017EC" w14:paraId="542A8E5C" w14:textId="77777777" w:rsidTr="009F1C88">
        <w:trPr>
          <w:trHeight w:val="84"/>
          <w:jc w:val="center"/>
        </w:trPr>
        <w:tc>
          <w:tcPr>
            <w:tcW w:w="1502" w:type="dxa"/>
            <w:vMerge/>
            <w:tcBorders>
              <w:top w:val="single" w:sz="4" w:space="0" w:color="auto"/>
              <w:left w:val="single" w:sz="4" w:space="0" w:color="auto"/>
              <w:bottom w:val="single" w:sz="4" w:space="0" w:color="auto"/>
              <w:right w:val="single" w:sz="4" w:space="0" w:color="auto"/>
            </w:tcBorders>
            <w:vAlign w:val="center"/>
            <w:hideMark/>
          </w:tcPr>
          <w:p w14:paraId="4F4BB883"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26F24F03"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ذكر</w:t>
            </w:r>
          </w:p>
        </w:tc>
        <w:tc>
          <w:tcPr>
            <w:tcW w:w="619" w:type="dxa"/>
            <w:tcBorders>
              <w:top w:val="nil"/>
              <w:left w:val="single" w:sz="4" w:space="0" w:color="auto"/>
              <w:bottom w:val="single" w:sz="4" w:space="0" w:color="auto"/>
              <w:right w:val="single" w:sz="4" w:space="0" w:color="auto"/>
            </w:tcBorders>
            <w:vAlign w:val="center"/>
            <w:hideMark/>
          </w:tcPr>
          <w:p w14:paraId="38CDDC44"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168</w:t>
            </w:r>
          </w:p>
        </w:tc>
        <w:tc>
          <w:tcPr>
            <w:tcW w:w="880" w:type="dxa"/>
            <w:tcBorders>
              <w:top w:val="nil"/>
              <w:left w:val="single" w:sz="4" w:space="0" w:color="auto"/>
              <w:bottom w:val="single" w:sz="4" w:space="0" w:color="auto"/>
              <w:right w:val="single" w:sz="4" w:space="0" w:color="auto"/>
            </w:tcBorders>
            <w:vAlign w:val="center"/>
            <w:hideMark/>
          </w:tcPr>
          <w:p w14:paraId="4C87DCB1"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42.0</w:t>
            </w:r>
          </w:p>
        </w:tc>
        <w:tc>
          <w:tcPr>
            <w:tcW w:w="753" w:type="dxa"/>
            <w:vMerge w:val="restart"/>
            <w:tcBorders>
              <w:top w:val="nil"/>
              <w:left w:val="single" w:sz="4" w:space="0" w:color="auto"/>
              <w:bottom w:val="single" w:sz="4" w:space="0" w:color="auto"/>
              <w:right w:val="single" w:sz="4" w:space="0" w:color="auto"/>
            </w:tcBorders>
            <w:vAlign w:val="center"/>
            <w:hideMark/>
          </w:tcPr>
          <w:p w14:paraId="132A50CA" w14:textId="77777777" w:rsidR="00793DFB" w:rsidRPr="002017EC" w:rsidRDefault="00793DFB" w:rsidP="009F1C88">
            <w:pPr>
              <w:spacing w:after="0" w:line="240" w:lineRule="auto"/>
              <w:jc w:val="center"/>
              <w:rPr>
                <w:rFonts w:ascii="Arial" w:eastAsia="Times New Roman" w:hAnsi="Arial" w:cs="Arial"/>
                <w:color w:val="993300"/>
                <w:kern w:val="0"/>
                <w:sz w:val="18"/>
                <w:szCs w:val="18"/>
                <w:lang w:val="en-GB" w:eastAsia="en-GB"/>
                <w14:ligatures w14:val="none"/>
              </w:rPr>
            </w:pPr>
            <w:r w:rsidRPr="002017EC">
              <w:rPr>
                <w:rFonts w:ascii="Arial" w:eastAsia="Times New Roman" w:hAnsi="Arial" w:cs="Arial"/>
                <w:color w:val="993300"/>
                <w:kern w:val="0"/>
                <w:sz w:val="18"/>
                <w:szCs w:val="18"/>
                <w:lang w:val="en-GB" w:eastAsia="en-GB"/>
                <w14:ligatures w14:val="none"/>
              </w:rPr>
              <w:t>1.58</w:t>
            </w:r>
          </w:p>
        </w:tc>
        <w:tc>
          <w:tcPr>
            <w:tcW w:w="1805" w:type="dxa"/>
            <w:vMerge w:val="restart"/>
            <w:tcBorders>
              <w:top w:val="nil"/>
              <w:left w:val="single" w:sz="4" w:space="0" w:color="auto"/>
              <w:bottom w:val="single" w:sz="4" w:space="0" w:color="auto"/>
              <w:right w:val="single" w:sz="4" w:space="0" w:color="auto"/>
            </w:tcBorders>
            <w:vAlign w:val="center"/>
            <w:hideMark/>
          </w:tcPr>
          <w:p w14:paraId="596A0ABB" w14:textId="77777777" w:rsidR="00793DFB" w:rsidRPr="002017EC" w:rsidRDefault="00793DFB" w:rsidP="009F1C88">
            <w:pPr>
              <w:spacing w:after="0" w:line="240" w:lineRule="auto"/>
              <w:jc w:val="center"/>
              <w:rPr>
                <w:rFonts w:ascii="Arial" w:eastAsia="Times New Roman" w:hAnsi="Arial" w:cs="Arial"/>
                <w:color w:val="993300"/>
                <w:kern w:val="0"/>
                <w:sz w:val="18"/>
                <w:szCs w:val="18"/>
                <w:lang w:val="en-GB" w:eastAsia="en-GB"/>
                <w14:ligatures w14:val="none"/>
              </w:rPr>
            </w:pPr>
            <w:r w:rsidRPr="002017EC">
              <w:rPr>
                <w:rFonts w:ascii="Arial" w:eastAsia="Times New Roman" w:hAnsi="Arial" w:cs="Arial"/>
                <w:color w:val="993300"/>
                <w:kern w:val="0"/>
                <w:sz w:val="18"/>
                <w:szCs w:val="18"/>
                <w:lang w:val="en-GB" w:eastAsia="en-GB"/>
                <w14:ligatures w14:val="none"/>
              </w:rPr>
              <w:t>0.494</w:t>
            </w:r>
          </w:p>
        </w:tc>
      </w:tr>
      <w:tr w:rsidR="00793DFB" w:rsidRPr="002017EC" w14:paraId="41661F0B" w14:textId="77777777" w:rsidTr="009F1C88">
        <w:trPr>
          <w:trHeight w:val="111"/>
          <w:jc w:val="center"/>
        </w:trPr>
        <w:tc>
          <w:tcPr>
            <w:tcW w:w="1502" w:type="dxa"/>
            <w:vMerge/>
            <w:tcBorders>
              <w:top w:val="single" w:sz="4" w:space="0" w:color="auto"/>
              <w:left w:val="single" w:sz="4" w:space="0" w:color="auto"/>
              <w:bottom w:val="single" w:sz="4" w:space="0" w:color="auto"/>
              <w:right w:val="single" w:sz="4" w:space="0" w:color="auto"/>
            </w:tcBorders>
            <w:vAlign w:val="center"/>
            <w:hideMark/>
          </w:tcPr>
          <w:p w14:paraId="7FA444DF"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5BF31CF7"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rtl/>
                <w:lang w:val="en-GB" w:eastAsia="en-GB"/>
                <w14:ligatures w14:val="none"/>
              </w:rPr>
              <w:t>أنثى</w:t>
            </w:r>
          </w:p>
        </w:tc>
        <w:tc>
          <w:tcPr>
            <w:tcW w:w="619" w:type="dxa"/>
            <w:tcBorders>
              <w:top w:val="nil"/>
              <w:left w:val="single" w:sz="4" w:space="0" w:color="auto"/>
              <w:bottom w:val="single" w:sz="4" w:space="0" w:color="auto"/>
              <w:right w:val="single" w:sz="4" w:space="0" w:color="auto"/>
            </w:tcBorders>
            <w:vAlign w:val="center"/>
            <w:hideMark/>
          </w:tcPr>
          <w:p w14:paraId="18AB169C"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232</w:t>
            </w:r>
          </w:p>
        </w:tc>
        <w:tc>
          <w:tcPr>
            <w:tcW w:w="880" w:type="dxa"/>
            <w:tcBorders>
              <w:top w:val="nil"/>
              <w:left w:val="single" w:sz="4" w:space="0" w:color="auto"/>
              <w:bottom w:val="single" w:sz="4" w:space="0" w:color="auto"/>
              <w:right w:val="single" w:sz="4" w:space="0" w:color="auto"/>
            </w:tcBorders>
            <w:vAlign w:val="center"/>
            <w:hideMark/>
          </w:tcPr>
          <w:p w14:paraId="768F2135"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58.0</w:t>
            </w:r>
          </w:p>
        </w:tc>
        <w:tc>
          <w:tcPr>
            <w:tcW w:w="753" w:type="dxa"/>
            <w:vMerge/>
            <w:tcBorders>
              <w:top w:val="nil"/>
              <w:left w:val="single" w:sz="4" w:space="0" w:color="auto"/>
              <w:bottom w:val="single" w:sz="4" w:space="0" w:color="auto"/>
              <w:right w:val="single" w:sz="4" w:space="0" w:color="auto"/>
            </w:tcBorders>
            <w:vAlign w:val="center"/>
            <w:hideMark/>
          </w:tcPr>
          <w:p w14:paraId="6BF9D37B"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6A32FECE"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r>
      <w:tr w:rsidR="00793DFB" w:rsidRPr="002017EC" w14:paraId="66D94361" w14:textId="77777777" w:rsidTr="009F1C88">
        <w:trPr>
          <w:trHeight w:val="259"/>
          <w:jc w:val="center"/>
        </w:trPr>
        <w:tc>
          <w:tcPr>
            <w:tcW w:w="1502" w:type="dxa"/>
            <w:vMerge w:val="restart"/>
            <w:tcBorders>
              <w:top w:val="nil"/>
              <w:left w:val="single" w:sz="4" w:space="0" w:color="auto"/>
              <w:bottom w:val="single" w:sz="4" w:space="0" w:color="auto"/>
              <w:right w:val="single" w:sz="4" w:space="0" w:color="auto"/>
            </w:tcBorders>
            <w:vAlign w:val="center"/>
            <w:hideMark/>
          </w:tcPr>
          <w:p w14:paraId="05C1CCA8" w14:textId="77777777" w:rsidR="00793DFB" w:rsidRPr="002017EC" w:rsidRDefault="00793DFB" w:rsidP="009F1C88">
            <w:pPr>
              <w:bidi/>
              <w:spacing w:after="0" w:line="240" w:lineRule="auto"/>
              <w:jc w:val="center"/>
              <w:rPr>
                <w:rFonts w:ascii="Arial" w:eastAsia="Times New Roman" w:hAnsi="Arial" w:cs="Arial"/>
                <w:color w:val="000000"/>
                <w:kern w:val="0"/>
                <w:sz w:val="20"/>
                <w:szCs w:val="20"/>
                <w:lang w:val="en-GB" w:eastAsia="en-GB"/>
                <w14:ligatures w14:val="none"/>
              </w:rPr>
            </w:pPr>
            <w:r w:rsidRPr="002017EC">
              <w:rPr>
                <w:rFonts w:ascii="Arial" w:eastAsia="Times New Roman" w:hAnsi="Arial" w:cs="Arial"/>
                <w:color w:val="000000"/>
                <w:kern w:val="0"/>
                <w:sz w:val="20"/>
                <w:szCs w:val="20"/>
                <w:rtl/>
                <w:lang w:val="en-GB" w:eastAsia="en-GB"/>
                <w14:ligatures w14:val="none"/>
              </w:rPr>
              <w:t>العمر</w:t>
            </w:r>
          </w:p>
        </w:tc>
        <w:tc>
          <w:tcPr>
            <w:tcW w:w="1236" w:type="dxa"/>
            <w:tcBorders>
              <w:top w:val="nil"/>
              <w:left w:val="single" w:sz="4" w:space="0" w:color="auto"/>
              <w:bottom w:val="single" w:sz="4" w:space="0" w:color="auto"/>
              <w:right w:val="single" w:sz="4" w:space="0" w:color="auto"/>
            </w:tcBorders>
            <w:vAlign w:val="center"/>
            <w:hideMark/>
          </w:tcPr>
          <w:p w14:paraId="76D4EC78"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 </w:t>
            </w:r>
          </w:p>
        </w:tc>
        <w:tc>
          <w:tcPr>
            <w:tcW w:w="619" w:type="dxa"/>
            <w:tcBorders>
              <w:top w:val="nil"/>
              <w:left w:val="single" w:sz="4" w:space="0" w:color="auto"/>
              <w:bottom w:val="single" w:sz="4" w:space="0" w:color="auto"/>
              <w:right w:val="single" w:sz="4" w:space="0" w:color="auto"/>
            </w:tcBorders>
            <w:vAlign w:val="center"/>
            <w:hideMark/>
          </w:tcPr>
          <w:p w14:paraId="6180B493"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rtl/>
                <w:lang w:val="en-GB" w:eastAsia="en-GB"/>
                <w14:ligatures w14:val="none"/>
              </w:rPr>
              <w:t>التكرار</w:t>
            </w:r>
          </w:p>
        </w:tc>
        <w:tc>
          <w:tcPr>
            <w:tcW w:w="880" w:type="dxa"/>
            <w:tcBorders>
              <w:top w:val="nil"/>
              <w:left w:val="single" w:sz="4" w:space="0" w:color="auto"/>
              <w:bottom w:val="single" w:sz="4" w:space="0" w:color="auto"/>
              <w:right w:val="single" w:sz="4" w:space="0" w:color="auto"/>
            </w:tcBorders>
            <w:vAlign w:val="center"/>
            <w:hideMark/>
          </w:tcPr>
          <w:p w14:paraId="219C4458"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النسبة</w:t>
            </w:r>
          </w:p>
        </w:tc>
        <w:tc>
          <w:tcPr>
            <w:tcW w:w="753" w:type="dxa"/>
            <w:tcBorders>
              <w:top w:val="nil"/>
              <w:left w:val="single" w:sz="4" w:space="0" w:color="auto"/>
              <w:bottom w:val="single" w:sz="4" w:space="0" w:color="auto"/>
              <w:right w:val="single" w:sz="4" w:space="0" w:color="auto"/>
            </w:tcBorders>
            <w:vAlign w:val="center"/>
            <w:hideMark/>
          </w:tcPr>
          <w:p w14:paraId="02F6AEC0"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المتوسط</w:t>
            </w:r>
          </w:p>
        </w:tc>
        <w:tc>
          <w:tcPr>
            <w:tcW w:w="1805" w:type="dxa"/>
            <w:tcBorders>
              <w:top w:val="nil"/>
              <w:left w:val="single" w:sz="4" w:space="0" w:color="auto"/>
              <w:bottom w:val="single" w:sz="4" w:space="0" w:color="auto"/>
              <w:right w:val="single" w:sz="4" w:space="0" w:color="auto"/>
            </w:tcBorders>
            <w:vAlign w:val="center"/>
            <w:hideMark/>
          </w:tcPr>
          <w:p w14:paraId="4C9AB9DD"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الانحراف المعياري</w:t>
            </w:r>
          </w:p>
        </w:tc>
      </w:tr>
      <w:tr w:rsidR="00793DFB" w:rsidRPr="002017EC" w14:paraId="2DBFCE9D" w14:textId="77777777" w:rsidTr="009F1C88">
        <w:trPr>
          <w:trHeight w:val="245"/>
          <w:jc w:val="center"/>
        </w:trPr>
        <w:tc>
          <w:tcPr>
            <w:tcW w:w="1502" w:type="dxa"/>
            <w:vMerge/>
            <w:tcBorders>
              <w:top w:val="nil"/>
              <w:left w:val="single" w:sz="4" w:space="0" w:color="auto"/>
              <w:bottom w:val="single" w:sz="4" w:space="0" w:color="auto"/>
              <w:right w:val="single" w:sz="4" w:space="0" w:color="auto"/>
            </w:tcBorders>
            <w:vAlign w:val="center"/>
            <w:hideMark/>
          </w:tcPr>
          <w:p w14:paraId="37FAC6E4"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2AACECD3"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اقل من 25 عام</w:t>
            </w:r>
          </w:p>
        </w:tc>
        <w:tc>
          <w:tcPr>
            <w:tcW w:w="619" w:type="dxa"/>
            <w:tcBorders>
              <w:top w:val="nil"/>
              <w:left w:val="single" w:sz="4" w:space="0" w:color="auto"/>
              <w:bottom w:val="single" w:sz="4" w:space="0" w:color="auto"/>
              <w:right w:val="single" w:sz="4" w:space="0" w:color="auto"/>
            </w:tcBorders>
            <w:vAlign w:val="center"/>
            <w:hideMark/>
          </w:tcPr>
          <w:p w14:paraId="470625E1"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66</w:t>
            </w:r>
          </w:p>
        </w:tc>
        <w:tc>
          <w:tcPr>
            <w:tcW w:w="880" w:type="dxa"/>
            <w:tcBorders>
              <w:top w:val="nil"/>
              <w:left w:val="single" w:sz="4" w:space="0" w:color="auto"/>
              <w:bottom w:val="single" w:sz="4" w:space="0" w:color="auto"/>
              <w:right w:val="single" w:sz="4" w:space="0" w:color="auto"/>
            </w:tcBorders>
            <w:vAlign w:val="center"/>
            <w:hideMark/>
          </w:tcPr>
          <w:p w14:paraId="51E810AA"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16.5</w:t>
            </w:r>
          </w:p>
        </w:tc>
        <w:tc>
          <w:tcPr>
            <w:tcW w:w="753" w:type="dxa"/>
            <w:vMerge w:val="restart"/>
            <w:tcBorders>
              <w:top w:val="nil"/>
              <w:left w:val="single" w:sz="4" w:space="0" w:color="auto"/>
              <w:bottom w:val="single" w:sz="4" w:space="0" w:color="auto"/>
              <w:right w:val="single" w:sz="4" w:space="0" w:color="auto"/>
            </w:tcBorders>
            <w:vAlign w:val="center"/>
            <w:hideMark/>
          </w:tcPr>
          <w:p w14:paraId="4ED42120" w14:textId="77777777" w:rsidR="00793DFB" w:rsidRPr="002017EC" w:rsidRDefault="00793DFB" w:rsidP="009F1C88">
            <w:pPr>
              <w:spacing w:after="0" w:line="240" w:lineRule="auto"/>
              <w:jc w:val="center"/>
              <w:rPr>
                <w:rFonts w:ascii="Arial" w:eastAsia="Times New Roman" w:hAnsi="Arial" w:cs="Arial"/>
                <w:color w:val="993300"/>
                <w:kern w:val="0"/>
                <w:sz w:val="18"/>
                <w:szCs w:val="18"/>
                <w:lang w:val="en-GB" w:eastAsia="en-GB"/>
                <w14:ligatures w14:val="none"/>
              </w:rPr>
            </w:pPr>
            <w:r w:rsidRPr="002017EC">
              <w:rPr>
                <w:rFonts w:ascii="Arial" w:eastAsia="Times New Roman" w:hAnsi="Arial" w:cs="Arial"/>
                <w:color w:val="993300"/>
                <w:kern w:val="0"/>
                <w:sz w:val="18"/>
                <w:szCs w:val="18"/>
                <w:lang w:val="en-GB" w:eastAsia="en-GB"/>
                <w14:ligatures w14:val="none"/>
              </w:rPr>
              <w:t>2.59</w:t>
            </w:r>
          </w:p>
        </w:tc>
        <w:tc>
          <w:tcPr>
            <w:tcW w:w="1805" w:type="dxa"/>
            <w:vMerge w:val="restart"/>
            <w:tcBorders>
              <w:top w:val="nil"/>
              <w:left w:val="single" w:sz="4" w:space="0" w:color="auto"/>
              <w:bottom w:val="single" w:sz="4" w:space="0" w:color="auto"/>
              <w:right w:val="single" w:sz="4" w:space="0" w:color="auto"/>
            </w:tcBorders>
            <w:vAlign w:val="center"/>
            <w:hideMark/>
          </w:tcPr>
          <w:p w14:paraId="3B079A86" w14:textId="77777777" w:rsidR="00793DFB" w:rsidRPr="002017EC" w:rsidRDefault="00793DFB" w:rsidP="009F1C88">
            <w:pPr>
              <w:spacing w:after="0" w:line="240" w:lineRule="auto"/>
              <w:jc w:val="center"/>
              <w:rPr>
                <w:rFonts w:ascii="Arial" w:eastAsia="Times New Roman" w:hAnsi="Arial" w:cs="Arial"/>
                <w:color w:val="993300"/>
                <w:kern w:val="0"/>
                <w:sz w:val="18"/>
                <w:szCs w:val="18"/>
                <w:lang w:val="en-GB" w:eastAsia="en-GB"/>
                <w14:ligatures w14:val="none"/>
              </w:rPr>
            </w:pPr>
            <w:r w:rsidRPr="002017EC">
              <w:rPr>
                <w:rFonts w:ascii="Arial" w:eastAsia="Times New Roman" w:hAnsi="Arial" w:cs="Arial"/>
                <w:color w:val="993300"/>
                <w:kern w:val="0"/>
                <w:sz w:val="18"/>
                <w:szCs w:val="18"/>
                <w:lang w:val="en-GB" w:eastAsia="en-GB"/>
                <w14:ligatures w14:val="none"/>
              </w:rPr>
              <w:t>0.985</w:t>
            </w:r>
          </w:p>
        </w:tc>
      </w:tr>
      <w:tr w:rsidR="00793DFB" w:rsidRPr="002017EC" w14:paraId="4CD432B2" w14:textId="77777777" w:rsidTr="009F1C88">
        <w:trPr>
          <w:trHeight w:val="80"/>
          <w:jc w:val="center"/>
        </w:trPr>
        <w:tc>
          <w:tcPr>
            <w:tcW w:w="1502" w:type="dxa"/>
            <w:vMerge/>
            <w:tcBorders>
              <w:top w:val="nil"/>
              <w:left w:val="single" w:sz="4" w:space="0" w:color="auto"/>
              <w:bottom w:val="single" w:sz="4" w:space="0" w:color="auto"/>
              <w:right w:val="single" w:sz="4" w:space="0" w:color="auto"/>
            </w:tcBorders>
            <w:vAlign w:val="center"/>
            <w:hideMark/>
          </w:tcPr>
          <w:p w14:paraId="32661EE6"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12BC2A6F"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25-34</w:t>
            </w:r>
          </w:p>
        </w:tc>
        <w:tc>
          <w:tcPr>
            <w:tcW w:w="619" w:type="dxa"/>
            <w:tcBorders>
              <w:top w:val="nil"/>
              <w:left w:val="single" w:sz="4" w:space="0" w:color="auto"/>
              <w:bottom w:val="single" w:sz="4" w:space="0" w:color="auto"/>
              <w:right w:val="single" w:sz="4" w:space="0" w:color="auto"/>
            </w:tcBorders>
            <w:vAlign w:val="center"/>
            <w:hideMark/>
          </w:tcPr>
          <w:p w14:paraId="57B4A5BC"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112</w:t>
            </w:r>
          </w:p>
        </w:tc>
        <w:tc>
          <w:tcPr>
            <w:tcW w:w="880" w:type="dxa"/>
            <w:tcBorders>
              <w:top w:val="nil"/>
              <w:left w:val="single" w:sz="4" w:space="0" w:color="auto"/>
              <w:bottom w:val="single" w:sz="4" w:space="0" w:color="auto"/>
              <w:right w:val="single" w:sz="4" w:space="0" w:color="auto"/>
            </w:tcBorders>
            <w:vAlign w:val="center"/>
            <w:hideMark/>
          </w:tcPr>
          <w:p w14:paraId="48470D17"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28.0</w:t>
            </w:r>
          </w:p>
        </w:tc>
        <w:tc>
          <w:tcPr>
            <w:tcW w:w="753" w:type="dxa"/>
            <w:vMerge/>
            <w:tcBorders>
              <w:top w:val="nil"/>
              <w:left w:val="single" w:sz="4" w:space="0" w:color="auto"/>
              <w:bottom w:val="single" w:sz="4" w:space="0" w:color="auto"/>
              <w:right w:val="single" w:sz="4" w:space="0" w:color="auto"/>
            </w:tcBorders>
            <w:vAlign w:val="center"/>
            <w:hideMark/>
          </w:tcPr>
          <w:p w14:paraId="68CE057E"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42B5A052"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r>
      <w:tr w:rsidR="00793DFB" w:rsidRPr="002017EC" w14:paraId="7DE1BFFD"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03A9A664"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1E6107FF"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35-44</w:t>
            </w:r>
          </w:p>
        </w:tc>
        <w:tc>
          <w:tcPr>
            <w:tcW w:w="619" w:type="dxa"/>
            <w:tcBorders>
              <w:top w:val="nil"/>
              <w:left w:val="single" w:sz="4" w:space="0" w:color="auto"/>
              <w:bottom w:val="single" w:sz="4" w:space="0" w:color="auto"/>
              <w:right w:val="single" w:sz="4" w:space="0" w:color="auto"/>
            </w:tcBorders>
            <w:vAlign w:val="center"/>
            <w:hideMark/>
          </w:tcPr>
          <w:p w14:paraId="0B7C87EC"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143</w:t>
            </w:r>
          </w:p>
        </w:tc>
        <w:tc>
          <w:tcPr>
            <w:tcW w:w="880" w:type="dxa"/>
            <w:tcBorders>
              <w:top w:val="nil"/>
              <w:left w:val="single" w:sz="4" w:space="0" w:color="auto"/>
              <w:bottom w:val="single" w:sz="4" w:space="0" w:color="auto"/>
              <w:right w:val="single" w:sz="4" w:space="0" w:color="auto"/>
            </w:tcBorders>
            <w:vAlign w:val="center"/>
            <w:hideMark/>
          </w:tcPr>
          <w:p w14:paraId="43772ABF"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35.8</w:t>
            </w:r>
          </w:p>
        </w:tc>
        <w:tc>
          <w:tcPr>
            <w:tcW w:w="753" w:type="dxa"/>
            <w:vMerge/>
            <w:tcBorders>
              <w:top w:val="nil"/>
              <w:left w:val="single" w:sz="4" w:space="0" w:color="auto"/>
              <w:bottom w:val="single" w:sz="4" w:space="0" w:color="auto"/>
              <w:right w:val="single" w:sz="4" w:space="0" w:color="auto"/>
            </w:tcBorders>
            <w:vAlign w:val="center"/>
            <w:hideMark/>
          </w:tcPr>
          <w:p w14:paraId="4DAFBC33"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69D3D00F"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r>
      <w:tr w:rsidR="00793DFB" w:rsidRPr="002017EC" w14:paraId="5DEB3EF9" w14:textId="77777777" w:rsidTr="009F1C88">
        <w:trPr>
          <w:trHeight w:val="102"/>
          <w:jc w:val="center"/>
        </w:trPr>
        <w:tc>
          <w:tcPr>
            <w:tcW w:w="1502" w:type="dxa"/>
            <w:vMerge/>
            <w:tcBorders>
              <w:top w:val="nil"/>
              <w:left w:val="single" w:sz="4" w:space="0" w:color="auto"/>
              <w:bottom w:val="single" w:sz="4" w:space="0" w:color="auto"/>
              <w:right w:val="single" w:sz="4" w:space="0" w:color="auto"/>
            </w:tcBorders>
            <w:vAlign w:val="center"/>
            <w:hideMark/>
          </w:tcPr>
          <w:p w14:paraId="588F465E"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0B8B6EED"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rtl/>
                <w:lang w:val="en-GB" w:eastAsia="en-GB"/>
                <w14:ligatures w14:val="none"/>
              </w:rPr>
              <w:t xml:space="preserve">45 </w:t>
            </w:r>
            <w:proofErr w:type="gramStart"/>
            <w:r w:rsidRPr="002017EC">
              <w:rPr>
                <w:rFonts w:ascii="Arial" w:eastAsia="Times New Roman" w:hAnsi="Arial" w:cs="Arial"/>
                <w:color w:val="000000"/>
                <w:kern w:val="0"/>
                <w:sz w:val="18"/>
                <w:szCs w:val="18"/>
                <w:rtl/>
                <w:lang w:val="en-GB" w:eastAsia="en-GB"/>
                <w14:ligatures w14:val="none"/>
              </w:rPr>
              <w:t>فاكثر</w:t>
            </w:r>
            <w:proofErr w:type="gramEnd"/>
          </w:p>
        </w:tc>
        <w:tc>
          <w:tcPr>
            <w:tcW w:w="619" w:type="dxa"/>
            <w:tcBorders>
              <w:top w:val="nil"/>
              <w:left w:val="single" w:sz="4" w:space="0" w:color="auto"/>
              <w:bottom w:val="single" w:sz="4" w:space="0" w:color="auto"/>
              <w:right w:val="single" w:sz="4" w:space="0" w:color="auto"/>
            </w:tcBorders>
            <w:vAlign w:val="center"/>
            <w:hideMark/>
          </w:tcPr>
          <w:p w14:paraId="7F2B275A"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79</w:t>
            </w:r>
          </w:p>
        </w:tc>
        <w:tc>
          <w:tcPr>
            <w:tcW w:w="880" w:type="dxa"/>
            <w:tcBorders>
              <w:top w:val="nil"/>
              <w:left w:val="single" w:sz="4" w:space="0" w:color="auto"/>
              <w:bottom w:val="single" w:sz="4" w:space="0" w:color="auto"/>
              <w:right w:val="single" w:sz="4" w:space="0" w:color="auto"/>
            </w:tcBorders>
            <w:vAlign w:val="center"/>
            <w:hideMark/>
          </w:tcPr>
          <w:p w14:paraId="35919CCF"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19.8</w:t>
            </w:r>
          </w:p>
        </w:tc>
        <w:tc>
          <w:tcPr>
            <w:tcW w:w="753" w:type="dxa"/>
            <w:vMerge/>
            <w:tcBorders>
              <w:top w:val="nil"/>
              <w:left w:val="single" w:sz="4" w:space="0" w:color="auto"/>
              <w:bottom w:val="single" w:sz="4" w:space="0" w:color="auto"/>
              <w:right w:val="single" w:sz="4" w:space="0" w:color="auto"/>
            </w:tcBorders>
            <w:vAlign w:val="center"/>
            <w:hideMark/>
          </w:tcPr>
          <w:p w14:paraId="2E398771"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700DD682"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r>
      <w:tr w:rsidR="00793DFB" w:rsidRPr="002017EC" w14:paraId="279191E5" w14:textId="77777777" w:rsidTr="009F1C88">
        <w:trPr>
          <w:trHeight w:val="145"/>
          <w:jc w:val="center"/>
        </w:trPr>
        <w:tc>
          <w:tcPr>
            <w:tcW w:w="1502" w:type="dxa"/>
            <w:vMerge w:val="restart"/>
            <w:tcBorders>
              <w:top w:val="nil"/>
              <w:left w:val="single" w:sz="4" w:space="0" w:color="auto"/>
              <w:bottom w:val="single" w:sz="4" w:space="0" w:color="auto"/>
              <w:right w:val="single" w:sz="4" w:space="0" w:color="auto"/>
            </w:tcBorders>
            <w:vAlign w:val="center"/>
            <w:hideMark/>
          </w:tcPr>
          <w:p w14:paraId="24DBB924" w14:textId="77777777" w:rsidR="00793DFB" w:rsidRPr="002017EC" w:rsidRDefault="00793DFB" w:rsidP="009F1C88">
            <w:pPr>
              <w:bidi/>
              <w:spacing w:after="0" w:line="240" w:lineRule="auto"/>
              <w:jc w:val="center"/>
              <w:rPr>
                <w:rFonts w:ascii="Arial" w:eastAsia="Times New Roman" w:hAnsi="Arial" w:cs="Arial"/>
                <w:color w:val="000000"/>
                <w:kern w:val="0"/>
                <w:sz w:val="20"/>
                <w:szCs w:val="20"/>
                <w:lang w:val="en-GB" w:eastAsia="en-GB"/>
                <w14:ligatures w14:val="none"/>
              </w:rPr>
            </w:pPr>
            <w:r w:rsidRPr="002017EC">
              <w:rPr>
                <w:rFonts w:ascii="Arial" w:eastAsia="Times New Roman" w:hAnsi="Arial" w:cs="Arial"/>
                <w:color w:val="000000"/>
                <w:kern w:val="0"/>
                <w:sz w:val="20"/>
                <w:szCs w:val="20"/>
                <w:rtl/>
                <w:lang w:val="en-GB" w:eastAsia="en-GB"/>
                <w14:ligatures w14:val="none"/>
              </w:rPr>
              <w:t>المؤهل الدراسي</w:t>
            </w:r>
          </w:p>
        </w:tc>
        <w:tc>
          <w:tcPr>
            <w:tcW w:w="1236" w:type="dxa"/>
            <w:tcBorders>
              <w:top w:val="nil"/>
              <w:left w:val="single" w:sz="4" w:space="0" w:color="auto"/>
              <w:bottom w:val="single" w:sz="4" w:space="0" w:color="auto"/>
              <w:right w:val="single" w:sz="4" w:space="0" w:color="auto"/>
            </w:tcBorders>
            <w:vAlign w:val="center"/>
            <w:hideMark/>
          </w:tcPr>
          <w:p w14:paraId="1C5A5606"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 </w:t>
            </w:r>
          </w:p>
        </w:tc>
        <w:tc>
          <w:tcPr>
            <w:tcW w:w="619" w:type="dxa"/>
            <w:tcBorders>
              <w:top w:val="nil"/>
              <w:left w:val="single" w:sz="4" w:space="0" w:color="auto"/>
              <w:bottom w:val="single" w:sz="4" w:space="0" w:color="auto"/>
              <w:right w:val="single" w:sz="4" w:space="0" w:color="auto"/>
            </w:tcBorders>
            <w:vAlign w:val="center"/>
            <w:hideMark/>
          </w:tcPr>
          <w:p w14:paraId="50A2E3A5"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rtl/>
                <w:lang w:val="en-GB" w:eastAsia="en-GB"/>
                <w14:ligatures w14:val="none"/>
              </w:rPr>
              <w:t>التكرار</w:t>
            </w:r>
          </w:p>
        </w:tc>
        <w:tc>
          <w:tcPr>
            <w:tcW w:w="880" w:type="dxa"/>
            <w:tcBorders>
              <w:top w:val="nil"/>
              <w:left w:val="single" w:sz="4" w:space="0" w:color="auto"/>
              <w:bottom w:val="single" w:sz="4" w:space="0" w:color="auto"/>
              <w:right w:val="single" w:sz="4" w:space="0" w:color="auto"/>
            </w:tcBorders>
            <w:vAlign w:val="center"/>
            <w:hideMark/>
          </w:tcPr>
          <w:p w14:paraId="14040504"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النسبة</w:t>
            </w:r>
          </w:p>
        </w:tc>
        <w:tc>
          <w:tcPr>
            <w:tcW w:w="753" w:type="dxa"/>
            <w:tcBorders>
              <w:top w:val="nil"/>
              <w:left w:val="single" w:sz="4" w:space="0" w:color="auto"/>
              <w:bottom w:val="single" w:sz="4" w:space="0" w:color="auto"/>
              <w:right w:val="single" w:sz="4" w:space="0" w:color="auto"/>
            </w:tcBorders>
            <w:vAlign w:val="center"/>
            <w:hideMark/>
          </w:tcPr>
          <w:p w14:paraId="79411648"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المتوسط</w:t>
            </w:r>
          </w:p>
        </w:tc>
        <w:tc>
          <w:tcPr>
            <w:tcW w:w="1805" w:type="dxa"/>
            <w:tcBorders>
              <w:top w:val="nil"/>
              <w:left w:val="single" w:sz="4" w:space="0" w:color="auto"/>
              <w:bottom w:val="single" w:sz="4" w:space="0" w:color="auto"/>
              <w:right w:val="single" w:sz="4" w:space="0" w:color="auto"/>
            </w:tcBorders>
            <w:vAlign w:val="center"/>
            <w:hideMark/>
          </w:tcPr>
          <w:p w14:paraId="5100D253"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الانحراف المعياري</w:t>
            </w:r>
          </w:p>
        </w:tc>
      </w:tr>
      <w:tr w:rsidR="00793DFB" w:rsidRPr="002017EC" w14:paraId="7CD5C964" w14:textId="77777777" w:rsidTr="009F1C88">
        <w:trPr>
          <w:trHeight w:val="63"/>
          <w:jc w:val="center"/>
        </w:trPr>
        <w:tc>
          <w:tcPr>
            <w:tcW w:w="1502" w:type="dxa"/>
            <w:vMerge/>
            <w:tcBorders>
              <w:top w:val="nil"/>
              <w:left w:val="single" w:sz="4" w:space="0" w:color="auto"/>
              <w:bottom w:val="single" w:sz="4" w:space="0" w:color="auto"/>
              <w:right w:val="single" w:sz="4" w:space="0" w:color="auto"/>
            </w:tcBorders>
            <w:vAlign w:val="center"/>
            <w:hideMark/>
          </w:tcPr>
          <w:p w14:paraId="1696CC92"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3232B05E"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ثانوي</w:t>
            </w:r>
          </w:p>
        </w:tc>
        <w:tc>
          <w:tcPr>
            <w:tcW w:w="619" w:type="dxa"/>
            <w:tcBorders>
              <w:top w:val="nil"/>
              <w:left w:val="single" w:sz="4" w:space="0" w:color="auto"/>
              <w:bottom w:val="single" w:sz="4" w:space="0" w:color="auto"/>
              <w:right w:val="single" w:sz="4" w:space="0" w:color="auto"/>
            </w:tcBorders>
            <w:vAlign w:val="center"/>
            <w:hideMark/>
          </w:tcPr>
          <w:p w14:paraId="5DA4C9E2"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32</w:t>
            </w:r>
          </w:p>
        </w:tc>
        <w:tc>
          <w:tcPr>
            <w:tcW w:w="880" w:type="dxa"/>
            <w:tcBorders>
              <w:top w:val="nil"/>
              <w:left w:val="single" w:sz="4" w:space="0" w:color="auto"/>
              <w:bottom w:val="single" w:sz="4" w:space="0" w:color="auto"/>
              <w:right w:val="single" w:sz="4" w:space="0" w:color="auto"/>
            </w:tcBorders>
            <w:vAlign w:val="center"/>
            <w:hideMark/>
          </w:tcPr>
          <w:p w14:paraId="15E1C4BC"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8.0</w:t>
            </w:r>
          </w:p>
        </w:tc>
        <w:tc>
          <w:tcPr>
            <w:tcW w:w="753" w:type="dxa"/>
            <w:vMerge w:val="restart"/>
            <w:tcBorders>
              <w:top w:val="nil"/>
              <w:left w:val="single" w:sz="4" w:space="0" w:color="auto"/>
              <w:bottom w:val="single" w:sz="4" w:space="0" w:color="auto"/>
              <w:right w:val="single" w:sz="4" w:space="0" w:color="auto"/>
            </w:tcBorders>
            <w:vAlign w:val="center"/>
            <w:hideMark/>
          </w:tcPr>
          <w:p w14:paraId="11452DC7" w14:textId="77777777" w:rsidR="00793DFB" w:rsidRPr="002017EC" w:rsidRDefault="00793DFB" w:rsidP="009F1C88">
            <w:pPr>
              <w:spacing w:after="0" w:line="240" w:lineRule="auto"/>
              <w:jc w:val="center"/>
              <w:rPr>
                <w:rFonts w:ascii="Arial" w:eastAsia="Times New Roman" w:hAnsi="Arial" w:cs="Arial"/>
                <w:color w:val="993300"/>
                <w:kern w:val="0"/>
                <w:sz w:val="18"/>
                <w:szCs w:val="18"/>
                <w:lang w:val="en-GB" w:eastAsia="en-GB"/>
                <w14:ligatures w14:val="none"/>
              </w:rPr>
            </w:pPr>
            <w:r w:rsidRPr="002017EC">
              <w:rPr>
                <w:rFonts w:ascii="Arial" w:eastAsia="Times New Roman" w:hAnsi="Arial" w:cs="Arial"/>
                <w:color w:val="993300"/>
                <w:kern w:val="0"/>
                <w:sz w:val="18"/>
                <w:szCs w:val="18"/>
                <w:lang w:val="en-GB" w:eastAsia="en-GB"/>
                <w14:ligatures w14:val="none"/>
              </w:rPr>
              <w:t>2.75</w:t>
            </w:r>
          </w:p>
        </w:tc>
        <w:tc>
          <w:tcPr>
            <w:tcW w:w="1805" w:type="dxa"/>
            <w:vMerge w:val="restart"/>
            <w:tcBorders>
              <w:top w:val="nil"/>
              <w:left w:val="single" w:sz="4" w:space="0" w:color="auto"/>
              <w:bottom w:val="single" w:sz="4" w:space="0" w:color="auto"/>
              <w:right w:val="single" w:sz="4" w:space="0" w:color="auto"/>
            </w:tcBorders>
            <w:vAlign w:val="center"/>
            <w:hideMark/>
          </w:tcPr>
          <w:p w14:paraId="25F9D7BA" w14:textId="77777777" w:rsidR="00793DFB" w:rsidRPr="002017EC" w:rsidRDefault="00793DFB" w:rsidP="009F1C88">
            <w:pPr>
              <w:spacing w:after="0" w:line="240" w:lineRule="auto"/>
              <w:jc w:val="center"/>
              <w:rPr>
                <w:rFonts w:ascii="Arial" w:eastAsia="Times New Roman" w:hAnsi="Arial" w:cs="Arial"/>
                <w:color w:val="993300"/>
                <w:kern w:val="0"/>
                <w:sz w:val="18"/>
                <w:szCs w:val="18"/>
                <w:lang w:val="en-GB" w:eastAsia="en-GB"/>
                <w14:ligatures w14:val="none"/>
              </w:rPr>
            </w:pPr>
            <w:r w:rsidRPr="002017EC">
              <w:rPr>
                <w:rFonts w:ascii="Arial" w:eastAsia="Times New Roman" w:hAnsi="Arial" w:cs="Arial"/>
                <w:color w:val="993300"/>
                <w:kern w:val="0"/>
                <w:sz w:val="18"/>
                <w:szCs w:val="18"/>
                <w:lang w:val="en-GB" w:eastAsia="en-GB"/>
                <w14:ligatures w14:val="none"/>
              </w:rPr>
              <w:t>0.768</w:t>
            </w:r>
          </w:p>
        </w:tc>
      </w:tr>
      <w:tr w:rsidR="00793DFB" w:rsidRPr="002017EC" w14:paraId="3CCC02AD"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309C04D4"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6C720A76"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rtl/>
                <w:lang w:val="en-GB" w:eastAsia="en-GB"/>
                <w14:ligatures w14:val="none"/>
              </w:rPr>
              <w:t>دبلوم</w:t>
            </w:r>
          </w:p>
        </w:tc>
        <w:tc>
          <w:tcPr>
            <w:tcW w:w="619" w:type="dxa"/>
            <w:tcBorders>
              <w:top w:val="nil"/>
              <w:left w:val="single" w:sz="4" w:space="0" w:color="auto"/>
              <w:bottom w:val="single" w:sz="4" w:space="0" w:color="auto"/>
              <w:right w:val="single" w:sz="4" w:space="0" w:color="auto"/>
            </w:tcBorders>
            <w:vAlign w:val="center"/>
            <w:hideMark/>
          </w:tcPr>
          <w:p w14:paraId="6E083BB6"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85</w:t>
            </w:r>
          </w:p>
        </w:tc>
        <w:tc>
          <w:tcPr>
            <w:tcW w:w="880" w:type="dxa"/>
            <w:tcBorders>
              <w:top w:val="nil"/>
              <w:left w:val="single" w:sz="4" w:space="0" w:color="auto"/>
              <w:bottom w:val="single" w:sz="4" w:space="0" w:color="auto"/>
              <w:right w:val="single" w:sz="4" w:space="0" w:color="auto"/>
            </w:tcBorders>
            <w:vAlign w:val="center"/>
            <w:hideMark/>
          </w:tcPr>
          <w:p w14:paraId="4CE7B638"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21.3</w:t>
            </w:r>
          </w:p>
        </w:tc>
        <w:tc>
          <w:tcPr>
            <w:tcW w:w="753" w:type="dxa"/>
            <w:vMerge/>
            <w:tcBorders>
              <w:top w:val="nil"/>
              <w:left w:val="single" w:sz="4" w:space="0" w:color="auto"/>
              <w:bottom w:val="single" w:sz="4" w:space="0" w:color="auto"/>
              <w:right w:val="single" w:sz="4" w:space="0" w:color="auto"/>
            </w:tcBorders>
            <w:vAlign w:val="center"/>
            <w:hideMark/>
          </w:tcPr>
          <w:p w14:paraId="70465AFB"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561D4AD0"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r>
      <w:tr w:rsidR="00793DFB" w:rsidRPr="002017EC" w14:paraId="367DC03D"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798F7D03"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10BBD7F3"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rtl/>
                <w:lang w:val="en-GB" w:eastAsia="en-GB"/>
                <w14:ligatures w14:val="none"/>
              </w:rPr>
              <w:t>جامعي</w:t>
            </w:r>
          </w:p>
        </w:tc>
        <w:tc>
          <w:tcPr>
            <w:tcW w:w="619" w:type="dxa"/>
            <w:tcBorders>
              <w:top w:val="nil"/>
              <w:left w:val="single" w:sz="4" w:space="0" w:color="auto"/>
              <w:bottom w:val="single" w:sz="4" w:space="0" w:color="auto"/>
              <w:right w:val="single" w:sz="4" w:space="0" w:color="auto"/>
            </w:tcBorders>
            <w:vAlign w:val="center"/>
            <w:hideMark/>
          </w:tcPr>
          <w:p w14:paraId="1158427F"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235</w:t>
            </w:r>
          </w:p>
        </w:tc>
        <w:tc>
          <w:tcPr>
            <w:tcW w:w="880" w:type="dxa"/>
            <w:tcBorders>
              <w:top w:val="nil"/>
              <w:left w:val="single" w:sz="4" w:space="0" w:color="auto"/>
              <w:bottom w:val="single" w:sz="4" w:space="0" w:color="auto"/>
              <w:right w:val="single" w:sz="4" w:space="0" w:color="auto"/>
            </w:tcBorders>
            <w:vAlign w:val="center"/>
            <w:hideMark/>
          </w:tcPr>
          <w:p w14:paraId="01FBC4FA"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58.8</w:t>
            </w:r>
          </w:p>
        </w:tc>
        <w:tc>
          <w:tcPr>
            <w:tcW w:w="753" w:type="dxa"/>
            <w:vMerge/>
            <w:tcBorders>
              <w:top w:val="nil"/>
              <w:left w:val="single" w:sz="4" w:space="0" w:color="auto"/>
              <w:bottom w:val="single" w:sz="4" w:space="0" w:color="auto"/>
              <w:right w:val="single" w:sz="4" w:space="0" w:color="auto"/>
            </w:tcBorders>
            <w:vAlign w:val="center"/>
            <w:hideMark/>
          </w:tcPr>
          <w:p w14:paraId="32C05F32"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1910D9BC"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r>
      <w:tr w:rsidR="00793DFB" w:rsidRPr="002017EC" w14:paraId="126774E3"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1144ADD1"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12CCF39C"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rtl/>
                <w:lang w:val="en-GB" w:eastAsia="en-GB"/>
                <w14:ligatures w14:val="none"/>
              </w:rPr>
              <w:t>دراسات عليا</w:t>
            </w:r>
          </w:p>
        </w:tc>
        <w:tc>
          <w:tcPr>
            <w:tcW w:w="619" w:type="dxa"/>
            <w:tcBorders>
              <w:top w:val="nil"/>
              <w:left w:val="single" w:sz="4" w:space="0" w:color="auto"/>
              <w:bottom w:val="single" w:sz="4" w:space="0" w:color="auto"/>
              <w:right w:val="single" w:sz="4" w:space="0" w:color="auto"/>
            </w:tcBorders>
            <w:vAlign w:val="center"/>
            <w:hideMark/>
          </w:tcPr>
          <w:p w14:paraId="5BAA627D"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48</w:t>
            </w:r>
          </w:p>
        </w:tc>
        <w:tc>
          <w:tcPr>
            <w:tcW w:w="880" w:type="dxa"/>
            <w:tcBorders>
              <w:top w:val="nil"/>
              <w:left w:val="single" w:sz="4" w:space="0" w:color="auto"/>
              <w:bottom w:val="single" w:sz="4" w:space="0" w:color="auto"/>
              <w:right w:val="single" w:sz="4" w:space="0" w:color="auto"/>
            </w:tcBorders>
            <w:vAlign w:val="center"/>
            <w:hideMark/>
          </w:tcPr>
          <w:p w14:paraId="329145CE"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12.0</w:t>
            </w:r>
          </w:p>
        </w:tc>
        <w:tc>
          <w:tcPr>
            <w:tcW w:w="753" w:type="dxa"/>
            <w:vMerge/>
            <w:tcBorders>
              <w:top w:val="nil"/>
              <w:left w:val="single" w:sz="4" w:space="0" w:color="auto"/>
              <w:bottom w:val="single" w:sz="4" w:space="0" w:color="auto"/>
              <w:right w:val="single" w:sz="4" w:space="0" w:color="auto"/>
            </w:tcBorders>
            <w:vAlign w:val="center"/>
            <w:hideMark/>
          </w:tcPr>
          <w:p w14:paraId="0A2FB500"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633F6736"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r>
      <w:tr w:rsidR="00793DFB" w:rsidRPr="002017EC" w14:paraId="743FD206" w14:textId="77777777" w:rsidTr="009F1C88">
        <w:trPr>
          <w:trHeight w:val="58"/>
          <w:jc w:val="center"/>
        </w:trPr>
        <w:tc>
          <w:tcPr>
            <w:tcW w:w="1502" w:type="dxa"/>
            <w:vMerge w:val="restart"/>
            <w:tcBorders>
              <w:top w:val="nil"/>
              <w:left w:val="single" w:sz="4" w:space="0" w:color="auto"/>
              <w:bottom w:val="single" w:sz="4" w:space="0" w:color="auto"/>
              <w:right w:val="single" w:sz="4" w:space="0" w:color="auto"/>
            </w:tcBorders>
            <w:vAlign w:val="center"/>
            <w:hideMark/>
          </w:tcPr>
          <w:p w14:paraId="25FBDC04" w14:textId="77777777" w:rsidR="00793DFB" w:rsidRPr="002017EC" w:rsidRDefault="00793DFB" w:rsidP="009F1C88">
            <w:pPr>
              <w:bidi/>
              <w:spacing w:after="0" w:line="240" w:lineRule="auto"/>
              <w:jc w:val="center"/>
              <w:rPr>
                <w:rFonts w:ascii="Arial" w:eastAsia="Times New Roman" w:hAnsi="Arial" w:cs="Arial"/>
                <w:color w:val="000000"/>
                <w:kern w:val="0"/>
                <w:sz w:val="20"/>
                <w:szCs w:val="20"/>
                <w:lang w:val="en-GB" w:eastAsia="en-GB"/>
                <w14:ligatures w14:val="none"/>
              </w:rPr>
            </w:pPr>
            <w:proofErr w:type="spellStart"/>
            <w:r w:rsidRPr="002017EC">
              <w:rPr>
                <w:rFonts w:ascii="Arial" w:eastAsia="Times New Roman" w:hAnsi="Arial" w:cs="Arial"/>
                <w:color w:val="000000"/>
                <w:kern w:val="0"/>
                <w:sz w:val="20"/>
                <w:szCs w:val="20"/>
                <w:rtl/>
                <w:lang w:val="en-GB" w:eastAsia="en-GB"/>
                <w14:ligatures w14:val="none"/>
              </w:rPr>
              <w:t>المسمي</w:t>
            </w:r>
            <w:proofErr w:type="spellEnd"/>
            <w:r w:rsidRPr="002017EC">
              <w:rPr>
                <w:rFonts w:ascii="Arial" w:eastAsia="Times New Roman" w:hAnsi="Arial" w:cs="Arial"/>
                <w:color w:val="000000"/>
                <w:kern w:val="0"/>
                <w:sz w:val="20"/>
                <w:szCs w:val="20"/>
                <w:rtl/>
                <w:lang w:val="en-GB" w:eastAsia="en-GB"/>
                <w14:ligatures w14:val="none"/>
              </w:rPr>
              <w:t xml:space="preserve"> الوظيفي</w:t>
            </w:r>
          </w:p>
        </w:tc>
        <w:tc>
          <w:tcPr>
            <w:tcW w:w="1236" w:type="dxa"/>
            <w:tcBorders>
              <w:top w:val="nil"/>
              <w:left w:val="single" w:sz="4" w:space="0" w:color="auto"/>
              <w:bottom w:val="single" w:sz="4" w:space="0" w:color="auto"/>
              <w:right w:val="single" w:sz="4" w:space="0" w:color="auto"/>
            </w:tcBorders>
            <w:vAlign w:val="center"/>
            <w:hideMark/>
          </w:tcPr>
          <w:p w14:paraId="4A345E18"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 </w:t>
            </w:r>
          </w:p>
        </w:tc>
        <w:tc>
          <w:tcPr>
            <w:tcW w:w="619" w:type="dxa"/>
            <w:tcBorders>
              <w:top w:val="nil"/>
              <w:left w:val="single" w:sz="4" w:space="0" w:color="auto"/>
              <w:bottom w:val="single" w:sz="4" w:space="0" w:color="auto"/>
              <w:right w:val="single" w:sz="4" w:space="0" w:color="auto"/>
            </w:tcBorders>
            <w:vAlign w:val="center"/>
            <w:hideMark/>
          </w:tcPr>
          <w:p w14:paraId="560A93FC"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rtl/>
                <w:lang w:val="en-GB" w:eastAsia="en-GB"/>
                <w14:ligatures w14:val="none"/>
              </w:rPr>
              <w:t>التكرار</w:t>
            </w:r>
          </w:p>
        </w:tc>
        <w:tc>
          <w:tcPr>
            <w:tcW w:w="880" w:type="dxa"/>
            <w:tcBorders>
              <w:top w:val="nil"/>
              <w:left w:val="single" w:sz="4" w:space="0" w:color="auto"/>
              <w:bottom w:val="single" w:sz="4" w:space="0" w:color="auto"/>
              <w:right w:val="single" w:sz="4" w:space="0" w:color="auto"/>
            </w:tcBorders>
            <w:vAlign w:val="center"/>
            <w:hideMark/>
          </w:tcPr>
          <w:p w14:paraId="6EDC1F82"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النسبة</w:t>
            </w:r>
          </w:p>
        </w:tc>
        <w:tc>
          <w:tcPr>
            <w:tcW w:w="2558" w:type="dxa"/>
            <w:gridSpan w:val="2"/>
            <w:vMerge w:val="restart"/>
            <w:tcBorders>
              <w:top w:val="single" w:sz="4" w:space="0" w:color="auto"/>
              <w:left w:val="single" w:sz="4" w:space="0" w:color="auto"/>
              <w:bottom w:val="single" w:sz="4" w:space="0" w:color="000000"/>
              <w:right w:val="single" w:sz="4" w:space="0" w:color="000000"/>
            </w:tcBorders>
            <w:vAlign w:val="center"/>
            <w:hideMark/>
          </w:tcPr>
          <w:p w14:paraId="0DB1ACD3"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 </w:t>
            </w:r>
          </w:p>
        </w:tc>
      </w:tr>
      <w:tr w:rsidR="00793DFB" w:rsidRPr="002017EC" w14:paraId="4E26B03D"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4F6912EF"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0D084440"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rtl/>
                <w:lang w:val="en-GB" w:eastAsia="en-GB"/>
                <w14:ligatures w14:val="none"/>
              </w:rPr>
              <w:t>موظف</w:t>
            </w:r>
          </w:p>
        </w:tc>
        <w:tc>
          <w:tcPr>
            <w:tcW w:w="619" w:type="dxa"/>
            <w:tcBorders>
              <w:top w:val="nil"/>
              <w:left w:val="single" w:sz="4" w:space="0" w:color="auto"/>
              <w:bottom w:val="single" w:sz="4" w:space="0" w:color="auto"/>
              <w:right w:val="single" w:sz="4" w:space="0" w:color="auto"/>
            </w:tcBorders>
            <w:vAlign w:val="center"/>
            <w:hideMark/>
          </w:tcPr>
          <w:p w14:paraId="112F1488"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132</w:t>
            </w:r>
          </w:p>
        </w:tc>
        <w:tc>
          <w:tcPr>
            <w:tcW w:w="880" w:type="dxa"/>
            <w:tcBorders>
              <w:top w:val="nil"/>
              <w:left w:val="single" w:sz="4" w:space="0" w:color="auto"/>
              <w:bottom w:val="single" w:sz="4" w:space="0" w:color="auto"/>
              <w:right w:val="single" w:sz="4" w:space="0" w:color="auto"/>
            </w:tcBorders>
            <w:vAlign w:val="center"/>
            <w:hideMark/>
          </w:tcPr>
          <w:p w14:paraId="5633719B"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33.0</w:t>
            </w:r>
          </w:p>
        </w:tc>
        <w:tc>
          <w:tcPr>
            <w:tcW w:w="2558" w:type="dxa"/>
            <w:gridSpan w:val="2"/>
            <w:vMerge/>
            <w:tcBorders>
              <w:top w:val="nil"/>
              <w:left w:val="single" w:sz="4" w:space="0" w:color="auto"/>
              <w:bottom w:val="single" w:sz="4" w:space="0" w:color="auto"/>
              <w:right w:val="single" w:sz="4" w:space="0" w:color="auto"/>
            </w:tcBorders>
            <w:vAlign w:val="center"/>
            <w:hideMark/>
          </w:tcPr>
          <w:p w14:paraId="0E9A3D19"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23A973B7"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3D43EAED"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71986CF9"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rtl/>
                <w:lang w:val="en-GB" w:eastAsia="en-GB"/>
                <w14:ligatures w14:val="none"/>
              </w:rPr>
              <w:t>مشرف</w:t>
            </w:r>
          </w:p>
        </w:tc>
        <w:tc>
          <w:tcPr>
            <w:tcW w:w="619" w:type="dxa"/>
            <w:tcBorders>
              <w:top w:val="nil"/>
              <w:left w:val="single" w:sz="4" w:space="0" w:color="auto"/>
              <w:bottom w:val="single" w:sz="4" w:space="0" w:color="auto"/>
              <w:right w:val="single" w:sz="4" w:space="0" w:color="auto"/>
            </w:tcBorders>
            <w:vAlign w:val="center"/>
            <w:hideMark/>
          </w:tcPr>
          <w:p w14:paraId="7F99755A"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162</w:t>
            </w:r>
          </w:p>
        </w:tc>
        <w:tc>
          <w:tcPr>
            <w:tcW w:w="880" w:type="dxa"/>
            <w:tcBorders>
              <w:top w:val="nil"/>
              <w:left w:val="single" w:sz="4" w:space="0" w:color="auto"/>
              <w:bottom w:val="single" w:sz="4" w:space="0" w:color="auto"/>
              <w:right w:val="single" w:sz="4" w:space="0" w:color="auto"/>
            </w:tcBorders>
            <w:vAlign w:val="center"/>
            <w:hideMark/>
          </w:tcPr>
          <w:p w14:paraId="3D38094A"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40.5</w:t>
            </w:r>
          </w:p>
        </w:tc>
        <w:tc>
          <w:tcPr>
            <w:tcW w:w="2558" w:type="dxa"/>
            <w:gridSpan w:val="2"/>
            <w:vMerge/>
            <w:tcBorders>
              <w:top w:val="nil"/>
              <w:left w:val="single" w:sz="4" w:space="0" w:color="auto"/>
              <w:bottom w:val="single" w:sz="4" w:space="0" w:color="auto"/>
              <w:right w:val="single" w:sz="4" w:space="0" w:color="auto"/>
            </w:tcBorders>
            <w:vAlign w:val="center"/>
            <w:hideMark/>
          </w:tcPr>
          <w:p w14:paraId="29C91EA5"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0DA9A045"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36C8E9CE"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54BE51C3"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rtl/>
                <w:lang w:val="en-GB" w:eastAsia="en-GB"/>
                <w14:ligatures w14:val="none"/>
              </w:rPr>
              <w:t>مدير</w:t>
            </w:r>
          </w:p>
        </w:tc>
        <w:tc>
          <w:tcPr>
            <w:tcW w:w="619" w:type="dxa"/>
            <w:tcBorders>
              <w:top w:val="nil"/>
              <w:left w:val="single" w:sz="4" w:space="0" w:color="auto"/>
              <w:bottom w:val="single" w:sz="4" w:space="0" w:color="auto"/>
              <w:right w:val="single" w:sz="4" w:space="0" w:color="auto"/>
            </w:tcBorders>
            <w:vAlign w:val="center"/>
            <w:hideMark/>
          </w:tcPr>
          <w:p w14:paraId="24537C16"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106</w:t>
            </w:r>
          </w:p>
        </w:tc>
        <w:tc>
          <w:tcPr>
            <w:tcW w:w="880" w:type="dxa"/>
            <w:tcBorders>
              <w:top w:val="nil"/>
              <w:left w:val="single" w:sz="4" w:space="0" w:color="auto"/>
              <w:bottom w:val="single" w:sz="4" w:space="0" w:color="auto"/>
              <w:right w:val="single" w:sz="4" w:space="0" w:color="auto"/>
            </w:tcBorders>
            <w:vAlign w:val="center"/>
            <w:hideMark/>
          </w:tcPr>
          <w:p w14:paraId="31CC0E17"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26.5</w:t>
            </w:r>
          </w:p>
        </w:tc>
        <w:tc>
          <w:tcPr>
            <w:tcW w:w="2558" w:type="dxa"/>
            <w:gridSpan w:val="2"/>
            <w:vMerge/>
            <w:tcBorders>
              <w:top w:val="nil"/>
              <w:left w:val="single" w:sz="4" w:space="0" w:color="auto"/>
              <w:bottom w:val="single" w:sz="4" w:space="0" w:color="auto"/>
              <w:right w:val="single" w:sz="4" w:space="0" w:color="auto"/>
            </w:tcBorders>
            <w:vAlign w:val="center"/>
            <w:hideMark/>
          </w:tcPr>
          <w:p w14:paraId="7C4567BC"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5CC422E8" w14:textId="77777777" w:rsidTr="009F1C88">
        <w:trPr>
          <w:trHeight w:val="173"/>
          <w:jc w:val="center"/>
        </w:trPr>
        <w:tc>
          <w:tcPr>
            <w:tcW w:w="1502" w:type="dxa"/>
            <w:vMerge w:val="restart"/>
            <w:tcBorders>
              <w:top w:val="nil"/>
              <w:left w:val="single" w:sz="4" w:space="0" w:color="auto"/>
              <w:bottom w:val="single" w:sz="4" w:space="0" w:color="auto"/>
              <w:right w:val="single" w:sz="4" w:space="0" w:color="auto"/>
            </w:tcBorders>
            <w:vAlign w:val="center"/>
            <w:hideMark/>
          </w:tcPr>
          <w:p w14:paraId="3F762C0B" w14:textId="77777777" w:rsidR="00793DFB" w:rsidRPr="002017EC" w:rsidRDefault="00793DFB" w:rsidP="009F1C88">
            <w:pPr>
              <w:bidi/>
              <w:spacing w:after="0" w:line="240" w:lineRule="auto"/>
              <w:jc w:val="center"/>
              <w:rPr>
                <w:rFonts w:ascii="Arial" w:eastAsia="Times New Roman" w:hAnsi="Arial" w:cs="Arial"/>
                <w:color w:val="000000"/>
                <w:kern w:val="0"/>
                <w:sz w:val="20"/>
                <w:szCs w:val="20"/>
                <w:lang w:val="en-GB" w:eastAsia="en-GB"/>
                <w14:ligatures w14:val="none"/>
              </w:rPr>
            </w:pPr>
            <w:r w:rsidRPr="002017EC">
              <w:rPr>
                <w:rFonts w:ascii="Arial" w:eastAsia="Times New Roman" w:hAnsi="Arial" w:cs="Arial"/>
                <w:color w:val="000000"/>
                <w:kern w:val="0"/>
                <w:sz w:val="20"/>
                <w:szCs w:val="20"/>
                <w:rtl/>
                <w:lang w:val="en-GB" w:eastAsia="en-GB"/>
                <w14:ligatures w14:val="none"/>
              </w:rPr>
              <w:t>نوع القطاع</w:t>
            </w:r>
          </w:p>
        </w:tc>
        <w:tc>
          <w:tcPr>
            <w:tcW w:w="1236" w:type="dxa"/>
            <w:tcBorders>
              <w:top w:val="nil"/>
              <w:left w:val="single" w:sz="4" w:space="0" w:color="auto"/>
              <w:bottom w:val="single" w:sz="4" w:space="0" w:color="auto"/>
              <w:right w:val="single" w:sz="4" w:space="0" w:color="auto"/>
            </w:tcBorders>
            <w:vAlign w:val="center"/>
            <w:hideMark/>
          </w:tcPr>
          <w:p w14:paraId="33846595"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 </w:t>
            </w:r>
          </w:p>
        </w:tc>
        <w:tc>
          <w:tcPr>
            <w:tcW w:w="619" w:type="dxa"/>
            <w:tcBorders>
              <w:top w:val="nil"/>
              <w:left w:val="single" w:sz="4" w:space="0" w:color="auto"/>
              <w:bottom w:val="single" w:sz="4" w:space="0" w:color="auto"/>
              <w:right w:val="single" w:sz="4" w:space="0" w:color="auto"/>
            </w:tcBorders>
            <w:vAlign w:val="center"/>
            <w:hideMark/>
          </w:tcPr>
          <w:p w14:paraId="7939D8D2"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rtl/>
                <w:lang w:val="en-GB" w:eastAsia="en-GB"/>
                <w14:ligatures w14:val="none"/>
              </w:rPr>
              <w:t>التكرار</w:t>
            </w:r>
          </w:p>
        </w:tc>
        <w:tc>
          <w:tcPr>
            <w:tcW w:w="880" w:type="dxa"/>
            <w:tcBorders>
              <w:top w:val="nil"/>
              <w:left w:val="single" w:sz="4" w:space="0" w:color="auto"/>
              <w:bottom w:val="single" w:sz="4" w:space="0" w:color="auto"/>
              <w:right w:val="single" w:sz="4" w:space="0" w:color="auto"/>
            </w:tcBorders>
            <w:vAlign w:val="center"/>
            <w:hideMark/>
          </w:tcPr>
          <w:p w14:paraId="3B3FEC5F"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النسبة</w:t>
            </w:r>
          </w:p>
        </w:tc>
        <w:tc>
          <w:tcPr>
            <w:tcW w:w="753" w:type="dxa"/>
            <w:tcBorders>
              <w:top w:val="nil"/>
              <w:left w:val="single" w:sz="4" w:space="0" w:color="auto"/>
              <w:bottom w:val="single" w:sz="4" w:space="0" w:color="auto"/>
              <w:right w:val="single" w:sz="4" w:space="0" w:color="auto"/>
            </w:tcBorders>
            <w:vAlign w:val="center"/>
            <w:hideMark/>
          </w:tcPr>
          <w:p w14:paraId="1E5BCA90"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المتوسط</w:t>
            </w:r>
          </w:p>
        </w:tc>
        <w:tc>
          <w:tcPr>
            <w:tcW w:w="1805" w:type="dxa"/>
            <w:tcBorders>
              <w:top w:val="nil"/>
              <w:left w:val="single" w:sz="4" w:space="0" w:color="auto"/>
              <w:bottom w:val="single" w:sz="4" w:space="0" w:color="auto"/>
              <w:right w:val="single" w:sz="4" w:space="0" w:color="auto"/>
            </w:tcBorders>
            <w:vAlign w:val="center"/>
            <w:hideMark/>
          </w:tcPr>
          <w:p w14:paraId="4276A5D1"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الانحراف المعياري</w:t>
            </w:r>
          </w:p>
        </w:tc>
      </w:tr>
      <w:tr w:rsidR="00793DFB" w:rsidRPr="002017EC" w14:paraId="528D408C"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6B7C1245"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11D5C1CD"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فندق</w:t>
            </w:r>
          </w:p>
        </w:tc>
        <w:tc>
          <w:tcPr>
            <w:tcW w:w="619" w:type="dxa"/>
            <w:tcBorders>
              <w:top w:val="nil"/>
              <w:left w:val="single" w:sz="4" w:space="0" w:color="auto"/>
              <w:bottom w:val="single" w:sz="4" w:space="0" w:color="auto"/>
              <w:right w:val="single" w:sz="4" w:space="0" w:color="auto"/>
            </w:tcBorders>
            <w:vAlign w:val="center"/>
            <w:hideMark/>
          </w:tcPr>
          <w:p w14:paraId="50789C21"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249</w:t>
            </w:r>
          </w:p>
        </w:tc>
        <w:tc>
          <w:tcPr>
            <w:tcW w:w="880" w:type="dxa"/>
            <w:tcBorders>
              <w:top w:val="nil"/>
              <w:left w:val="single" w:sz="4" w:space="0" w:color="auto"/>
              <w:bottom w:val="single" w:sz="4" w:space="0" w:color="auto"/>
              <w:right w:val="single" w:sz="4" w:space="0" w:color="auto"/>
            </w:tcBorders>
            <w:vAlign w:val="center"/>
            <w:hideMark/>
          </w:tcPr>
          <w:p w14:paraId="3E0A82D8"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62.3</w:t>
            </w:r>
          </w:p>
        </w:tc>
        <w:tc>
          <w:tcPr>
            <w:tcW w:w="753" w:type="dxa"/>
            <w:vMerge w:val="restart"/>
            <w:tcBorders>
              <w:top w:val="nil"/>
              <w:left w:val="single" w:sz="4" w:space="0" w:color="auto"/>
              <w:bottom w:val="single" w:sz="4" w:space="0" w:color="auto"/>
              <w:right w:val="single" w:sz="4" w:space="0" w:color="auto"/>
            </w:tcBorders>
            <w:vAlign w:val="center"/>
            <w:hideMark/>
          </w:tcPr>
          <w:p w14:paraId="344A5EAD" w14:textId="77777777" w:rsidR="00793DFB" w:rsidRPr="002017EC" w:rsidRDefault="00793DFB" w:rsidP="009F1C88">
            <w:pPr>
              <w:spacing w:after="0" w:line="240" w:lineRule="auto"/>
              <w:jc w:val="center"/>
              <w:rPr>
                <w:rFonts w:ascii="Arial" w:eastAsia="Times New Roman" w:hAnsi="Arial" w:cs="Arial"/>
                <w:color w:val="993300"/>
                <w:kern w:val="0"/>
                <w:sz w:val="18"/>
                <w:szCs w:val="18"/>
                <w:lang w:val="en-GB" w:eastAsia="en-GB"/>
                <w14:ligatures w14:val="none"/>
              </w:rPr>
            </w:pPr>
            <w:r w:rsidRPr="002017EC">
              <w:rPr>
                <w:rFonts w:ascii="Arial" w:eastAsia="Times New Roman" w:hAnsi="Arial" w:cs="Arial"/>
                <w:color w:val="993300"/>
                <w:kern w:val="0"/>
                <w:sz w:val="18"/>
                <w:szCs w:val="18"/>
                <w:lang w:val="en-GB" w:eastAsia="en-GB"/>
                <w14:ligatures w14:val="none"/>
              </w:rPr>
              <w:t>0.38</w:t>
            </w:r>
          </w:p>
        </w:tc>
        <w:tc>
          <w:tcPr>
            <w:tcW w:w="1805" w:type="dxa"/>
            <w:vMerge w:val="restart"/>
            <w:tcBorders>
              <w:top w:val="nil"/>
              <w:left w:val="single" w:sz="4" w:space="0" w:color="auto"/>
              <w:bottom w:val="single" w:sz="4" w:space="0" w:color="auto"/>
              <w:right w:val="single" w:sz="4" w:space="0" w:color="auto"/>
            </w:tcBorders>
            <w:vAlign w:val="center"/>
            <w:hideMark/>
          </w:tcPr>
          <w:p w14:paraId="241EF442" w14:textId="77777777" w:rsidR="00793DFB" w:rsidRPr="002017EC" w:rsidRDefault="00793DFB" w:rsidP="009F1C88">
            <w:pPr>
              <w:spacing w:after="0" w:line="240" w:lineRule="auto"/>
              <w:jc w:val="center"/>
              <w:rPr>
                <w:rFonts w:ascii="Arial" w:eastAsia="Times New Roman" w:hAnsi="Arial" w:cs="Arial"/>
                <w:color w:val="993300"/>
                <w:kern w:val="0"/>
                <w:sz w:val="18"/>
                <w:szCs w:val="18"/>
                <w:lang w:val="en-GB" w:eastAsia="en-GB"/>
                <w14:ligatures w14:val="none"/>
              </w:rPr>
            </w:pPr>
            <w:r w:rsidRPr="002017EC">
              <w:rPr>
                <w:rFonts w:ascii="Arial" w:eastAsia="Times New Roman" w:hAnsi="Arial" w:cs="Arial"/>
                <w:color w:val="993300"/>
                <w:kern w:val="0"/>
                <w:sz w:val="18"/>
                <w:szCs w:val="18"/>
                <w:lang w:val="en-GB" w:eastAsia="en-GB"/>
                <w14:ligatures w14:val="none"/>
              </w:rPr>
              <w:t>0.485</w:t>
            </w:r>
          </w:p>
        </w:tc>
      </w:tr>
      <w:tr w:rsidR="00793DFB" w:rsidRPr="002017EC" w14:paraId="7308C8B1"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0FF21A06"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55DCFF84"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rtl/>
                <w:lang w:val="en-GB" w:eastAsia="en-GB"/>
                <w14:ligatures w14:val="none"/>
              </w:rPr>
              <w:t>مطعم</w:t>
            </w:r>
          </w:p>
        </w:tc>
        <w:tc>
          <w:tcPr>
            <w:tcW w:w="619" w:type="dxa"/>
            <w:tcBorders>
              <w:top w:val="nil"/>
              <w:left w:val="single" w:sz="4" w:space="0" w:color="auto"/>
              <w:bottom w:val="single" w:sz="4" w:space="0" w:color="auto"/>
              <w:right w:val="single" w:sz="4" w:space="0" w:color="auto"/>
            </w:tcBorders>
            <w:vAlign w:val="center"/>
            <w:hideMark/>
          </w:tcPr>
          <w:p w14:paraId="1A4352A8"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151</w:t>
            </w:r>
          </w:p>
        </w:tc>
        <w:tc>
          <w:tcPr>
            <w:tcW w:w="880" w:type="dxa"/>
            <w:tcBorders>
              <w:top w:val="nil"/>
              <w:left w:val="single" w:sz="4" w:space="0" w:color="auto"/>
              <w:bottom w:val="single" w:sz="4" w:space="0" w:color="auto"/>
              <w:right w:val="single" w:sz="4" w:space="0" w:color="auto"/>
            </w:tcBorders>
            <w:vAlign w:val="center"/>
            <w:hideMark/>
          </w:tcPr>
          <w:p w14:paraId="23C6B97F"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37.8</w:t>
            </w:r>
          </w:p>
        </w:tc>
        <w:tc>
          <w:tcPr>
            <w:tcW w:w="753" w:type="dxa"/>
            <w:vMerge/>
            <w:tcBorders>
              <w:top w:val="nil"/>
              <w:left w:val="single" w:sz="4" w:space="0" w:color="auto"/>
              <w:bottom w:val="single" w:sz="4" w:space="0" w:color="auto"/>
              <w:right w:val="single" w:sz="4" w:space="0" w:color="auto"/>
            </w:tcBorders>
            <w:vAlign w:val="center"/>
            <w:hideMark/>
          </w:tcPr>
          <w:p w14:paraId="19C6F509"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00B32115" w14:textId="77777777" w:rsidR="00793DFB" w:rsidRPr="002017EC" w:rsidRDefault="00793DFB" w:rsidP="009F1C88">
            <w:pPr>
              <w:bidi/>
              <w:spacing w:after="0" w:line="240" w:lineRule="auto"/>
              <w:rPr>
                <w:rFonts w:ascii="Arial" w:eastAsia="Times New Roman" w:hAnsi="Arial" w:cs="Arial"/>
                <w:color w:val="993300"/>
                <w:kern w:val="0"/>
                <w:sz w:val="18"/>
                <w:szCs w:val="18"/>
                <w:lang w:val="en-GB" w:eastAsia="en-GB"/>
                <w14:ligatures w14:val="none"/>
              </w:rPr>
            </w:pPr>
          </w:p>
        </w:tc>
      </w:tr>
      <w:tr w:rsidR="00793DFB" w:rsidRPr="002017EC" w14:paraId="2C7715C7" w14:textId="77777777" w:rsidTr="009F1C88">
        <w:trPr>
          <w:trHeight w:val="58"/>
          <w:jc w:val="center"/>
        </w:trPr>
        <w:tc>
          <w:tcPr>
            <w:tcW w:w="1502" w:type="dxa"/>
            <w:vMerge w:val="restart"/>
            <w:tcBorders>
              <w:top w:val="nil"/>
              <w:left w:val="single" w:sz="4" w:space="0" w:color="auto"/>
              <w:bottom w:val="single" w:sz="4" w:space="0" w:color="auto"/>
              <w:right w:val="single" w:sz="4" w:space="0" w:color="auto"/>
            </w:tcBorders>
            <w:vAlign w:val="center"/>
            <w:hideMark/>
          </w:tcPr>
          <w:p w14:paraId="330812A2" w14:textId="77777777" w:rsidR="00793DFB" w:rsidRPr="002017EC" w:rsidRDefault="00793DFB" w:rsidP="009F1C88">
            <w:pPr>
              <w:bidi/>
              <w:spacing w:after="0" w:line="240" w:lineRule="auto"/>
              <w:jc w:val="center"/>
              <w:rPr>
                <w:rFonts w:ascii="Arial" w:eastAsia="Times New Roman" w:hAnsi="Arial" w:cs="Arial"/>
                <w:color w:val="000000"/>
                <w:kern w:val="0"/>
                <w:sz w:val="20"/>
                <w:szCs w:val="20"/>
                <w:lang w:val="en-GB" w:eastAsia="en-GB"/>
                <w14:ligatures w14:val="none"/>
              </w:rPr>
            </w:pPr>
            <w:r w:rsidRPr="002017EC">
              <w:rPr>
                <w:rFonts w:ascii="Arial" w:eastAsia="Times New Roman" w:hAnsi="Arial" w:cs="Arial"/>
                <w:color w:val="000000"/>
                <w:kern w:val="0"/>
                <w:sz w:val="20"/>
                <w:szCs w:val="20"/>
                <w:rtl/>
                <w:lang w:val="en-GB" w:eastAsia="en-GB"/>
                <w14:ligatures w14:val="none"/>
              </w:rPr>
              <w:t>سنوات الخبرة</w:t>
            </w:r>
          </w:p>
        </w:tc>
        <w:tc>
          <w:tcPr>
            <w:tcW w:w="1236" w:type="dxa"/>
            <w:tcBorders>
              <w:top w:val="nil"/>
              <w:left w:val="single" w:sz="4" w:space="0" w:color="auto"/>
              <w:bottom w:val="single" w:sz="4" w:space="0" w:color="auto"/>
              <w:right w:val="single" w:sz="4" w:space="0" w:color="auto"/>
            </w:tcBorders>
            <w:vAlign w:val="center"/>
            <w:hideMark/>
          </w:tcPr>
          <w:p w14:paraId="57BF9842"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 </w:t>
            </w:r>
          </w:p>
        </w:tc>
        <w:tc>
          <w:tcPr>
            <w:tcW w:w="619" w:type="dxa"/>
            <w:tcBorders>
              <w:top w:val="nil"/>
              <w:left w:val="single" w:sz="4" w:space="0" w:color="auto"/>
              <w:bottom w:val="single" w:sz="4" w:space="0" w:color="auto"/>
              <w:right w:val="single" w:sz="4" w:space="0" w:color="auto"/>
            </w:tcBorders>
            <w:vAlign w:val="center"/>
            <w:hideMark/>
          </w:tcPr>
          <w:p w14:paraId="6C40F9C9"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rtl/>
                <w:lang w:val="en-GB" w:eastAsia="en-GB"/>
                <w14:ligatures w14:val="none"/>
              </w:rPr>
              <w:t>التكرار</w:t>
            </w:r>
          </w:p>
        </w:tc>
        <w:tc>
          <w:tcPr>
            <w:tcW w:w="880" w:type="dxa"/>
            <w:tcBorders>
              <w:top w:val="nil"/>
              <w:left w:val="single" w:sz="4" w:space="0" w:color="auto"/>
              <w:bottom w:val="single" w:sz="4" w:space="0" w:color="auto"/>
              <w:right w:val="single" w:sz="4" w:space="0" w:color="auto"/>
            </w:tcBorders>
            <w:vAlign w:val="center"/>
            <w:hideMark/>
          </w:tcPr>
          <w:p w14:paraId="13BB7DBF"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النسبة</w:t>
            </w:r>
          </w:p>
        </w:tc>
        <w:tc>
          <w:tcPr>
            <w:tcW w:w="753" w:type="dxa"/>
            <w:tcBorders>
              <w:top w:val="nil"/>
              <w:left w:val="single" w:sz="4" w:space="0" w:color="auto"/>
              <w:bottom w:val="single" w:sz="4" w:space="0" w:color="auto"/>
              <w:right w:val="single" w:sz="4" w:space="0" w:color="auto"/>
            </w:tcBorders>
            <w:vAlign w:val="center"/>
            <w:hideMark/>
          </w:tcPr>
          <w:p w14:paraId="1AD3C741"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المتوسط</w:t>
            </w:r>
          </w:p>
        </w:tc>
        <w:tc>
          <w:tcPr>
            <w:tcW w:w="1805" w:type="dxa"/>
            <w:tcBorders>
              <w:top w:val="nil"/>
              <w:left w:val="single" w:sz="4" w:space="0" w:color="auto"/>
              <w:bottom w:val="single" w:sz="4" w:space="0" w:color="auto"/>
              <w:right w:val="single" w:sz="4" w:space="0" w:color="auto"/>
            </w:tcBorders>
            <w:vAlign w:val="center"/>
            <w:hideMark/>
          </w:tcPr>
          <w:p w14:paraId="498FCB4D" w14:textId="77777777" w:rsidR="00793DFB" w:rsidRPr="002017EC"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rtl/>
                <w:lang w:val="en-GB" w:eastAsia="en-GB"/>
                <w14:ligatures w14:val="none"/>
              </w:rPr>
              <w:t>الانحراف المعياري</w:t>
            </w:r>
          </w:p>
        </w:tc>
      </w:tr>
      <w:tr w:rsidR="00793DFB" w:rsidRPr="002017EC" w14:paraId="59FA5AFF"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6F8B2DBC"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49667936" w14:textId="77777777" w:rsidR="00793DFB" w:rsidRPr="002017EC"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2017EC">
              <w:rPr>
                <w:rFonts w:ascii="Arial" w:eastAsia="Times New Roman" w:hAnsi="Arial" w:cs="Arial"/>
                <w:color w:val="000000"/>
                <w:kern w:val="0"/>
                <w:sz w:val="18"/>
                <w:szCs w:val="18"/>
                <w:lang w:val="en-GB" w:eastAsia="en-GB"/>
                <w14:ligatures w14:val="none"/>
              </w:rPr>
              <w:t>2</w:t>
            </w:r>
          </w:p>
        </w:tc>
        <w:tc>
          <w:tcPr>
            <w:tcW w:w="619" w:type="dxa"/>
            <w:tcBorders>
              <w:top w:val="nil"/>
              <w:left w:val="single" w:sz="4" w:space="0" w:color="auto"/>
              <w:bottom w:val="single" w:sz="4" w:space="0" w:color="auto"/>
              <w:right w:val="single" w:sz="4" w:space="0" w:color="auto"/>
            </w:tcBorders>
            <w:vAlign w:val="center"/>
            <w:hideMark/>
          </w:tcPr>
          <w:p w14:paraId="7B44E674"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10</w:t>
            </w:r>
          </w:p>
        </w:tc>
        <w:tc>
          <w:tcPr>
            <w:tcW w:w="880" w:type="dxa"/>
            <w:tcBorders>
              <w:top w:val="nil"/>
              <w:left w:val="single" w:sz="4" w:space="0" w:color="auto"/>
              <w:bottom w:val="single" w:sz="4" w:space="0" w:color="auto"/>
              <w:right w:val="single" w:sz="4" w:space="0" w:color="auto"/>
            </w:tcBorders>
            <w:vAlign w:val="center"/>
            <w:hideMark/>
          </w:tcPr>
          <w:p w14:paraId="1D49E82E"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2.5</w:t>
            </w:r>
          </w:p>
        </w:tc>
        <w:tc>
          <w:tcPr>
            <w:tcW w:w="753" w:type="dxa"/>
            <w:vMerge w:val="restart"/>
            <w:tcBorders>
              <w:top w:val="nil"/>
              <w:left w:val="single" w:sz="4" w:space="0" w:color="auto"/>
              <w:bottom w:val="single" w:sz="4" w:space="0" w:color="auto"/>
              <w:right w:val="single" w:sz="4" w:space="0" w:color="auto"/>
            </w:tcBorders>
            <w:vAlign w:val="center"/>
            <w:hideMark/>
          </w:tcPr>
          <w:p w14:paraId="375CDFE3"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9.2</w:t>
            </w:r>
          </w:p>
        </w:tc>
        <w:tc>
          <w:tcPr>
            <w:tcW w:w="1805" w:type="dxa"/>
            <w:vMerge w:val="restart"/>
            <w:tcBorders>
              <w:top w:val="nil"/>
              <w:left w:val="single" w:sz="4" w:space="0" w:color="auto"/>
              <w:bottom w:val="single" w:sz="4" w:space="0" w:color="auto"/>
              <w:right w:val="single" w:sz="4" w:space="0" w:color="auto"/>
            </w:tcBorders>
            <w:vAlign w:val="center"/>
            <w:hideMark/>
          </w:tcPr>
          <w:p w14:paraId="0105E3A1"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5.4</w:t>
            </w:r>
          </w:p>
        </w:tc>
      </w:tr>
      <w:tr w:rsidR="00793DFB" w:rsidRPr="002017EC" w14:paraId="075316E7"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7481DBBA"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34D753E0"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3</w:t>
            </w:r>
          </w:p>
        </w:tc>
        <w:tc>
          <w:tcPr>
            <w:tcW w:w="619" w:type="dxa"/>
            <w:tcBorders>
              <w:top w:val="nil"/>
              <w:left w:val="single" w:sz="4" w:space="0" w:color="auto"/>
              <w:bottom w:val="single" w:sz="4" w:space="0" w:color="auto"/>
              <w:right w:val="single" w:sz="4" w:space="0" w:color="auto"/>
            </w:tcBorders>
            <w:vAlign w:val="center"/>
            <w:hideMark/>
          </w:tcPr>
          <w:p w14:paraId="43B98208"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29</w:t>
            </w:r>
          </w:p>
        </w:tc>
        <w:tc>
          <w:tcPr>
            <w:tcW w:w="880" w:type="dxa"/>
            <w:tcBorders>
              <w:top w:val="nil"/>
              <w:left w:val="single" w:sz="4" w:space="0" w:color="auto"/>
              <w:bottom w:val="single" w:sz="4" w:space="0" w:color="auto"/>
              <w:right w:val="single" w:sz="4" w:space="0" w:color="auto"/>
            </w:tcBorders>
            <w:vAlign w:val="center"/>
            <w:hideMark/>
          </w:tcPr>
          <w:p w14:paraId="3EBE3596"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7.3</w:t>
            </w:r>
          </w:p>
        </w:tc>
        <w:tc>
          <w:tcPr>
            <w:tcW w:w="753" w:type="dxa"/>
            <w:vMerge/>
            <w:tcBorders>
              <w:top w:val="nil"/>
              <w:left w:val="single" w:sz="4" w:space="0" w:color="auto"/>
              <w:bottom w:val="single" w:sz="4" w:space="0" w:color="auto"/>
              <w:right w:val="single" w:sz="4" w:space="0" w:color="auto"/>
            </w:tcBorders>
            <w:vAlign w:val="center"/>
            <w:hideMark/>
          </w:tcPr>
          <w:p w14:paraId="221A9CAD"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71F962E0"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499C3C1A"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19A24236"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00D2BE21"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4</w:t>
            </w:r>
          </w:p>
        </w:tc>
        <w:tc>
          <w:tcPr>
            <w:tcW w:w="619" w:type="dxa"/>
            <w:tcBorders>
              <w:top w:val="nil"/>
              <w:left w:val="single" w:sz="4" w:space="0" w:color="auto"/>
              <w:bottom w:val="single" w:sz="4" w:space="0" w:color="auto"/>
              <w:right w:val="single" w:sz="4" w:space="0" w:color="auto"/>
            </w:tcBorders>
            <w:vAlign w:val="center"/>
            <w:hideMark/>
          </w:tcPr>
          <w:p w14:paraId="2FD4A76B"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23</w:t>
            </w:r>
          </w:p>
        </w:tc>
        <w:tc>
          <w:tcPr>
            <w:tcW w:w="880" w:type="dxa"/>
            <w:tcBorders>
              <w:top w:val="nil"/>
              <w:left w:val="single" w:sz="4" w:space="0" w:color="auto"/>
              <w:bottom w:val="single" w:sz="4" w:space="0" w:color="auto"/>
              <w:right w:val="single" w:sz="4" w:space="0" w:color="auto"/>
            </w:tcBorders>
            <w:vAlign w:val="center"/>
            <w:hideMark/>
          </w:tcPr>
          <w:p w14:paraId="0C278CE4"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5.8</w:t>
            </w:r>
          </w:p>
        </w:tc>
        <w:tc>
          <w:tcPr>
            <w:tcW w:w="753" w:type="dxa"/>
            <w:vMerge/>
            <w:tcBorders>
              <w:top w:val="nil"/>
              <w:left w:val="single" w:sz="4" w:space="0" w:color="auto"/>
              <w:bottom w:val="single" w:sz="4" w:space="0" w:color="auto"/>
              <w:right w:val="single" w:sz="4" w:space="0" w:color="auto"/>
            </w:tcBorders>
            <w:vAlign w:val="center"/>
            <w:hideMark/>
          </w:tcPr>
          <w:p w14:paraId="6454BDB6"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21FEDE20"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4DFE9DEE"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09BAA06B"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57A8DCB8"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5</w:t>
            </w:r>
          </w:p>
        </w:tc>
        <w:tc>
          <w:tcPr>
            <w:tcW w:w="619" w:type="dxa"/>
            <w:tcBorders>
              <w:top w:val="nil"/>
              <w:left w:val="single" w:sz="4" w:space="0" w:color="auto"/>
              <w:bottom w:val="single" w:sz="4" w:space="0" w:color="auto"/>
              <w:right w:val="single" w:sz="4" w:space="0" w:color="auto"/>
            </w:tcBorders>
            <w:vAlign w:val="center"/>
            <w:hideMark/>
          </w:tcPr>
          <w:p w14:paraId="0428735C"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40</w:t>
            </w:r>
          </w:p>
        </w:tc>
        <w:tc>
          <w:tcPr>
            <w:tcW w:w="880" w:type="dxa"/>
            <w:tcBorders>
              <w:top w:val="nil"/>
              <w:left w:val="single" w:sz="4" w:space="0" w:color="auto"/>
              <w:bottom w:val="single" w:sz="4" w:space="0" w:color="auto"/>
              <w:right w:val="single" w:sz="4" w:space="0" w:color="auto"/>
            </w:tcBorders>
            <w:vAlign w:val="center"/>
            <w:hideMark/>
          </w:tcPr>
          <w:p w14:paraId="1EDE5535"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10.0</w:t>
            </w:r>
          </w:p>
        </w:tc>
        <w:tc>
          <w:tcPr>
            <w:tcW w:w="753" w:type="dxa"/>
            <w:vMerge/>
            <w:tcBorders>
              <w:top w:val="nil"/>
              <w:left w:val="single" w:sz="4" w:space="0" w:color="auto"/>
              <w:bottom w:val="single" w:sz="4" w:space="0" w:color="auto"/>
              <w:right w:val="single" w:sz="4" w:space="0" w:color="auto"/>
            </w:tcBorders>
            <w:vAlign w:val="center"/>
            <w:hideMark/>
          </w:tcPr>
          <w:p w14:paraId="5277A25A"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529C3734"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1A2B8656"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3BFD9DB6"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0B981853"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6</w:t>
            </w:r>
          </w:p>
        </w:tc>
        <w:tc>
          <w:tcPr>
            <w:tcW w:w="619" w:type="dxa"/>
            <w:tcBorders>
              <w:top w:val="nil"/>
              <w:left w:val="single" w:sz="4" w:space="0" w:color="auto"/>
              <w:bottom w:val="single" w:sz="4" w:space="0" w:color="auto"/>
              <w:right w:val="single" w:sz="4" w:space="0" w:color="auto"/>
            </w:tcBorders>
            <w:vAlign w:val="center"/>
            <w:hideMark/>
          </w:tcPr>
          <w:p w14:paraId="64E9ED62"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47</w:t>
            </w:r>
          </w:p>
        </w:tc>
        <w:tc>
          <w:tcPr>
            <w:tcW w:w="880" w:type="dxa"/>
            <w:tcBorders>
              <w:top w:val="nil"/>
              <w:left w:val="single" w:sz="4" w:space="0" w:color="auto"/>
              <w:bottom w:val="single" w:sz="4" w:space="0" w:color="auto"/>
              <w:right w:val="single" w:sz="4" w:space="0" w:color="auto"/>
            </w:tcBorders>
            <w:vAlign w:val="center"/>
            <w:hideMark/>
          </w:tcPr>
          <w:p w14:paraId="7D44C282"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11.8</w:t>
            </w:r>
          </w:p>
        </w:tc>
        <w:tc>
          <w:tcPr>
            <w:tcW w:w="753" w:type="dxa"/>
            <w:vMerge/>
            <w:tcBorders>
              <w:top w:val="nil"/>
              <w:left w:val="single" w:sz="4" w:space="0" w:color="auto"/>
              <w:bottom w:val="single" w:sz="4" w:space="0" w:color="auto"/>
              <w:right w:val="single" w:sz="4" w:space="0" w:color="auto"/>
            </w:tcBorders>
            <w:vAlign w:val="center"/>
            <w:hideMark/>
          </w:tcPr>
          <w:p w14:paraId="51E6E35F"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21AD8DF4"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35329C57"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12CD49AB"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688FCFFA"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7</w:t>
            </w:r>
          </w:p>
        </w:tc>
        <w:tc>
          <w:tcPr>
            <w:tcW w:w="619" w:type="dxa"/>
            <w:tcBorders>
              <w:top w:val="nil"/>
              <w:left w:val="single" w:sz="4" w:space="0" w:color="auto"/>
              <w:bottom w:val="single" w:sz="4" w:space="0" w:color="auto"/>
              <w:right w:val="single" w:sz="4" w:space="0" w:color="auto"/>
            </w:tcBorders>
            <w:vAlign w:val="center"/>
            <w:hideMark/>
          </w:tcPr>
          <w:p w14:paraId="702AA620"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35</w:t>
            </w:r>
          </w:p>
        </w:tc>
        <w:tc>
          <w:tcPr>
            <w:tcW w:w="880" w:type="dxa"/>
            <w:tcBorders>
              <w:top w:val="nil"/>
              <w:left w:val="single" w:sz="4" w:space="0" w:color="auto"/>
              <w:bottom w:val="single" w:sz="4" w:space="0" w:color="auto"/>
              <w:right w:val="single" w:sz="4" w:space="0" w:color="auto"/>
            </w:tcBorders>
            <w:vAlign w:val="center"/>
            <w:hideMark/>
          </w:tcPr>
          <w:p w14:paraId="2F340094"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8.8</w:t>
            </w:r>
          </w:p>
        </w:tc>
        <w:tc>
          <w:tcPr>
            <w:tcW w:w="753" w:type="dxa"/>
            <w:vMerge/>
            <w:tcBorders>
              <w:top w:val="nil"/>
              <w:left w:val="single" w:sz="4" w:space="0" w:color="auto"/>
              <w:bottom w:val="single" w:sz="4" w:space="0" w:color="auto"/>
              <w:right w:val="single" w:sz="4" w:space="0" w:color="auto"/>
            </w:tcBorders>
            <w:vAlign w:val="center"/>
            <w:hideMark/>
          </w:tcPr>
          <w:p w14:paraId="7906F76B"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1B4EB2EB"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5945BDE2" w14:textId="77777777" w:rsidTr="009F1C88">
        <w:trPr>
          <w:trHeight w:val="119"/>
          <w:jc w:val="center"/>
        </w:trPr>
        <w:tc>
          <w:tcPr>
            <w:tcW w:w="1502" w:type="dxa"/>
            <w:vMerge/>
            <w:tcBorders>
              <w:top w:val="nil"/>
              <w:left w:val="single" w:sz="4" w:space="0" w:color="auto"/>
              <w:bottom w:val="single" w:sz="4" w:space="0" w:color="auto"/>
              <w:right w:val="single" w:sz="4" w:space="0" w:color="auto"/>
            </w:tcBorders>
            <w:vAlign w:val="center"/>
            <w:hideMark/>
          </w:tcPr>
          <w:p w14:paraId="71A48D92"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50D7FD51"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8</w:t>
            </w:r>
          </w:p>
        </w:tc>
        <w:tc>
          <w:tcPr>
            <w:tcW w:w="619" w:type="dxa"/>
            <w:tcBorders>
              <w:top w:val="nil"/>
              <w:left w:val="single" w:sz="4" w:space="0" w:color="auto"/>
              <w:bottom w:val="single" w:sz="4" w:space="0" w:color="auto"/>
              <w:right w:val="single" w:sz="4" w:space="0" w:color="auto"/>
            </w:tcBorders>
            <w:vAlign w:val="center"/>
            <w:hideMark/>
          </w:tcPr>
          <w:p w14:paraId="091E0032"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39</w:t>
            </w:r>
          </w:p>
        </w:tc>
        <w:tc>
          <w:tcPr>
            <w:tcW w:w="880" w:type="dxa"/>
            <w:tcBorders>
              <w:top w:val="nil"/>
              <w:left w:val="single" w:sz="4" w:space="0" w:color="auto"/>
              <w:bottom w:val="single" w:sz="4" w:space="0" w:color="auto"/>
              <w:right w:val="single" w:sz="4" w:space="0" w:color="auto"/>
            </w:tcBorders>
            <w:vAlign w:val="center"/>
            <w:hideMark/>
          </w:tcPr>
          <w:p w14:paraId="5EFA23A0"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9.8</w:t>
            </w:r>
          </w:p>
        </w:tc>
        <w:tc>
          <w:tcPr>
            <w:tcW w:w="753" w:type="dxa"/>
            <w:vMerge/>
            <w:tcBorders>
              <w:top w:val="nil"/>
              <w:left w:val="single" w:sz="4" w:space="0" w:color="auto"/>
              <w:bottom w:val="single" w:sz="4" w:space="0" w:color="auto"/>
              <w:right w:val="single" w:sz="4" w:space="0" w:color="auto"/>
            </w:tcBorders>
            <w:vAlign w:val="center"/>
            <w:hideMark/>
          </w:tcPr>
          <w:p w14:paraId="3D35AA6F"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4ED84116"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613E4EF4" w14:textId="77777777" w:rsidTr="009F1C88">
        <w:trPr>
          <w:trHeight w:val="194"/>
          <w:jc w:val="center"/>
        </w:trPr>
        <w:tc>
          <w:tcPr>
            <w:tcW w:w="1502" w:type="dxa"/>
            <w:vMerge/>
            <w:tcBorders>
              <w:top w:val="nil"/>
              <w:left w:val="single" w:sz="4" w:space="0" w:color="auto"/>
              <w:bottom w:val="single" w:sz="4" w:space="0" w:color="auto"/>
              <w:right w:val="single" w:sz="4" w:space="0" w:color="auto"/>
            </w:tcBorders>
            <w:vAlign w:val="center"/>
            <w:hideMark/>
          </w:tcPr>
          <w:p w14:paraId="63927F96"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06357A55"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9</w:t>
            </w:r>
          </w:p>
        </w:tc>
        <w:tc>
          <w:tcPr>
            <w:tcW w:w="619" w:type="dxa"/>
            <w:tcBorders>
              <w:top w:val="nil"/>
              <w:left w:val="single" w:sz="4" w:space="0" w:color="auto"/>
              <w:bottom w:val="single" w:sz="4" w:space="0" w:color="auto"/>
              <w:right w:val="single" w:sz="4" w:space="0" w:color="auto"/>
            </w:tcBorders>
            <w:vAlign w:val="center"/>
            <w:hideMark/>
          </w:tcPr>
          <w:p w14:paraId="4CA2C461"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44</w:t>
            </w:r>
          </w:p>
        </w:tc>
        <w:tc>
          <w:tcPr>
            <w:tcW w:w="880" w:type="dxa"/>
            <w:tcBorders>
              <w:top w:val="nil"/>
              <w:left w:val="single" w:sz="4" w:space="0" w:color="auto"/>
              <w:bottom w:val="single" w:sz="4" w:space="0" w:color="auto"/>
              <w:right w:val="single" w:sz="4" w:space="0" w:color="auto"/>
            </w:tcBorders>
            <w:vAlign w:val="center"/>
            <w:hideMark/>
          </w:tcPr>
          <w:p w14:paraId="1B548B3E"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11.0</w:t>
            </w:r>
          </w:p>
        </w:tc>
        <w:tc>
          <w:tcPr>
            <w:tcW w:w="753" w:type="dxa"/>
            <w:vMerge/>
            <w:tcBorders>
              <w:top w:val="nil"/>
              <w:left w:val="single" w:sz="4" w:space="0" w:color="auto"/>
              <w:bottom w:val="single" w:sz="4" w:space="0" w:color="auto"/>
              <w:right w:val="single" w:sz="4" w:space="0" w:color="auto"/>
            </w:tcBorders>
            <w:vAlign w:val="center"/>
            <w:hideMark/>
          </w:tcPr>
          <w:p w14:paraId="156E8060"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4B3F94DA"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2BEC4F12" w14:textId="77777777" w:rsidTr="009F1C88">
        <w:trPr>
          <w:trHeight w:val="111"/>
          <w:jc w:val="center"/>
        </w:trPr>
        <w:tc>
          <w:tcPr>
            <w:tcW w:w="1502" w:type="dxa"/>
            <w:vMerge/>
            <w:tcBorders>
              <w:top w:val="nil"/>
              <w:left w:val="single" w:sz="4" w:space="0" w:color="auto"/>
              <w:bottom w:val="single" w:sz="4" w:space="0" w:color="auto"/>
              <w:right w:val="single" w:sz="4" w:space="0" w:color="auto"/>
            </w:tcBorders>
            <w:vAlign w:val="center"/>
            <w:hideMark/>
          </w:tcPr>
          <w:p w14:paraId="2E67C5BA"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5E19374D"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10</w:t>
            </w:r>
          </w:p>
        </w:tc>
        <w:tc>
          <w:tcPr>
            <w:tcW w:w="619" w:type="dxa"/>
            <w:tcBorders>
              <w:top w:val="nil"/>
              <w:left w:val="single" w:sz="4" w:space="0" w:color="auto"/>
              <w:bottom w:val="single" w:sz="4" w:space="0" w:color="auto"/>
              <w:right w:val="single" w:sz="4" w:space="0" w:color="auto"/>
            </w:tcBorders>
            <w:vAlign w:val="center"/>
            <w:hideMark/>
          </w:tcPr>
          <w:p w14:paraId="086B70CC"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20</w:t>
            </w:r>
          </w:p>
        </w:tc>
        <w:tc>
          <w:tcPr>
            <w:tcW w:w="880" w:type="dxa"/>
            <w:tcBorders>
              <w:top w:val="nil"/>
              <w:left w:val="single" w:sz="4" w:space="0" w:color="auto"/>
              <w:bottom w:val="single" w:sz="4" w:space="0" w:color="auto"/>
              <w:right w:val="single" w:sz="4" w:space="0" w:color="auto"/>
            </w:tcBorders>
            <w:vAlign w:val="center"/>
            <w:hideMark/>
          </w:tcPr>
          <w:p w14:paraId="1CD30433"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5.0</w:t>
            </w:r>
          </w:p>
        </w:tc>
        <w:tc>
          <w:tcPr>
            <w:tcW w:w="753" w:type="dxa"/>
            <w:vMerge/>
            <w:tcBorders>
              <w:top w:val="nil"/>
              <w:left w:val="single" w:sz="4" w:space="0" w:color="auto"/>
              <w:bottom w:val="single" w:sz="4" w:space="0" w:color="auto"/>
              <w:right w:val="single" w:sz="4" w:space="0" w:color="auto"/>
            </w:tcBorders>
            <w:vAlign w:val="center"/>
            <w:hideMark/>
          </w:tcPr>
          <w:p w14:paraId="6654D3F2"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5F53C653"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5574338E"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23A2351D"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20DC6FA1"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11</w:t>
            </w:r>
          </w:p>
        </w:tc>
        <w:tc>
          <w:tcPr>
            <w:tcW w:w="619" w:type="dxa"/>
            <w:tcBorders>
              <w:top w:val="nil"/>
              <w:left w:val="single" w:sz="4" w:space="0" w:color="auto"/>
              <w:bottom w:val="single" w:sz="4" w:space="0" w:color="auto"/>
              <w:right w:val="single" w:sz="4" w:space="0" w:color="auto"/>
            </w:tcBorders>
            <w:vAlign w:val="center"/>
            <w:hideMark/>
          </w:tcPr>
          <w:p w14:paraId="43B34203"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15</w:t>
            </w:r>
          </w:p>
        </w:tc>
        <w:tc>
          <w:tcPr>
            <w:tcW w:w="880" w:type="dxa"/>
            <w:tcBorders>
              <w:top w:val="nil"/>
              <w:left w:val="single" w:sz="4" w:space="0" w:color="auto"/>
              <w:bottom w:val="single" w:sz="4" w:space="0" w:color="auto"/>
              <w:right w:val="single" w:sz="4" w:space="0" w:color="auto"/>
            </w:tcBorders>
            <w:vAlign w:val="center"/>
            <w:hideMark/>
          </w:tcPr>
          <w:p w14:paraId="4EF854B7"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3.8</w:t>
            </w:r>
          </w:p>
        </w:tc>
        <w:tc>
          <w:tcPr>
            <w:tcW w:w="753" w:type="dxa"/>
            <w:vMerge/>
            <w:tcBorders>
              <w:top w:val="nil"/>
              <w:left w:val="single" w:sz="4" w:space="0" w:color="auto"/>
              <w:bottom w:val="single" w:sz="4" w:space="0" w:color="auto"/>
              <w:right w:val="single" w:sz="4" w:space="0" w:color="auto"/>
            </w:tcBorders>
            <w:vAlign w:val="center"/>
            <w:hideMark/>
          </w:tcPr>
          <w:p w14:paraId="27D6D257"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77500F9F"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5B5095C9"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65EAC4E5"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7A907E1F"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12</w:t>
            </w:r>
          </w:p>
        </w:tc>
        <w:tc>
          <w:tcPr>
            <w:tcW w:w="619" w:type="dxa"/>
            <w:tcBorders>
              <w:top w:val="nil"/>
              <w:left w:val="single" w:sz="4" w:space="0" w:color="auto"/>
              <w:bottom w:val="single" w:sz="4" w:space="0" w:color="auto"/>
              <w:right w:val="single" w:sz="4" w:space="0" w:color="auto"/>
            </w:tcBorders>
            <w:vAlign w:val="center"/>
            <w:hideMark/>
          </w:tcPr>
          <w:p w14:paraId="144371E9"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17</w:t>
            </w:r>
          </w:p>
        </w:tc>
        <w:tc>
          <w:tcPr>
            <w:tcW w:w="880" w:type="dxa"/>
            <w:tcBorders>
              <w:top w:val="nil"/>
              <w:left w:val="single" w:sz="4" w:space="0" w:color="auto"/>
              <w:bottom w:val="single" w:sz="4" w:space="0" w:color="auto"/>
              <w:right w:val="single" w:sz="4" w:space="0" w:color="auto"/>
            </w:tcBorders>
            <w:vAlign w:val="center"/>
            <w:hideMark/>
          </w:tcPr>
          <w:p w14:paraId="7A75BADA"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4.3</w:t>
            </w:r>
          </w:p>
        </w:tc>
        <w:tc>
          <w:tcPr>
            <w:tcW w:w="753" w:type="dxa"/>
            <w:vMerge/>
            <w:tcBorders>
              <w:top w:val="nil"/>
              <w:left w:val="single" w:sz="4" w:space="0" w:color="auto"/>
              <w:bottom w:val="single" w:sz="4" w:space="0" w:color="auto"/>
              <w:right w:val="single" w:sz="4" w:space="0" w:color="auto"/>
            </w:tcBorders>
            <w:vAlign w:val="center"/>
            <w:hideMark/>
          </w:tcPr>
          <w:p w14:paraId="118E3AC7"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1871A841"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33DBEAD8"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3D8F277F"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37EB070F"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13</w:t>
            </w:r>
          </w:p>
        </w:tc>
        <w:tc>
          <w:tcPr>
            <w:tcW w:w="619" w:type="dxa"/>
            <w:tcBorders>
              <w:top w:val="nil"/>
              <w:left w:val="single" w:sz="4" w:space="0" w:color="auto"/>
              <w:bottom w:val="single" w:sz="4" w:space="0" w:color="auto"/>
              <w:right w:val="single" w:sz="4" w:space="0" w:color="auto"/>
            </w:tcBorders>
            <w:vAlign w:val="center"/>
            <w:hideMark/>
          </w:tcPr>
          <w:p w14:paraId="4E7A8EB5"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9</w:t>
            </w:r>
          </w:p>
        </w:tc>
        <w:tc>
          <w:tcPr>
            <w:tcW w:w="880" w:type="dxa"/>
            <w:tcBorders>
              <w:top w:val="nil"/>
              <w:left w:val="single" w:sz="4" w:space="0" w:color="auto"/>
              <w:bottom w:val="single" w:sz="4" w:space="0" w:color="auto"/>
              <w:right w:val="single" w:sz="4" w:space="0" w:color="auto"/>
            </w:tcBorders>
            <w:vAlign w:val="center"/>
            <w:hideMark/>
          </w:tcPr>
          <w:p w14:paraId="4EC1A1CD"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2.3</w:t>
            </w:r>
          </w:p>
        </w:tc>
        <w:tc>
          <w:tcPr>
            <w:tcW w:w="753" w:type="dxa"/>
            <w:vMerge/>
            <w:tcBorders>
              <w:top w:val="nil"/>
              <w:left w:val="single" w:sz="4" w:space="0" w:color="auto"/>
              <w:bottom w:val="single" w:sz="4" w:space="0" w:color="auto"/>
              <w:right w:val="single" w:sz="4" w:space="0" w:color="auto"/>
            </w:tcBorders>
            <w:vAlign w:val="center"/>
            <w:hideMark/>
          </w:tcPr>
          <w:p w14:paraId="75690C76"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5A1006A6"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0557B46B"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16CD2076"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566306FD"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14</w:t>
            </w:r>
          </w:p>
        </w:tc>
        <w:tc>
          <w:tcPr>
            <w:tcW w:w="619" w:type="dxa"/>
            <w:tcBorders>
              <w:top w:val="nil"/>
              <w:left w:val="single" w:sz="4" w:space="0" w:color="auto"/>
              <w:bottom w:val="single" w:sz="4" w:space="0" w:color="auto"/>
              <w:right w:val="single" w:sz="4" w:space="0" w:color="auto"/>
            </w:tcBorders>
            <w:vAlign w:val="center"/>
            <w:hideMark/>
          </w:tcPr>
          <w:p w14:paraId="300FF3A0"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5</w:t>
            </w:r>
          </w:p>
        </w:tc>
        <w:tc>
          <w:tcPr>
            <w:tcW w:w="880" w:type="dxa"/>
            <w:tcBorders>
              <w:top w:val="nil"/>
              <w:left w:val="single" w:sz="4" w:space="0" w:color="auto"/>
              <w:bottom w:val="single" w:sz="4" w:space="0" w:color="auto"/>
              <w:right w:val="single" w:sz="4" w:space="0" w:color="auto"/>
            </w:tcBorders>
            <w:vAlign w:val="center"/>
            <w:hideMark/>
          </w:tcPr>
          <w:p w14:paraId="6F020130"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1.3</w:t>
            </w:r>
          </w:p>
        </w:tc>
        <w:tc>
          <w:tcPr>
            <w:tcW w:w="753" w:type="dxa"/>
            <w:vMerge/>
            <w:tcBorders>
              <w:top w:val="nil"/>
              <w:left w:val="single" w:sz="4" w:space="0" w:color="auto"/>
              <w:bottom w:val="single" w:sz="4" w:space="0" w:color="auto"/>
              <w:right w:val="single" w:sz="4" w:space="0" w:color="auto"/>
            </w:tcBorders>
            <w:vAlign w:val="center"/>
            <w:hideMark/>
          </w:tcPr>
          <w:p w14:paraId="3AF473E4"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4F0EC992"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7EC750D4"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10B12033"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762D0842"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15</w:t>
            </w:r>
          </w:p>
        </w:tc>
        <w:tc>
          <w:tcPr>
            <w:tcW w:w="619" w:type="dxa"/>
            <w:tcBorders>
              <w:top w:val="nil"/>
              <w:left w:val="single" w:sz="4" w:space="0" w:color="auto"/>
              <w:bottom w:val="single" w:sz="4" w:space="0" w:color="auto"/>
              <w:right w:val="single" w:sz="4" w:space="0" w:color="auto"/>
            </w:tcBorders>
            <w:vAlign w:val="center"/>
            <w:hideMark/>
          </w:tcPr>
          <w:p w14:paraId="38A2D3F9"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17</w:t>
            </w:r>
          </w:p>
        </w:tc>
        <w:tc>
          <w:tcPr>
            <w:tcW w:w="880" w:type="dxa"/>
            <w:tcBorders>
              <w:top w:val="nil"/>
              <w:left w:val="single" w:sz="4" w:space="0" w:color="auto"/>
              <w:bottom w:val="single" w:sz="4" w:space="0" w:color="auto"/>
              <w:right w:val="single" w:sz="4" w:space="0" w:color="auto"/>
            </w:tcBorders>
            <w:vAlign w:val="center"/>
            <w:hideMark/>
          </w:tcPr>
          <w:p w14:paraId="59AAC502"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4.3</w:t>
            </w:r>
          </w:p>
        </w:tc>
        <w:tc>
          <w:tcPr>
            <w:tcW w:w="753" w:type="dxa"/>
            <w:vMerge/>
            <w:tcBorders>
              <w:top w:val="nil"/>
              <w:left w:val="single" w:sz="4" w:space="0" w:color="auto"/>
              <w:bottom w:val="single" w:sz="4" w:space="0" w:color="auto"/>
              <w:right w:val="single" w:sz="4" w:space="0" w:color="auto"/>
            </w:tcBorders>
            <w:vAlign w:val="center"/>
            <w:hideMark/>
          </w:tcPr>
          <w:p w14:paraId="0754B77F"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5810277A"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13982551"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3F74C93B"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7E58ABC7"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16</w:t>
            </w:r>
          </w:p>
        </w:tc>
        <w:tc>
          <w:tcPr>
            <w:tcW w:w="619" w:type="dxa"/>
            <w:tcBorders>
              <w:top w:val="nil"/>
              <w:left w:val="single" w:sz="4" w:space="0" w:color="auto"/>
              <w:bottom w:val="single" w:sz="4" w:space="0" w:color="auto"/>
              <w:right w:val="single" w:sz="4" w:space="0" w:color="auto"/>
            </w:tcBorders>
            <w:vAlign w:val="center"/>
            <w:hideMark/>
          </w:tcPr>
          <w:p w14:paraId="2AC2FF35"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9</w:t>
            </w:r>
          </w:p>
        </w:tc>
        <w:tc>
          <w:tcPr>
            <w:tcW w:w="880" w:type="dxa"/>
            <w:tcBorders>
              <w:top w:val="nil"/>
              <w:left w:val="single" w:sz="4" w:space="0" w:color="auto"/>
              <w:bottom w:val="single" w:sz="4" w:space="0" w:color="auto"/>
              <w:right w:val="single" w:sz="4" w:space="0" w:color="auto"/>
            </w:tcBorders>
            <w:vAlign w:val="center"/>
            <w:hideMark/>
          </w:tcPr>
          <w:p w14:paraId="15C56F4B"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2.3</w:t>
            </w:r>
          </w:p>
        </w:tc>
        <w:tc>
          <w:tcPr>
            <w:tcW w:w="753" w:type="dxa"/>
            <w:vMerge/>
            <w:tcBorders>
              <w:top w:val="nil"/>
              <w:left w:val="single" w:sz="4" w:space="0" w:color="auto"/>
              <w:bottom w:val="single" w:sz="4" w:space="0" w:color="auto"/>
              <w:right w:val="single" w:sz="4" w:space="0" w:color="auto"/>
            </w:tcBorders>
            <w:vAlign w:val="center"/>
            <w:hideMark/>
          </w:tcPr>
          <w:p w14:paraId="524B5E52"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306E53F8"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2EE01AFC"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4EDC4E32"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74B0AFB9"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17</w:t>
            </w:r>
          </w:p>
        </w:tc>
        <w:tc>
          <w:tcPr>
            <w:tcW w:w="619" w:type="dxa"/>
            <w:tcBorders>
              <w:top w:val="nil"/>
              <w:left w:val="single" w:sz="4" w:space="0" w:color="auto"/>
              <w:bottom w:val="single" w:sz="4" w:space="0" w:color="auto"/>
              <w:right w:val="single" w:sz="4" w:space="0" w:color="auto"/>
            </w:tcBorders>
            <w:vAlign w:val="center"/>
            <w:hideMark/>
          </w:tcPr>
          <w:p w14:paraId="39524B10"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4</w:t>
            </w:r>
          </w:p>
        </w:tc>
        <w:tc>
          <w:tcPr>
            <w:tcW w:w="880" w:type="dxa"/>
            <w:tcBorders>
              <w:top w:val="nil"/>
              <w:left w:val="single" w:sz="4" w:space="0" w:color="auto"/>
              <w:bottom w:val="single" w:sz="4" w:space="0" w:color="auto"/>
              <w:right w:val="single" w:sz="4" w:space="0" w:color="auto"/>
            </w:tcBorders>
            <w:vAlign w:val="center"/>
            <w:hideMark/>
          </w:tcPr>
          <w:p w14:paraId="25166C39"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1.0</w:t>
            </w:r>
          </w:p>
        </w:tc>
        <w:tc>
          <w:tcPr>
            <w:tcW w:w="753" w:type="dxa"/>
            <w:vMerge/>
            <w:tcBorders>
              <w:top w:val="nil"/>
              <w:left w:val="single" w:sz="4" w:space="0" w:color="auto"/>
              <w:bottom w:val="single" w:sz="4" w:space="0" w:color="auto"/>
              <w:right w:val="single" w:sz="4" w:space="0" w:color="auto"/>
            </w:tcBorders>
            <w:vAlign w:val="center"/>
            <w:hideMark/>
          </w:tcPr>
          <w:p w14:paraId="68427E27"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59EE87E4"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55E63AD2"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6677F143"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226F8EA1"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18</w:t>
            </w:r>
          </w:p>
        </w:tc>
        <w:tc>
          <w:tcPr>
            <w:tcW w:w="619" w:type="dxa"/>
            <w:tcBorders>
              <w:top w:val="nil"/>
              <w:left w:val="single" w:sz="4" w:space="0" w:color="auto"/>
              <w:bottom w:val="single" w:sz="4" w:space="0" w:color="auto"/>
              <w:right w:val="single" w:sz="4" w:space="0" w:color="auto"/>
            </w:tcBorders>
            <w:vAlign w:val="center"/>
            <w:hideMark/>
          </w:tcPr>
          <w:p w14:paraId="2CBF708F"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w:t>
            </w:r>
          </w:p>
        </w:tc>
        <w:tc>
          <w:tcPr>
            <w:tcW w:w="880" w:type="dxa"/>
            <w:tcBorders>
              <w:top w:val="nil"/>
              <w:left w:val="single" w:sz="4" w:space="0" w:color="auto"/>
              <w:bottom w:val="single" w:sz="4" w:space="0" w:color="auto"/>
              <w:right w:val="single" w:sz="4" w:space="0" w:color="auto"/>
            </w:tcBorders>
            <w:vAlign w:val="center"/>
            <w:hideMark/>
          </w:tcPr>
          <w:p w14:paraId="474DEF06"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.5</w:t>
            </w:r>
          </w:p>
        </w:tc>
        <w:tc>
          <w:tcPr>
            <w:tcW w:w="753" w:type="dxa"/>
            <w:vMerge/>
            <w:tcBorders>
              <w:top w:val="nil"/>
              <w:left w:val="single" w:sz="4" w:space="0" w:color="auto"/>
              <w:bottom w:val="single" w:sz="4" w:space="0" w:color="auto"/>
              <w:right w:val="single" w:sz="4" w:space="0" w:color="auto"/>
            </w:tcBorders>
            <w:vAlign w:val="center"/>
            <w:hideMark/>
          </w:tcPr>
          <w:p w14:paraId="13D78130"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4D83D744"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3FEBD47D"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7C6B7270"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41121EF6"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19</w:t>
            </w:r>
          </w:p>
        </w:tc>
        <w:tc>
          <w:tcPr>
            <w:tcW w:w="619" w:type="dxa"/>
            <w:tcBorders>
              <w:top w:val="nil"/>
              <w:left w:val="single" w:sz="4" w:space="0" w:color="auto"/>
              <w:bottom w:val="single" w:sz="4" w:space="0" w:color="auto"/>
              <w:right w:val="single" w:sz="4" w:space="0" w:color="auto"/>
            </w:tcBorders>
            <w:vAlign w:val="center"/>
            <w:hideMark/>
          </w:tcPr>
          <w:p w14:paraId="6F3A88F9"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w:t>
            </w:r>
          </w:p>
        </w:tc>
        <w:tc>
          <w:tcPr>
            <w:tcW w:w="880" w:type="dxa"/>
            <w:tcBorders>
              <w:top w:val="nil"/>
              <w:left w:val="single" w:sz="4" w:space="0" w:color="auto"/>
              <w:bottom w:val="single" w:sz="4" w:space="0" w:color="auto"/>
              <w:right w:val="single" w:sz="4" w:space="0" w:color="auto"/>
            </w:tcBorders>
            <w:vAlign w:val="center"/>
            <w:hideMark/>
          </w:tcPr>
          <w:p w14:paraId="33A5AED8"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.5</w:t>
            </w:r>
          </w:p>
        </w:tc>
        <w:tc>
          <w:tcPr>
            <w:tcW w:w="753" w:type="dxa"/>
            <w:vMerge/>
            <w:tcBorders>
              <w:top w:val="nil"/>
              <w:left w:val="single" w:sz="4" w:space="0" w:color="auto"/>
              <w:bottom w:val="single" w:sz="4" w:space="0" w:color="auto"/>
              <w:right w:val="single" w:sz="4" w:space="0" w:color="auto"/>
            </w:tcBorders>
            <w:vAlign w:val="center"/>
            <w:hideMark/>
          </w:tcPr>
          <w:p w14:paraId="76316E01"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61561EE3"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54154132"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55439A13"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1D7A9C80"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20</w:t>
            </w:r>
          </w:p>
        </w:tc>
        <w:tc>
          <w:tcPr>
            <w:tcW w:w="619" w:type="dxa"/>
            <w:tcBorders>
              <w:top w:val="nil"/>
              <w:left w:val="single" w:sz="4" w:space="0" w:color="auto"/>
              <w:bottom w:val="single" w:sz="4" w:space="0" w:color="auto"/>
              <w:right w:val="single" w:sz="4" w:space="0" w:color="auto"/>
            </w:tcBorders>
            <w:vAlign w:val="center"/>
            <w:hideMark/>
          </w:tcPr>
          <w:p w14:paraId="03D2ACED"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11</w:t>
            </w:r>
          </w:p>
        </w:tc>
        <w:tc>
          <w:tcPr>
            <w:tcW w:w="880" w:type="dxa"/>
            <w:tcBorders>
              <w:top w:val="nil"/>
              <w:left w:val="single" w:sz="4" w:space="0" w:color="auto"/>
              <w:bottom w:val="single" w:sz="4" w:space="0" w:color="auto"/>
              <w:right w:val="single" w:sz="4" w:space="0" w:color="auto"/>
            </w:tcBorders>
            <w:vAlign w:val="center"/>
            <w:hideMark/>
          </w:tcPr>
          <w:p w14:paraId="4440AC15"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2.8</w:t>
            </w:r>
          </w:p>
        </w:tc>
        <w:tc>
          <w:tcPr>
            <w:tcW w:w="753" w:type="dxa"/>
            <w:vMerge/>
            <w:tcBorders>
              <w:top w:val="nil"/>
              <w:left w:val="single" w:sz="4" w:space="0" w:color="auto"/>
              <w:bottom w:val="single" w:sz="4" w:space="0" w:color="auto"/>
              <w:right w:val="single" w:sz="4" w:space="0" w:color="auto"/>
            </w:tcBorders>
            <w:vAlign w:val="center"/>
            <w:hideMark/>
          </w:tcPr>
          <w:p w14:paraId="00166D03"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7760B539"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20C4D316"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4E72FB99"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2C2AEDA8"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21</w:t>
            </w:r>
          </w:p>
        </w:tc>
        <w:tc>
          <w:tcPr>
            <w:tcW w:w="619" w:type="dxa"/>
            <w:tcBorders>
              <w:top w:val="nil"/>
              <w:left w:val="single" w:sz="4" w:space="0" w:color="auto"/>
              <w:bottom w:val="single" w:sz="4" w:space="0" w:color="auto"/>
              <w:right w:val="single" w:sz="4" w:space="0" w:color="auto"/>
            </w:tcBorders>
            <w:vAlign w:val="center"/>
            <w:hideMark/>
          </w:tcPr>
          <w:p w14:paraId="05EC0E0B"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w:t>
            </w:r>
          </w:p>
        </w:tc>
        <w:tc>
          <w:tcPr>
            <w:tcW w:w="880" w:type="dxa"/>
            <w:tcBorders>
              <w:top w:val="nil"/>
              <w:left w:val="single" w:sz="4" w:space="0" w:color="auto"/>
              <w:bottom w:val="single" w:sz="4" w:space="0" w:color="auto"/>
              <w:right w:val="single" w:sz="4" w:space="0" w:color="auto"/>
            </w:tcBorders>
            <w:vAlign w:val="center"/>
            <w:hideMark/>
          </w:tcPr>
          <w:p w14:paraId="4BE35E76"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.3</w:t>
            </w:r>
          </w:p>
        </w:tc>
        <w:tc>
          <w:tcPr>
            <w:tcW w:w="753" w:type="dxa"/>
            <w:vMerge/>
            <w:tcBorders>
              <w:top w:val="nil"/>
              <w:left w:val="single" w:sz="4" w:space="0" w:color="auto"/>
              <w:bottom w:val="single" w:sz="4" w:space="0" w:color="auto"/>
              <w:right w:val="single" w:sz="4" w:space="0" w:color="auto"/>
            </w:tcBorders>
            <w:vAlign w:val="center"/>
            <w:hideMark/>
          </w:tcPr>
          <w:p w14:paraId="6CABC3FC"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148A82B3"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622B4BFE"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39E2C677"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4BE4840B"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22</w:t>
            </w:r>
          </w:p>
        </w:tc>
        <w:tc>
          <w:tcPr>
            <w:tcW w:w="619" w:type="dxa"/>
            <w:tcBorders>
              <w:top w:val="nil"/>
              <w:left w:val="single" w:sz="4" w:space="0" w:color="auto"/>
              <w:bottom w:val="single" w:sz="4" w:space="0" w:color="auto"/>
              <w:right w:val="single" w:sz="4" w:space="0" w:color="auto"/>
            </w:tcBorders>
            <w:vAlign w:val="center"/>
            <w:hideMark/>
          </w:tcPr>
          <w:p w14:paraId="18AA7869"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6</w:t>
            </w:r>
          </w:p>
        </w:tc>
        <w:tc>
          <w:tcPr>
            <w:tcW w:w="880" w:type="dxa"/>
            <w:tcBorders>
              <w:top w:val="nil"/>
              <w:left w:val="single" w:sz="4" w:space="0" w:color="auto"/>
              <w:bottom w:val="single" w:sz="4" w:space="0" w:color="auto"/>
              <w:right w:val="single" w:sz="4" w:space="0" w:color="auto"/>
            </w:tcBorders>
            <w:vAlign w:val="center"/>
            <w:hideMark/>
          </w:tcPr>
          <w:p w14:paraId="5EDA0286"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1.5</w:t>
            </w:r>
          </w:p>
        </w:tc>
        <w:tc>
          <w:tcPr>
            <w:tcW w:w="753" w:type="dxa"/>
            <w:vMerge/>
            <w:tcBorders>
              <w:top w:val="nil"/>
              <w:left w:val="single" w:sz="4" w:space="0" w:color="auto"/>
              <w:bottom w:val="single" w:sz="4" w:space="0" w:color="auto"/>
              <w:right w:val="single" w:sz="4" w:space="0" w:color="auto"/>
            </w:tcBorders>
            <w:vAlign w:val="center"/>
            <w:hideMark/>
          </w:tcPr>
          <w:p w14:paraId="6C9FB93A"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4691CB26"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4A20608E"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320F2B49"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0AFC6B76"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23</w:t>
            </w:r>
          </w:p>
        </w:tc>
        <w:tc>
          <w:tcPr>
            <w:tcW w:w="619" w:type="dxa"/>
            <w:tcBorders>
              <w:top w:val="nil"/>
              <w:left w:val="single" w:sz="4" w:space="0" w:color="auto"/>
              <w:bottom w:val="single" w:sz="4" w:space="0" w:color="auto"/>
              <w:right w:val="single" w:sz="4" w:space="0" w:color="auto"/>
            </w:tcBorders>
            <w:vAlign w:val="center"/>
            <w:hideMark/>
          </w:tcPr>
          <w:p w14:paraId="10B33C7A"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5</w:t>
            </w:r>
          </w:p>
        </w:tc>
        <w:tc>
          <w:tcPr>
            <w:tcW w:w="880" w:type="dxa"/>
            <w:tcBorders>
              <w:top w:val="nil"/>
              <w:left w:val="single" w:sz="4" w:space="0" w:color="auto"/>
              <w:bottom w:val="single" w:sz="4" w:space="0" w:color="auto"/>
              <w:right w:val="single" w:sz="4" w:space="0" w:color="auto"/>
            </w:tcBorders>
            <w:vAlign w:val="center"/>
            <w:hideMark/>
          </w:tcPr>
          <w:p w14:paraId="4723C70C"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1.3</w:t>
            </w:r>
          </w:p>
        </w:tc>
        <w:tc>
          <w:tcPr>
            <w:tcW w:w="753" w:type="dxa"/>
            <w:vMerge/>
            <w:tcBorders>
              <w:top w:val="nil"/>
              <w:left w:val="single" w:sz="4" w:space="0" w:color="auto"/>
              <w:bottom w:val="single" w:sz="4" w:space="0" w:color="auto"/>
              <w:right w:val="single" w:sz="4" w:space="0" w:color="auto"/>
            </w:tcBorders>
            <w:vAlign w:val="center"/>
            <w:hideMark/>
          </w:tcPr>
          <w:p w14:paraId="4297F013"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59E1E523"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6E156772" w14:textId="77777777" w:rsidTr="009F1C88">
        <w:trPr>
          <w:trHeight w:val="58"/>
          <w:jc w:val="center"/>
        </w:trPr>
        <w:tc>
          <w:tcPr>
            <w:tcW w:w="1502" w:type="dxa"/>
            <w:vMerge/>
            <w:tcBorders>
              <w:top w:val="nil"/>
              <w:left w:val="single" w:sz="4" w:space="0" w:color="auto"/>
              <w:bottom w:val="single" w:sz="4" w:space="0" w:color="auto"/>
              <w:right w:val="single" w:sz="4" w:space="0" w:color="auto"/>
            </w:tcBorders>
            <w:vAlign w:val="center"/>
            <w:hideMark/>
          </w:tcPr>
          <w:p w14:paraId="5725168E"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44DF1FCD"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24</w:t>
            </w:r>
          </w:p>
        </w:tc>
        <w:tc>
          <w:tcPr>
            <w:tcW w:w="619" w:type="dxa"/>
            <w:tcBorders>
              <w:top w:val="nil"/>
              <w:left w:val="single" w:sz="4" w:space="0" w:color="auto"/>
              <w:bottom w:val="single" w:sz="4" w:space="0" w:color="auto"/>
              <w:right w:val="single" w:sz="4" w:space="0" w:color="auto"/>
            </w:tcBorders>
            <w:vAlign w:val="center"/>
            <w:hideMark/>
          </w:tcPr>
          <w:p w14:paraId="3ED3C9A0"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w:t>
            </w:r>
          </w:p>
        </w:tc>
        <w:tc>
          <w:tcPr>
            <w:tcW w:w="880" w:type="dxa"/>
            <w:tcBorders>
              <w:top w:val="nil"/>
              <w:left w:val="single" w:sz="4" w:space="0" w:color="auto"/>
              <w:bottom w:val="single" w:sz="4" w:space="0" w:color="auto"/>
              <w:right w:val="single" w:sz="4" w:space="0" w:color="auto"/>
            </w:tcBorders>
            <w:vAlign w:val="center"/>
            <w:hideMark/>
          </w:tcPr>
          <w:p w14:paraId="5DEAC3E8"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.3</w:t>
            </w:r>
          </w:p>
        </w:tc>
        <w:tc>
          <w:tcPr>
            <w:tcW w:w="753" w:type="dxa"/>
            <w:vMerge/>
            <w:tcBorders>
              <w:top w:val="nil"/>
              <w:left w:val="single" w:sz="4" w:space="0" w:color="auto"/>
              <w:bottom w:val="single" w:sz="4" w:space="0" w:color="auto"/>
              <w:right w:val="single" w:sz="4" w:space="0" w:color="auto"/>
            </w:tcBorders>
            <w:vAlign w:val="center"/>
            <w:hideMark/>
          </w:tcPr>
          <w:p w14:paraId="126A91BF"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1D660689"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419930A3" w14:textId="77777777" w:rsidTr="009F1C88">
        <w:trPr>
          <w:trHeight w:val="130"/>
          <w:jc w:val="center"/>
        </w:trPr>
        <w:tc>
          <w:tcPr>
            <w:tcW w:w="1502" w:type="dxa"/>
            <w:vMerge/>
            <w:tcBorders>
              <w:top w:val="nil"/>
              <w:left w:val="single" w:sz="4" w:space="0" w:color="auto"/>
              <w:bottom w:val="single" w:sz="4" w:space="0" w:color="auto"/>
              <w:right w:val="single" w:sz="4" w:space="0" w:color="auto"/>
            </w:tcBorders>
            <w:vAlign w:val="center"/>
            <w:hideMark/>
          </w:tcPr>
          <w:p w14:paraId="462E6AAA"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7DBEC51C"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25</w:t>
            </w:r>
          </w:p>
        </w:tc>
        <w:tc>
          <w:tcPr>
            <w:tcW w:w="619" w:type="dxa"/>
            <w:tcBorders>
              <w:top w:val="nil"/>
              <w:left w:val="single" w:sz="4" w:space="0" w:color="auto"/>
              <w:bottom w:val="single" w:sz="4" w:space="0" w:color="auto"/>
              <w:right w:val="single" w:sz="4" w:space="0" w:color="auto"/>
            </w:tcBorders>
            <w:vAlign w:val="center"/>
            <w:hideMark/>
          </w:tcPr>
          <w:p w14:paraId="1A9CBCB5"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5</w:t>
            </w:r>
          </w:p>
        </w:tc>
        <w:tc>
          <w:tcPr>
            <w:tcW w:w="880" w:type="dxa"/>
            <w:tcBorders>
              <w:top w:val="nil"/>
              <w:left w:val="single" w:sz="4" w:space="0" w:color="auto"/>
              <w:bottom w:val="single" w:sz="4" w:space="0" w:color="auto"/>
              <w:right w:val="single" w:sz="4" w:space="0" w:color="auto"/>
            </w:tcBorders>
            <w:vAlign w:val="center"/>
            <w:hideMark/>
          </w:tcPr>
          <w:p w14:paraId="0A003736"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1.3</w:t>
            </w:r>
          </w:p>
        </w:tc>
        <w:tc>
          <w:tcPr>
            <w:tcW w:w="753" w:type="dxa"/>
            <w:vMerge/>
            <w:tcBorders>
              <w:top w:val="nil"/>
              <w:left w:val="single" w:sz="4" w:space="0" w:color="auto"/>
              <w:bottom w:val="single" w:sz="4" w:space="0" w:color="auto"/>
              <w:right w:val="single" w:sz="4" w:space="0" w:color="auto"/>
            </w:tcBorders>
            <w:vAlign w:val="center"/>
            <w:hideMark/>
          </w:tcPr>
          <w:p w14:paraId="4552C2B9"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1304FE37"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4FD8AD34" w14:textId="77777777" w:rsidTr="009F1C88">
        <w:trPr>
          <w:trHeight w:val="189"/>
          <w:jc w:val="center"/>
        </w:trPr>
        <w:tc>
          <w:tcPr>
            <w:tcW w:w="1502" w:type="dxa"/>
            <w:vMerge/>
            <w:tcBorders>
              <w:top w:val="nil"/>
              <w:left w:val="single" w:sz="4" w:space="0" w:color="auto"/>
              <w:bottom w:val="single" w:sz="4" w:space="0" w:color="auto"/>
              <w:right w:val="single" w:sz="4" w:space="0" w:color="auto"/>
            </w:tcBorders>
            <w:vAlign w:val="center"/>
            <w:hideMark/>
          </w:tcPr>
          <w:p w14:paraId="2CEBC0F2"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6B55D4AF"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26</w:t>
            </w:r>
          </w:p>
        </w:tc>
        <w:tc>
          <w:tcPr>
            <w:tcW w:w="619" w:type="dxa"/>
            <w:tcBorders>
              <w:top w:val="nil"/>
              <w:left w:val="single" w:sz="4" w:space="0" w:color="auto"/>
              <w:bottom w:val="single" w:sz="4" w:space="0" w:color="auto"/>
              <w:right w:val="single" w:sz="4" w:space="0" w:color="auto"/>
            </w:tcBorders>
            <w:vAlign w:val="center"/>
            <w:hideMark/>
          </w:tcPr>
          <w:p w14:paraId="56CD366F"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3</w:t>
            </w:r>
          </w:p>
        </w:tc>
        <w:tc>
          <w:tcPr>
            <w:tcW w:w="880" w:type="dxa"/>
            <w:tcBorders>
              <w:top w:val="nil"/>
              <w:left w:val="single" w:sz="4" w:space="0" w:color="auto"/>
              <w:bottom w:val="single" w:sz="4" w:space="0" w:color="auto"/>
              <w:right w:val="single" w:sz="4" w:space="0" w:color="auto"/>
            </w:tcBorders>
            <w:vAlign w:val="center"/>
            <w:hideMark/>
          </w:tcPr>
          <w:p w14:paraId="19AE19B7"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.8</w:t>
            </w:r>
          </w:p>
        </w:tc>
        <w:tc>
          <w:tcPr>
            <w:tcW w:w="753" w:type="dxa"/>
            <w:vMerge/>
            <w:tcBorders>
              <w:top w:val="nil"/>
              <w:left w:val="single" w:sz="4" w:space="0" w:color="auto"/>
              <w:bottom w:val="single" w:sz="4" w:space="0" w:color="auto"/>
              <w:right w:val="single" w:sz="4" w:space="0" w:color="auto"/>
            </w:tcBorders>
            <w:vAlign w:val="center"/>
            <w:hideMark/>
          </w:tcPr>
          <w:p w14:paraId="471D4FB5"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4A879E82"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r w:rsidR="00793DFB" w:rsidRPr="002017EC" w14:paraId="4B9DCE07" w14:textId="77777777" w:rsidTr="009F1C88">
        <w:trPr>
          <w:trHeight w:val="264"/>
          <w:jc w:val="center"/>
        </w:trPr>
        <w:tc>
          <w:tcPr>
            <w:tcW w:w="1502" w:type="dxa"/>
            <w:vMerge/>
            <w:tcBorders>
              <w:top w:val="nil"/>
              <w:left w:val="single" w:sz="4" w:space="0" w:color="auto"/>
              <w:bottom w:val="single" w:sz="4" w:space="0" w:color="auto"/>
              <w:right w:val="single" w:sz="4" w:space="0" w:color="auto"/>
            </w:tcBorders>
            <w:vAlign w:val="center"/>
            <w:hideMark/>
          </w:tcPr>
          <w:p w14:paraId="467984C6" w14:textId="77777777" w:rsidR="00793DFB" w:rsidRPr="002017EC" w:rsidRDefault="00793DFB" w:rsidP="009F1C88">
            <w:pPr>
              <w:bidi/>
              <w:spacing w:after="0" w:line="240" w:lineRule="auto"/>
              <w:rPr>
                <w:rFonts w:ascii="Arial" w:eastAsia="Times New Roman" w:hAnsi="Arial" w:cs="Arial"/>
                <w:color w:val="000000"/>
                <w:kern w:val="0"/>
                <w:sz w:val="20"/>
                <w:szCs w:val="20"/>
                <w:lang w:val="en-GB" w:eastAsia="en-GB"/>
                <w14:ligatures w14:val="none"/>
              </w:rPr>
            </w:pPr>
          </w:p>
        </w:tc>
        <w:tc>
          <w:tcPr>
            <w:tcW w:w="1236" w:type="dxa"/>
            <w:tcBorders>
              <w:top w:val="nil"/>
              <w:left w:val="single" w:sz="4" w:space="0" w:color="auto"/>
              <w:bottom w:val="single" w:sz="4" w:space="0" w:color="auto"/>
              <w:right w:val="single" w:sz="4" w:space="0" w:color="auto"/>
            </w:tcBorders>
            <w:vAlign w:val="center"/>
            <w:hideMark/>
          </w:tcPr>
          <w:p w14:paraId="3EE77473"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29</w:t>
            </w:r>
          </w:p>
        </w:tc>
        <w:tc>
          <w:tcPr>
            <w:tcW w:w="619" w:type="dxa"/>
            <w:tcBorders>
              <w:top w:val="nil"/>
              <w:left w:val="single" w:sz="4" w:space="0" w:color="auto"/>
              <w:bottom w:val="single" w:sz="4" w:space="0" w:color="auto"/>
              <w:right w:val="single" w:sz="4" w:space="0" w:color="auto"/>
            </w:tcBorders>
            <w:vAlign w:val="center"/>
            <w:hideMark/>
          </w:tcPr>
          <w:p w14:paraId="506B356B"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1</w:t>
            </w:r>
          </w:p>
        </w:tc>
        <w:tc>
          <w:tcPr>
            <w:tcW w:w="880" w:type="dxa"/>
            <w:tcBorders>
              <w:top w:val="nil"/>
              <w:left w:val="single" w:sz="4" w:space="0" w:color="auto"/>
              <w:bottom w:val="single" w:sz="4" w:space="0" w:color="auto"/>
              <w:right w:val="single" w:sz="4" w:space="0" w:color="auto"/>
            </w:tcBorders>
            <w:vAlign w:val="center"/>
            <w:hideMark/>
          </w:tcPr>
          <w:p w14:paraId="3BED3B50" w14:textId="77777777" w:rsidR="00793DFB" w:rsidRPr="002017EC"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2017EC">
              <w:rPr>
                <w:rFonts w:ascii="Arial" w:eastAsia="Times New Roman" w:hAnsi="Arial" w:cs="Arial"/>
                <w:color w:val="000000"/>
                <w:kern w:val="0"/>
                <w:sz w:val="18"/>
                <w:szCs w:val="18"/>
                <w:lang w:val="en-GB" w:eastAsia="en-GB"/>
                <w14:ligatures w14:val="none"/>
              </w:rPr>
              <w:t>.3</w:t>
            </w:r>
          </w:p>
        </w:tc>
        <w:tc>
          <w:tcPr>
            <w:tcW w:w="753" w:type="dxa"/>
            <w:vMerge/>
            <w:tcBorders>
              <w:top w:val="nil"/>
              <w:left w:val="single" w:sz="4" w:space="0" w:color="auto"/>
              <w:bottom w:val="single" w:sz="4" w:space="0" w:color="auto"/>
              <w:right w:val="single" w:sz="4" w:space="0" w:color="auto"/>
            </w:tcBorders>
            <w:vAlign w:val="center"/>
            <w:hideMark/>
          </w:tcPr>
          <w:p w14:paraId="1709460E"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c>
          <w:tcPr>
            <w:tcW w:w="1805" w:type="dxa"/>
            <w:vMerge/>
            <w:tcBorders>
              <w:top w:val="nil"/>
              <w:left w:val="single" w:sz="4" w:space="0" w:color="auto"/>
              <w:bottom w:val="single" w:sz="4" w:space="0" w:color="auto"/>
              <w:right w:val="single" w:sz="4" w:space="0" w:color="auto"/>
            </w:tcBorders>
            <w:vAlign w:val="center"/>
            <w:hideMark/>
          </w:tcPr>
          <w:p w14:paraId="59D14054" w14:textId="77777777" w:rsidR="00793DFB" w:rsidRPr="002017EC" w:rsidRDefault="00793DFB" w:rsidP="009F1C88">
            <w:pPr>
              <w:bidi/>
              <w:spacing w:after="0" w:line="240" w:lineRule="auto"/>
              <w:rPr>
                <w:rFonts w:ascii="Arial" w:eastAsia="Times New Roman" w:hAnsi="Arial" w:cs="Arial"/>
                <w:color w:val="000000"/>
                <w:kern w:val="0"/>
                <w:sz w:val="18"/>
                <w:szCs w:val="18"/>
                <w:lang w:val="en-GB" w:eastAsia="en-GB"/>
                <w14:ligatures w14:val="none"/>
              </w:rPr>
            </w:pPr>
          </w:p>
        </w:tc>
      </w:tr>
    </w:tbl>
    <w:p w14:paraId="7FF5B184" w14:textId="77777777" w:rsidR="00793DFB" w:rsidRPr="00542B76" w:rsidRDefault="00793DFB" w:rsidP="00793DFB">
      <w:pPr>
        <w:bidi/>
        <w:rPr>
          <w:b/>
          <w:bCs/>
        </w:rPr>
      </w:pPr>
      <w:r>
        <w:rPr>
          <w:rFonts w:hint="cs"/>
          <w:b/>
          <w:bCs/>
          <w:rtl/>
        </w:rPr>
        <w:t xml:space="preserve">4.2.1. </w:t>
      </w:r>
      <w:r w:rsidRPr="00542B76">
        <w:rPr>
          <w:b/>
          <w:bCs/>
          <w:rtl/>
        </w:rPr>
        <w:t>توزيع العينة حسب الجنس</w:t>
      </w:r>
    </w:p>
    <w:p w14:paraId="0FA80007" w14:textId="77777777" w:rsidR="00793DFB" w:rsidRPr="00542B76" w:rsidRDefault="00793DFB" w:rsidP="00793DFB">
      <w:pPr>
        <w:bidi/>
      </w:pPr>
      <w:r w:rsidRPr="00542B76">
        <w:rPr>
          <w:rtl/>
        </w:rPr>
        <w:lastRenderedPageBreak/>
        <w:t>يتضح أن نسبة الإناث بلغت (58%) مقابل (42%) للذكور، وهو ما يعكس حضورًا ملحوظًا للمرأة في قطاع الضيافة محل الدراسة. وقد يكون لهذا التوزيع أثر في تفسير بعض النتائج المتعلقة بالإبداع الوظيفي أو المشاركة التنظيمية، خاصة في ضوء الدراسات التي تربط بين التنوع الجندري ومستويات الأداء الابتكاري داخل المنظمات الخدمية</w:t>
      </w:r>
      <w:r w:rsidRPr="00542B76">
        <w:t>.</w:t>
      </w:r>
    </w:p>
    <w:p w14:paraId="3B15D5C0" w14:textId="77777777" w:rsidR="00793DFB" w:rsidRPr="0082469D" w:rsidRDefault="00793DFB" w:rsidP="00793DFB">
      <w:pPr>
        <w:bidi/>
        <w:rPr>
          <w:b/>
          <w:bCs/>
          <w:rtl/>
        </w:rPr>
      </w:pPr>
      <w:r>
        <w:rPr>
          <w:rFonts w:hint="cs"/>
          <w:b/>
          <w:bCs/>
          <w:rtl/>
        </w:rPr>
        <w:t xml:space="preserve">4.2.2. </w:t>
      </w:r>
      <w:r w:rsidRPr="00542B76">
        <w:rPr>
          <w:b/>
          <w:bCs/>
          <w:rtl/>
        </w:rPr>
        <w:t>توزيع العينة حسب الفئة العمرية</w:t>
      </w:r>
    </w:p>
    <w:p w14:paraId="4FB5EBFC" w14:textId="77777777" w:rsidR="00793DFB" w:rsidRPr="00542B76" w:rsidRDefault="00793DFB" w:rsidP="00793DFB">
      <w:pPr>
        <w:bidi/>
      </w:pPr>
      <w:r w:rsidRPr="00542B76">
        <w:rPr>
          <w:rtl/>
        </w:rPr>
        <w:t>تُظهر البيانات أن الفئة العمرية (35–44 سنة) تمثل الشريحة الأكبر (35.8%)، تليها فئة (25–34 سنة) بنسبة (28%). ويشير هذا التوزيع إلى أن غالبية المشاركين ينتمون إلى فئات عمرية متوسطة تجمع بين الخبرة المهنية والاستقرار الوظيفي، وهو عامل قد يسهم في تعزيز القدرة على استيعاب ممارسات أنظمة العمل عالية الأداء والتفاعل معها بفاعلية</w:t>
      </w:r>
      <w:r w:rsidRPr="00542B76">
        <w:t>.</w:t>
      </w:r>
    </w:p>
    <w:p w14:paraId="112AF618" w14:textId="77777777" w:rsidR="00793DFB" w:rsidRPr="00542B76" w:rsidRDefault="00793DFB" w:rsidP="00793DFB">
      <w:pPr>
        <w:bidi/>
        <w:rPr>
          <w:b/>
          <w:bCs/>
        </w:rPr>
      </w:pPr>
      <w:r>
        <w:rPr>
          <w:rFonts w:hint="cs"/>
          <w:b/>
          <w:bCs/>
          <w:rtl/>
        </w:rPr>
        <w:t xml:space="preserve">4.2.3. </w:t>
      </w:r>
      <w:r w:rsidRPr="00542B76">
        <w:rPr>
          <w:b/>
          <w:bCs/>
          <w:rtl/>
        </w:rPr>
        <w:t>توزيع العينة حسب المستوى التعليمي</w:t>
      </w:r>
    </w:p>
    <w:p w14:paraId="382FBE80" w14:textId="77777777" w:rsidR="00793DFB" w:rsidRPr="00542B76" w:rsidRDefault="00793DFB" w:rsidP="00793DFB">
      <w:pPr>
        <w:bidi/>
      </w:pPr>
      <w:r w:rsidRPr="00542B76">
        <w:rPr>
          <w:rtl/>
        </w:rPr>
        <w:t>تُبيّن النتائج أن غالبية أفراد العينة يحملون مؤهلًا جامعيًا (58.8%)، في حين بلغت نسبة حملة الدراسات العليا (12%). ويعكس ذلك مستوى تعليميًا مرتفعًا نسبيًا داخل قطاع الدراسة، الأمر الذي قد يفسر درجة الوعي بممارسات الإدارة الحديثة والانخراط في سلوكيات إبداعية</w:t>
      </w:r>
      <w:r w:rsidRPr="00542B76">
        <w:t>.</w:t>
      </w:r>
    </w:p>
    <w:p w14:paraId="1AAC0ECB" w14:textId="77777777" w:rsidR="00793DFB" w:rsidRPr="008B693A" w:rsidRDefault="00793DFB" w:rsidP="00793DFB">
      <w:pPr>
        <w:bidi/>
        <w:rPr>
          <w:b/>
          <w:bCs/>
          <w:rtl/>
        </w:rPr>
      </w:pPr>
      <w:r>
        <w:rPr>
          <w:rFonts w:hint="cs"/>
          <w:b/>
          <w:bCs/>
          <w:rtl/>
        </w:rPr>
        <w:t xml:space="preserve">4.2.4. </w:t>
      </w:r>
      <w:r w:rsidRPr="00542B76">
        <w:rPr>
          <w:b/>
          <w:bCs/>
          <w:rtl/>
        </w:rPr>
        <w:t>توزيع العينة حسب سنوات الخبرة</w:t>
      </w:r>
    </w:p>
    <w:p w14:paraId="55C03080" w14:textId="77777777" w:rsidR="00793DFB" w:rsidRPr="00542B76" w:rsidRDefault="00793DFB" w:rsidP="00793DFB">
      <w:pPr>
        <w:bidi/>
      </w:pPr>
      <w:r w:rsidRPr="00542B76">
        <w:rPr>
          <w:rtl/>
        </w:rPr>
        <w:t>تشير النتائج إلى أن متوسط الخبرة يقارب تسع سنوات، وهو ما يدل على تراكم معرفي ومهني معتبر داخل العينة. كما أن الانحراف المعياري البالغ (5.4) يعكس تباينًا مقبولًا في مستويات الخبرة، مما يثري التحليل الإحصائي ويعزز إمكانية فحص تأثير الخبرة ضمن النماذج التفسيرية لاحقًا</w:t>
      </w:r>
      <w:r w:rsidRPr="00542B76">
        <w:t>.</w:t>
      </w:r>
    </w:p>
    <w:p w14:paraId="49118587" w14:textId="77777777" w:rsidR="00793DFB" w:rsidRPr="0082469D" w:rsidRDefault="00793DFB" w:rsidP="00793DFB">
      <w:pPr>
        <w:bidi/>
        <w:rPr>
          <w:b/>
          <w:bCs/>
          <w:rtl/>
        </w:rPr>
      </w:pPr>
      <w:r>
        <w:rPr>
          <w:rFonts w:hint="cs"/>
          <w:b/>
          <w:bCs/>
          <w:rtl/>
        </w:rPr>
        <w:t xml:space="preserve">4.2.5. </w:t>
      </w:r>
      <w:r w:rsidRPr="00542B76">
        <w:rPr>
          <w:b/>
          <w:bCs/>
          <w:rtl/>
        </w:rPr>
        <w:t>توزيع العينة حسب المسمى الوظيفي</w:t>
      </w:r>
    </w:p>
    <w:p w14:paraId="403C5C84" w14:textId="77777777" w:rsidR="00793DFB" w:rsidRPr="00542B76" w:rsidRDefault="00793DFB" w:rsidP="00793DFB">
      <w:pPr>
        <w:bidi/>
      </w:pPr>
      <w:r w:rsidRPr="00542B76">
        <w:rPr>
          <w:rtl/>
        </w:rPr>
        <w:t>يتضح أن فئة المشرفين تمثل النسبة الأعلى (40.5%)، تليها فئة الموظفين، ثم المديرين. ويُعد هذا التوزيع مناسبًا لدراسة ممارسات أنظمة العمل عالية الأداء، نظرًا لأن فئة المشرفين تمثل حلقة الوصل بين الإدارة العليا والعاملين، ما يجعلهم عنصرًا محوريًا في نقل الثقافة التنظيمية وتعزيز الإبداع</w:t>
      </w:r>
      <w:r w:rsidRPr="00542B76">
        <w:t>.</w:t>
      </w:r>
    </w:p>
    <w:p w14:paraId="66B610F0" w14:textId="77777777" w:rsidR="00793DFB" w:rsidRPr="0082469D" w:rsidRDefault="00793DFB" w:rsidP="00793DFB">
      <w:pPr>
        <w:bidi/>
        <w:rPr>
          <w:b/>
          <w:bCs/>
          <w:rtl/>
        </w:rPr>
      </w:pPr>
      <w:r>
        <w:rPr>
          <w:rFonts w:hint="cs"/>
          <w:b/>
          <w:bCs/>
          <w:rtl/>
        </w:rPr>
        <w:t xml:space="preserve">4.2.6. </w:t>
      </w:r>
      <w:r w:rsidRPr="00542B76">
        <w:rPr>
          <w:b/>
          <w:bCs/>
          <w:rtl/>
        </w:rPr>
        <w:t>توزيع العينة حسب نوع القطاع</w:t>
      </w:r>
    </w:p>
    <w:p w14:paraId="71B4B0FC" w14:textId="1519B48E" w:rsidR="00793DFB" w:rsidRDefault="00793DFB" w:rsidP="00793DFB">
      <w:pPr>
        <w:bidi/>
        <w:rPr>
          <w:rtl/>
        </w:rPr>
      </w:pPr>
      <w:r w:rsidRPr="00542B76">
        <w:rPr>
          <w:rtl/>
        </w:rPr>
        <w:t>تُظهر النتائج أن غالبية العينة تنتمي إلى القطاع الفندقي (62.3%)، مقابل (37.8%) للقطاع المط</w:t>
      </w:r>
      <w:r w:rsidR="00EB39A8">
        <w:rPr>
          <w:rFonts w:hint="cs"/>
          <w:rtl/>
        </w:rPr>
        <w:t>اعم</w:t>
      </w:r>
      <w:r w:rsidRPr="00542B76">
        <w:rPr>
          <w:rtl/>
        </w:rPr>
        <w:t>. ويتيح هذا التوزيع إجراء مقارنات لاحقة بين القطاعين لاختبار الفروق الهيكلية في العلاقات بين المتغيرات، كما نصّت عليه فرضيات الدراسة</w:t>
      </w:r>
      <w:r w:rsidRPr="00542B76">
        <w:t>.</w:t>
      </w:r>
    </w:p>
    <w:p w14:paraId="3BF69FAB" w14:textId="77777777" w:rsidR="00793DFB" w:rsidRDefault="00793DFB" w:rsidP="00793DFB">
      <w:pPr>
        <w:bidi/>
        <w:rPr>
          <w:rtl/>
        </w:rPr>
      </w:pPr>
      <w:r w:rsidRPr="00542B76">
        <w:rPr>
          <w:rtl/>
        </w:rPr>
        <w:t>تكشف الخصائص الديموغرافية للعينة عن تركيبة مهنية وتعليمية متوازنة نسبيًا، يغلب عليها المستوى الجامعي، ومتوسط خبرة يقارب تسع سنوات، مع تمثيل معتبر لمختلف المستويات الوظيفية. ويعزز هذا التنوع من موثوقية النتائج اللاحقة، إذ يسمح بفحص العلاقات بين المتغيرات في سياق تنظيمي متنوع يعكس واقع قطاع الضيافة في مدينة الرياض</w:t>
      </w:r>
      <w:r w:rsidRPr="00542B76">
        <w:t>.</w:t>
      </w:r>
    </w:p>
    <w:p w14:paraId="7F584127" w14:textId="77777777" w:rsidR="00793DFB" w:rsidRDefault="00793DFB" w:rsidP="00793DFB">
      <w:pPr>
        <w:bidi/>
        <w:rPr>
          <w:rtl/>
        </w:rPr>
      </w:pPr>
    </w:p>
    <w:p w14:paraId="77C873CB" w14:textId="77777777" w:rsidR="00793DFB" w:rsidRDefault="00793DFB" w:rsidP="00793DFB">
      <w:pPr>
        <w:bidi/>
        <w:rPr>
          <w:rtl/>
        </w:rPr>
      </w:pPr>
    </w:p>
    <w:p w14:paraId="600F320C" w14:textId="77777777" w:rsidR="00793DFB" w:rsidRDefault="00793DFB" w:rsidP="00793DFB">
      <w:pPr>
        <w:bidi/>
        <w:rPr>
          <w:rtl/>
        </w:rPr>
      </w:pPr>
    </w:p>
    <w:p w14:paraId="41FFE794" w14:textId="77777777" w:rsidR="00793DFB" w:rsidRPr="00F209FA" w:rsidRDefault="00793DFB" w:rsidP="00793DFB">
      <w:pPr>
        <w:bidi/>
      </w:pPr>
    </w:p>
    <w:p w14:paraId="1163DDDA" w14:textId="77777777" w:rsidR="00793DFB" w:rsidRDefault="00793DFB" w:rsidP="00793DFB">
      <w:pPr>
        <w:bidi/>
        <w:rPr>
          <w:b/>
          <w:bCs/>
          <w:rtl/>
        </w:rPr>
      </w:pPr>
      <w:r w:rsidRPr="00E15AD4">
        <w:rPr>
          <w:b/>
          <w:bCs/>
        </w:rPr>
        <w:t xml:space="preserve">4.3 </w:t>
      </w:r>
      <w:r w:rsidRPr="00E15AD4">
        <w:rPr>
          <w:b/>
          <w:bCs/>
          <w:rtl/>
        </w:rPr>
        <w:t>التحليل الوصفي لمتغيرات الدراسة</w:t>
      </w:r>
    </w:p>
    <w:p w14:paraId="3F42B9CE" w14:textId="77777777" w:rsidR="00793DFB" w:rsidRDefault="00793DFB" w:rsidP="00793DFB">
      <w:pPr>
        <w:bidi/>
        <w:jc w:val="center"/>
        <w:rPr>
          <w:b/>
          <w:bCs/>
          <w:rtl/>
        </w:rPr>
      </w:pPr>
      <w:r>
        <w:rPr>
          <w:rFonts w:hint="cs"/>
          <w:b/>
          <w:bCs/>
          <w:rtl/>
        </w:rPr>
        <w:lastRenderedPageBreak/>
        <w:t>جدول (4.2): ملخص الاحصائيات الوصفي لمتغيرات البحث</w:t>
      </w:r>
    </w:p>
    <w:tbl>
      <w:tblPr>
        <w:bidiVisual/>
        <w:tblW w:w="8508" w:type="dxa"/>
        <w:jc w:val="center"/>
        <w:tblLook w:val="04A0" w:firstRow="1" w:lastRow="0" w:firstColumn="1" w:lastColumn="0" w:noHBand="0" w:noVBand="1"/>
      </w:tblPr>
      <w:tblGrid>
        <w:gridCol w:w="2653"/>
        <w:gridCol w:w="960"/>
        <w:gridCol w:w="1441"/>
        <w:gridCol w:w="1143"/>
        <w:gridCol w:w="1034"/>
        <w:gridCol w:w="1277"/>
      </w:tblGrid>
      <w:tr w:rsidR="00793DFB" w:rsidRPr="006A1286" w14:paraId="7CE4A179" w14:textId="77777777" w:rsidTr="009F1C88">
        <w:trPr>
          <w:trHeight w:val="456"/>
          <w:jc w:val="center"/>
        </w:trPr>
        <w:tc>
          <w:tcPr>
            <w:tcW w:w="2653" w:type="dxa"/>
            <w:tcBorders>
              <w:top w:val="single" w:sz="8" w:space="0" w:color="auto"/>
              <w:left w:val="single" w:sz="8" w:space="0" w:color="auto"/>
              <w:bottom w:val="single" w:sz="4" w:space="0" w:color="auto"/>
              <w:right w:val="single" w:sz="4" w:space="0" w:color="auto"/>
            </w:tcBorders>
            <w:vAlign w:val="center"/>
            <w:hideMark/>
          </w:tcPr>
          <w:p w14:paraId="7DDEE3DB"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rtl/>
                <w:lang w:val="en-GB" w:eastAsia="en-GB"/>
                <w14:ligatures w14:val="none"/>
              </w:rPr>
              <w:t>المتغير</w:t>
            </w:r>
          </w:p>
        </w:tc>
        <w:tc>
          <w:tcPr>
            <w:tcW w:w="960" w:type="dxa"/>
            <w:tcBorders>
              <w:top w:val="single" w:sz="8" w:space="0" w:color="auto"/>
              <w:left w:val="single" w:sz="4" w:space="0" w:color="auto"/>
              <w:bottom w:val="single" w:sz="4" w:space="0" w:color="auto"/>
              <w:right w:val="single" w:sz="4" w:space="0" w:color="auto"/>
            </w:tcBorders>
            <w:vAlign w:val="center"/>
            <w:hideMark/>
          </w:tcPr>
          <w:p w14:paraId="6AD84875"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rtl/>
                <w:lang w:val="en-GB" w:eastAsia="en-GB"/>
                <w14:ligatures w14:val="none"/>
              </w:rPr>
              <w:t>المتوسط</w:t>
            </w:r>
          </w:p>
        </w:tc>
        <w:tc>
          <w:tcPr>
            <w:tcW w:w="1441" w:type="dxa"/>
            <w:tcBorders>
              <w:top w:val="single" w:sz="8" w:space="0" w:color="auto"/>
              <w:left w:val="single" w:sz="4" w:space="0" w:color="auto"/>
              <w:bottom w:val="single" w:sz="4" w:space="0" w:color="auto"/>
              <w:right w:val="single" w:sz="4" w:space="0" w:color="auto"/>
            </w:tcBorders>
            <w:vAlign w:val="center"/>
            <w:hideMark/>
          </w:tcPr>
          <w:p w14:paraId="0660B31C"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rtl/>
                <w:lang w:val="en-GB" w:eastAsia="en-GB"/>
                <w14:ligatures w14:val="none"/>
              </w:rPr>
              <w:t>الانحراف المعياري</w:t>
            </w:r>
          </w:p>
        </w:tc>
        <w:tc>
          <w:tcPr>
            <w:tcW w:w="1143" w:type="dxa"/>
            <w:tcBorders>
              <w:top w:val="single" w:sz="8" w:space="0" w:color="auto"/>
              <w:left w:val="single" w:sz="4" w:space="0" w:color="auto"/>
              <w:bottom w:val="single" w:sz="4" w:space="0" w:color="auto"/>
              <w:right w:val="single" w:sz="4" w:space="0" w:color="auto"/>
            </w:tcBorders>
            <w:vAlign w:val="center"/>
            <w:hideMark/>
          </w:tcPr>
          <w:p w14:paraId="46C3DD5D"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rtl/>
                <w:lang w:val="en-GB" w:eastAsia="en-GB"/>
                <w14:ligatures w14:val="none"/>
              </w:rPr>
              <w:t xml:space="preserve">القيمة </w:t>
            </w:r>
            <w:r w:rsidRPr="006A1286">
              <w:rPr>
                <w:rFonts w:ascii="Arial" w:eastAsia="Times New Roman" w:hAnsi="Arial" w:cs="Arial" w:hint="cs"/>
                <w:color w:val="000000"/>
                <w:kern w:val="0"/>
                <w:sz w:val="18"/>
                <w:szCs w:val="18"/>
                <w:rtl/>
                <w:lang w:val="en-GB" w:eastAsia="en-GB"/>
                <w14:ligatures w14:val="none"/>
              </w:rPr>
              <w:t>الصغرى</w:t>
            </w:r>
          </w:p>
        </w:tc>
        <w:tc>
          <w:tcPr>
            <w:tcW w:w="1034" w:type="dxa"/>
            <w:tcBorders>
              <w:top w:val="single" w:sz="8" w:space="0" w:color="auto"/>
              <w:left w:val="single" w:sz="4" w:space="0" w:color="auto"/>
              <w:bottom w:val="single" w:sz="4" w:space="0" w:color="auto"/>
              <w:right w:val="single" w:sz="4" w:space="0" w:color="auto"/>
            </w:tcBorders>
            <w:vAlign w:val="center"/>
            <w:hideMark/>
          </w:tcPr>
          <w:p w14:paraId="6310085B"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rtl/>
                <w:lang w:val="en-GB" w:eastAsia="en-GB"/>
                <w14:ligatures w14:val="none"/>
              </w:rPr>
              <w:t>القيمة الكبرى</w:t>
            </w:r>
          </w:p>
        </w:tc>
        <w:tc>
          <w:tcPr>
            <w:tcW w:w="1277" w:type="dxa"/>
            <w:tcBorders>
              <w:top w:val="single" w:sz="8" w:space="0" w:color="auto"/>
              <w:left w:val="single" w:sz="4" w:space="0" w:color="auto"/>
              <w:bottom w:val="single" w:sz="4" w:space="0" w:color="auto"/>
              <w:right w:val="single" w:sz="8" w:space="0" w:color="auto"/>
            </w:tcBorders>
            <w:vAlign w:val="center"/>
            <w:hideMark/>
          </w:tcPr>
          <w:p w14:paraId="791D8783"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rtl/>
                <w:lang w:val="en-GB" w:eastAsia="en-GB"/>
                <w14:ligatures w14:val="none"/>
              </w:rPr>
              <w:t>معامل الاختلاف</w:t>
            </w:r>
          </w:p>
        </w:tc>
      </w:tr>
      <w:tr w:rsidR="00793DFB" w:rsidRPr="006A1286" w14:paraId="02F2AC79" w14:textId="77777777" w:rsidTr="009F1C88">
        <w:trPr>
          <w:trHeight w:val="456"/>
          <w:jc w:val="center"/>
        </w:trPr>
        <w:tc>
          <w:tcPr>
            <w:tcW w:w="2653" w:type="dxa"/>
            <w:tcBorders>
              <w:top w:val="nil"/>
              <w:left w:val="single" w:sz="8" w:space="0" w:color="auto"/>
              <w:bottom w:val="single" w:sz="4" w:space="0" w:color="auto"/>
              <w:right w:val="single" w:sz="4" w:space="0" w:color="auto"/>
            </w:tcBorders>
            <w:shd w:val="clear" w:color="000000" w:fill="CCCCFF"/>
            <w:vAlign w:val="center"/>
            <w:hideMark/>
          </w:tcPr>
          <w:p w14:paraId="6A13ACF2"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rtl/>
                <w:lang w:val="en-GB" w:eastAsia="en-GB"/>
                <w14:ligatures w14:val="none"/>
              </w:rPr>
              <w:t>أنظمة العمل عالية الأداء</w:t>
            </w:r>
          </w:p>
        </w:tc>
        <w:tc>
          <w:tcPr>
            <w:tcW w:w="960" w:type="dxa"/>
            <w:tcBorders>
              <w:top w:val="nil"/>
              <w:left w:val="single" w:sz="4" w:space="0" w:color="auto"/>
              <w:bottom w:val="single" w:sz="4" w:space="0" w:color="auto"/>
              <w:right w:val="single" w:sz="4" w:space="0" w:color="auto"/>
            </w:tcBorders>
            <w:noWrap/>
            <w:vAlign w:val="center"/>
            <w:hideMark/>
          </w:tcPr>
          <w:p w14:paraId="0FDEA1D9" w14:textId="77777777" w:rsidR="00793DFB" w:rsidRPr="006A1286"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lang w:val="en-GB" w:eastAsia="en-GB"/>
                <w14:ligatures w14:val="none"/>
              </w:rPr>
              <w:t>3.4345</w:t>
            </w:r>
          </w:p>
        </w:tc>
        <w:tc>
          <w:tcPr>
            <w:tcW w:w="1441" w:type="dxa"/>
            <w:tcBorders>
              <w:top w:val="nil"/>
              <w:left w:val="single" w:sz="4" w:space="0" w:color="auto"/>
              <w:bottom w:val="single" w:sz="4" w:space="0" w:color="auto"/>
              <w:right w:val="single" w:sz="4" w:space="0" w:color="auto"/>
            </w:tcBorders>
            <w:noWrap/>
            <w:vAlign w:val="center"/>
            <w:hideMark/>
          </w:tcPr>
          <w:p w14:paraId="6AF3C4D1"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0.76990</w:t>
            </w:r>
          </w:p>
        </w:tc>
        <w:tc>
          <w:tcPr>
            <w:tcW w:w="1143" w:type="dxa"/>
            <w:tcBorders>
              <w:top w:val="nil"/>
              <w:left w:val="single" w:sz="4" w:space="0" w:color="auto"/>
              <w:bottom w:val="single" w:sz="4" w:space="0" w:color="auto"/>
              <w:right w:val="single" w:sz="4" w:space="0" w:color="auto"/>
            </w:tcBorders>
            <w:noWrap/>
            <w:vAlign w:val="center"/>
            <w:hideMark/>
          </w:tcPr>
          <w:p w14:paraId="24D26E9A"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1.52</w:t>
            </w:r>
          </w:p>
        </w:tc>
        <w:tc>
          <w:tcPr>
            <w:tcW w:w="1034" w:type="dxa"/>
            <w:tcBorders>
              <w:top w:val="nil"/>
              <w:left w:val="single" w:sz="4" w:space="0" w:color="auto"/>
              <w:bottom w:val="single" w:sz="4" w:space="0" w:color="auto"/>
              <w:right w:val="single" w:sz="4" w:space="0" w:color="auto"/>
            </w:tcBorders>
            <w:noWrap/>
            <w:vAlign w:val="center"/>
            <w:hideMark/>
          </w:tcPr>
          <w:p w14:paraId="37E9DA58"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4.74</w:t>
            </w:r>
          </w:p>
        </w:tc>
        <w:tc>
          <w:tcPr>
            <w:tcW w:w="1277" w:type="dxa"/>
            <w:tcBorders>
              <w:top w:val="nil"/>
              <w:left w:val="single" w:sz="4" w:space="0" w:color="auto"/>
              <w:bottom w:val="single" w:sz="4" w:space="0" w:color="auto"/>
              <w:right w:val="single" w:sz="8" w:space="0" w:color="auto"/>
            </w:tcBorders>
            <w:noWrap/>
            <w:vAlign w:val="center"/>
            <w:hideMark/>
          </w:tcPr>
          <w:p w14:paraId="216A37FD"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22.417</w:t>
            </w:r>
          </w:p>
        </w:tc>
      </w:tr>
      <w:tr w:rsidR="00793DFB" w:rsidRPr="006A1286" w14:paraId="08A88834" w14:textId="77777777" w:rsidTr="009F1C88">
        <w:trPr>
          <w:trHeight w:val="456"/>
          <w:jc w:val="center"/>
        </w:trPr>
        <w:tc>
          <w:tcPr>
            <w:tcW w:w="2653" w:type="dxa"/>
            <w:tcBorders>
              <w:top w:val="nil"/>
              <w:left w:val="single" w:sz="8" w:space="0" w:color="auto"/>
              <w:bottom w:val="single" w:sz="4" w:space="0" w:color="auto"/>
              <w:right w:val="single" w:sz="4" w:space="0" w:color="auto"/>
            </w:tcBorders>
            <w:shd w:val="clear" w:color="000000" w:fill="CCCCFF"/>
            <w:vAlign w:val="center"/>
            <w:hideMark/>
          </w:tcPr>
          <w:p w14:paraId="32CF3CFA"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rtl/>
                <w:lang w:val="en-GB" w:eastAsia="en-GB"/>
                <w14:ligatures w14:val="none"/>
              </w:rPr>
              <w:t>أولاً: التوظيف الانتقائي</w:t>
            </w:r>
          </w:p>
        </w:tc>
        <w:tc>
          <w:tcPr>
            <w:tcW w:w="960" w:type="dxa"/>
            <w:tcBorders>
              <w:top w:val="nil"/>
              <w:left w:val="single" w:sz="4" w:space="0" w:color="auto"/>
              <w:bottom w:val="single" w:sz="4" w:space="0" w:color="auto"/>
              <w:right w:val="single" w:sz="4" w:space="0" w:color="auto"/>
            </w:tcBorders>
            <w:noWrap/>
            <w:vAlign w:val="center"/>
            <w:hideMark/>
          </w:tcPr>
          <w:p w14:paraId="5363244E" w14:textId="77777777" w:rsidR="00793DFB" w:rsidRPr="006A1286"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lang w:val="en-GB" w:eastAsia="en-GB"/>
                <w14:ligatures w14:val="none"/>
              </w:rPr>
              <w:t>3.7806</w:t>
            </w:r>
          </w:p>
        </w:tc>
        <w:tc>
          <w:tcPr>
            <w:tcW w:w="1441" w:type="dxa"/>
            <w:tcBorders>
              <w:top w:val="nil"/>
              <w:left w:val="single" w:sz="4" w:space="0" w:color="auto"/>
              <w:bottom w:val="single" w:sz="4" w:space="0" w:color="auto"/>
              <w:right w:val="single" w:sz="4" w:space="0" w:color="auto"/>
            </w:tcBorders>
            <w:noWrap/>
            <w:vAlign w:val="center"/>
            <w:hideMark/>
          </w:tcPr>
          <w:p w14:paraId="1D749AE1"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0.95784</w:t>
            </w:r>
          </w:p>
        </w:tc>
        <w:tc>
          <w:tcPr>
            <w:tcW w:w="1143" w:type="dxa"/>
            <w:tcBorders>
              <w:top w:val="nil"/>
              <w:left w:val="single" w:sz="4" w:space="0" w:color="auto"/>
              <w:bottom w:val="single" w:sz="4" w:space="0" w:color="auto"/>
              <w:right w:val="single" w:sz="4" w:space="0" w:color="auto"/>
            </w:tcBorders>
            <w:noWrap/>
            <w:vAlign w:val="center"/>
            <w:hideMark/>
          </w:tcPr>
          <w:p w14:paraId="1D667BB6"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1.25</w:t>
            </w:r>
          </w:p>
        </w:tc>
        <w:tc>
          <w:tcPr>
            <w:tcW w:w="1034" w:type="dxa"/>
            <w:tcBorders>
              <w:top w:val="nil"/>
              <w:left w:val="single" w:sz="4" w:space="0" w:color="auto"/>
              <w:bottom w:val="single" w:sz="4" w:space="0" w:color="auto"/>
              <w:right w:val="single" w:sz="4" w:space="0" w:color="auto"/>
            </w:tcBorders>
            <w:noWrap/>
            <w:vAlign w:val="center"/>
            <w:hideMark/>
          </w:tcPr>
          <w:p w14:paraId="7FA4C403"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5.00</w:t>
            </w:r>
          </w:p>
        </w:tc>
        <w:tc>
          <w:tcPr>
            <w:tcW w:w="1277" w:type="dxa"/>
            <w:tcBorders>
              <w:top w:val="nil"/>
              <w:left w:val="single" w:sz="4" w:space="0" w:color="auto"/>
              <w:bottom w:val="single" w:sz="4" w:space="0" w:color="auto"/>
              <w:right w:val="single" w:sz="8" w:space="0" w:color="auto"/>
            </w:tcBorders>
            <w:noWrap/>
            <w:vAlign w:val="center"/>
            <w:hideMark/>
          </w:tcPr>
          <w:p w14:paraId="6F00B18E"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25.335</w:t>
            </w:r>
          </w:p>
        </w:tc>
      </w:tr>
      <w:tr w:rsidR="00793DFB" w:rsidRPr="006A1286" w14:paraId="0D79FD0D" w14:textId="77777777" w:rsidTr="009F1C88">
        <w:trPr>
          <w:trHeight w:val="684"/>
          <w:jc w:val="center"/>
        </w:trPr>
        <w:tc>
          <w:tcPr>
            <w:tcW w:w="2653" w:type="dxa"/>
            <w:tcBorders>
              <w:top w:val="nil"/>
              <w:left w:val="single" w:sz="8" w:space="0" w:color="auto"/>
              <w:bottom w:val="single" w:sz="4" w:space="0" w:color="auto"/>
              <w:right w:val="single" w:sz="4" w:space="0" w:color="auto"/>
            </w:tcBorders>
            <w:shd w:val="clear" w:color="000000" w:fill="CCCCFF"/>
            <w:vAlign w:val="center"/>
            <w:hideMark/>
          </w:tcPr>
          <w:p w14:paraId="447DF0DB"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rtl/>
                <w:lang w:val="en-GB" w:eastAsia="en-GB"/>
                <w14:ligatures w14:val="none"/>
              </w:rPr>
              <w:t>ثانيًا: التدريب والتطوير المستمر</w:t>
            </w:r>
          </w:p>
        </w:tc>
        <w:tc>
          <w:tcPr>
            <w:tcW w:w="960" w:type="dxa"/>
            <w:tcBorders>
              <w:top w:val="nil"/>
              <w:left w:val="single" w:sz="4" w:space="0" w:color="auto"/>
              <w:bottom w:val="single" w:sz="4" w:space="0" w:color="auto"/>
              <w:right w:val="single" w:sz="4" w:space="0" w:color="auto"/>
            </w:tcBorders>
            <w:noWrap/>
            <w:vAlign w:val="center"/>
            <w:hideMark/>
          </w:tcPr>
          <w:p w14:paraId="2E8DE3B7" w14:textId="77777777" w:rsidR="00793DFB" w:rsidRPr="006A1286"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lang w:val="en-GB" w:eastAsia="en-GB"/>
                <w14:ligatures w14:val="none"/>
              </w:rPr>
              <w:t>3.5481</w:t>
            </w:r>
          </w:p>
        </w:tc>
        <w:tc>
          <w:tcPr>
            <w:tcW w:w="1441" w:type="dxa"/>
            <w:tcBorders>
              <w:top w:val="nil"/>
              <w:left w:val="single" w:sz="4" w:space="0" w:color="auto"/>
              <w:bottom w:val="single" w:sz="4" w:space="0" w:color="auto"/>
              <w:right w:val="single" w:sz="4" w:space="0" w:color="auto"/>
            </w:tcBorders>
            <w:noWrap/>
            <w:vAlign w:val="center"/>
            <w:hideMark/>
          </w:tcPr>
          <w:p w14:paraId="1465BB60"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0.88642</w:t>
            </w:r>
          </w:p>
        </w:tc>
        <w:tc>
          <w:tcPr>
            <w:tcW w:w="1143" w:type="dxa"/>
            <w:tcBorders>
              <w:top w:val="nil"/>
              <w:left w:val="single" w:sz="4" w:space="0" w:color="auto"/>
              <w:bottom w:val="single" w:sz="4" w:space="0" w:color="auto"/>
              <w:right w:val="single" w:sz="4" w:space="0" w:color="auto"/>
            </w:tcBorders>
            <w:noWrap/>
            <w:vAlign w:val="center"/>
            <w:hideMark/>
          </w:tcPr>
          <w:p w14:paraId="1DD207D3"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1.25</w:t>
            </w:r>
          </w:p>
        </w:tc>
        <w:tc>
          <w:tcPr>
            <w:tcW w:w="1034" w:type="dxa"/>
            <w:tcBorders>
              <w:top w:val="nil"/>
              <w:left w:val="single" w:sz="4" w:space="0" w:color="auto"/>
              <w:bottom w:val="single" w:sz="4" w:space="0" w:color="auto"/>
              <w:right w:val="single" w:sz="4" w:space="0" w:color="auto"/>
            </w:tcBorders>
            <w:noWrap/>
            <w:vAlign w:val="center"/>
            <w:hideMark/>
          </w:tcPr>
          <w:p w14:paraId="1D82FB1A"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5.00</w:t>
            </w:r>
          </w:p>
        </w:tc>
        <w:tc>
          <w:tcPr>
            <w:tcW w:w="1277" w:type="dxa"/>
            <w:tcBorders>
              <w:top w:val="nil"/>
              <w:left w:val="single" w:sz="4" w:space="0" w:color="auto"/>
              <w:bottom w:val="single" w:sz="4" w:space="0" w:color="auto"/>
              <w:right w:val="single" w:sz="8" w:space="0" w:color="auto"/>
            </w:tcBorders>
            <w:noWrap/>
            <w:vAlign w:val="center"/>
            <w:hideMark/>
          </w:tcPr>
          <w:p w14:paraId="44E7D8EE"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24.983</w:t>
            </w:r>
          </w:p>
        </w:tc>
      </w:tr>
      <w:tr w:rsidR="00793DFB" w:rsidRPr="006A1286" w14:paraId="03EA63F5" w14:textId="77777777" w:rsidTr="009F1C88">
        <w:trPr>
          <w:trHeight w:val="684"/>
          <w:jc w:val="center"/>
        </w:trPr>
        <w:tc>
          <w:tcPr>
            <w:tcW w:w="2653" w:type="dxa"/>
            <w:tcBorders>
              <w:top w:val="nil"/>
              <w:left w:val="single" w:sz="8" w:space="0" w:color="auto"/>
              <w:bottom w:val="single" w:sz="4" w:space="0" w:color="auto"/>
              <w:right w:val="single" w:sz="4" w:space="0" w:color="auto"/>
            </w:tcBorders>
            <w:shd w:val="clear" w:color="000000" w:fill="CCCCFF"/>
            <w:vAlign w:val="center"/>
            <w:hideMark/>
          </w:tcPr>
          <w:p w14:paraId="1BEDA65B"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rtl/>
                <w:lang w:val="en-GB" w:eastAsia="en-GB"/>
                <w14:ligatures w14:val="none"/>
              </w:rPr>
              <w:t>ثالثًا: نظم الحوافز والمكافآت</w:t>
            </w:r>
          </w:p>
        </w:tc>
        <w:tc>
          <w:tcPr>
            <w:tcW w:w="960" w:type="dxa"/>
            <w:tcBorders>
              <w:top w:val="nil"/>
              <w:left w:val="single" w:sz="4" w:space="0" w:color="auto"/>
              <w:bottom w:val="single" w:sz="4" w:space="0" w:color="auto"/>
              <w:right w:val="single" w:sz="4" w:space="0" w:color="auto"/>
            </w:tcBorders>
            <w:noWrap/>
            <w:vAlign w:val="center"/>
            <w:hideMark/>
          </w:tcPr>
          <w:p w14:paraId="0713A13E" w14:textId="77777777" w:rsidR="00793DFB" w:rsidRPr="006A1286"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lang w:val="en-GB" w:eastAsia="en-GB"/>
                <w14:ligatures w14:val="none"/>
              </w:rPr>
              <w:t>3.5294</w:t>
            </w:r>
          </w:p>
        </w:tc>
        <w:tc>
          <w:tcPr>
            <w:tcW w:w="1441" w:type="dxa"/>
            <w:tcBorders>
              <w:top w:val="nil"/>
              <w:left w:val="single" w:sz="4" w:space="0" w:color="auto"/>
              <w:bottom w:val="single" w:sz="4" w:space="0" w:color="auto"/>
              <w:right w:val="single" w:sz="4" w:space="0" w:color="auto"/>
            </w:tcBorders>
            <w:noWrap/>
            <w:vAlign w:val="center"/>
            <w:hideMark/>
          </w:tcPr>
          <w:p w14:paraId="171D7322"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0.88883</w:t>
            </w:r>
          </w:p>
        </w:tc>
        <w:tc>
          <w:tcPr>
            <w:tcW w:w="1143" w:type="dxa"/>
            <w:tcBorders>
              <w:top w:val="nil"/>
              <w:left w:val="single" w:sz="4" w:space="0" w:color="auto"/>
              <w:bottom w:val="single" w:sz="4" w:space="0" w:color="auto"/>
              <w:right w:val="single" w:sz="4" w:space="0" w:color="auto"/>
            </w:tcBorders>
            <w:noWrap/>
            <w:vAlign w:val="center"/>
            <w:hideMark/>
          </w:tcPr>
          <w:p w14:paraId="5FD6AE40"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1.25</w:t>
            </w:r>
          </w:p>
        </w:tc>
        <w:tc>
          <w:tcPr>
            <w:tcW w:w="1034" w:type="dxa"/>
            <w:tcBorders>
              <w:top w:val="nil"/>
              <w:left w:val="single" w:sz="4" w:space="0" w:color="auto"/>
              <w:bottom w:val="single" w:sz="4" w:space="0" w:color="auto"/>
              <w:right w:val="single" w:sz="4" w:space="0" w:color="auto"/>
            </w:tcBorders>
            <w:noWrap/>
            <w:vAlign w:val="center"/>
            <w:hideMark/>
          </w:tcPr>
          <w:p w14:paraId="49E7B15B"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5.00</w:t>
            </w:r>
          </w:p>
        </w:tc>
        <w:tc>
          <w:tcPr>
            <w:tcW w:w="1277" w:type="dxa"/>
            <w:tcBorders>
              <w:top w:val="nil"/>
              <w:left w:val="single" w:sz="4" w:space="0" w:color="auto"/>
              <w:bottom w:val="single" w:sz="4" w:space="0" w:color="auto"/>
              <w:right w:val="single" w:sz="8" w:space="0" w:color="auto"/>
            </w:tcBorders>
            <w:noWrap/>
            <w:vAlign w:val="center"/>
            <w:hideMark/>
          </w:tcPr>
          <w:p w14:paraId="588BBD4F"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25.184</w:t>
            </w:r>
          </w:p>
        </w:tc>
      </w:tr>
      <w:tr w:rsidR="00793DFB" w:rsidRPr="006A1286" w14:paraId="1E4E000A" w14:textId="77777777" w:rsidTr="009F1C88">
        <w:trPr>
          <w:trHeight w:val="684"/>
          <w:jc w:val="center"/>
        </w:trPr>
        <w:tc>
          <w:tcPr>
            <w:tcW w:w="2653" w:type="dxa"/>
            <w:tcBorders>
              <w:top w:val="nil"/>
              <w:left w:val="single" w:sz="8" w:space="0" w:color="auto"/>
              <w:bottom w:val="single" w:sz="4" w:space="0" w:color="auto"/>
              <w:right w:val="single" w:sz="4" w:space="0" w:color="auto"/>
            </w:tcBorders>
            <w:shd w:val="clear" w:color="000000" w:fill="CCCCFF"/>
            <w:vAlign w:val="center"/>
            <w:hideMark/>
          </w:tcPr>
          <w:p w14:paraId="520962D4"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rtl/>
                <w:lang w:val="en-GB" w:eastAsia="en-GB"/>
                <w14:ligatures w14:val="none"/>
              </w:rPr>
              <w:t>رابعًا: المشاركة في اتخاذ القرار</w:t>
            </w:r>
          </w:p>
        </w:tc>
        <w:tc>
          <w:tcPr>
            <w:tcW w:w="960" w:type="dxa"/>
            <w:tcBorders>
              <w:top w:val="nil"/>
              <w:left w:val="single" w:sz="4" w:space="0" w:color="auto"/>
              <w:bottom w:val="single" w:sz="4" w:space="0" w:color="auto"/>
              <w:right w:val="single" w:sz="4" w:space="0" w:color="auto"/>
            </w:tcBorders>
            <w:noWrap/>
            <w:vAlign w:val="center"/>
            <w:hideMark/>
          </w:tcPr>
          <w:p w14:paraId="4D213B07" w14:textId="77777777" w:rsidR="00793DFB" w:rsidRPr="006A1286"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lang w:val="en-GB" w:eastAsia="en-GB"/>
                <w14:ligatures w14:val="none"/>
              </w:rPr>
              <w:t>3.4492</w:t>
            </w:r>
          </w:p>
        </w:tc>
        <w:tc>
          <w:tcPr>
            <w:tcW w:w="1441" w:type="dxa"/>
            <w:tcBorders>
              <w:top w:val="nil"/>
              <w:left w:val="single" w:sz="4" w:space="0" w:color="auto"/>
              <w:bottom w:val="single" w:sz="4" w:space="0" w:color="auto"/>
              <w:right w:val="single" w:sz="4" w:space="0" w:color="auto"/>
            </w:tcBorders>
            <w:noWrap/>
            <w:vAlign w:val="center"/>
            <w:hideMark/>
          </w:tcPr>
          <w:p w14:paraId="0EE2577C"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0.90401</w:t>
            </w:r>
          </w:p>
        </w:tc>
        <w:tc>
          <w:tcPr>
            <w:tcW w:w="1143" w:type="dxa"/>
            <w:tcBorders>
              <w:top w:val="nil"/>
              <w:left w:val="single" w:sz="4" w:space="0" w:color="auto"/>
              <w:bottom w:val="single" w:sz="4" w:space="0" w:color="auto"/>
              <w:right w:val="single" w:sz="4" w:space="0" w:color="auto"/>
            </w:tcBorders>
            <w:noWrap/>
            <w:vAlign w:val="center"/>
            <w:hideMark/>
          </w:tcPr>
          <w:p w14:paraId="1C42DEA8"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1.00</w:t>
            </w:r>
          </w:p>
        </w:tc>
        <w:tc>
          <w:tcPr>
            <w:tcW w:w="1034" w:type="dxa"/>
            <w:tcBorders>
              <w:top w:val="nil"/>
              <w:left w:val="single" w:sz="4" w:space="0" w:color="auto"/>
              <w:bottom w:val="single" w:sz="4" w:space="0" w:color="auto"/>
              <w:right w:val="single" w:sz="4" w:space="0" w:color="auto"/>
            </w:tcBorders>
            <w:noWrap/>
            <w:vAlign w:val="center"/>
            <w:hideMark/>
          </w:tcPr>
          <w:p w14:paraId="4C6485C2"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5.00</w:t>
            </w:r>
          </w:p>
        </w:tc>
        <w:tc>
          <w:tcPr>
            <w:tcW w:w="1277" w:type="dxa"/>
            <w:tcBorders>
              <w:top w:val="nil"/>
              <w:left w:val="single" w:sz="4" w:space="0" w:color="auto"/>
              <w:bottom w:val="single" w:sz="4" w:space="0" w:color="auto"/>
              <w:right w:val="single" w:sz="8" w:space="0" w:color="auto"/>
            </w:tcBorders>
            <w:noWrap/>
            <w:vAlign w:val="center"/>
            <w:hideMark/>
          </w:tcPr>
          <w:p w14:paraId="476C3C31"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26.210</w:t>
            </w:r>
          </w:p>
        </w:tc>
      </w:tr>
      <w:tr w:rsidR="00793DFB" w:rsidRPr="006A1286" w14:paraId="5F96F523" w14:textId="77777777" w:rsidTr="009F1C88">
        <w:trPr>
          <w:trHeight w:val="456"/>
          <w:jc w:val="center"/>
        </w:trPr>
        <w:tc>
          <w:tcPr>
            <w:tcW w:w="2653" w:type="dxa"/>
            <w:tcBorders>
              <w:top w:val="nil"/>
              <w:left w:val="single" w:sz="8" w:space="0" w:color="auto"/>
              <w:bottom w:val="single" w:sz="4" w:space="0" w:color="auto"/>
              <w:right w:val="single" w:sz="4" w:space="0" w:color="auto"/>
            </w:tcBorders>
            <w:shd w:val="clear" w:color="000000" w:fill="CCCCFF"/>
            <w:vAlign w:val="center"/>
            <w:hideMark/>
          </w:tcPr>
          <w:p w14:paraId="31644A1D"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rtl/>
                <w:lang w:val="en-GB" w:eastAsia="en-GB"/>
                <w14:ligatures w14:val="none"/>
              </w:rPr>
              <w:t>خامسًا: تقييم الأداء العادل</w:t>
            </w:r>
          </w:p>
        </w:tc>
        <w:tc>
          <w:tcPr>
            <w:tcW w:w="960" w:type="dxa"/>
            <w:tcBorders>
              <w:top w:val="nil"/>
              <w:left w:val="single" w:sz="4" w:space="0" w:color="auto"/>
              <w:bottom w:val="single" w:sz="4" w:space="0" w:color="auto"/>
              <w:right w:val="single" w:sz="4" w:space="0" w:color="auto"/>
            </w:tcBorders>
            <w:noWrap/>
            <w:vAlign w:val="center"/>
            <w:hideMark/>
          </w:tcPr>
          <w:p w14:paraId="6F7C0323" w14:textId="77777777" w:rsidR="00793DFB" w:rsidRPr="006A1286"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lang w:val="en-GB" w:eastAsia="en-GB"/>
                <w14:ligatures w14:val="none"/>
              </w:rPr>
              <w:t>3.5158</w:t>
            </w:r>
          </w:p>
        </w:tc>
        <w:tc>
          <w:tcPr>
            <w:tcW w:w="1441" w:type="dxa"/>
            <w:tcBorders>
              <w:top w:val="nil"/>
              <w:left w:val="single" w:sz="4" w:space="0" w:color="auto"/>
              <w:bottom w:val="single" w:sz="4" w:space="0" w:color="auto"/>
              <w:right w:val="single" w:sz="4" w:space="0" w:color="auto"/>
            </w:tcBorders>
            <w:noWrap/>
            <w:vAlign w:val="center"/>
            <w:hideMark/>
          </w:tcPr>
          <w:p w14:paraId="0391564C"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0.80708</w:t>
            </w:r>
          </w:p>
        </w:tc>
        <w:tc>
          <w:tcPr>
            <w:tcW w:w="1143" w:type="dxa"/>
            <w:tcBorders>
              <w:top w:val="nil"/>
              <w:left w:val="single" w:sz="4" w:space="0" w:color="auto"/>
              <w:bottom w:val="single" w:sz="4" w:space="0" w:color="auto"/>
              <w:right w:val="single" w:sz="4" w:space="0" w:color="auto"/>
            </w:tcBorders>
            <w:noWrap/>
            <w:vAlign w:val="center"/>
            <w:hideMark/>
          </w:tcPr>
          <w:p w14:paraId="79A84965"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1.33</w:t>
            </w:r>
          </w:p>
        </w:tc>
        <w:tc>
          <w:tcPr>
            <w:tcW w:w="1034" w:type="dxa"/>
            <w:tcBorders>
              <w:top w:val="nil"/>
              <w:left w:val="single" w:sz="4" w:space="0" w:color="auto"/>
              <w:bottom w:val="single" w:sz="4" w:space="0" w:color="auto"/>
              <w:right w:val="single" w:sz="4" w:space="0" w:color="auto"/>
            </w:tcBorders>
            <w:noWrap/>
            <w:vAlign w:val="center"/>
            <w:hideMark/>
          </w:tcPr>
          <w:p w14:paraId="481492D7"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5.00</w:t>
            </w:r>
          </w:p>
        </w:tc>
        <w:tc>
          <w:tcPr>
            <w:tcW w:w="1277" w:type="dxa"/>
            <w:tcBorders>
              <w:top w:val="nil"/>
              <w:left w:val="single" w:sz="4" w:space="0" w:color="auto"/>
              <w:bottom w:val="single" w:sz="4" w:space="0" w:color="auto"/>
              <w:right w:val="single" w:sz="8" w:space="0" w:color="auto"/>
            </w:tcBorders>
            <w:noWrap/>
            <w:vAlign w:val="center"/>
            <w:hideMark/>
          </w:tcPr>
          <w:p w14:paraId="5852125A"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22.956</w:t>
            </w:r>
          </w:p>
        </w:tc>
      </w:tr>
      <w:tr w:rsidR="00793DFB" w:rsidRPr="006A1286" w14:paraId="1B3DF1B4" w14:textId="77777777" w:rsidTr="009F1C88">
        <w:trPr>
          <w:trHeight w:val="456"/>
          <w:jc w:val="center"/>
        </w:trPr>
        <w:tc>
          <w:tcPr>
            <w:tcW w:w="2653" w:type="dxa"/>
            <w:tcBorders>
              <w:top w:val="nil"/>
              <w:left w:val="single" w:sz="8" w:space="0" w:color="auto"/>
              <w:bottom w:val="single" w:sz="4" w:space="0" w:color="auto"/>
              <w:right w:val="single" w:sz="4" w:space="0" w:color="auto"/>
            </w:tcBorders>
            <w:shd w:val="clear" w:color="000000" w:fill="CCCCFF"/>
            <w:vAlign w:val="center"/>
            <w:hideMark/>
          </w:tcPr>
          <w:p w14:paraId="3D4735E1"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rtl/>
                <w:lang w:val="en-GB" w:eastAsia="en-GB"/>
                <w14:ligatures w14:val="none"/>
              </w:rPr>
              <w:t>سادسًا: تمكين الموظفين</w:t>
            </w:r>
          </w:p>
        </w:tc>
        <w:tc>
          <w:tcPr>
            <w:tcW w:w="960" w:type="dxa"/>
            <w:tcBorders>
              <w:top w:val="nil"/>
              <w:left w:val="single" w:sz="4" w:space="0" w:color="auto"/>
              <w:bottom w:val="single" w:sz="4" w:space="0" w:color="auto"/>
              <w:right w:val="single" w:sz="4" w:space="0" w:color="auto"/>
            </w:tcBorders>
            <w:noWrap/>
            <w:vAlign w:val="center"/>
            <w:hideMark/>
          </w:tcPr>
          <w:p w14:paraId="6FEABD5F" w14:textId="77777777" w:rsidR="00793DFB" w:rsidRPr="006A1286"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lang w:val="en-GB" w:eastAsia="en-GB"/>
                <w14:ligatures w14:val="none"/>
              </w:rPr>
              <w:t>3.5055</w:t>
            </w:r>
          </w:p>
        </w:tc>
        <w:tc>
          <w:tcPr>
            <w:tcW w:w="1441" w:type="dxa"/>
            <w:tcBorders>
              <w:top w:val="nil"/>
              <w:left w:val="single" w:sz="4" w:space="0" w:color="auto"/>
              <w:bottom w:val="single" w:sz="4" w:space="0" w:color="auto"/>
              <w:right w:val="single" w:sz="4" w:space="0" w:color="auto"/>
            </w:tcBorders>
            <w:noWrap/>
            <w:vAlign w:val="center"/>
            <w:hideMark/>
          </w:tcPr>
          <w:p w14:paraId="1B6FCE0A"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0.82515</w:t>
            </w:r>
          </w:p>
        </w:tc>
        <w:tc>
          <w:tcPr>
            <w:tcW w:w="1143" w:type="dxa"/>
            <w:tcBorders>
              <w:top w:val="nil"/>
              <w:left w:val="single" w:sz="4" w:space="0" w:color="auto"/>
              <w:bottom w:val="single" w:sz="4" w:space="0" w:color="auto"/>
              <w:right w:val="single" w:sz="4" w:space="0" w:color="auto"/>
            </w:tcBorders>
            <w:noWrap/>
            <w:vAlign w:val="center"/>
            <w:hideMark/>
          </w:tcPr>
          <w:p w14:paraId="2B401819"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1.40</w:t>
            </w:r>
          </w:p>
        </w:tc>
        <w:tc>
          <w:tcPr>
            <w:tcW w:w="1034" w:type="dxa"/>
            <w:tcBorders>
              <w:top w:val="nil"/>
              <w:left w:val="single" w:sz="4" w:space="0" w:color="auto"/>
              <w:bottom w:val="single" w:sz="4" w:space="0" w:color="auto"/>
              <w:right w:val="single" w:sz="4" w:space="0" w:color="auto"/>
            </w:tcBorders>
            <w:noWrap/>
            <w:vAlign w:val="center"/>
            <w:hideMark/>
          </w:tcPr>
          <w:p w14:paraId="54E92EFA"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5.00</w:t>
            </w:r>
          </w:p>
        </w:tc>
        <w:tc>
          <w:tcPr>
            <w:tcW w:w="1277" w:type="dxa"/>
            <w:tcBorders>
              <w:top w:val="nil"/>
              <w:left w:val="single" w:sz="4" w:space="0" w:color="auto"/>
              <w:bottom w:val="single" w:sz="4" w:space="0" w:color="auto"/>
              <w:right w:val="single" w:sz="8" w:space="0" w:color="auto"/>
            </w:tcBorders>
            <w:noWrap/>
            <w:vAlign w:val="center"/>
            <w:hideMark/>
          </w:tcPr>
          <w:p w14:paraId="10BC19FE"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23.539</w:t>
            </w:r>
          </w:p>
        </w:tc>
      </w:tr>
      <w:tr w:rsidR="00793DFB" w:rsidRPr="006A1286" w14:paraId="6F4A248C" w14:textId="77777777" w:rsidTr="009F1C88">
        <w:trPr>
          <w:trHeight w:val="456"/>
          <w:jc w:val="center"/>
        </w:trPr>
        <w:tc>
          <w:tcPr>
            <w:tcW w:w="2653" w:type="dxa"/>
            <w:tcBorders>
              <w:top w:val="nil"/>
              <w:left w:val="single" w:sz="8" w:space="0" w:color="auto"/>
              <w:bottom w:val="single" w:sz="4" w:space="0" w:color="auto"/>
              <w:right w:val="single" w:sz="4" w:space="0" w:color="auto"/>
            </w:tcBorders>
            <w:shd w:val="clear" w:color="000000" w:fill="CCCCFF"/>
            <w:vAlign w:val="center"/>
            <w:hideMark/>
          </w:tcPr>
          <w:p w14:paraId="326E445C"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rtl/>
                <w:lang w:val="en-GB" w:eastAsia="en-GB"/>
                <w14:ligatures w14:val="none"/>
              </w:rPr>
              <w:t>الثقافة التنظيمية</w:t>
            </w:r>
          </w:p>
        </w:tc>
        <w:tc>
          <w:tcPr>
            <w:tcW w:w="960" w:type="dxa"/>
            <w:tcBorders>
              <w:top w:val="nil"/>
              <w:left w:val="single" w:sz="4" w:space="0" w:color="auto"/>
              <w:bottom w:val="single" w:sz="4" w:space="0" w:color="auto"/>
              <w:right w:val="single" w:sz="4" w:space="0" w:color="auto"/>
            </w:tcBorders>
            <w:noWrap/>
            <w:vAlign w:val="center"/>
            <w:hideMark/>
          </w:tcPr>
          <w:p w14:paraId="4B413937" w14:textId="77777777" w:rsidR="00793DFB" w:rsidRPr="006A1286"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lang w:val="en-GB" w:eastAsia="en-GB"/>
                <w14:ligatures w14:val="none"/>
              </w:rPr>
              <w:t>3.4819</w:t>
            </w:r>
          </w:p>
        </w:tc>
        <w:tc>
          <w:tcPr>
            <w:tcW w:w="1441" w:type="dxa"/>
            <w:tcBorders>
              <w:top w:val="nil"/>
              <w:left w:val="single" w:sz="4" w:space="0" w:color="auto"/>
              <w:bottom w:val="single" w:sz="4" w:space="0" w:color="auto"/>
              <w:right w:val="single" w:sz="4" w:space="0" w:color="auto"/>
            </w:tcBorders>
            <w:noWrap/>
            <w:vAlign w:val="center"/>
            <w:hideMark/>
          </w:tcPr>
          <w:p w14:paraId="203CCAE0"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0.80646</w:t>
            </w:r>
          </w:p>
        </w:tc>
        <w:tc>
          <w:tcPr>
            <w:tcW w:w="1143" w:type="dxa"/>
            <w:tcBorders>
              <w:top w:val="nil"/>
              <w:left w:val="single" w:sz="4" w:space="0" w:color="auto"/>
              <w:bottom w:val="single" w:sz="4" w:space="0" w:color="auto"/>
              <w:right w:val="single" w:sz="4" w:space="0" w:color="auto"/>
            </w:tcBorders>
            <w:noWrap/>
            <w:vAlign w:val="center"/>
            <w:hideMark/>
          </w:tcPr>
          <w:p w14:paraId="573FA953"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1.44</w:t>
            </w:r>
          </w:p>
        </w:tc>
        <w:tc>
          <w:tcPr>
            <w:tcW w:w="1034" w:type="dxa"/>
            <w:tcBorders>
              <w:top w:val="nil"/>
              <w:left w:val="single" w:sz="4" w:space="0" w:color="auto"/>
              <w:bottom w:val="single" w:sz="4" w:space="0" w:color="auto"/>
              <w:right w:val="single" w:sz="4" w:space="0" w:color="auto"/>
            </w:tcBorders>
            <w:noWrap/>
            <w:vAlign w:val="center"/>
            <w:hideMark/>
          </w:tcPr>
          <w:p w14:paraId="404FA69A"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5.00</w:t>
            </w:r>
          </w:p>
        </w:tc>
        <w:tc>
          <w:tcPr>
            <w:tcW w:w="1277" w:type="dxa"/>
            <w:tcBorders>
              <w:top w:val="nil"/>
              <w:left w:val="single" w:sz="4" w:space="0" w:color="auto"/>
              <w:bottom w:val="single" w:sz="4" w:space="0" w:color="auto"/>
              <w:right w:val="single" w:sz="8" w:space="0" w:color="auto"/>
            </w:tcBorders>
            <w:noWrap/>
            <w:vAlign w:val="center"/>
            <w:hideMark/>
          </w:tcPr>
          <w:p w14:paraId="4AB7266E"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23.161</w:t>
            </w:r>
          </w:p>
        </w:tc>
      </w:tr>
      <w:tr w:rsidR="00793DFB" w:rsidRPr="006A1286" w14:paraId="0CC6C1DD" w14:textId="77777777" w:rsidTr="009F1C88">
        <w:trPr>
          <w:trHeight w:val="264"/>
          <w:jc w:val="center"/>
        </w:trPr>
        <w:tc>
          <w:tcPr>
            <w:tcW w:w="2653" w:type="dxa"/>
            <w:tcBorders>
              <w:top w:val="nil"/>
              <w:left w:val="single" w:sz="8" w:space="0" w:color="auto"/>
              <w:bottom w:val="single" w:sz="4" w:space="0" w:color="auto"/>
              <w:right w:val="single" w:sz="4" w:space="0" w:color="auto"/>
            </w:tcBorders>
            <w:shd w:val="clear" w:color="000000" w:fill="CCCCFF"/>
            <w:vAlign w:val="center"/>
            <w:hideMark/>
          </w:tcPr>
          <w:p w14:paraId="0A68FFDB"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rtl/>
                <w:lang w:val="en-GB" w:eastAsia="en-GB"/>
                <w14:ligatures w14:val="none"/>
              </w:rPr>
              <w:t>أولاً: التكيّف</w:t>
            </w:r>
          </w:p>
        </w:tc>
        <w:tc>
          <w:tcPr>
            <w:tcW w:w="960" w:type="dxa"/>
            <w:tcBorders>
              <w:top w:val="nil"/>
              <w:left w:val="single" w:sz="4" w:space="0" w:color="auto"/>
              <w:bottom w:val="single" w:sz="4" w:space="0" w:color="auto"/>
              <w:right w:val="single" w:sz="4" w:space="0" w:color="auto"/>
            </w:tcBorders>
            <w:noWrap/>
            <w:vAlign w:val="center"/>
            <w:hideMark/>
          </w:tcPr>
          <w:p w14:paraId="792C24BC" w14:textId="77777777" w:rsidR="00793DFB" w:rsidRPr="006A1286"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lang w:val="en-GB" w:eastAsia="en-GB"/>
                <w14:ligatures w14:val="none"/>
              </w:rPr>
              <w:t>3.3088</w:t>
            </w:r>
          </w:p>
        </w:tc>
        <w:tc>
          <w:tcPr>
            <w:tcW w:w="1441" w:type="dxa"/>
            <w:tcBorders>
              <w:top w:val="nil"/>
              <w:left w:val="single" w:sz="4" w:space="0" w:color="auto"/>
              <w:bottom w:val="single" w:sz="4" w:space="0" w:color="auto"/>
              <w:right w:val="single" w:sz="4" w:space="0" w:color="auto"/>
            </w:tcBorders>
            <w:noWrap/>
            <w:vAlign w:val="center"/>
            <w:hideMark/>
          </w:tcPr>
          <w:p w14:paraId="2D8A38A2"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0.83414</w:t>
            </w:r>
          </w:p>
        </w:tc>
        <w:tc>
          <w:tcPr>
            <w:tcW w:w="1143" w:type="dxa"/>
            <w:tcBorders>
              <w:top w:val="nil"/>
              <w:left w:val="single" w:sz="4" w:space="0" w:color="auto"/>
              <w:bottom w:val="single" w:sz="4" w:space="0" w:color="auto"/>
              <w:right w:val="single" w:sz="4" w:space="0" w:color="auto"/>
            </w:tcBorders>
            <w:noWrap/>
            <w:vAlign w:val="center"/>
            <w:hideMark/>
          </w:tcPr>
          <w:p w14:paraId="2AAB6DE7"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1.00</w:t>
            </w:r>
          </w:p>
        </w:tc>
        <w:tc>
          <w:tcPr>
            <w:tcW w:w="1034" w:type="dxa"/>
            <w:tcBorders>
              <w:top w:val="nil"/>
              <w:left w:val="single" w:sz="4" w:space="0" w:color="auto"/>
              <w:bottom w:val="single" w:sz="4" w:space="0" w:color="auto"/>
              <w:right w:val="single" w:sz="4" w:space="0" w:color="auto"/>
            </w:tcBorders>
            <w:noWrap/>
            <w:vAlign w:val="center"/>
            <w:hideMark/>
          </w:tcPr>
          <w:p w14:paraId="0DA40299"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5.00</w:t>
            </w:r>
          </w:p>
        </w:tc>
        <w:tc>
          <w:tcPr>
            <w:tcW w:w="1277" w:type="dxa"/>
            <w:tcBorders>
              <w:top w:val="nil"/>
              <w:left w:val="single" w:sz="4" w:space="0" w:color="auto"/>
              <w:bottom w:val="single" w:sz="4" w:space="0" w:color="auto"/>
              <w:right w:val="single" w:sz="8" w:space="0" w:color="auto"/>
            </w:tcBorders>
            <w:noWrap/>
            <w:vAlign w:val="center"/>
            <w:hideMark/>
          </w:tcPr>
          <w:p w14:paraId="68046C97"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25.210</w:t>
            </w:r>
          </w:p>
        </w:tc>
      </w:tr>
      <w:tr w:rsidR="00793DFB" w:rsidRPr="006A1286" w14:paraId="43BDBD8D" w14:textId="77777777" w:rsidTr="009F1C88">
        <w:trPr>
          <w:trHeight w:val="264"/>
          <w:jc w:val="center"/>
        </w:trPr>
        <w:tc>
          <w:tcPr>
            <w:tcW w:w="2653" w:type="dxa"/>
            <w:tcBorders>
              <w:top w:val="nil"/>
              <w:left w:val="single" w:sz="8" w:space="0" w:color="auto"/>
              <w:bottom w:val="single" w:sz="4" w:space="0" w:color="auto"/>
              <w:right w:val="single" w:sz="4" w:space="0" w:color="auto"/>
            </w:tcBorders>
            <w:shd w:val="clear" w:color="000000" w:fill="CCCCFF"/>
            <w:vAlign w:val="center"/>
            <w:hideMark/>
          </w:tcPr>
          <w:p w14:paraId="4007E911"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rtl/>
                <w:lang w:val="en-GB" w:eastAsia="en-GB"/>
                <w14:ligatures w14:val="none"/>
              </w:rPr>
              <w:t>ثانيًا: المهمة</w:t>
            </w:r>
          </w:p>
        </w:tc>
        <w:tc>
          <w:tcPr>
            <w:tcW w:w="960" w:type="dxa"/>
            <w:tcBorders>
              <w:top w:val="nil"/>
              <w:left w:val="single" w:sz="4" w:space="0" w:color="auto"/>
              <w:bottom w:val="single" w:sz="4" w:space="0" w:color="auto"/>
              <w:right w:val="single" w:sz="4" w:space="0" w:color="auto"/>
            </w:tcBorders>
            <w:noWrap/>
            <w:vAlign w:val="center"/>
            <w:hideMark/>
          </w:tcPr>
          <w:p w14:paraId="0A850A58" w14:textId="77777777" w:rsidR="00793DFB" w:rsidRPr="006A1286"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lang w:val="en-GB" w:eastAsia="en-GB"/>
                <w14:ligatures w14:val="none"/>
              </w:rPr>
              <w:t>3.4325</w:t>
            </w:r>
          </w:p>
        </w:tc>
        <w:tc>
          <w:tcPr>
            <w:tcW w:w="1441" w:type="dxa"/>
            <w:tcBorders>
              <w:top w:val="nil"/>
              <w:left w:val="single" w:sz="4" w:space="0" w:color="auto"/>
              <w:bottom w:val="single" w:sz="4" w:space="0" w:color="auto"/>
              <w:right w:val="single" w:sz="4" w:space="0" w:color="auto"/>
            </w:tcBorders>
            <w:noWrap/>
            <w:vAlign w:val="center"/>
            <w:hideMark/>
          </w:tcPr>
          <w:p w14:paraId="2CEA8B4A"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0.87528</w:t>
            </w:r>
          </w:p>
        </w:tc>
        <w:tc>
          <w:tcPr>
            <w:tcW w:w="1143" w:type="dxa"/>
            <w:tcBorders>
              <w:top w:val="nil"/>
              <w:left w:val="single" w:sz="4" w:space="0" w:color="auto"/>
              <w:bottom w:val="single" w:sz="4" w:space="0" w:color="auto"/>
              <w:right w:val="single" w:sz="4" w:space="0" w:color="auto"/>
            </w:tcBorders>
            <w:noWrap/>
            <w:vAlign w:val="center"/>
            <w:hideMark/>
          </w:tcPr>
          <w:p w14:paraId="3CEE6E00"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1.00</w:t>
            </w:r>
          </w:p>
        </w:tc>
        <w:tc>
          <w:tcPr>
            <w:tcW w:w="1034" w:type="dxa"/>
            <w:tcBorders>
              <w:top w:val="nil"/>
              <w:left w:val="single" w:sz="4" w:space="0" w:color="auto"/>
              <w:bottom w:val="single" w:sz="4" w:space="0" w:color="auto"/>
              <w:right w:val="single" w:sz="4" w:space="0" w:color="auto"/>
            </w:tcBorders>
            <w:noWrap/>
            <w:vAlign w:val="center"/>
            <w:hideMark/>
          </w:tcPr>
          <w:p w14:paraId="21FEC0DB"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5.00</w:t>
            </w:r>
          </w:p>
        </w:tc>
        <w:tc>
          <w:tcPr>
            <w:tcW w:w="1277" w:type="dxa"/>
            <w:tcBorders>
              <w:top w:val="nil"/>
              <w:left w:val="single" w:sz="4" w:space="0" w:color="auto"/>
              <w:bottom w:val="single" w:sz="4" w:space="0" w:color="auto"/>
              <w:right w:val="single" w:sz="8" w:space="0" w:color="auto"/>
            </w:tcBorders>
            <w:noWrap/>
            <w:vAlign w:val="center"/>
            <w:hideMark/>
          </w:tcPr>
          <w:p w14:paraId="453956A4"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25.500</w:t>
            </w:r>
          </w:p>
        </w:tc>
      </w:tr>
      <w:tr w:rsidR="00793DFB" w:rsidRPr="006A1286" w14:paraId="3DB6B9A6" w14:textId="77777777" w:rsidTr="009F1C88">
        <w:trPr>
          <w:trHeight w:val="456"/>
          <w:jc w:val="center"/>
        </w:trPr>
        <w:tc>
          <w:tcPr>
            <w:tcW w:w="2653" w:type="dxa"/>
            <w:tcBorders>
              <w:top w:val="nil"/>
              <w:left w:val="single" w:sz="8" w:space="0" w:color="auto"/>
              <w:bottom w:val="single" w:sz="4" w:space="0" w:color="auto"/>
              <w:right w:val="single" w:sz="4" w:space="0" w:color="auto"/>
            </w:tcBorders>
            <w:shd w:val="clear" w:color="000000" w:fill="CCCCFF"/>
            <w:vAlign w:val="center"/>
            <w:hideMark/>
          </w:tcPr>
          <w:p w14:paraId="611D9A3F"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rtl/>
                <w:lang w:val="en-GB" w:eastAsia="en-GB"/>
                <w14:ligatures w14:val="none"/>
              </w:rPr>
              <w:t>ثالثًا: الاتساق الداخلي</w:t>
            </w:r>
          </w:p>
        </w:tc>
        <w:tc>
          <w:tcPr>
            <w:tcW w:w="960" w:type="dxa"/>
            <w:tcBorders>
              <w:top w:val="nil"/>
              <w:left w:val="single" w:sz="4" w:space="0" w:color="auto"/>
              <w:bottom w:val="single" w:sz="4" w:space="0" w:color="auto"/>
              <w:right w:val="single" w:sz="4" w:space="0" w:color="auto"/>
            </w:tcBorders>
            <w:noWrap/>
            <w:vAlign w:val="center"/>
            <w:hideMark/>
          </w:tcPr>
          <w:p w14:paraId="47B33C6D" w14:textId="77777777" w:rsidR="00793DFB" w:rsidRPr="006A1286"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lang w:val="en-GB" w:eastAsia="en-GB"/>
                <w14:ligatures w14:val="none"/>
              </w:rPr>
              <w:t>3.5188</w:t>
            </w:r>
          </w:p>
        </w:tc>
        <w:tc>
          <w:tcPr>
            <w:tcW w:w="1441" w:type="dxa"/>
            <w:tcBorders>
              <w:top w:val="nil"/>
              <w:left w:val="single" w:sz="4" w:space="0" w:color="auto"/>
              <w:bottom w:val="single" w:sz="4" w:space="0" w:color="auto"/>
              <w:right w:val="single" w:sz="4" w:space="0" w:color="auto"/>
            </w:tcBorders>
            <w:noWrap/>
            <w:vAlign w:val="center"/>
            <w:hideMark/>
          </w:tcPr>
          <w:p w14:paraId="4221FDC2"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0.96442</w:t>
            </w:r>
          </w:p>
        </w:tc>
        <w:tc>
          <w:tcPr>
            <w:tcW w:w="1143" w:type="dxa"/>
            <w:tcBorders>
              <w:top w:val="nil"/>
              <w:left w:val="single" w:sz="4" w:space="0" w:color="auto"/>
              <w:bottom w:val="single" w:sz="4" w:space="0" w:color="auto"/>
              <w:right w:val="single" w:sz="4" w:space="0" w:color="auto"/>
            </w:tcBorders>
            <w:noWrap/>
            <w:vAlign w:val="center"/>
            <w:hideMark/>
          </w:tcPr>
          <w:p w14:paraId="2D10E55A"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1.00</w:t>
            </w:r>
          </w:p>
        </w:tc>
        <w:tc>
          <w:tcPr>
            <w:tcW w:w="1034" w:type="dxa"/>
            <w:tcBorders>
              <w:top w:val="nil"/>
              <w:left w:val="single" w:sz="4" w:space="0" w:color="auto"/>
              <w:bottom w:val="single" w:sz="4" w:space="0" w:color="auto"/>
              <w:right w:val="single" w:sz="4" w:space="0" w:color="auto"/>
            </w:tcBorders>
            <w:noWrap/>
            <w:vAlign w:val="center"/>
            <w:hideMark/>
          </w:tcPr>
          <w:p w14:paraId="7C3B7A6B"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5.00</w:t>
            </w:r>
          </w:p>
        </w:tc>
        <w:tc>
          <w:tcPr>
            <w:tcW w:w="1277" w:type="dxa"/>
            <w:tcBorders>
              <w:top w:val="nil"/>
              <w:left w:val="single" w:sz="4" w:space="0" w:color="auto"/>
              <w:bottom w:val="single" w:sz="4" w:space="0" w:color="auto"/>
              <w:right w:val="single" w:sz="8" w:space="0" w:color="auto"/>
            </w:tcBorders>
            <w:noWrap/>
            <w:vAlign w:val="center"/>
            <w:hideMark/>
          </w:tcPr>
          <w:p w14:paraId="10D45B14"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27.408</w:t>
            </w:r>
          </w:p>
        </w:tc>
      </w:tr>
      <w:tr w:rsidR="00793DFB" w:rsidRPr="006A1286" w14:paraId="721AC04B" w14:textId="77777777" w:rsidTr="009F1C88">
        <w:trPr>
          <w:trHeight w:val="456"/>
          <w:jc w:val="center"/>
        </w:trPr>
        <w:tc>
          <w:tcPr>
            <w:tcW w:w="2653" w:type="dxa"/>
            <w:tcBorders>
              <w:top w:val="nil"/>
              <w:left w:val="single" w:sz="8" w:space="0" w:color="auto"/>
              <w:bottom w:val="single" w:sz="4" w:space="0" w:color="auto"/>
              <w:right w:val="single" w:sz="4" w:space="0" w:color="auto"/>
            </w:tcBorders>
            <w:shd w:val="clear" w:color="000000" w:fill="CCCCFF"/>
            <w:vAlign w:val="center"/>
            <w:hideMark/>
          </w:tcPr>
          <w:p w14:paraId="25FCF5AA"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rtl/>
                <w:lang w:val="en-GB" w:eastAsia="en-GB"/>
                <w14:ligatures w14:val="none"/>
              </w:rPr>
              <w:t>رابعًا: إشراك الموظفين</w:t>
            </w:r>
          </w:p>
        </w:tc>
        <w:tc>
          <w:tcPr>
            <w:tcW w:w="960" w:type="dxa"/>
            <w:tcBorders>
              <w:top w:val="nil"/>
              <w:left w:val="single" w:sz="4" w:space="0" w:color="auto"/>
              <w:bottom w:val="single" w:sz="4" w:space="0" w:color="auto"/>
              <w:right w:val="single" w:sz="4" w:space="0" w:color="auto"/>
            </w:tcBorders>
            <w:noWrap/>
            <w:vAlign w:val="center"/>
            <w:hideMark/>
          </w:tcPr>
          <w:p w14:paraId="746944DC" w14:textId="77777777" w:rsidR="00793DFB" w:rsidRPr="006A1286"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lang w:val="en-GB" w:eastAsia="en-GB"/>
                <w14:ligatures w14:val="none"/>
              </w:rPr>
              <w:t>3.6058</w:t>
            </w:r>
          </w:p>
        </w:tc>
        <w:tc>
          <w:tcPr>
            <w:tcW w:w="1441" w:type="dxa"/>
            <w:tcBorders>
              <w:top w:val="nil"/>
              <w:left w:val="single" w:sz="4" w:space="0" w:color="auto"/>
              <w:bottom w:val="single" w:sz="4" w:space="0" w:color="auto"/>
              <w:right w:val="single" w:sz="4" w:space="0" w:color="auto"/>
            </w:tcBorders>
            <w:noWrap/>
            <w:vAlign w:val="center"/>
            <w:hideMark/>
          </w:tcPr>
          <w:p w14:paraId="05839E6B"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0.92757</w:t>
            </w:r>
          </w:p>
        </w:tc>
        <w:tc>
          <w:tcPr>
            <w:tcW w:w="1143" w:type="dxa"/>
            <w:tcBorders>
              <w:top w:val="nil"/>
              <w:left w:val="single" w:sz="4" w:space="0" w:color="auto"/>
              <w:bottom w:val="single" w:sz="4" w:space="0" w:color="auto"/>
              <w:right w:val="single" w:sz="4" w:space="0" w:color="auto"/>
            </w:tcBorders>
            <w:noWrap/>
            <w:vAlign w:val="center"/>
            <w:hideMark/>
          </w:tcPr>
          <w:p w14:paraId="256110F7"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1.33</w:t>
            </w:r>
          </w:p>
        </w:tc>
        <w:tc>
          <w:tcPr>
            <w:tcW w:w="1034" w:type="dxa"/>
            <w:tcBorders>
              <w:top w:val="nil"/>
              <w:left w:val="single" w:sz="4" w:space="0" w:color="auto"/>
              <w:bottom w:val="single" w:sz="4" w:space="0" w:color="auto"/>
              <w:right w:val="single" w:sz="4" w:space="0" w:color="auto"/>
            </w:tcBorders>
            <w:noWrap/>
            <w:vAlign w:val="center"/>
            <w:hideMark/>
          </w:tcPr>
          <w:p w14:paraId="17D4A003"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5.00</w:t>
            </w:r>
          </w:p>
        </w:tc>
        <w:tc>
          <w:tcPr>
            <w:tcW w:w="1277" w:type="dxa"/>
            <w:tcBorders>
              <w:top w:val="nil"/>
              <w:left w:val="single" w:sz="4" w:space="0" w:color="auto"/>
              <w:bottom w:val="single" w:sz="4" w:space="0" w:color="auto"/>
              <w:right w:val="single" w:sz="8" w:space="0" w:color="auto"/>
            </w:tcBorders>
            <w:noWrap/>
            <w:vAlign w:val="center"/>
            <w:hideMark/>
          </w:tcPr>
          <w:p w14:paraId="530B431E"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25.724</w:t>
            </w:r>
          </w:p>
        </w:tc>
      </w:tr>
      <w:tr w:rsidR="00793DFB" w:rsidRPr="006A1286" w14:paraId="1910DFB7" w14:textId="77777777" w:rsidTr="009F1C88">
        <w:trPr>
          <w:trHeight w:val="276"/>
          <w:jc w:val="center"/>
        </w:trPr>
        <w:tc>
          <w:tcPr>
            <w:tcW w:w="2653" w:type="dxa"/>
            <w:tcBorders>
              <w:top w:val="nil"/>
              <w:left w:val="single" w:sz="8" w:space="0" w:color="auto"/>
              <w:bottom w:val="single" w:sz="8" w:space="0" w:color="auto"/>
              <w:right w:val="single" w:sz="4" w:space="0" w:color="auto"/>
            </w:tcBorders>
            <w:shd w:val="clear" w:color="000000" w:fill="CCCCFF"/>
            <w:vAlign w:val="center"/>
            <w:hideMark/>
          </w:tcPr>
          <w:p w14:paraId="074FFAC1" w14:textId="77777777" w:rsidR="00793DFB" w:rsidRPr="006A1286" w:rsidRDefault="00793DFB" w:rsidP="009F1C88">
            <w:pPr>
              <w:bidi/>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rtl/>
                <w:lang w:val="en-GB" w:eastAsia="en-GB"/>
                <w14:ligatures w14:val="none"/>
              </w:rPr>
              <w:t>الأداء الإبداعي</w:t>
            </w:r>
          </w:p>
        </w:tc>
        <w:tc>
          <w:tcPr>
            <w:tcW w:w="960" w:type="dxa"/>
            <w:tcBorders>
              <w:top w:val="nil"/>
              <w:left w:val="single" w:sz="4" w:space="0" w:color="auto"/>
              <w:bottom w:val="single" w:sz="8" w:space="0" w:color="auto"/>
              <w:right w:val="single" w:sz="4" w:space="0" w:color="auto"/>
            </w:tcBorders>
            <w:noWrap/>
            <w:vAlign w:val="center"/>
            <w:hideMark/>
          </w:tcPr>
          <w:p w14:paraId="22537B2F" w14:textId="77777777" w:rsidR="00793DFB" w:rsidRPr="006A1286" w:rsidRDefault="00793DFB" w:rsidP="009F1C88">
            <w:pPr>
              <w:spacing w:after="0" w:line="240" w:lineRule="auto"/>
              <w:jc w:val="center"/>
              <w:rPr>
                <w:rFonts w:ascii="Arial" w:eastAsia="Times New Roman" w:hAnsi="Arial" w:cs="Arial"/>
                <w:color w:val="000000"/>
                <w:kern w:val="0"/>
                <w:sz w:val="18"/>
                <w:szCs w:val="18"/>
                <w:rtl/>
                <w:lang w:val="en-GB" w:eastAsia="en-GB"/>
                <w14:ligatures w14:val="none"/>
              </w:rPr>
            </w:pPr>
            <w:r w:rsidRPr="006A1286">
              <w:rPr>
                <w:rFonts w:ascii="Arial" w:eastAsia="Times New Roman" w:hAnsi="Arial" w:cs="Arial"/>
                <w:color w:val="000000"/>
                <w:kern w:val="0"/>
                <w:sz w:val="18"/>
                <w:szCs w:val="18"/>
                <w:lang w:val="en-GB" w:eastAsia="en-GB"/>
                <w14:ligatures w14:val="none"/>
              </w:rPr>
              <w:t>3.4848</w:t>
            </w:r>
          </w:p>
        </w:tc>
        <w:tc>
          <w:tcPr>
            <w:tcW w:w="1441" w:type="dxa"/>
            <w:tcBorders>
              <w:top w:val="nil"/>
              <w:left w:val="single" w:sz="4" w:space="0" w:color="auto"/>
              <w:bottom w:val="single" w:sz="8" w:space="0" w:color="auto"/>
              <w:right w:val="single" w:sz="4" w:space="0" w:color="auto"/>
            </w:tcBorders>
            <w:noWrap/>
            <w:vAlign w:val="center"/>
            <w:hideMark/>
          </w:tcPr>
          <w:p w14:paraId="77A96EF8"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0.76495</w:t>
            </w:r>
          </w:p>
        </w:tc>
        <w:tc>
          <w:tcPr>
            <w:tcW w:w="1143" w:type="dxa"/>
            <w:tcBorders>
              <w:top w:val="nil"/>
              <w:left w:val="single" w:sz="4" w:space="0" w:color="auto"/>
              <w:bottom w:val="single" w:sz="8" w:space="0" w:color="auto"/>
              <w:right w:val="single" w:sz="4" w:space="0" w:color="auto"/>
            </w:tcBorders>
            <w:noWrap/>
            <w:vAlign w:val="center"/>
            <w:hideMark/>
          </w:tcPr>
          <w:p w14:paraId="3A132970"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1.60</w:t>
            </w:r>
          </w:p>
        </w:tc>
        <w:tc>
          <w:tcPr>
            <w:tcW w:w="1034" w:type="dxa"/>
            <w:tcBorders>
              <w:top w:val="nil"/>
              <w:left w:val="single" w:sz="4" w:space="0" w:color="auto"/>
              <w:bottom w:val="single" w:sz="8" w:space="0" w:color="auto"/>
              <w:right w:val="single" w:sz="4" w:space="0" w:color="auto"/>
            </w:tcBorders>
            <w:noWrap/>
            <w:vAlign w:val="center"/>
            <w:hideMark/>
          </w:tcPr>
          <w:p w14:paraId="0C298595"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5.00</w:t>
            </w:r>
          </w:p>
        </w:tc>
        <w:tc>
          <w:tcPr>
            <w:tcW w:w="1277" w:type="dxa"/>
            <w:tcBorders>
              <w:top w:val="nil"/>
              <w:left w:val="single" w:sz="4" w:space="0" w:color="auto"/>
              <w:bottom w:val="single" w:sz="8" w:space="0" w:color="auto"/>
              <w:right w:val="single" w:sz="8" w:space="0" w:color="auto"/>
            </w:tcBorders>
            <w:noWrap/>
            <w:vAlign w:val="center"/>
            <w:hideMark/>
          </w:tcPr>
          <w:p w14:paraId="2FF65B14" w14:textId="77777777" w:rsidR="00793DFB" w:rsidRPr="006A1286"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6A1286">
              <w:rPr>
                <w:rFonts w:ascii="Arial" w:eastAsia="Times New Roman" w:hAnsi="Arial" w:cs="Arial"/>
                <w:color w:val="000000"/>
                <w:kern w:val="0"/>
                <w:sz w:val="18"/>
                <w:szCs w:val="18"/>
                <w:lang w:val="en-GB" w:eastAsia="en-GB"/>
                <w14:ligatures w14:val="none"/>
              </w:rPr>
              <w:t>21.951</w:t>
            </w:r>
          </w:p>
        </w:tc>
      </w:tr>
    </w:tbl>
    <w:p w14:paraId="376333F7" w14:textId="77777777" w:rsidR="00793DFB" w:rsidRPr="00E15AD4" w:rsidRDefault="00793DFB" w:rsidP="00793DFB">
      <w:pPr>
        <w:bidi/>
        <w:rPr>
          <w:b/>
          <w:bCs/>
        </w:rPr>
      </w:pPr>
      <w:r w:rsidRPr="00E15AD4">
        <w:rPr>
          <w:b/>
          <w:bCs/>
        </w:rPr>
        <w:t xml:space="preserve">4.3.1 </w:t>
      </w:r>
      <w:r w:rsidRPr="00E15AD4">
        <w:rPr>
          <w:b/>
          <w:bCs/>
          <w:rtl/>
        </w:rPr>
        <w:t>التحليل الوصفي لأبعاد أنظمة العمل عالية الأداء</w:t>
      </w:r>
      <w:r w:rsidRPr="00E15AD4">
        <w:rPr>
          <w:b/>
          <w:bCs/>
        </w:rPr>
        <w:t xml:space="preserve"> (HPWS)</w:t>
      </w:r>
    </w:p>
    <w:p w14:paraId="73CD6551" w14:textId="77777777" w:rsidR="00793DFB" w:rsidRDefault="00793DFB" w:rsidP="00793DFB">
      <w:pPr>
        <w:bidi/>
        <w:rPr>
          <w:rtl/>
        </w:rPr>
      </w:pPr>
      <w:r w:rsidRPr="00E15AD4">
        <w:rPr>
          <w:rtl/>
        </w:rPr>
        <w:t>يهدف هذا الجزء إلى تحليل مستوى تطبيق ممارسات أنظمة العمل عالية الأداء داخل قطاعي الفنادق والمطاعم، من خلال فحص المتوسطات الحسابية والانحرافات المعيارية والتوزيع النسبي للاستجابات على مقياس ليكرت الخماسي. وقد تم الاعتماد على المتوسط المرجح لكل بُعد لتحديد مستوى الإدراك العام لدى أفراد العينة</w:t>
      </w:r>
      <w:r w:rsidRPr="00E15AD4">
        <w:t>.</w:t>
      </w:r>
    </w:p>
    <w:p w14:paraId="29B4C56B" w14:textId="77777777" w:rsidR="00793DFB" w:rsidRDefault="00793DFB" w:rsidP="00793DFB">
      <w:pPr>
        <w:bidi/>
        <w:rPr>
          <w:rtl/>
        </w:rPr>
      </w:pPr>
      <w:r>
        <w:rPr>
          <w:rFonts w:hint="cs"/>
          <w:rtl/>
        </w:rPr>
        <w:t>جدول (4-3): يوضح الاحصائيات الوصفية لأبعاد أنظمة العمل عالية الاداء</w:t>
      </w:r>
    </w:p>
    <w:tbl>
      <w:tblPr>
        <w:tblW w:w="0" w:type="auto"/>
        <w:tblLook w:val="04A0" w:firstRow="1" w:lastRow="0" w:firstColumn="1" w:lastColumn="0" w:noHBand="0" w:noVBand="1"/>
      </w:tblPr>
      <w:tblGrid>
        <w:gridCol w:w="715"/>
        <w:gridCol w:w="1396"/>
        <w:gridCol w:w="828"/>
        <w:gridCol w:w="895"/>
        <w:gridCol w:w="895"/>
        <w:gridCol w:w="895"/>
        <w:gridCol w:w="895"/>
        <w:gridCol w:w="933"/>
        <w:gridCol w:w="1898"/>
      </w:tblGrid>
      <w:tr w:rsidR="00793DFB" w:rsidRPr="00E15AD4" w14:paraId="6D13647A" w14:textId="77777777" w:rsidTr="009F1C88">
        <w:trPr>
          <w:trHeight w:val="264"/>
        </w:trPr>
        <w:tc>
          <w:tcPr>
            <w:tcW w:w="0" w:type="auto"/>
            <w:gridSpan w:val="9"/>
            <w:tcBorders>
              <w:top w:val="single" w:sz="4" w:space="0" w:color="auto"/>
              <w:left w:val="single" w:sz="4" w:space="0" w:color="auto"/>
              <w:bottom w:val="single" w:sz="4" w:space="0" w:color="auto"/>
              <w:right w:val="single" w:sz="4" w:space="0" w:color="auto"/>
            </w:tcBorders>
            <w:shd w:val="clear" w:color="000000" w:fill="FFFF00"/>
            <w:vAlign w:val="center"/>
            <w:hideMark/>
          </w:tcPr>
          <w:p w14:paraId="1706706B"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 xml:space="preserve">المحور الأول: أنظمة العمل عالية الأداء </w:t>
            </w:r>
          </w:p>
        </w:tc>
      </w:tr>
      <w:tr w:rsidR="00793DFB" w:rsidRPr="00E15AD4" w14:paraId="43B5A681" w14:textId="77777777" w:rsidTr="009F1C88">
        <w:trPr>
          <w:trHeight w:val="264"/>
        </w:trPr>
        <w:tc>
          <w:tcPr>
            <w:tcW w:w="0" w:type="auto"/>
            <w:tcBorders>
              <w:top w:val="nil"/>
              <w:left w:val="single" w:sz="4" w:space="0" w:color="auto"/>
              <w:bottom w:val="single" w:sz="4" w:space="0" w:color="auto"/>
              <w:right w:val="single" w:sz="4" w:space="0" w:color="auto"/>
            </w:tcBorders>
            <w:shd w:val="clear" w:color="000000" w:fill="FFFF00"/>
            <w:vAlign w:val="center"/>
            <w:hideMark/>
          </w:tcPr>
          <w:p w14:paraId="1C029196"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 </w:t>
            </w:r>
          </w:p>
        </w:tc>
        <w:tc>
          <w:tcPr>
            <w:tcW w:w="0" w:type="auto"/>
            <w:tcBorders>
              <w:top w:val="nil"/>
              <w:left w:val="nil"/>
              <w:bottom w:val="single" w:sz="4" w:space="0" w:color="auto"/>
              <w:right w:val="single" w:sz="4" w:space="0" w:color="auto"/>
            </w:tcBorders>
            <w:shd w:val="clear" w:color="000000" w:fill="FFFF00"/>
            <w:vAlign w:val="center"/>
            <w:hideMark/>
          </w:tcPr>
          <w:p w14:paraId="2997E54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 </w:t>
            </w:r>
          </w:p>
        </w:tc>
        <w:tc>
          <w:tcPr>
            <w:tcW w:w="0" w:type="auto"/>
            <w:gridSpan w:val="7"/>
            <w:tcBorders>
              <w:top w:val="single" w:sz="4" w:space="0" w:color="auto"/>
              <w:left w:val="nil"/>
              <w:bottom w:val="single" w:sz="4" w:space="0" w:color="auto"/>
              <w:right w:val="single" w:sz="4" w:space="0" w:color="000000"/>
            </w:tcBorders>
            <w:shd w:val="clear" w:color="000000" w:fill="FFFF00"/>
            <w:vAlign w:val="center"/>
            <w:hideMark/>
          </w:tcPr>
          <w:p w14:paraId="4344DBEB"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 xml:space="preserve">أولاً: التوظيف الانتقائي </w:t>
            </w:r>
          </w:p>
        </w:tc>
      </w:tr>
      <w:tr w:rsidR="00793DFB" w:rsidRPr="00E15AD4" w14:paraId="21D643CB" w14:textId="77777777" w:rsidTr="009F1C88">
        <w:trPr>
          <w:trHeight w:val="540"/>
        </w:trPr>
        <w:tc>
          <w:tcPr>
            <w:tcW w:w="0" w:type="auto"/>
            <w:tcBorders>
              <w:top w:val="nil"/>
              <w:left w:val="single" w:sz="4" w:space="0" w:color="auto"/>
              <w:bottom w:val="single" w:sz="4" w:space="0" w:color="auto"/>
              <w:right w:val="single" w:sz="4" w:space="0" w:color="auto"/>
            </w:tcBorders>
            <w:shd w:val="clear" w:color="000000" w:fill="7AD694"/>
            <w:vAlign w:val="center"/>
            <w:hideMark/>
          </w:tcPr>
          <w:p w14:paraId="2AC17E6D" w14:textId="77777777" w:rsidR="00793DFB" w:rsidRPr="00E15AD4" w:rsidRDefault="00793DFB" w:rsidP="009F1C88">
            <w:pPr>
              <w:bidi/>
              <w:spacing w:after="0" w:line="240" w:lineRule="auto"/>
              <w:jc w:val="center"/>
              <w:rPr>
                <w:rFonts w:ascii="Arial" w:eastAsia="Times New Roman" w:hAnsi="Arial" w:cs="Arial"/>
                <w:kern w:val="0"/>
                <w:sz w:val="20"/>
                <w:szCs w:val="20"/>
                <w:rtl/>
                <w14:ligatures w14:val="none"/>
              </w:rPr>
            </w:pPr>
            <w:r w:rsidRPr="00E15AD4">
              <w:rPr>
                <w:rFonts w:ascii="Arial" w:eastAsia="Times New Roman" w:hAnsi="Arial" w:cs="Arial"/>
                <w:kern w:val="0"/>
                <w:sz w:val="20"/>
                <w:szCs w:val="20"/>
                <w:rtl/>
                <w14:ligatures w14:val="none"/>
              </w:rPr>
              <w:t>الدرجة</w:t>
            </w:r>
          </w:p>
        </w:tc>
        <w:tc>
          <w:tcPr>
            <w:tcW w:w="0" w:type="auto"/>
            <w:tcBorders>
              <w:top w:val="nil"/>
              <w:left w:val="nil"/>
              <w:bottom w:val="single" w:sz="4" w:space="0" w:color="auto"/>
              <w:right w:val="single" w:sz="4" w:space="0" w:color="auto"/>
            </w:tcBorders>
            <w:shd w:val="clear" w:color="000000" w:fill="B3CEFB"/>
            <w:vAlign w:val="center"/>
            <w:hideMark/>
          </w:tcPr>
          <w:p w14:paraId="5C1BF416"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 xml:space="preserve">الانحراف المعياري </w:t>
            </w:r>
          </w:p>
        </w:tc>
        <w:tc>
          <w:tcPr>
            <w:tcW w:w="0" w:type="auto"/>
            <w:tcBorders>
              <w:top w:val="nil"/>
              <w:left w:val="nil"/>
              <w:bottom w:val="single" w:sz="4" w:space="0" w:color="auto"/>
              <w:right w:val="single" w:sz="4" w:space="0" w:color="auto"/>
            </w:tcBorders>
            <w:shd w:val="clear" w:color="000000" w:fill="B3CEFB"/>
            <w:vAlign w:val="center"/>
            <w:hideMark/>
          </w:tcPr>
          <w:p w14:paraId="376FDDB0"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المتوسط</w:t>
            </w:r>
          </w:p>
        </w:tc>
        <w:tc>
          <w:tcPr>
            <w:tcW w:w="0" w:type="auto"/>
            <w:tcBorders>
              <w:top w:val="nil"/>
              <w:left w:val="nil"/>
              <w:bottom w:val="single" w:sz="4" w:space="0" w:color="auto"/>
              <w:right w:val="single" w:sz="4" w:space="0" w:color="auto"/>
            </w:tcBorders>
            <w:shd w:val="clear" w:color="000000" w:fill="8CB5F9"/>
            <w:vAlign w:val="center"/>
            <w:hideMark/>
          </w:tcPr>
          <w:p w14:paraId="59987FC7"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أوافق بشدة</w:t>
            </w:r>
          </w:p>
        </w:tc>
        <w:tc>
          <w:tcPr>
            <w:tcW w:w="0" w:type="auto"/>
            <w:tcBorders>
              <w:top w:val="nil"/>
              <w:left w:val="nil"/>
              <w:bottom w:val="single" w:sz="4" w:space="0" w:color="auto"/>
              <w:right w:val="single" w:sz="4" w:space="0" w:color="auto"/>
            </w:tcBorders>
            <w:shd w:val="clear" w:color="000000" w:fill="8CB5F9"/>
            <w:vAlign w:val="center"/>
            <w:hideMark/>
          </w:tcPr>
          <w:p w14:paraId="4A6AE323"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أوافق</w:t>
            </w:r>
          </w:p>
        </w:tc>
        <w:tc>
          <w:tcPr>
            <w:tcW w:w="0" w:type="auto"/>
            <w:tcBorders>
              <w:top w:val="nil"/>
              <w:left w:val="nil"/>
              <w:bottom w:val="single" w:sz="4" w:space="0" w:color="auto"/>
              <w:right w:val="single" w:sz="4" w:space="0" w:color="auto"/>
            </w:tcBorders>
            <w:shd w:val="clear" w:color="000000" w:fill="8CB5F9"/>
            <w:vAlign w:val="center"/>
            <w:hideMark/>
          </w:tcPr>
          <w:p w14:paraId="01989A7F"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محايد</w:t>
            </w:r>
          </w:p>
        </w:tc>
        <w:tc>
          <w:tcPr>
            <w:tcW w:w="0" w:type="auto"/>
            <w:tcBorders>
              <w:top w:val="nil"/>
              <w:left w:val="nil"/>
              <w:bottom w:val="single" w:sz="4" w:space="0" w:color="auto"/>
              <w:right w:val="single" w:sz="4" w:space="0" w:color="auto"/>
            </w:tcBorders>
            <w:shd w:val="clear" w:color="000000" w:fill="8CB5F9"/>
            <w:vAlign w:val="center"/>
            <w:hideMark/>
          </w:tcPr>
          <w:p w14:paraId="566BB960"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لا أوافق</w:t>
            </w:r>
          </w:p>
        </w:tc>
        <w:tc>
          <w:tcPr>
            <w:tcW w:w="0" w:type="auto"/>
            <w:tcBorders>
              <w:top w:val="nil"/>
              <w:left w:val="nil"/>
              <w:bottom w:val="single" w:sz="4" w:space="0" w:color="auto"/>
              <w:right w:val="single" w:sz="4" w:space="0" w:color="auto"/>
            </w:tcBorders>
            <w:shd w:val="clear" w:color="000000" w:fill="8CB5F9"/>
            <w:vAlign w:val="center"/>
            <w:hideMark/>
          </w:tcPr>
          <w:p w14:paraId="7DB37D67"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لا أوافق بشدة</w:t>
            </w:r>
          </w:p>
        </w:tc>
        <w:tc>
          <w:tcPr>
            <w:tcW w:w="0" w:type="auto"/>
            <w:tcBorders>
              <w:top w:val="nil"/>
              <w:left w:val="nil"/>
              <w:bottom w:val="single" w:sz="4" w:space="0" w:color="auto"/>
              <w:right w:val="single" w:sz="4" w:space="0" w:color="auto"/>
            </w:tcBorders>
            <w:shd w:val="clear" w:color="000000" w:fill="FF6D01"/>
            <w:vAlign w:val="center"/>
            <w:hideMark/>
          </w:tcPr>
          <w:p w14:paraId="69DEC270"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السؤال</w:t>
            </w:r>
          </w:p>
        </w:tc>
      </w:tr>
      <w:tr w:rsidR="00793DFB" w:rsidRPr="00E15AD4" w14:paraId="360D012A" w14:textId="77777777" w:rsidTr="009F1C88">
        <w:trPr>
          <w:trHeight w:val="480"/>
        </w:trPr>
        <w:tc>
          <w:tcPr>
            <w:tcW w:w="0" w:type="auto"/>
            <w:vMerge w:val="restart"/>
            <w:tcBorders>
              <w:top w:val="nil"/>
              <w:left w:val="single" w:sz="4" w:space="0" w:color="auto"/>
              <w:bottom w:val="single" w:sz="4" w:space="0" w:color="auto"/>
              <w:right w:val="single" w:sz="4" w:space="0" w:color="auto"/>
            </w:tcBorders>
            <w:vAlign w:val="center"/>
            <w:hideMark/>
          </w:tcPr>
          <w:p w14:paraId="33F374F3"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1DDA5C94"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0.957</w:t>
            </w:r>
          </w:p>
        </w:tc>
        <w:tc>
          <w:tcPr>
            <w:tcW w:w="0" w:type="auto"/>
            <w:vMerge w:val="restart"/>
            <w:tcBorders>
              <w:top w:val="nil"/>
              <w:left w:val="single" w:sz="4" w:space="0" w:color="auto"/>
              <w:bottom w:val="single" w:sz="4" w:space="0" w:color="auto"/>
              <w:right w:val="single" w:sz="4" w:space="0" w:color="auto"/>
            </w:tcBorders>
            <w:vAlign w:val="center"/>
            <w:hideMark/>
          </w:tcPr>
          <w:p w14:paraId="5D1E6C7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3.8625</w:t>
            </w:r>
          </w:p>
        </w:tc>
        <w:tc>
          <w:tcPr>
            <w:tcW w:w="0" w:type="auto"/>
            <w:tcBorders>
              <w:top w:val="nil"/>
              <w:left w:val="nil"/>
              <w:bottom w:val="single" w:sz="4" w:space="0" w:color="auto"/>
              <w:right w:val="single" w:sz="4" w:space="0" w:color="auto"/>
            </w:tcBorders>
            <w:vAlign w:val="center"/>
            <w:hideMark/>
          </w:tcPr>
          <w:p w14:paraId="7334BF4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107</w:t>
            </w:r>
          </w:p>
        </w:tc>
        <w:tc>
          <w:tcPr>
            <w:tcW w:w="0" w:type="auto"/>
            <w:tcBorders>
              <w:top w:val="nil"/>
              <w:left w:val="nil"/>
              <w:bottom w:val="single" w:sz="4" w:space="0" w:color="auto"/>
              <w:right w:val="single" w:sz="4" w:space="0" w:color="auto"/>
            </w:tcBorders>
            <w:vAlign w:val="center"/>
            <w:hideMark/>
          </w:tcPr>
          <w:p w14:paraId="499A74F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181</w:t>
            </w:r>
          </w:p>
        </w:tc>
        <w:tc>
          <w:tcPr>
            <w:tcW w:w="0" w:type="auto"/>
            <w:tcBorders>
              <w:top w:val="nil"/>
              <w:left w:val="nil"/>
              <w:bottom w:val="single" w:sz="4" w:space="0" w:color="auto"/>
              <w:right w:val="single" w:sz="4" w:space="0" w:color="auto"/>
            </w:tcBorders>
            <w:vAlign w:val="center"/>
            <w:hideMark/>
          </w:tcPr>
          <w:p w14:paraId="4585D284"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64</w:t>
            </w:r>
          </w:p>
        </w:tc>
        <w:tc>
          <w:tcPr>
            <w:tcW w:w="0" w:type="auto"/>
            <w:tcBorders>
              <w:top w:val="nil"/>
              <w:left w:val="nil"/>
              <w:bottom w:val="single" w:sz="4" w:space="0" w:color="auto"/>
              <w:right w:val="single" w:sz="4" w:space="0" w:color="auto"/>
            </w:tcBorders>
            <w:vAlign w:val="center"/>
            <w:hideMark/>
          </w:tcPr>
          <w:p w14:paraId="39E9E0E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46</w:t>
            </w:r>
          </w:p>
        </w:tc>
        <w:tc>
          <w:tcPr>
            <w:tcW w:w="0" w:type="auto"/>
            <w:tcBorders>
              <w:top w:val="nil"/>
              <w:left w:val="nil"/>
              <w:bottom w:val="single" w:sz="4" w:space="0" w:color="auto"/>
              <w:right w:val="single" w:sz="4" w:space="0" w:color="auto"/>
            </w:tcBorders>
            <w:vAlign w:val="center"/>
            <w:hideMark/>
          </w:tcPr>
          <w:p w14:paraId="5C66CF2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6F26941D"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1. يتم اختيار الموظفين بناءً على معايير دقيقة تتوافق مع متطلبات الوظيفة.</w:t>
            </w:r>
          </w:p>
        </w:tc>
      </w:tr>
      <w:tr w:rsidR="00793DFB" w:rsidRPr="00E15AD4" w14:paraId="2E005202" w14:textId="77777777" w:rsidTr="009F1C88">
        <w:trPr>
          <w:trHeight w:val="276"/>
        </w:trPr>
        <w:tc>
          <w:tcPr>
            <w:tcW w:w="0" w:type="auto"/>
            <w:vMerge/>
            <w:tcBorders>
              <w:top w:val="nil"/>
              <w:left w:val="single" w:sz="4" w:space="0" w:color="auto"/>
              <w:bottom w:val="single" w:sz="4" w:space="0" w:color="auto"/>
              <w:right w:val="single" w:sz="4" w:space="0" w:color="auto"/>
            </w:tcBorders>
            <w:vAlign w:val="center"/>
            <w:hideMark/>
          </w:tcPr>
          <w:p w14:paraId="2BF28000"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1254E61"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F3C9290"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31CF886A"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26.80%</w:t>
            </w:r>
          </w:p>
        </w:tc>
        <w:tc>
          <w:tcPr>
            <w:tcW w:w="0" w:type="auto"/>
            <w:tcBorders>
              <w:top w:val="nil"/>
              <w:left w:val="nil"/>
              <w:bottom w:val="single" w:sz="4" w:space="0" w:color="auto"/>
              <w:right w:val="single" w:sz="4" w:space="0" w:color="auto"/>
            </w:tcBorders>
            <w:vAlign w:val="center"/>
            <w:hideMark/>
          </w:tcPr>
          <w:p w14:paraId="01B105C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45.30%</w:t>
            </w:r>
          </w:p>
        </w:tc>
        <w:tc>
          <w:tcPr>
            <w:tcW w:w="0" w:type="auto"/>
            <w:tcBorders>
              <w:top w:val="nil"/>
              <w:left w:val="nil"/>
              <w:bottom w:val="single" w:sz="4" w:space="0" w:color="auto"/>
              <w:right w:val="single" w:sz="4" w:space="0" w:color="auto"/>
            </w:tcBorders>
            <w:vAlign w:val="center"/>
            <w:hideMark/>
          </w:tcPr>
          <w:p w14:paraId="7F3770C4"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16.00%</w:t>
            </w:r>
          </w:p>
        </w:tc>
        <w:tc>
          <w:tcPr>
            <w:tcW w:w="0" w:type="auto"/>
            <w:tcBorders>
              <w:top w:val="nil"/>
              <w:left w:val="nil"/>
              <w:bottom w:val="single" w:sz="4" w:space="0" w:color="auto"/>
              <w:right w:val="single" w:sz="4" w:space="0" w:color="auto"/>
            </w:tcBorders>
            <w:vAlign w:val="center"/>
            <w:hideMark/>
          </w:tcPr>
          <w:p w14:paraId="0CEE085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11.50%</w:t>
            </w:r>
          </w:p>
        </w:tc>
        <w:tc>
          <w:tcPr>
            <w:tcW w:w="0" w:type="auto"/>
            <w:tcBorders>
              <w:top w:val="nil"/>
              <w:left w:val="nil"/>
              <w:bottom w:val="single" w:sz="4" w:space="0" w:color="auto"/>
              <w:right w:val="single" w:sz="4" w:space="0" w:color="auto"/>
            </w:tcBorders>
            <w:vAlign w:val="center"/>
            <w:hideMark/>
          </w:tcPr>
          <w:p w14:paraId="22C3BD9D"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0.50%</w:t>
            </w:r>
          </w:p>
        </w:tc>
        <w:tc>
          <w:tcPr>
            <w:tcW w:w="0" w:type="auto"/>
            <w:vMerge/>
            <w:tcBorders>
              <w:top w:val="nil"/>
              <w:left w:val="single" w:sz="4" w:space="0" w:color="auto"/>
              <w:bottom w:val="single" w:sz="4" w:space="0" w:color="auto"/>
              <w:right w:val="single" w:sz="4" w:space="0" w:color="auto"/>
            </w:tcBorders>
            <w:vAlign w:val="center"/>
            <w:hideMark/>
          </w:tcPr>
          <w:p w14:paraId="4A4E041B"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59477B7F" w14:textId="77777777" w:rsidTr="009F1C88">
        <w:trPr>
          <w:trHeight w:val="245"/>
        </w:trPr>
        <w:tc>
          <w:tcPr>
            <w:tcW w:w="0" w:type="auto"/>
            <w:vMerge w:val="restart"/>
            <w:tcBorders>
              <w:top w:val="nil"/>
              <w:left w:val="single" w:sz="4" w:space="0" w:color="auto"/>
              <w:bottom w:val="single" w:sz="4" w:space="0" w:color="auto"/>
              <w:right w:val="single" w:sz="4" w:space="0" w:color="auto"/>
            </w:tcBorders>
            <w:vAlign w:val="center"/>
            <w:hideMark/>
          </w:tcPr>
          <w:p w14:paraId="5D56D42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67164D5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1.109</w:t>
            </w:r>
          </w:p>
        </w:tc>
        <w:tc>
          <w:tcPr>
            <w:tcW w:w="0" w:type="auto"/>
            <w:vMerge w:val="restart"/>
            <w:tcBorders>
              <w:top w:val="nil"/>
              <w:left w:val="single" w:sz="4" w:space="0" w:color="auto"/>
              <w:bottom w:val="single" w:sz="4" w:space="0" w:color="auto"/>
              <w:right w:val="single" w:sz="4" w:space="0" w:color="auto"/>
            </w:tcBorders>
            <w:vAlign w:val="center"/>
            <w:hideMark/>
          </w:tcPr>
          <w:p w14:paraId="5DA2B72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3.87</w:t>
            </w:r>
          </w:p>
        </w:tc>
        <w:tc>
          <w:tcPr>
            <w:tcW w:w="0" w:type="auto"/>
            <w:tcBorders>
              <w:top w:val="nil"/>
              <w:left w:val="nil"/>
              <w:bottom w:val="single" w:sz="4" w:space="0" w:color="auto"/>
              <w:right w:val="single" w:sz="4" w:space="0" w:color="auto"/>
            </w:tcBorders>
            <w:vAlign w:val="center"/>
            <w:hideMark/>
          </w:tcPr>
          <w:p w14:paraId="4659799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136</w:t>
            </w:r>
          </w:p>
        </w:tc>
        <w:tc>
          <w:tcPr>
            <w:tcW w:w="0" w:type="auto"/>
            <w:tcBorders>
              <w:top w:val="nil"/>
              <w:left w:val="nil"/>
              <w:bottom w:val="single" w:sz="4" w:space="0" w:color="auto"/>
              <w:right w:val="single" w:sz="4" w:space="0" w:color="auto"/>
            </w:tcBorders>
            <w:vAlign w:val="center"/>
            <w:hideMark/>
          </w:tcPr>
          <w:p w14:paraId="719A333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151</w:t>
            </w:r>
          </w:p>
        </w:tc>
        <w:tc>
          <w:tcPr>
            <w:tcW w:w="0" w:type="auto"/>
            <w:tcBorders>
              <w:top w:val="nil"/>
              <w:left w:val="nil"/>
              <w:bottom w:val="single" w:sz="4" w:space="0" w:color="auto"/>
              <w:right w:val="single" w:sz="4" w:space="0" w:color="auto"/>
            </w:tcBorders>
            <w:vAlign w:val="center"/>
            <w:hideMark/>
          </w:tcPr>
          <w:p w14:paraId="43AC19B4"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50</w:t>
            </w:r>
          </w:p>
        </w:tc>
        <w:tc>
          <w:tcPr>
            <w:tcW w:w="0" w:type="auto"/>
            <w:tcBorders>
              <w:top w:val="nil"/>
              <w:left w:val="nil"/>
              <w:bottom w:val="single" w:sz="4" w:space="0" w:color="auto"/>
              <w:right w:val="single" w:sz="4" w:space="0" w:color="auto"/>
            </w:tcBorders>
            <w:vAlign w:val="center"/>
            <w:hideMark/>
          </w:tcPr>
          <w:p w14:paraId="3C62DBF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51</w:t>
            </w:r>
          </w:p>
        </w:tc>
        <w:tc>
          <w:tcPr>
            <w:tcW w:w="0" w:type="auto"/>
            <w:tcBorders>
              <w:top w:val="nil"/>
              <w:left w:val="nil"/>
              <w:bottom w:val="single" w:sz="4" w:space="0" w:color="auto"/>
              <w:right w:val="single" w:sz="4" w:space="0" w:color="auto"/>
            </w:tcBorders>
            <w:vAlign w:val="center"/>
            <w:hideMark/>
          </w:tcPr>
          <w:p w14:paraId="379C865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12</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0AD99C22"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2. تخضع عملية التوظيف لمقابلات متعددة لتقييم الكفاءة والسلوك المهني.</w:t>
            </w:r>
          </w:p>
        </w:tc>
      </w:tr>
      <w:tr w:rsidR="00793DFB" w:rsidRPr="00E15AD4" w14:paraId="0465B618" w14:textId="77777777" w:rsidTr="009F1C88">
        <w:trPr>
          <w:trHeight w:val="468"/>
        </w:trPr>
        <w:tc>
          <w:tcPr>
            <w:tcW w:w="0" w:type="auto"/>
            <w:vMerge/>
            <w:tcBorders>
              <w:top w:val="nil"/>
              <w:left w:val="single" w:sz="4" w:space="0" w:color="auto"/>
              <w:bottom w:val="single" w:sz="4" w:space="0" w:color="auto"/>
              <w:right w:val="single" w:sz="4" w:space="0" w:color="auto"/>
            </w:tcBorders>
            <w:vAlign w:val="center"/>
            <w:hideMark/>
          </w:tcPr>
          <w:p w14:paraId="2659AB5A"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90F6AF8"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F878CAD"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4E2CA7DB"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34.00%</w:t>
            </w:r>
          </w:p>
        </w:tc>
        <w:tc>
          <w:tcPr>
            <w:tcW w:w="0" w:type="auto"/>
            <w:tcBorders>
              <w:top w:val="nil"/>
              <w:left w:val="nil"/>
              <w:bottom w:val="single" w:sz="4" w:space="0" w:color="auto"/>
              <w:right w:val="single" w:sz="4" w:space="0" w:color="auto"/>
            </w:tcBorders>
            <w:vAlign w:val="center"/>
            <w:hideMark/>
          </w:tcPr>
          <w:p w14:paraId="223062B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37.80%</w:t>
            </w:r>
          </w:p>
        </w:tc>
        <w:tc>
          <w:tcPr>
            <w:tcW w:w="0" w:type="auto"/>
            <w:tcBorders>
              <w:top w:val="nil"/>
              <w:left w:val="nil"/>
              <w:bottom w:val="single" w:sz="4" w:space="0" w:color="auto"/>
              <w:right w:val="single" w:sz="4" w:space="0" w:color="auto"/>
            </w:tcBorders>
            <w:vAlign w:val="center"/>
            <w:hideMark/>
          </w:tcPr>
          <w:p w14:paraId="3546C38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12.50%</w:t>
            </w:r>
          </w:p>
        </w:tc>
        <w:tc>
          <w:tcPr>
            <w:tcW w:w="0" w:type="auto"/>
            <w:tcBorders>
              <w:top w:val="nil"/>
              <w:left w:val="nil"/>
              <w:bottom w:val="single" w:sz="4" w:space="0" w:color="auto"/>
              <w:right w:val="single" w:sz="4" w:space="0" w:color="auto"/>
            </w:tcBorders>
            <w:vAlign w:val="center"/>
            <w:hideMark/>
          </w:tcPr>
          <w:p w14:paraId="76C7870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12.80%</w:t>
            </w:r>
          </w:p>
        </w:tc>
        <w:tc>
          <w:tcPr>
            <w:tcW w:w="0" w:type="auto"/>
            <w:tcBorders>
              <w:top w:val="nil"/>
              <w:left w:val="nil"/>
              <w:bottom w:val="single" w:sz="4" w:space="0" w:color="auto"/>
              <w:right w:val="single" w:sz="4" w:space="0" w:color="auto"/>
            </w:tcBorders>
            <w:vAlign w:val="center"/>
            <w:hideMark/>
          </w:tcPr>
          <w:p w14:paraId="5F93FCD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3.00%</w:t>
            </w:r>
          </w:p>
        </w:tc>
        <w:tc>
          <w:tcPr>
            <w:tcW w:w="0" w:type="auto"/>
            <w:vMerge/>
            <w:tcBorders>
              <w:top w:val="nil"/>
              <w:left w:val="single" w:sz="4" w:space="0" w:color="auto"/>
              <w:bottom w:val="single" w:sz="4" w:space="0" w:color="auto"/>
              <w:right w:val="single" w:sz="4" w:space="0" w:color="auto"/>
            </w:tcBorders>
            <w:vAlign w:val="center"/>
            <w:hideMark/>
          </w:tcPr>
          <w:p w14:paraId="4B57DA7C"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439525AE" w14:textId="77777777" w:rsidTr="009F1C88">
        <w:trPr>
          <w:trHeight w:val="273"/>
        </w:trPr>
        <w:tc>
          <w:tcPr>
            <w:tcW w:w="0" w:type="auto"/>
            <w:vMerge w:val="restart"/>
            <w:tcBorders>
              <w:top w:val="nil"/>
              <w:left w:val="single" w:sz="4" w:space="0" w:color="auto"/>
              <w:bottom w:val="single" w:sz="4" w:space="0" w:color="auto"/>
              <w:right w:val="single" w:sz="4" w:space="0" w:color="auto"/>
            </w:tcBorders>
            <w:vAlign w:val="center"/>
            <w:hideMark/>
          </w:tcPr>
          <w:p w14:paraId="4D07718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319B852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1.161</w:t>
            </w:r>
          </w:p>
        </w:tc>
        <w:tc>
          <w:tcPr>
            <w:tcW w:w="0" w:type="auto"/>
            <w:vMerge w:val="restart"/>
            <w:tcBorders>
              <w:top w:val="nil"/>
              <w:left w:val="single" w:sz="4" w:space="0" w:color="auto"/>
              <w:bottom w:val="single" w:sz="4" w:space="0" w:color="auto"/>
              <w:right w:val="single" w:sz="4" w:space="0" w:color="auto"/>
            </w:tcBorders>
            <w:vAlign w:val="center"/>
            <w:hideMark/>
          </w:tcPr>
          <w:p w14:paraId="3650616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3.797</w:t>
            </w:r>
          </w:p>
        </w:tc>
        <w:tc>
          <w:tcPr>
            <w:tcW w:w="0" w:type="auto"/>
            <w:tcBorders>
              <w:top w:val="nil"/>
              <w:left w:val="nil"/>
              <w:bottom w:val="single" w:sz="4" w:space="0" w:color="auto"/>
              <w:right w:val="single" w:sz="4" w:space="0" w:color="auto"/>
            </w:tcBorders>
            <w:vAlign w:val="center"/>
            <w:hideMark/>
          </w:tcPr>
          <w:p w14:paraId="44B6127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116</w:t>
            </w:r>
          </w:p>
        </w:tc>
        <w:tc>
          <w:tcPr>
            <w:tcW w:w="0" w:type="auto"/>
            <w:tcBorders>
              <w:top w:val="nil"/>
              <w:left w:val="nil"/>
              <w:bottom w:val="single" w:sz="4" w:space="0" w:color="auto"/>
              <w:right w:val="single" w:sz="4" w:space="0" w:color="auto"/>
            </w:tcBorders>
            <w:vAlign w:val="center"/>
            <w:hideMark/>
          </w:tcPr>
          <w:p w14:paraId="17EE91A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153</w:t>
            </w:r>
          </w:p>
        </w:tc>
        <w:tc>
          <w:tcPr>
            <w:tcW w:w="0" w:type="auto"/>
            <w:tcBorders>
              <w:top w:val="nil"/>
              <w:left w:val="nil"/>
              <w:bottom w:val="single" w:sz="4" w:space="0" w:color="auto"/>
              <w:right w:val="single" w:sz="4" w:space="0" w:color="auto"/>
            </w:tcBorders>
            <w:vAlign w:val="center"/>
            <w:hideMark/>
          </w:tcPr>
          <w:p w14:paraId="36579A2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65</w:t>
            </w:r>
          </w:p>
        </w:tc>
        <w:tc>
          <w:tcPr>
            <w:tcW w:w="0" w:type="auto"/>
            <w:tcBorders>
              <w:top w:val="nil"/>
              <w:left w:val="nil"/>
              <w:bottom w:val="single" w:sz="4" w:space="0" w:color="auto"/>
              <w:right w:val="single" w:sz="4" w:space="0" w:color="auto"/>
            </w:tcBorders>
            <w:vAlign w:val="center"/>
            <w:hideMark/>
          </w:tcPr>
          <w:p w14:paraId="59C09644"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42</w:t>
            </w:r>
          </w:p>
        </w:tc>
        <w:tc>
          <w:tcPr>
            <w:tcW w:w="0" w:type="auto"/>
            <w:tcBorders>
              <w:top w:val="nil"/>
              <w:left w:val="nil"/>
              <w:bottom w:val="single" w:sz="4" w:space="0" w:color="auto"/>
              <w:right w:val="single" w:sz="4" w:space="0" w:color="auto"/>
            </w:tcBorders>
            <w:vAlign w:val="center"/>
            <w:hideMark/>
          </w:tcPr>
          <w:p w14:paraId="4C5183F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24</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6E40B60E"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 xml:space="preserve">3. يتم التركيز على مهارات الإبداع والابتكار </w:t>
            </w:r>
            <w:r w:rsidRPr="00E15AD4">
              <w:rPr>
                <w:rFonts w:ascii="Arial" w:eastAsia="Times New Roman" w:hAnsi="Arial" w:cs="Arial"/>
                <w:color w:val="000000"/>
                <w:kern w:val="0"/>
                <w:sz w:val="20"/>
                <w:szCs w:val="20"/>
                <w:rtl/>
                <w14:ligatures w14:val="none"/>
              </w:rPr>
              <w:lastRenderedPageBreak/>
              <w:t>عند اختيار الموظفين الجدد.</w:t>
            </w:r>
          </w:p>
        </w:tc>
      </w:tr>
      <w:tr w:rsidR="00793DFB" w:rsidRPr="00E15AD4" w14:paraId="7CB82226" w14:textId="77777777" w:rsidTr="009F1C88">
        <w:trPr>
          <w:trHeight w:val="135"/>
        </w:trPr>
        <w:tc>
          <w:tcPr>
            <w:tcW w:w="0" w:type="auto"/>
            <w:vMerge/>
            <w:tcBorders>
              <w:top w:val="nil"/>
              <w:left w:val="single" w:sz="4" w:space="0" w:color="auto"/>
              <w:bottom w:val="single" w:sz="4" w:space="0" w:color="auto"/>
              <w:right w:val="single" w:sz="4" w:space="0" w:color="auto"/>
            </w:tcBorders>
            <w:vAlign w:val="center"/>
            <w:hideMark/>
          </w:tcPr>
          <w:p w14:paraId="4BD361F2"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076163AC"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E398065"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3EFF8466"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29.00%</w:t>
            </w:r>
          </w:p>
        </w:tc>
        <w:tc>
          <w:tcPr>
            <w:tcW w:w="0" w:type="auto"/>
            <w:tcBorders>
              <w:top w:val="nil"/>
              <w:left w:val="nil"/>
              <w:bottom w:val="single" w:sz="4" w:space="0" w:color="auto"/>
              <w:right w:val="single" w:sz="4" w:space="0" w:color="auto"/>
            </w:tcBorders>
            <w:vAlign w:val="center"/>
            <w:hideMark/>
          </w:tcPr>
          <w:p w14:paraId="6B87117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38.30%</w:t>
            </w:r>
          </w:p>
        </w:tc>
        <w:tc>
          <w:tcPr>
            <w:tcW w:w="0" w:type="auto"/>
            <w:tcBorders>
              <w:top w:val="nil"/>
              <w:left w:val="nil"/>
              <w:bottom w:val="single" w:sz="4" w:space="0" w:color="auto"/>
              <w:right w:val="single" w:sz="4" w:space="0" w:color="auto"/>
            </w:tcBorders>
            <w:vAlign w:val="center"/>
            <w:hideMark/>
          </w:tcPr>
          <w:p w14:paraId="37B72A2D"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16.30%</w:t>
            </w:r>
          </w:p>
        </w:tc>
        <w:tc>
          <w:tcPr>
            <w:tcW w:w="0" w:type="auto"/>
            <w:tcBorders>
              <w:top w:val="nil"/>
              <w:left w:val="nil"/>
              <w:bottom w:val="single" w:sz="4" w:space="0" w:color="auto"/>
              <w:right w:val="single" w:sz="4" w:space="0" w:color="auto"/>
            </w:tcBorders>
            <w:vAlign w:val="center"/>
            <w:hideMark/>
          </w:tcPr>
          <w:p w14:paraId="08D9CFB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10.50%</w:t>
            </w:r>
          </w:p>
        </w:tc>
        <w:tc>
          <w:tcPr>
            <w:tcW w:w="0" w:type="auto"/>
            <w:tcBorders>
              <w:top w:val="nil"/>
              <w:left w:val="nil"/>
              <w:bottom w:val="single" w:sz="4" w:space="0" w:color="auto"/>
              <w:right w:val="single" w:sz="4" w:space="0" w:color="auto"/>
            </w:tcBorders>
            <w:vAlign w:val="center"/>
            <w:hideMark/>
          </w:tcPr>
          <w:p w14:paraId="2701C73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6.00%</w:t>
            </w:r>
          </w:p>
        </w:tc>
        <w:tc>
          <w:tcPr>
            <w:tcW w:w="0" w:type="auto"/>
            <w:vMerge/>
            <w:tcBorders>
              <w:top w:val="nil"/>
              <w:left w:val="single" w:sz="4" w:space="0" w:color="auto"/>
              <w:bottom w:val="single" w:sz="4" w:space="0" w:color="auto"/>
              <w:right w:val="single" w:sz="4" w:space="0" w:color="auto"/>
            </w:tcBorders>
            <w:vAlign w:val="center"/>
            <w:hideMark/>
          </w:tcPr>
          <w:p w14:paraId="0A4463DF"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5A6F98FD" w14:textId="77777777" w:rsidTr="009F1C88">
        <w:trPr>
          <w:trHeight w:val="209"/>
        </w:trPr>
        <w:tc>
          <w:tcPr>
            <w:tcW w:w="0" w:type="auto"/>
            <w:vMerge w:val="restart"/>
            <w:tcBorders>
              <w:top w:val="nil"/>
              <w:left w:val="single" w:sz="4" w:space="0" w:color="auto"/>
              <w:bottom w:val="single" w:sz="4" w:space="0" w:color="auto"/>
              <w:right w:val="single" w:sz="4" w:space="0" w:color="auto"/>
            </w:tcBorders>
            <w:vAlign w:val="center"/>
            <w:hideMark/>
          </w:tcPr>
          <w:p w14:paraId="3F02F83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6FF99C9D"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1.257</w:t>
            </w:r>
          </w:p>
        </w:tc>
        <w:tc>
          <w:tcPr>
            <w:tcW w:w="0" w:type="auto"/>
            <w:vMerge w:val="restart"/>
            <w:tcBorders>
              <w:top w:val="nil"/>
              <w:left w:val="single" w:sz="4" w:space="0" w:color="auto"/>
              <w:bottom w:val="single" w:sz="4" w:space="0" w:color="auto"/>
              <w:right w:val="single" w:sz="4" w:space="0" w:color="auto"/>
            </w:tcBorders>
            <w:vAlign w:val="center"/>
            <w:hideMark/>
          </w:tcPr>
          <w:p w14:paraId="55FA212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3.652</w:t>
            </w:r>
          </w:p>
        </w:tc>
        <w:tc>
          <w:tcPr>
            <w:tcW w:w="0" w:type="auto"/>
            <w:tcBorders>
              <w:top w:val="nil"/>
              <w:left w:val="nil"/>
              <w:bottom w:val="single" w:sz="4" w:space="0" w:color="auto"/>
              <w:right w:val="single" w:sz="4" w:space="0" w:color="auto"/>
            </w:tcBorders>
            <w:vAlign w:val="center"/>
            <w:hideMark/>
          </w:tcPr>
          <w:p w14:paraId="77D7BC2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112</w:t>
            </w:r>
          </w:p>
        </w:tc>
        <w:tc>
          <w:tcPr>
            <w:tcW w:w="0" w:type="auto"/>
            <w:tcBorders>
              <w:top w:val="nil"/>
              <w:left w:val="nil"/>
              <w:bottom w:val="single" w:sz="4" w:space="0" w:color="auto"/>
              <w:right w:val="single" w:sz="4" w:space="0" w:color="auto"/>
            </w:tcBorders>
            <w:vAlign w:val="center"/>
            <w:hideMark/>
          </w:tcPr>
          <w:p w14:paraId="2A59E0DD"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149</w:t>
            </w:r>
          </w:p>
        </w:tc>
        <w:tc>
          <w:tcPr>
            <w:tcW w:w="0" w:type="auto"/>
            <w:tcBorders>
              <w:top w:val="nil"/>
              <w:left w:val="nil"/>
              <w:bottom w:val="single" w:sz="4" w:space="0" w:color="auto"/>
              <w:right w:val="single" w:sz="4" w:space="0" w:color="auto"/>
            </w:tcBorders>
            <w:vAlign w:val="center"/>
            <w:hideMark/>
          </w:tcPr>
          <w:p w14:paraId="551436D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73</w:t>
            </w:r>
          </w:p>
        </w:tc>
        <w:tc>
          <w:tcPr>
            <w:tcW w:w="0" w:type="auto"/>
            <w:tcBorders>
              <w:top w:val="nil"/>
              <w:left w:val="nil"/>
              <w:bottom w:val="single" w:sz="4" w:space="0" w:color="auto"/>
              <w:right w:val="single" w:sz="4" w:space="0" w:color="auto"/>
            </w:tcBorders>
            <w:vAlign w:val="center"/>
            <w:hideMark/>
          </w:tcPr>
          <w:p w14:paraId="03894EB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20</w:t>
            </w:r>
          </w:p>
        </w:tc>
        <w:tc>
          <w:tcPr>
            <w:tcW w:w="0" w:type="auto"/>
            <w:tcBorders>
              <w:top w:val="nil"/>
              <w:left w:val="nil"/>
              <w:bottom w:val="single" w:sz="4" w:space="0" w:color="auto"/>
              <w:right w:val="single" w:sz="4" w:space="0" w:color="auto"/>
            </w:tcBorders>
            <w:vAlign w:val="center"/>
            <w:hideMark/>
          </w:tcPr>
          <w:p w14:paraId="459DB68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46</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4E70DA32"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4. تشارك الإدارة العليا في قرارات التعيين لضمان جودة الاختيار.</w:t>
            </w:r>
          </w:p>
        </w:tc>
      </w:tr>
      <w:tr w:rsidR="00793DFB" w:rsidRPr="00E15AD4" w14:paraId="1C1A4159" w14:textId="77777777" w:rsidTr="009F1C88">
        <w:trPr>
          <w:trHeight w:val="456"/>
        </w:trPr>
        <w:tc>
          <w:tcPr>
            <w:tcW w:w="0" w:type="auto"/>
            <w:vMerge/>
            <w:tcBorders>
              <w:top w:val="nil"/>
              <w:left w:val="single" w:sz="4" w:space="0" w:color="auto"/>
              <w:bottom w:val="single" w:sz="4" w:space="0" w:color="auto"/>
              <w:right w:val="single" w:sz="4" w:space="0" w:color="auto"/>
            </w:tcBorders>
            <w:vAlign w:val="center"/>
            <w:hideMark/>
          </w:tcPr>
          <w:p w14:paraId="064D002C"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30C5ECA"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C9D5E2D"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5C32A250"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28.00%</w:t>
            </w:r>
          </w:p>
        </w:tc>
        <w:tc>
          <w:tcPr>
            <w:tcW w:w="0" w:type="auto"/>
            <w:tcBorders>
              <w:top w:val="nil"/>
              <w:left w:val="nil"/>
              <w:bottom w:val="single" w:sz="4" w:space="0" w:color="auto"/>
              <w:right w:val="single" w:sz="4" w:space="0" w:color="auto"/>
            </w:tcBorders>
            <w:vAlign w:val="center"/>
            <w:hideMark/>
          </w:tcPr>
          <w:p w14:paraId="1D89B93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37.30%</w:t>
            </w:r>
          </w:p>
        </w:tc>
        <w:tc>
          <w:tcPr>
            <w:tcW w:w="0" w:type="auto"/>
            <w:tcBorders>
              <w:top w:val="nil"/>
              <w:left w:val="nil"/>
              <w:bottom w:val="single" w:sz="4" w:space="0" w:color="auto"/>
              <w:right w:val="single" w:sz="4" w:space="0" w:color="auto"/>
            </w:tcBorders>
            <w:vAlign w:val="center"/>
            <w:hideMark/>
          </w:tcPr>
          <w:p w14:paraId="4793713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18.30%</w:t>
            </w:r>
          </w:p>
        </w:tc>
        <w:tc>
          <w:tcPr>
            <w:tcW w:w="0" w:type="auto"/>
            <w:tcBorders>
              <w:top w:val="nil"/>
              <w:left w:val="nil"/>
              <w:bottom w:val="single" w:sz="4" w:space="0" w:color="auto"/>
              <w:right w:val="single" w:sz="4" w:space="0" w:color="auto"/>
            </w:tcBorders>
            <w:vAlign w:val="center"/>
            <w:hideMark/>
          </w:tcPr>
          <w:p w14:paraId="7E6BE71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5.00%</w:t>
            </w:r>
          </w:p>
        </w:tc>
        <w:tc>
          <w:tcPr>
            <w:tcW w:w="0" w:type="auto"/>
            <w:tcBorders>
              <w:top w:val="nil"/>
              <w:left w:val="nil"/>
              <w:bottom w:val="single" w:sz="4" w:space="0" w:color="auto"/>
              <w:right w:val="single" w:sz="4" w:space="0" w:color="auto"/>
            </w:tcBorders>
            <w:vAlign w:val="center"/>
            <w:hideMark/>
          </w:tcPr>
          <w:p w14:paraId="0C8DEE9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11.50%</w:t>
            </w:r>
          </w:p>
        </w:tc>
        <w:tc>
          <w:tcPr>
            <w:tcW w:w="0" w:type="auto"/>
            <w:vMerge/>
            <w:tcBorders>
              <w:top w:val="nil"/>
              <w:left w:val="single" w:sz="4" w:space="0" w:color="auto"/>
              <w:bottom w:val="single" w:sz="4" w:space="0" w:color="auto"/>
              <w:right w:val="single" w:sz="4" w:space="0" w:color="auto"/>
            </w:tcBorders>
            <w:vAlign w:val="center"/>
            <w:hideMark/>
          </w:tcPr>
          <w:p w14:paraId="3C080E52"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6643C925" w14:textId="77777777" w:rsidTr="009F1C88">
        <w:trPr>
          <w:trHeight w:val="233"/>
        </w:trPr>
        <w:tc>
          <w:tcPr>
            <w:tcW w:w="0" w:type="auto"/>
            <w:vMerge w:val="restart"/>
            <w:tcBorders>
              <w:top w:val="nil"/>
              <w:left w:val="single" w:sz="4" w:space="0" w:color="auto"/>
              <w:bottom w:val="single" w:sz="4" w:space="0" w:color="000000"/>
              <w:right w:val="single" w:sz="4" w:space="0" w:color="auto"/>
            </w:tcBorders>
            <w:shd w:val="clear" w:color="000000" w:fill="FF6D01"/>
            <w:vAlign w:val="center"/>
            <w:hideMark/>
          </w:tcPr>
          <w:p w14:paraId="3649B9D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gridSpan w:val="2"/>
            <w:tcBorders>
              <w:top w:val="single" w:sz="4" w:space="0" w:color="auto"/>
              <w:left w:val="nil"/>
              <w:bottom w:val="single" w:sz="4" w:space="0" w:color="auto"/>
              <w:right w:val="single" w:sz="4" w:space="0" w:color="auto"/>
            </w:tcBorders>
            <w:vAlign w:val="center"/>
            <w:hideMark/>
          </w:tcPr>
          <w:p w14:paraId="456B440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3.795375</w:t>
            </w:r>
          </w:p>
        </w:tc>
        <w:tc>
          <w:tcPr>
            <w:tcW w:w="0" w:type="auto"/>
            <w:gridSpan w:val="6"/>
            <w:tcBorders>
              <w:top w:val="single" w:sz="4" w:space="0" w:color="auto"/>
              <w:left w:val="nil"/>
              <w:bottom w:val="single" w:sz="4" w:space="0" w:color="auto"/>
              <w:right w:val="single" w:sz="4" w:space="0" w:color="auto"/>
            </w:tcBorders>
            <w:shd w:val="clear" w:color="000000" w:fill="FF6D01"/>
            <w:vAlign w:val="center"/>
            <w:hideMark/>
          </w:tcPr>
          <w:p w14:paraId="3F1D68A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proofErr w:type="spellStart"/>
            <w:r w:rsidRPr="00E15AD4">
              <w:rPr>
                <w:rFonts w:ascii="Arial" w:eastAsia="Times New Roman" w:hAnsi="Arial" w:cs="Arial"/>
                <w:color w:val="000000"/>
                <w:kern w:val="0"/>
                <w:sz w:val="20"/>
                <w:szCs w:val="20"/>
                <w14:ligatures w14:val="none"/>
              </w:rPr>
              <w:t>weightted</w:t>
            </w:r>
            <w:proofErr w:type="spellEnd"/>
            <w:r w:rsidRPr="00E15AD4">
              <w:rPr>
                <w:rFonts w:ascii="Arial" w:eastAsia="Times New Roman" w:hAnsi="Arial" w:cs="Arial"/>
                <w:color w:val="000000"/>
                <w:kern w:val="0"/>
                <w:sz w:val="20"/>
                <w:szCs w:val="20"/>
                <w14:ligatures w14:val="none"/>
              </w:rPr>
              <w:t xml:space="preserve"> mean </w:t>
            </w:r>
          </w:p>
        </w:tc>
      </w:tr>
      <w:tr w:rsidR="00793DFB" w:rsidRPr="00E15AD4" w14:paraId="10824FEF" w14:textId="77777777" w:rsidTr="009F1C88">
        <w:trPr>
          <w:trHeight w:val="265"/>
        </w:trPr>
        <w:tc>
          <w:tcPr>
            <w:tcW w:w="0" w:type="auto"/>
            <w:vMerge/>
            <w:tcBorders>
              <w:top w:val="nil"/>
              <w:left w:val="single" w:sz="4" w:space="0" w:color="auto"/>
              <w:bottom w:val="single" w:sz="4" w:space="0" w:color="000000"/>
              <w:right w:val="single" w:sz="4" w:space="0" w:color="auto"/>
            </w:tcBorders>
            <w:vAlign w:val="center"/>
            <w:hideMark/>
          </w:tcPr>
          <w:p w14:paraId="5188766B"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7B33C8E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1.121</w:t>
            </w:r>
          </w:p>
        </w:tc>
        <w:tc>
          <w:tcPr>
            <w:tcW w:w="0" w:type="auto"/>
            <w:gridSpan w:val="7"/>
            <w:tcBorders>
              <w:top w:val="single" w:sz="4" w:space="0" w:color="auto"/>
              <w:left w:val="nil"/>
              <w:bottom w:val="single" w:sz="4" w:space="0" w:color="auto"/>
              <w:right w:val="single" w:sz="4" w:space="0" w:color="auto"/>
            </w:tcBorders>
            <w:shd w:val="clear" w:color="000000" w:fill="FF6D01"/>
            <w:vAlign w:val="center"/>
            <w:hideMark/>
          </w:tcPr>
          <w:p w14:paraId="0CAE29B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std. deviation</w:t>
            </w:r>
          </w:p>
        </w:tc>
      </w:tr>
      <w:tr w:rsidR="00793DFB" w:rsidRPr="00E15AD4" w14:paraId="4A9FFA65" w14:textId="77777777" w:rsidTr="009F1C88">
        <w:trPr>
          <w:trHeight w:val="264"/>
        </w:trPr>
        <w:tc>
          <w:tcPr>
            <w:tcW w:w="0" w:type="auto"/>
            <w:gridSpan w:val="9"/>
            <w:tcBorders>
              <w:top w:val="single" w:sz="4" w:space="0" w:color="auto"/>
              <w:left w:val="single" w:sz="4" w:space="0" w:color="auto"/>
              <w:bottom w:val="single" w:sz="4" w:space="0" w:color="auto"/>
              <w:right w:val="single" w:sz="4" w:space="0" w:color="auto"/>
            </w:tcBorders>
            <w:shd w:val="clear" w:color="000000" w:fill="FFFF00"/>
            <w:vAlign w:val="center"/>
            <w:hideMark/>
          </w:tcPr>
          <w:p w14:paraId="72413520"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 xml:space="preserve">ثانيًا: التدريب والتطوير المستمر </w:t>
            </w:r>
          </w:p>
        </w:tc>
      </w:tr>
      <w:tr w:rsidR="00793DFB" w:rsidRPr="00E15AD4" w14:paraId="10C73654" w14:textId="77777777" w:rsidTr="009F1C88">
        <w:trPr>
          <w:trHeight w:val="528"/>
        </w:trPr>
        <w:tc>
          <w:tcPr>
            <w:tcW w:w="0" w:type="auto"/>
            <w:tcBorders>
              <w:top w:val="nil"/>
              <w:left w:val="single" w:sz="4" w:space="0" w:color="auto"/>
              <w:bottom w:val="single" w:sz="4" w:space="0" w:color="auto"/>
              <w:right w:val="single" w:sz="4" w:space="0" w:color="auto"/>
            </w:tcBorders>
            <w:shd w:val="clear" w:color="000000" w:fill="7AD694"/>
            <w:vAlign w:val="center"/>
            <w:hideMark/>
          </w:tcPr>
          <w:p w14:paraId="7655D293" w14:textId="77777777" w:rsidR="00793DFB" w:rsidRPr="00E15AD4" w:rsidRDefault="00793DFB" w:rsidP="009F1C88">
            <w:pPr>
              <w:bidi/>
              <w:spacing w:after="0" w:line="240" w:lineRule="auto"/>
              <w:jc w:val="center"/>
              <w:rPr>
                <w:rFonts w:ascii="Arial" w:eastAsia="Times New Roman" w:hAnsi="Arial" w:cs="Arial"/>
                <w:kern w:val="0"/>
                <w:sz w:val="20"/>
                <w:szCs w:val="20"/>
                <w:rtl/>
                <w14:ligatures w14:val="none"/>
              </w:rPr>
            </w:pPr>
            <w:r w:rsidRPr="00E15AD4">
              <w:rPr>
                <w:rFonts w:ascii="Arial" w:eastAsia="Times New Roman" w:hAnsi="Arial" w:cs="Arial"/>
                <w:kern w:val="0"/>
                <w:sz w:val="20"/>
                <w:szCs w:val="20"/>
                <w:rtl/>
                <w14:ligatures w14:val="none"/>
              </w:rPr>
              <w:t>الدرجة</w:t>
            </w:r>
          </w:p>
        </w:tc>
        <w:tc>
          <w:tcPr>
            <w:tcW w:w="0" w:type="auto"/>
            <w:tcBorders>
              <w:top w:val="nil"/>
              <w:left w:val="nil"/>
              <w:bottom w:val="single" w:sz="4" w:space="0" w:color="auto"/>
              <w:right w:val="single" w:sz="4" w:space="0" w:color="auto"/>
            </w:tcBorders>
            <w:shd w:val="clear" w:color="000000" w:fill="B3CEFB"/>
            <w:vAlign w:val="center"/>
            <w:hideMark/>
          </w:tcPr>
          <w:p w14:paraId="557C4218"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 xml:space="preserve">الانحراف المعياري </w:t>
            </w:r>
          </w:p>
        </w:tc>
        <w:tc>
          <w:tcPr>
            <w:tcW w:w="0" w:type="auto"/>
            <w:tcBorders>
              <w:top w:val="nil"/>
              <w:left w:val="nil"/>
              <w:bottom w:val="single" w:sz="4" w:space="0" w:color="auto"/>
              <w:right w:val="single" w:sz="4" w:space="0" w:color="auto"/>
            </w:tcBorders>
            <w:shd w:val="clear" w:color="000000" w:fill="B3CEFB"/>
            <w:vAlign w:val="center"/>
            <w:hideMark/>
          </w:tcPr>
          <w:p w14:paraId="1B0073C1"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المتوسط</w:t>
            </w:r>
          </w:p>
        </w:tc>
        <w:tc>
          <w:tcPr>
            <w:tcW w:w="0" w:type="auto"/>
            <w:tcBorders>
              <w:top w:val="nil"/>
              <w:left w:val="nil"/>
              <w:bottom w:val="single" w:sz="4" w:space="0" w:color="auto"/>
              <w:right w:val="single" w:sz="4" w:space="0" w:color="auto"/>
            </w:tcBorders>
            <w:shd w:val="clear" w:color="000000" w:fill="8CB5F9"/>
            <w:vAlign w:val="center"/>
            <w:hideMark/>
          </w:tcPr>
          <w:p w14:paraId="7B656F34"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أوافق بشدة</w:t>
            </w:r>
          </w:p>
        </w:tc>
        <w:tc>
          <w:tcPr>
            <w:tcW w:w="0" w:type="auto"/>
            <w:tcBorders>
              <w:top w:val="nil"/>
              <w:left w:val="nil"/>
              <w:bottom w:val="single" w:sz="4" w:space="0" w:color="auto"/>
              <w:right w:val="single" w:sz="4" w:space="0" w:color="auto"/>
            </w:tcBorders>
            <w:shd w:val="clear" w:color="000000" w:fill="8CB5F9"/>
            <w:vAlign w:val="center"/>
            <w:hideMark/>
          </w:tcPr>
          <w:p w14:paraId="7D6811A7"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أوافق</w:t>
            </w:r>
          </w:p>
        </w:tc>
        <w:tc>
          <w:tcPr>
            <w:tcW w:w="0" w:type="auto"/>
            <w:tcBorders>
              <w:top w:val="nil"/>
              <w:left w:val="nil"/>
              <w:bottom w:val="single" w:sz="4" w:space="0" w:color="auto"/>
              <w:right w:val="single" w:sz="4" w:space="0" w:color="auto"/>
            </w:tcBorders>
            <w:shd w:val="clear" w:color="000000" w:fill="8CB5F9"/>
            <w:vAlign w:val="center"/>
            <w:hideMark/>
          </w:tcPr>
          <w:p w14:paraId="1C7A25F0"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محايد</w:t>
            </w:r>
          </w:p>
        </w:tc>
        <w:tc>
          <w:tcPr>
            <w:tcW w:w="0" w:type="auto"/>
            <w:tcBorders>
              <w:top w:val="nil"/>
              <w:left w:val="nil"/>
              <w:bottom w:val="single" w:sz="4" w:space="0" w:color="auto"/>
              <w:right w:val="single" w:sz="4" w:space="0" w:color="auto"/>
            </w:tcBorders>
            <w:shd w:val="clear" w:color="000000" w:fill="8CB5F9"/>
            <w:vAlign w:val="center"/>
            <w:hideMark/>
          </w:tcPr>
          <w:p w14:paraId="150E1BD1"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لا أوافق</w:t>
            </w:r>
          </w:p>
        </w:tc>
        <w:tc>
          <w:tcPr>
            <w:tcW w:w="0" w:type="auto"/>
            <w:tcBorders>
              <w:top w:val="nil"/>
              <w:left w:val="nil"/>
              <w:bottom w:val="single" w:sz="4" w:space="0" w:color="auto"/>
              <w:right w:val="single" w:sz="4" w:space="0" w:color="auto"/>
            </w:tcBorders>
            <w:shd w:val="clear" w:color="000000" w:fill="8CB5F9"/>
            <w:vAlign w:val="center"/>
            <w:hideMark/>
          </w:tcPr>
          <w:p w14:paraId="594DDA2B"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لا أوافق بشدة</w:t>
            </w:r>
          </w:p>
        </w:tc>
        <w:tc>
          <w:tcPr>
            <w:tcW w:w="0" w:type="auto"/>
            <w:tcBorders>
              <w:top w:val="nil"/>
              <w:left w:val="nil"/>
              <w:bottom w:val="single" w:sz="4" w:space="0" w:color="auto"/>
              <w:right w:val="single" w:sz="4" w:space="0" w:color="auto"/>
            </w:tcBorders>
            <w:shd w:val="clear" w:color="000000" w:fill="FF6D01"/>
            <w:vAlign w:val="center"/>
            <w:hideMark/>
          </w:tcPr>
          <w:p w14:paraId="1AB79B22"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السؤال</w:t>
            </w:r>
          </w:p>
        </w:tc>
      </w:tr>
      <w:tr w:rsidR="00793DFB" w:rsidRPr="00E15AD4" w14:paraId="00A652E1" w14:textId="77777777" w:rsidTr="009F1C88">
        <w:trPr>
          <w:trHeight w:val="309"/>
        </w:trPr>
        <w:tc>
          <w:tcPr>
            <w:tcW w:w="0" w:type="auto"/>
            <w:vMerge w:val="restart"/>
            <w:tcBorders>
              <w:top w:val="nil"/>
              <w:left w:val="single" w:sz="4" w:space="0" w:color="auto"/>
              <w:bottom w:val="single" w:sz="4" w:space="0" w:color="auto"/>
              <w:right w:val="single" w:sz="4" w:space="0" w:color="auto"/>
            </w:tcBorders>
            <w:vAlign w:val="center"/>
            <w:hideMark/>
          </w:tcPr>
          <w:p w14:paraId="457BF93A"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4014EF3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1.0589</w:t>
            </w:r>
          </w:p>
        </w:tc>
        <w:tc>
          <w:tcPr>
            <w:tcW w:w="0" w:type="auto"/>
            <w:vMerge w:val="restart"/>
            <w:tcBorders>
              <w:top w:val="nil"/>
              <w:left w:val="single" w:sz="4" w:space="0" w:color="auto"/>
              <w:bottom w:val="single" w:sz="4" w:space="0" w:color="auto"/>
              <w:right w:val="single" w:sz="4" w:space="0" w:color="auto"/>
            </w:tcBorders>
            <w:vAlign w:val="center"/>
            <w:hideMark/>
          </w:tcPr>
          <w:p w14:paraId="7E295C2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3.537</w:t>
            </w:r>
          </w:p>
        </w:tc>
        <w:tc>
          <w:tcPr>
            <w:tcW w:w="0" w:type="auto"/>
            <w:tcBorders>
              <w:top w:val="nil"/>
              <w:left w:val="nil"/>
              <w:bottom w:val="single" w:sz="4" w:space="0" w:color="auto"/>
              <w:right w:val="single" w:sz="4" w:space="0" w:color="auto"/>
            </w:tcBorders>
            <w:vAlign w:val="center"/>
            <w:hideMark/>
          </w:tcPr>
          <w:p w14:paraId="13C1423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61</w:t>
            </w:r>
          </w:p>
        </w:tc>
        <w:tc>
          <w:tcPr>
            <w:tcW w:w="0" w:type="auto"/>
            <w:tcBorders>
              <w:top w:val="nil"/>
              <w:left w:val="nil"/>
              <w:bottom w:val="single" w:sz="4" w:space="0" w:color="auto"/>
              <w:right w:val="single" w:sz="4" w:space="0" w:color="auto"/>
            </w:tcBorders>
            <w:vAlign w:val="center"/>
            <w:hideMark/>
          </w:tcPr>
          <w:p w14:paraId="7815661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181</w:t>
            </w:r>
          </w:p>
        </w:tc>
        <w:tc>
          <w:tcPr>
            <w:tcW w:w="0" w:type="auto"/>
            <w:tcBorders>
              <w:top w:val="nil"/>
              <w:left w:val="nil"/>
              <w:bottom w:val="single" w:sz="4" w:space="0" w:color="auto"/>
              <w:right w:val="single" w:sz="4" w:space="0" w:color="auto"/>
            </w:tcBorders>
            <w:vAlign w:val="center"/>
            <w:hideMark/>
          </w:tcPr>
          <w:p w14:paraId="67FA1F6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95</w:t>
            </w:r>
          </w:p>
        </w:tc>
        <w:tc>
          <w:tcPr>
            <w:tcW w:w="0" w:type="auto"/>
            <w:tcBorders>
              <w:top w:val="nil"/>
              <w:left w:val="nil"/>
              <w:bottom w:val="single" w:sz="4" w:space="0" w:color="auto"/>
              <w:right w:val="single" w:sz="4" w:space="0" w:color="auto"/>
            </w:tcBorders>
            <w:vAlign w:val="center"/>
            <w:hideMark/>
          </w:tcPr>
          <w:p w14:paraId="0192878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38</w:t>
            </w:r>
          </w:p>
        </w:tc>
        <w:tc>
          <w:tcPr>
            <w:tcW w:w="0" w:type="auto"/>
            <w:tcBorders>
              <w:top w:val="nil"/>
              <w:left w:val="nil"/>
              <w:bottom w:val="single" w:sz="4" w:space="0" w:color="auto"/>
              <w:right w:val="single" w:sz="4" w:space="0" w:color="auto"/>
            </w:tcBorders>
            <w:vAlign w:val="center"/>
            <w:hideMark/>
          </w:tcPr>
          <w:p w14:paraId="6D6553B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25</w:t>
            </w:r>
          </w:p>
        </w:tc>
        <w:tc>
          <w:tcPr>
            <w:tcW w:w="0" w:type="auto"/>
            <w:vMerge w:val="restart"/>
            <w:tcBorders>
              <w:top w:val="nil"/>
              <w:left w:val="single" w:sz="4" w:space="0" w:color="auto"/>
              <w:bottom w:val="single" w:sz="4" w:space="0" w:color="000000"/>
              <w:right w:val="single" w:sz="4" w:space="0" w:color="auto"/>
            </w:tcBorders>
            <w:shd w:val="clear" w:color="000000" w:fill="DAF1F3"/>
            <w:vAlign w:val="center"/>
            <w:hideMark/>
          </w:tcPr>
          <w:p w14:paraId="6348F330"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5. توفر المنظمة برامج تدريب منتظمة لتحسين مهارات الموظفين.</w:t>
            </w:r>
          </w:p>
        </w:tc>
      </w:tr>
      <w:tr w:rsidR="00793DFB" w:rsidRPr="00E15AD4" w14:paraId="5A1306A0" w14:textId="77777777" w:rsidTr="009F1C88">
        <w:trPr>
          <w:trHeight w:val="129"/>
        </w:trPr>
        <w:tc>
          <w:tcPr>
            <w:tcW w:w="0" w:type="auto"/>
            <w:vMerge/>
            <w:tcBorders>
              <w:top w:val="nil"/>
              <w:left w:val="single" w:sz="4" w:space="0" w:color="auto"/>
              <w:bottom w:val="single" w:sz="4" w:space="0" w:color="auto"/>
              <w:right w:val="single" w:sz="4" w:space="0" w:color="auto"/>
            </w:tcBorders>
            <w:vAlign w:val="center"/>
            <w:hideMark/>
          </w:tcPr>
          <w:p w14:paraId="07C63E6F"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B55E0BF"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089BDC1D"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5E5802B9"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15.30%</w:t>
            </w:r>
          </w:p>
        </w:tc>
        <w:tc>
          <w:tcPr>
            <w:tcW w:w="0" w:type="auto"/>
            <w:tcBorders>
              <w:top w:val="nil"/>
              <w:left w:val="nil"/>
              <w:bottom w:val="single" w:sz="4" w:space="0" w:color="auto"/>
              <w:right w:val="single" w:sz="4" w:space="0" w:color="auto"/>
            </w:tcBorders>
            <w:vAlign w:val="center"/>
            <w:hideMark/>
          </w:tcPr>
          <w:p w14:paraId="716D6A44"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45.30%</w:t>
            </w:r>
          </w:p>
        </w:tc>
        <w:tc>
          <w:tcPr>
            <w:tcW w:w="0" w:type="auto"/>
            <w:tcBorders>
              <w:top w:val="nil"/>
              <w:left w:val="nil"/>
              <w:bottom w:val="single" w:sz="4" w:space="0" w:color="auto"/>
              <w:right w:val="single" w:sz="4" w:space="0" w:color="auto"/>
            </w:tcBorders>
            <w:vAlign w:val="center"/>
            <w:hideMark/>
          </w:tcPr>
          <w:p w14:paraId="0D92A49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23.80%</w:t>
            </w:r>
          </w:p>
        </w:tc>
        <w:tc>
          <w:tcPr>
            <w:tcW w:w="0" w:type="auto"/>
            <w:tcBorders>
              <w:top w:val="nil"/>
              <w:left w:val="nil"/>
              <w:bottom w:val="single" w:sz="4" w:space="0" w:color="auto"/>
              <w:right w:val="single" w:sz="4" w:space="0" w:color="auto"/>
            </w:tcBorders>
            <w:vAlign w:val="center"/>
            <w:hideMark/>
          </w:tcPr>
          <w:p w14:paraId="4DC138A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9.50%</w:t>
            </w:r>
          </w:p>
        </w:tc>
        <w:tc>
          <w:tcPr>
            <w:tcW w:w="0" w:type="auto"/>
            <w:tcBorders>
              <w:top w:val="nil"/>
              <w:left w:val="nil"/>
              <w:bottom w:val="single" w:sz="4" w:space="0" w:color="auto"/>
              <w:right w:val="single" w:sz="4" w:space="0" w:color="auto"/>
            </w:tcBorders>
            <w:vAlign w:val="center"/>
            <w:hideMark/>
          </w:tcPr>
          <w:p w14:paraId="08A74BE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6.30%</w:t>
            </w:r>
          </w:p>
        </w:tc>
        <w:tc>
          <w:tcPr>
            <w:tcW w:w="0" w:type="auto"/>
            <w:vMerge/>
            <w:tcBorders>
              <w:top w:val="nil"/>
              <w:left w:val="single" w:sz="4" w:space="0" w:color="auto"/>
              <w:bottom w:val="single" w:sz="4" w:space="0" w:color="000000"/>
              <w:right w:val="single" w:sz="4" w:space="0" w:color="auto"/>
            </w:tcBorders>
            <w:vAlign w:val="center"/>
            <w:hideMark/>
          </w:tcPr>
          <w:p w14:paraId="15182368"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32F4C1E5"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26F20AA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2E8FA36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1.0869</w:t>
            </w:r>
          </w:p>
        </w:tc>
        <w:tc>
          <w:tcPr>
            <w:tcW w:w="0" w:type="auto"/>
            <w:vMerge w:val="restart"/>
            <w:tcBorders>
              <w:top w:val="nil"/>
              <w:left w:val="single" w:sz="4" w:space="0" w:color="auto"/>
              <w:bottom w:val="single" w:sz="4" w:space="0" w:color="auto"/>
              <w:right w:val="single" w:sz="4" w:space="0" w:color="auto"/>
            </w:tcBorders>
            <w:vAlign w:val="center"/>
            <w:hideMark/>
          </w:tcPr>
          <w:p w14:paraId="577C6E2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3.6075</w:t>
            </w:r>
          </w:p>
        </w:tc>
        <w:tc>
          <w:tcPr>
            <w:tcW w:w="0" w:type="auto"/>
            <w:tcBorders>
              <w:top w:val="nil"/>
              <w:left w:val="nil"/>
              <w:bottom w:val="single" w:sz="4" w:space="0" w:color="auto"/>
              <w:right w:val="single" w:sz="4" w:space="0" w:color="auto"/>
            </w:tcBorders>
            <w:vAlign w:val="center"/>
            <w:hideMark/>
          </w:tcPr>
          <w:p w14:paraId="5B9994F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85</w:t>
            </w:r>
          </w:p>
        </w:tc>
        <w:tc>
          <w:tcPr>
            <w:tcW w:w="0" w:type="auto"/>
            <w:tcBorders>
              <w:top w:val="nil"/>
              <w:left w:val="nil"/>
              <w:bottom w:val="single" w:sz="4" w:space="0" w:color="auto"/>
              <w:right w:val="single" w:sz="4" w:space="0" w:color="auto"/>
            </w:tcBorders>
            <w:vAlign w:val="center"/>
            <w:hideMark/>
          </w:tcPr>
          <w:p w14:paraId="2DF3E12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158</w:t>
            </w:r>
          </w:p>
        </w:tc>
        <w:tc>
          <w:tcPr>
            <w:tcW w:w="0" w:type="auto"/>
            <w:tcBorders>
              <w:top w:val="nil"/>
              <w:left w:val="nil"/>
              <w:bottom w:val="single" w:sz="4" w:space="0" w:color="auto"/>
              <w:right w:val="single" w:sz="4" w:space="0" w:color="auto"/>
            </w:tcBorders>
            <w:vAlign w:val="center"/>
            <w:hideMark/>
          </w:tcPr>
          <w:p w14:paraId="00117BD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90</w:t>
            </w:r>
          </w:p>
        </w:tc>
        <w:tc>
          <w:tcPr>
            <w:tcW w:w="0" w:type="auto"/>
            <w:tcBorders>
              <w:top w:val="nil"/>
              <w:left w:val="nil"/>
              <w:bottom w:val="single" w:sz="4" w:space="0" w:color="auto"/>
              <w:right w:val="single" w:sz="4" w:space="0" w:color="auto"/>
            </w:tcBorders>
            <w:vAlign w:val="center"/>
            <w:hideMark/>
          </w:tcPr>
          <w:p w14:paraId="39C7FB4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49</w:t>
            </w:r>
          </w:p>
        </w:tc>
        <w:tc>
          <w:tcPr>
            <w:tcW w:w="0" w:type="auto"/>
            <w:tcBorders>
              <w:top w:val="nil"/>
              <w:left w:val="nil"/>
              <w:bottom w:val="single" w:sz="4" w:space="0" w:color="auto"/>
              <w:right w:val="single" w:sz="4" w:space="0" w:color="auto"/>
            </w:tcBorders>
            <w:vAlign w:val="center"/>
            <w:hideMark/>
          </w:tcPr>
          <w:p w14:paraId="47FFEAC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18</w:t>
            </w:r>
          </w:p>
        </w:tc>
        <w:tc>
          <w:tcPr>
            <w:tcW w:w="0" w:type="auto"/>
            <w:vMerge w:val="restart"/>
            <w:tcBorders>
              <w:top w:val="nil"/>
              <w:left w:val="single" w:sz="4" w:space="0" w:color="auto"/>
              <w:bottom w:val="single" w:sz="4" w:space="0" w:color="000000"/>
              <w:right w:val="single" w:sz="4" w:space="0" w:color="auto"/>
            </w:tcBorders>
            <w:shd w:val="clear" w:color="000000" w:fill="DAF1F3"/>
            <w:vAlign w:val="center"/>
            <w:hideMark/>
          </w:tcPr>
          <w:p w14:paraId="3FDD96F3"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6. يتم ربط التدريب بأهداف العمل ومتطلبات التطوير المستقبلية.</w:t>
            </w:r>
          </w:p>
        </w:tc>
      </w:tr>
      <w:tr w:rsidR="00793DFB" w:rsidRPr="00E15AD4" w14:paraId="6B9EB1F7" w14:textId="77777777" w:rsidTr="009F1C88">
        <w:trPr>
          <w:trHeight w:val="58"/>
        </w:trPr>
        <w:tc>
          <w:tcPr>
            <w:tcW w:w="0" w:type="auto"/>
            <w:vMerge/>
            <w:tcBorders>
              <w:top w:val="nil"/>
              <w:left w:val="single" w:sz="4" w:space="0" w:color="auto"/>
              <w:bottom w:val="single" w:sz="4" w:space="0" w:color="auto"/>
              <w:right w:val="single" w:sz="4" w:space="0" w:color="auto"/>
            </w:tcBorders>
            <w:vAlign w:val="center"/>
            <w:hideMark/>
          </w:tcPr>
          <w:p w14:paraId="72BF2AF5"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ADFDEC2"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697185BA"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432414D3"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21.30%</w:t>
            </w:r>
          </w:p>
        </w:tc>
        <w:tc>
          <w:tcPr>
            <w:tcW w:w="0" w:type="auto"/>
            <w:tcBorders>
              <w:top w:val="nil"/>
              <w:left w:val="nil"/>
              <w:bottom w:val="single" w:sz="4" w:space="0" w:color="auto"/>
              <w:right w:val="single" w:sz="4" w:space="0" w:color="auto"/>
            </w:tcBorders>
            <w:vAlign w:val="center"/>
            <w:hideMark/>
          </w:tcPr>
          <w:p w14:paraId="5A3FBDD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39.50%</w:t>
            </w:r>
          </w:p>
        </w:tc>
        <w:tc>
          <w:tcPr>
            <w:tcW w:w="0" w:type="auto"/>
            <w:tcBorders>
              <w:top w:val="nil"/>
              <w:left w:val="nil"/>
              <w:bottom w:val="single" w:sz="4" w:space="0" w:color="auto"/>
              <w:right w:val="single" w:sz="4" w:space="0" w:color="auto"/>
            </w:tcBorders>
            <w:vAlign w:val="center"/>
            <w:hideMark/>
          </w:tcPr>
          <w:p w14:paraId="5A62BD1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22.50%</w:t>
            </w:r>
          </w:p>
        </w:tc>
        <w:tc>
          <w:tcPr>
            <w:tcW w:w="0" w:type="auto"/>
            <w:tcBorders>
              <w:top w:val="nil"/>
              <w:left w:val="nil"/>
              <w:bottom w:val="single" w:sz="4" w:space="0" w:color="auto"/>
              <w:right w:val="single" w:sz="4" w:space="0" w:color="auto"/>
            </w:tcBorders>
            <w:vAlign w:val="center"/>
            <w:hideMark/>
          </w:tcPr>
          <w:p w14:paraId="18FE03D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12.30%</w:t>
            </w:r>
          </w:p>
        </w:tc>
        <w:tc>
          <w:tcPr>
            <w:tcW w:w="0" w:type="auto"/>
            <w:tcBorders>
              <w:top w:val="nil"/>
              <w:left w:val="nil"/>
              <w:bottom w:val="single" w:sz="4" w:space="0" w:color="auto"/>
              <w:right w:val="single" w:sz="4" w:space="0" w:color="auto"/>
            </w:tcBorders>
            <w:vAlign w:val="center"/>
            <w:hideMark/>
          </w:tcPr>
          <w:p w14:paraId="63E5FDB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4.50%</w:t>
            </w:r>
          </w:p>
        </w:tc>
        <w:tc>
          <w:tcPr>
            <w:tcW w:w="0" w:type="auto"/>
            <w:vMerge/>
            <w:tcBorders>
              <w:top w:val="nil"/>
              <w:left w:val="single" w:sz="4" w:space="0" w:color="auto"/>
              <w:bottom w:val="single" w:sz="4" w:space="0" w:color="000000"/>
              <w:right w:val="single" w:sz="4" w:space="0" w:color="auto"/>
            </w:tcBorders>
            <w:vAlign w:val="center"/>
            <w:hideMark/>
          </w:tcPr>
          <w:p w14:paraId="09430836"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37BB794B" w14:textId="77777777" w:rsidTr="009F1C88">
        <w:trPr>
          <w:trHeight w:val="187"/>
        </w:trPr>
        <w:tc>
          <w:tcPr>
            <w:tcW w:w="0" w:type="auto"/>
            <w:vMerge w:val="restart"/>
            <w:tcBorders>
              <w:top w:val="nil"/>
              <w:left w:val="single" w:sz="4" w:space="0" w:color="auto"/>
              <w:bottom w:val="single" w:sz="4" w:space="0" w:color="auto"/>
              <w:right w:val="single" w:sz="4" w:space="0" w:color="auto"/>
            </w:tcBorders>
            <w:vAlign w:val="center"/>
            <w:hideMark/>
          </w:tcPr>
          <w:p w14:paraId="421E535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206FAE6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1.21</w:t>
            </w:r>
          </w:p>
        </w:tc>
        <w:tc>
          <w:tcPr>
            <w:tcW w:w="0" w:type="auto"/>
            <w:vMerge w:val="restart"/>
            <w:tcBorders>
              <w:top w:val="nil"/>
              <w:left w:val="single" w:sz="4" w:space="0" w:color="auto"/>
              <w:bottom w:val="single" w:sz="4" w:space="0" w:color="auto"/>
              <w:right w:val="single" w:sz="4" w:space="0" w:color="auto"/>
            </w:tcBorders>
            <w:vAlign w:val="center"/>
            <w:hideMark/>
          </w:tcPr>
          <w:p w14:paraId="7783A7E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3.467</w:t>
            </w:r>
          </w:p>
        </w:tc>
        <w:tc>
          <w:tcPr>
            <w:tcW w:w="0" w:type="auto"/>
            <w:tcBorders>
              <w:top w:val="nil"/>
              <w:left w:val="nil"/>
              <w:bottom w:val="single" w:sz="4" w:space="0" w:color="auto"/>
              <w:right w:val="single" w:sz="4" w:space="0" w:color="auto"/>
            </w:tcBorders>
            <w:vAlign w:val="center"/>
            <w:hideMark/>
          </w:tcPr>
          <w:p w14:paraId="10CCF8A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83</w:t>
            </w:r>
          </w:p>
        </w:tc>
        <w:tc>
          <w:tcPr>
            <w:tcW w:w="0" w:type="auto"/>
            <w:tcBorders>
              <w:top w:val="nil"/>
              <w:left w:val="nil"/>
              <w:bottom w:val="single" w:sz="4" w:space="0" w:color="auto"/>
              <w:right w:val="single" w:sz="4" w:space="0" w:color="auto"/>
            </w:tcBorders>
            <w:vAlign w:val="center"/>
            <w:hideMark/>
          </w:tcPr>
          <w:p w14:paraId="226BC6E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140</w:t>
            </w:r>
          </w:p>
        </w:tc>
        <w:tc>
          <w:tcPr>
            <w:tcW w:w="0" w:type="auto"/>
            <w:tcBorders>
              <w:top w:val="nil"/>
              <w:left w:val="nil"/>
              <w:bottom w:val="single" w:sz="4" w:space="0" w:color="auto"/>
              <w:right w:val="single" w:sz="4" w:space="0" w:color="auto"/>
            </w:tcBorders>
            <w:vAlign w:val="center"/>
            <w:hideMark/>
          </w:tcPr>
          <w:p w14:paraId="1BBA7A84"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98</w:t>
            </w:r>
          </w:p>
        </w:tc>
        <w:tc>
          <w:tcPr>
            <w:tcW w:w="0" w:type="auto"/>
            <w:tcBorders>
              <w:top w:val="nil"/>
              <w:left w:val="nil"/>
              <w:bottom w:val="single" w:sz="4" w:space="0" w:color="auto"/>
              <w:right w:val="single" w:sz="4" w:space="0" w:color="auto"/>
            </w:tcBorders>
            <w:vAlign w:val="center"/>
            <w:hideMark/>
          </w:tcPr>
          <w:p w14:paraId="5BFAD15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39</w:t>
            </w:r>
          </w:p>
        </w:tc>
        <w:tc>
          <w:tcPr>
            <w:tcW w:w="0" w:type="auto"/>
            <w:tcBorders>
              <w:top w:val="nil"/>
              <w:left w:val="nil"/>
              <w:bottom w:val="single" w:sz="4" w:space="0" w:color="auto"/>
              <w:right w:val="single" w:sz="4" w:space="0" w:color="auto"/>
            </w:tcBorders>
            <w:vAlign w:val="center"/>
            <w:hideMark/>
          </w:tcPr>
          <w:p w14:paraId="403D3FE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40</w:t>
            </w:r>
          </w:p>
        </w:tc>
        <w:tc>
          <w:tcPr>
            <w:tcW w:w="0" w:type="auto"/>
            <w:vMerge w:val="restart"/>
            <w:tcBorders>
              <w:top w:val="nil"/>
              <w:left w:val="single" w:sz="4" w:space="0" w:color="auto"/>
              <w:bottom w:val="single" w:sz="4" w:space="0" w:color="000000"/>
              <w:right w:val="single" w:sz="4" w:space="0" w:color="auto"/>
            </w:tcBorders>
            <w:shd w:val="clear" w:color="000000" w:fill="DAF1F3"/>
            <w:vAlign w:val="center"/>
            <w:hideMark/>
          </w:tcPr>
          <w:p w14:paraId="08C9908F"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7. يتم تشجيع الموظفين على حضور الدورات الداخلية والخارجية.</w:t>
            </w:r>
          </w:p>
        </w:tc>
      </w:tr>
      <w:tr w:rsidR="00793DFB" w:rsidRPr="00E15AD4" w14:paraId="780B8957"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2E2906B1"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6F282F9"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0978005"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5F171981"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20.80%</w:t>
            </w:r>
          </w:p>
        </w:tc>
        <w:tc>
          <w:tcPr>
            <w:tcW w:w="0" w:type="auto"/>
            <w:tcBorders>
              <w:top w:val="nil"/>
              <w:left w:val="nil"/>
              <w:bottom w:val="single" w:sz="4" w:space="0" w:color="auto"/>
              <w:right w:val="single" w:sz="4" w:space="0" w:color="auto"/>
            </w:tcBorders>
            <w:vAlign w:val="center"/>
            <w:hideMark/>
          </w:tcPr>
          <w:p w14:paraId="143A53F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35.00%</w:t>
            </w:r>
          </w:p>
        </w:tc>
        <w:tc>
          <w:tcPr>
            <w:tcW w:w="0" w:type="auto"/>
            <w:tcBorders>
              <w:top w:val="nil"/>
              <w:left w:val="nil"/>
              <w:bottom w:val="single" w:sz="4" w:space="0" w:color="auto"/>
              <w:right w:val="single" w:sz="4" w:space="0" w:color="auto"/>
            </w:tcBorders>
            <w:vAlign w:val="center"/>
            <w:hideMark/>
          </w:tcPr>
          <w:p w14:paraId="1CB3E60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24.50%</w:t>
            </w:r>
          </w:p>
        </w:tc>
        <w:tc>
          <w:tcPr>
            <w:tcW w:w="0" w:type="auto"/>
            <w:tcBorders>
              <w:top w:val="nil"/>
              <w:left w:val="nil"/>
              <w:bottom w:val="single" w:sz="4" w:space="0" w:color="auto"/>
              <w:right w:val="single" w:sz="4" w:space="0" w:color="auto"/>
            </w:tcBorders>
            <w:vAlign w:val="center"/>
            <w:hideMark/>
          </w:tcPr>
          <w:p w14:paraId="3C8B5B7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9.80%</w:t>
            </w:r>
          </w:p>
        </w:tc>
        <w:tc>
          <w:tcPr>
            <w:tcW w:w="0" w:type="auto"/>
            <w:tcBorders>
              <w:top w:val="nil"/>
              <w:left w:val="nil"/>
              <w:bottom w:val="single" w:sz="4" w:space="0" w:color="auto"/>
              <w:right w:val="single" w:sz="4" w:space="0" w:color="auto"/>
            </w:tcBorders>
            <w:vAlign w:val="center"/>
            <w:hideMark/>
          </w:tcPr>
          <w:p w14:paraId="49412A1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10.00%</w:t>
            </w:r>
          </w:p>
        </w:tc>
        <w:tc>
          <w:tcPr>
            <w:tcW w:w="0" w:type="auto"/>
            <w:vMerge/>
            <w:tcBorders>
              <w:top w:val="nil"/>
              <w:left w:val="single" w:sz="4" w:space="0" w:color="auto"/>
              <w:bottom w:val="single" w:sz="4" w:space="0" w:color="000000"/>
              <w:right w:val="single" w:sz="4" w:space="0" w:color="auto"/>
            </w:tcBorders>
            <w:vAlign w:val="center"/>
            <w:hideMark/>
          </w:tcPr>
          <w:p w14:paraId="63F98FB9"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6D576E8C"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6DA0C65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4BE5DBA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1.013</w:t>
            </w:r>
          </w:p>
        </w:tc>
        <w:tc>
          <w:tcPr>
            <w:tcW w:w="0" w:type="auto"/>
            <w:vMerge w:val="restart"/>
            <w:tcBorders>
              <w:top w:val="nil"/>
              <w:left w:val="single" w:sz="4" w:space="0" w:color="auto"/>
              <w:bottom w:val="single" w:sz="4" w:space="0" w:color="auto"/>
              <w:right w:val="single" w:sz="4" w:space="0" w:color="auto"/>
            </w:tcBorders>
            <w:vAlign w:val="center"/>
            <w:hideMark/>
          </w:tcPr>
          <w:p w14:paraId="4C27C29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3.58</w:t>
            </w:r>
          </w:p>
        </w:tc>
        <w:tc>
          <w:tcPr>
            <w:tcW w:w="0" w:type="auto"/>
            <w:tcBorders>
              <w:top w:val="nil"/>
              <w:left w:val="nil"/>
              <w:bottom w:val="single" w:sz="4" w:space="0" w:color="auto"/>
              <w:right w:val="single" w:sz="4" w:space="0" w:color="auto"/>
            </w:tcBorders>
            <w:vAlign w:val="center"/>
            <w:hideMark/>
          </w:tcPr>
          <w:p w14:paraId="2C604A6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68</w:t>
            </w:r>
          </w:p>
        </w:tc>
        <w:tc>
          <w:tcPr>
            <w:tcW w:w="0" w:type="auto"/>
            <w:tcBorders>
              <w:top w:val="nil"/>
              <w:left w:val="nil"/>
              <w:bottom w:val="single" w:sz="4" w:space="0" w:color="auto"/>
              <w:right w:val="single" w:sz="4" w:space="0" w:color="auto"/>
            </w:tcBorders>
            <w:vAlign w:val="center"/>
            <w:hideMark/>
          </w:tcPr>
          <w:p w14:paraId="0512684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170</w:t>
            </w:r>
          </w:p>
        </w:tc>
        <w:tc>
          <w:tcPr>
            <w:tcW w:w="0" w:type="auto"/>
            <w:tcBorders>
              <w:top w:val="nil"/>
              <w:left w:val="nil"/>
              <w:bottom w:val="single" w:sz="4" w:space="0" w:color="auto"/>
              <w:right w:val="single" w:sz="4" w:space="0" w:color="auto"/>
            </w:tcBorders>
            <w:vAlign w:val="center"/>
            <w:hideMark/>
          </w:tcPr>
          <w:p w14:paraId="2E37E52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102</w:t>
            </w:r>
          </w:p>
        </w:tc>
        <w:tc>
          <w:tcPr>
            <w:tcW w:w="0" w:type="auto"/>
            <w:tcBorders>
              <w:top w:val="nil"/>
              <w:left w:val="nil"/>
              <w:bottom w:val="single" w:sz="4" w:space="0" w:color="auto"/>
              <w:right w:val="single" w:sz="4" w:space="0" w:color="auto"/>
            </w:tcBorders>
            <w:vAlign w:val="center"/>
            <w:hideMark/>
          </w:tcPr>
          <w:p w14:paraId="315EF63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46</w:t>
            </w:r>
          </w:p>
        </w:tc>
        <w:tc>
          <w:tcPr>
            <w:tcW w:w="0" w:type="auto"/>
            <w:tcBorders>
              <w:top w:val="nil"/>
              <w:left w:val="nil"/>
              <w:bottom w:val="single" w:sz="4" w:space="0" w:color="auto"/>
              <w:right w:val="single" w:sz="4" w:space="0" w:color="auto"/>
            </w:tcBorders>
            <w:vAlign w:val="center"/>
            <w:hideMark/>
          </w:tcPr>
          <w:p w14:paraId="2317744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14</w:t>
            </w:r>
          </w:p>
        </w:tc>
        <w:tc>
          <w:tcPr>
            <w:tcW w:w="0" w:type="auto"/>
            <w:vMerge w:val="restart"/>
            <w:tcBorders>
              <w:top w:val="nil"/>
              <w:left w:val="single" w:sz="4" w:space="0" w:color="auto"/>
              <w:bottom w:val="single" w:sz="4" w:space="0" w:color="000000"/>
              <w:right w:val="single" w:sz="4" w:space="0" w:color="auto"/>
            </w:tcBorders>
            <w:shd w:val="clear" w:color="000000" w:fill="DAF1F3"/>
            <w:vAlign w:val="center"/>
            <w:hideMark/>
          </w:tcPr>
          <w:p w14:paraId="55D52774"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8. تقيّم الإدارة احتياجات التدريب بناءً على نتائج الأداء.</w:t>
            </w:r>
          </w:p>
        </w:tc>
      </w:tr>
      <w:tr w:rsidR="00793DFB" w:rsidRPr="00E15AD4" w14:paraId="514EFB40"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4E38CFCB"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4887DFA"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355DADB"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7FB9C0EC"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17.00%</w:t>
            </w:r>
          </w:p>
        </w:tc>
        <w:tc>
          <w:tcPr>
            <w:tcW w:w="0" w:type="auto"/>
            <w:tcBorders>
              <w:top w:val="nil"/>
              <w:left w:val="nil"/>
              <w:bottom w:val="single" w:sz="4" w:space="0" w:color="auto"/>
              <w:right w:val="single" w:sz="4" w:space="0" w:color="auto"/>
            </w:tcBorders>
            <w:vAlign w:val="center"/>
            <w:hideMark/>
          </w:tcPr>
          <w:p w14:paraId="142B14E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42.50%</w:t>
            </w:r>
          </w:p>
        </w:tc>
        <w:tc>
          <w:tcPr>
            <w:tcW w:w="0" w:type="auto"/>
            <w:tcBorders>
              <w:top w:val="nil"/>
              <w:left w:val="nil"/>
              <w:bottom w:val="single" w:sz="4" w:space="0" w:color="auto"/>
              <w:right w:val="single" w:sz="4" w:space="0" w:color="auto"/>
            </w:tcBorders>
            <w:vAlign w:val="center"/>
            <w:hideMark/>
          </w:tcPr>
          <w:p w14:paraId="53CC81A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25.50%</w:t>
            </w:r>
          </w:p>
        </w:tc>
        <w:tc>
          <w:tcPr>
            <w:tcW w:w="0" w:type="auto"/>
            <w:tcBorders>
              <w:top w:val="nil"/>
              <w:left w:val="nil"/>
              <w:bottom w:val="single" w:sz="4" w:space="0" w:color="auto"/>
              <w:right w:val="single" w:sz="4" w:space="0" w:color="auto"/>
            </w:tcBorders>
            <w:vAlign w:val="center"/>
            <w:hideMark/>
          </w:tcPr>
          <w:p w14:paraId="6796F14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11.50%</w:t>
            </w:r>
          </w:p>
        </w:tc>
        <w:tc>
          <w:tcPr>
            <w:tcW w:w="0" w:type="auto"/>
            <w:tcBorders>
              <w:top w:val="nil"/>
              <w:left w:val="nil"/>
              <w:bottom w:val="single" w:sz="4" w:space="0" w:color="auto"/>
              <w:right w:val="single" w:sz="4" w:space="0" w:color="auto"/>
            </w:tcBorders>
            <w:vAlign w:val="center"/>
            <w:hideMark/>
          </w:tcPr>
          <w:p w14:paraId="24B33C8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3.50%</w:t>
            </w:r>
          </w:p>
        </w:tc>
        <w:tc>
          <w:tcPr>
            <w:tcW w:w="0" w:type="auto"/>
            <w:vMerge/>
            <w:tcBorders>
              <w:top w:val="nil"/>
              <w:left w:val="single" w:sz="4" w:space="0" w:color="auto"/>
              <w:bottom w:val="single" w:sz="4" w:space="0" w:color="000000"/>
              <w:right w:val="single" w:sz="4" w:space="0" w:color="auto"/>
            </w:tcBorders>
            <w:vAlign w:val="center"/>
            <w:hideMark/>
          </w:tcPr>
          <w:p w14:paraId="0B262465"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0C1898F0" w14:textId="77777777" w:rsidTr="009F1C88">
        <w:trPr>
          <w:trHeight w:val="264"/>
        </w:trPr>
        <w:tc>
          <w:tcPr>
            <w:tcW w:w="0" w:type="auto"/>
            <w:vMerge w:val="restart"/>
            <w:tcBorders>
              <w:top w:val="nil"/>
              <w:left w:val="single" w:sz="4" w:space="0" w:color="auto"/>
              <w:bottom w:val="single" w:sz="4" w:space="0" w:color="000000"/>
              <w:right w:val="single" w:sz="4" w:space="0" w:color="auto"/>
            </w:tcBorders>
            <w:shd w:val="clear" w:color="000000" w:fill="FF6D01"/>
            <w:vAlign w:val="center"/>
            <w:hideMark/>
          </w:tcPr>
          <w:p w14:paraId="5E09A7CE"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gridSpan w:val="2"/>
            <w:tcBorders>
              <w:top w:val="single" w:sz="4" w:space="0" w:color="auto"/>
              <w:left w:val="nil"/>
              <w:bottom w:val="single" w:sz="4" w:space="0" w:color="auto"/>
              <w:right w:val="single" w:sz="4" w:space="0" w:color="auto"/>
            </w:tcBorders>
            <w:vAlign w:val="center"/>
            <w:hideMark/>
          </w:tcPr>
          <w:p w14:paraId="337776B5"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3.547875</w:t>
            </w:r>
          </w:p>
        </w:tc>
        <w:tc>
          <w:tcPr>
            <w:tcW w:w="0" w:type="auto"/>
            <w:gridSpan w:val="6"/>
            <w:tcBorders>
              <w:top w:val="single" w:sz="4" w:space="0" w:color="auto"/>
              <w:left w:val="nil"/>
              <w:bottom w:val="single" w:sz="4" w:space="0" w:color="auto"/>
              <w:right w:val="single" w:sz="4" w:space="0" w:color="auto"/>
            </w:tcBorders>
            <w:shd w:val="clear" w:color="000000" w:fill="FF6D01"/>
            <w:vAlign w:val="center"/>
            <w:hideMark/>
          </w:tcPr>
          <w:p w14:paraId="0911D4AD"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proofErr w:type="spellStart"/>
            <w:r w:rsidRPr="00E15AD4">
              <w:rPr>
                <w:rFonts w:ascii="Arial" w:eastAsia="Times New Roman" w:hAnsi="Arial" w:cs="Arial"/>
                <w:color w:val="000000"/>
                <w:kern w:val="0"/>
                <w:sz w:val="20"/>
                <w:szCs w:val="20"/>
                <w14:ligatures w14:val="none"/>
              </w:rPr>
              <w:t>weightted</w:t>
            </w:r>
            <w:proofErr w:type="spellEnd"/>
            <w:r w:rsidRPr="00E15AD4">
              <w:rPr>
                <w:rFonts w:ascii="Arial" w:eastAsia="Times New Roman" w:hAnsi="Arial" w:cs="Arial"/>
                <w:color w:val="000000"/>
                <w:kern w:val="0"/>
                <w:sz w:val="20"/>
                <w:szCs w:val="20"/>
                <w14:ligatures w14:val="none"/>
              </w:rPr>
              <w:t xml:space="preserve"> mean </w:t>
            </w:r>
          </w:p>
        </w:tc>
      </w:tr>
      <w:tr w:rsidR="00793DFB" w:rsidRPr="00E15AD4" w14:paraId="76EFFB5F" w14:textId="77777777" w:rsidTr="009F1C88">
        <w:trPr>
          <w:trHeight w:val="264"/>
        </w:trPr>
        <w:tc>
          <w:tcPr>
            <w:tcW w:w="0" w:type="auto"/>
            <w:vMerge/>
            <w:tcBorders>
              <w:top w:val="nil"/>
              <w:left w:val="single" w:sz="4" w:space="0" w:color="auto"/>
              <w:bottom w:val="single" w:sz="4" w:space="0" w:color="000000"/>
              <w:right w:val="single" w:sz="4" w:space="0" w:color="auto"/>
            </w:tcBorders>
            <w:vAlign w:val="center"/>
            <w:hideMark/>
          </w:tcPr>
          <w:p w14:paraId="26AFE97C"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459CF9A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1.0922</w:t>
            </w:r>
          </w:p>
        </w:tc>
        <w:tc>
          <w:tcPr>
            <w:tcW w:w="0" w:type="auto"/>
            <w:gridSpan w:val="7"/>
            <w:tcBorders>
              <w:top w:val="single" w:sz="4" w:space="0" w:color="auto"/>
              <w:left w:val="nil"/>
              <w:bottom w:val="single" w:sz="4" w:space="0" w:color="auto"/>
              <w:right w:val="single" w:sz="4" w:space="0" w:color="auto"/>
            </w:tcBorders>
            <w:shd w:val="clear" w:color="000000" w:fill="FF6D01"/>
            <w:vAlign w:val="center"/>
            <w:hideMark/>
          </w:tcPr>
          <w:p w14:paraId="3222AA6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std. deviation</w:t>
            </w:r>
          </w:p>
        </w:tc>
      </w:tr>
      <w:tr w:rsidR="00793DFB" w:rsidRPr="00E15AD4" w14:paraId="4E8B6D06" w14:textId="77777777" w:rsidTr="009F1C88">
        <w:trPr>
          <w:trHeight w:val="264"/>
        </w:trPr>
        <w:tc>
          <w:tcPr>
            <w:tcW w:w="0" w:type="auto"/>
            <w:gridSpan w:val="9"/>
            <w:tcBorders>
              <w:top w:val="single" w:sz="4" w:space="0" w:color="auto"/>
              <w:left w:val="single" w:sz="4" w:space="0" w:color="auto"/>
              <w:bottom w:val="single" w:sz="4" w:space="0" w:color="auto"/>
              <w:right w:val="single" w:sz="4" w:space="0" w:color="auto"/>
            </w:tcBorders>
            <w:shd w:val="clear" w:color="000000" w:fill="FFFF00"/>
            <w:vAlign w:val="center"/>
            <w:hideMark/>
          </w:tcPr>
          <w:p w14:paraId="6F8B5010"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 xml:space="preserve">ثالثًا: نظم الحوافز والمكافآت </w:t>
            </w:r>
          </w:p>
        </w:tc>
      </w:tr>
      <w:tr w:rsidR="00793DFB" w:rsidRPr="00E15AD4" w14:paraId="27069238" w14:textId="77777777" w:rsidTr="009F1C88">
        <w:trPr>
          <w:trHeight w:val="528"/>
        </w:trPr>
        <w:tc>
          <w:tcPr>
            <w:tcW w:w="0" w:type="auto"/>
            <w:tcBorders>
              <w:top w:val="nil"/>
              <w:left w:val="single" w:sz="4" w:space="0" w:color="auto"/>
              <w:bottom w:val="single" w:sz="4" w:space="0" w:color="auto"/>
              <w:right w:val="single" w:sz="4" w:space="0" w:color="auto"/>
            </w:tcBorders>
            <w:shd w:val="clear" w:color="000000" w:fill="7AD694"/>
            <w:vAlign w:val="center"/>
            <w:hideMark/>
          </w:tcPr>
          <w:p w14:paraId="55E258B8" w14:textId="77777777" w:rsidR="00793DFB" w:rsidRPr="00E15AD4" w:rsidRDefault="00793DFB" w:rsidP="009F1C88">
            <w:pPr>
              <w:bidi/>
              <w:spacing w:after="0" w:line="240" w:lineRule="auto"/>
              <w:jc w:val="center"/>
              <w:rPr>
                <w:rFonts w:ascii="Arial" w:eastAsia="Times New Roman" w:hAnsi="Arial" w:cs="Arial"/>
                <w:kern w:val="0"/>
                <w:sz w:val="20"/>
                <w:szCs w:val="20"/>
                <w:rtl/>
                <w14:ligatures w14:val="none"/>
              </w:rPr>
            </w:pPr>
            <w:r w:rsidRPr="00E15AD4">
              <w:rPr>
                <w:rFonts w:ascii="Arial" w:eastAsia="Times New Roman" w:hAnsi="Arial" w:cs="Arial"/>
                <w:kern w:val="0"/>
                <w:sz w:val="20"/>
                <w:szCs w:val="20"/>
                <w:rtl/>
                <w14:ligatures w14:val="none"/>
              </w:rPr>
              <w:t>الدرجة</w:t>
            </w:r>
          </w:p>
        </w:tc>
        <w:tc>
          <w:tcPr>
            <w:tcW w:w="0" w:type="auto"/>
            <w:tcBorders>
              <w:top w:val="nil"/>
              <w:left w:val="nil"/>
              <w:bottom w:val="single" w:sz="4" w:space="0" w:color="auto"/>
              <w:right w:val="single" w:sz="4" w:space="0" w:color="auto"/>
            </w:tcBorders>
            <w:shd w:val="clear" w:color="000000" w:fill="B3CEFB"/>
            <w:vAlign w:val="center"/>
            <w:hideMark/>
          </w:tcPr>
          <w:p w14:paraId="67726701"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 xml:space="preserve">الانحراف المعياري </w:t>
            </w:r>
          </w:p>
        </w:tc>
        <w:tc>
          <w:tcPr>
            <w:tcW w:w="0" w:type="auto"/>
            <w:tcBorders>
              <w:top w:val="nil"/>
              <w:left w:val="nil"/>
              <w:bottom w:val="single" w:sz="4" w:space="0" w:color="auto"/>
              <w:right w:val="single" w:sz="4" w:space="0" w:color="auto"/>
            </w:tcBorders>
            <w:shd w:val="clear" w:color="000000" w:fill="B3CEFB"/>
            <w:vAlign w:val="center"/>
            <w:hideMark/>
          </w:tcPr>
          <w:p w14:paraId="2AE67B3D"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المتوسط</w:t>
            </w:r>
          </w:p>
        </w:tc>
        <w:tc>
          <w:tcPr>
            <w:tcW w:w="0" w:type="auto"/>
            <w:tcBorders>
              <w:top w:val="nil"/>
              <w:left w:val="nil"/>
              <w:bottom w:val="single" w:sz="4" w:space="0" w:color="auto"/>
              <w:right w:val="single" w:sz="4" w:space="0" w:color="auto"/>
            </w:tcBorders>
            <w:shd w:val="clear" w:color="000000" w:fill="8CB5F9"/>
            <w:vAlign w:val="center"/>
            <w:hideMark/>
          </w:tcPr>
          <w:p w14:paraId="67129FE2"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أوافق بشدة</w:t>
            </w:r>
          </w:p>
        </w:tc>
        <w:tc>
          <w:tcPr>
            <w:tcW w:w="0" w:type="auto"/>
            <w:tcBorders>
              <w:top w:val="nil"/>
              <w:left w:val="nil"/>
              <w:bottom w:val="single" w:sz="4" w:space="0" w:color="auto"/>
              <w:right w:val="single" w:sz="4" w:space="0" w:color="auto"/>
            </w:tcBorders>
            <w:shd w:val="clear" w:color="000000" w:fill="8CB5F9"/>
            <w:vAlign w:val="center"/>
            <w:hideMark/>
          </w:tcPr>
          <w:p w14:paraId="508CA14E"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أوافق</w:t>
            </w:r>
          </w:p>
        </w:tc>
        <w:tc>
          <w:tcPr>
            <w:tcW w:w="0" w:type="auto"/>
            <w:tcBorders>
              <w:top w:val="nil"/>
              <w:left w:val="nil"/>
              <w:bottom w:val="single" w:sz="4" w:space="0" w:color="auto"/>
              <w:right w:val="single" w:sz="4" w:space="0" w:color="auto"/>
            </w:tcBorders>
            <w:shd w:val="clear" w:color="000000" w:fill="8CB5F9"/>
            <w:vAlign w:val="center"/>
            <w:hideMark/>
          </w:tcPr>
          <w:p w14:paraId="3E14FF02"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محايد</w:t>
            </w:r>
          </w:p>
        </w:tc>
        <w:tc>
          <w:tcPr>
            <w:tcW w:w="0" w:type="auto"/>
            <w:tcBorders>
              <w:top w:val="nil"/>
              <w:left w:val="nil"/>
              <w:bottom w:val="single" w:sz="4" w:space="0" w:color="auto"/>
              <w:right w:val="single" w:sz="4" w:space="0" w:color="auto"/>
            </w:tcBorders>
            <w:shd w:val="clear" w:color="000000" w:fill="8CB5F9"/>
            <w:vAlign w:val="center"/>
            <w:hideMark/>
          </w:tcPr>
          <w:p w14:paraId="4687C91E"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لا أوافق</w:t>
            </w:r>
          </w:p>
        </w:tc>
        <w:tc>
          <w:tcPr>
            <w:tcW w:w="0" w:type="auto"/>
            <w:tcBorders>
              <w:top w:val="nil"/>
              <w:left w:val="nil"/>
              <w:bottom w:val="single" w:sz="4" w:space="0" w:color="auto"/>
              <w:right w:val="single" w:sz="4" w:space="0" w:color="auto"/>
            </w:tcBorders>
            <w:shd w:val="clear" w:color="000000" w:fill="8CB5F9"/>
            <w:vAlign w:val="center"/>
            <w:hideMark/>
          </w:tcPr>
          <w:p w14:paraId="623B521F"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لا أوافق بشدة</w:t>
            </w:r>
          </w:p>
        </w:tc>
        <w:tc>
          <w:tcPr>
            <w:tcW w:w="0" w:type="auto"/>
            <w:tcBorders>
              <w:top w:val="nil"/>
              <w:left w:val="nil"/>
              <w:bottom w:val="single" w:sz="4" w:space="0" w:color="auto"/>
              <w:right w:val="single" w:sz="4" w:space="0" w:color="auto"/>
            </w:tcBorders>
            <w:shd w:val="clear" w:color="000000" w:fill="FF6D01"/>
            <w:vAlign w:val="center"/>
            <w:hideMark/>
          </w:tcPr>
          <w:p w14:paraId="18CA6161"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السؤال</w:t>
            </w:r>
          </w:p>
        </w:tc>
      </w:tr>
      <w:tr w:rsidR="00793DFB" w:rsidRPr="00E15AD4" w14:paraId="78C4CAF0"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422428DD"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00407AC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0.9833</w:t>
            </w:r>
          </w:p>
        </w:tc>
        <w:tc>
          <w:tcPr>
            <w:tcW w:w="0" w:type="auto"/>
            <w:vMerge w:val="restart"/>
            <w:tcBorders>
              <w:top w:val="nil"/>
              <w:left w:val="single" w:sz="4" w:space="0" w:color="auto"/>
              <w:bottom w:val="single" w:sz="4" w:space="0" w:color="auto"/>
              <w:right w:val="single" w:sz="4" w:space="0" w:color="auto"/>
            </w:tcBorders>
            <w:vAlign w:val="center"/>
            <w:hideMark/>
          </w:tcPr>
          <w:p w14:paraId="44B4067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3.5225</w:t>
            </w:r>
          </w:p>
        </w:tc>
        <w:tc>
          <w:tcPr>
            <w:tcW w:w="0" w:type="auto"/>
            <w:tcBorders>
              <w:top w:val="nil"/>
              <w:left w:val="nil"/>
              <w:bottom w:val="single" w:sz="4" w:space="0" w:color="auto"/>
              <w:right w:val="single" w:sz="4" w:space="0" w:color="auto"/>
            </w:tcBorders>
            <w:vAlign w:val="center"/>
            <w:hideMark/>
          </w:tcPr>
          <w:p w14:paraId="496967C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55</w:t>
            </w:r>
          </w:p>
        </w:tc>
        <w:tc>
          <w:tcPr>
            <w:tcW w:w="0" w:type="auto"/>
            <w:tcBorders>
              <w:top w:val="nil"/>
              <w:left w:val="nil"/>
              <w:bottom w:val="single" w:sz="4" w:space="0" w:color="auto"/>
              <w:right w:val="single" w:sz="4" w:space="0" w:color="auto"/>
            </w:tcBorders>
            <w:vAlign w:val="center"/>
            <w:hideMark/>
          </w:tcPr>
          <w:p w14:paraId="6BBE8C3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174</w:t>
            </w:r>
          </w:p>
        </w:tc>
        <w:tc>
          <w:tcPr>
            <w:tcW w:w="0" w:type="auto"/>
            <w:tcBorders>
              <w:top w:val="nil"/>
              <w:left w:val="nil"/>
              <w:bottom w:val="single" w:sz="4" w:space="0" w:color="auto"/>
              <w:right w:val="single" w:sz="4" w:space="0" w:color="auto"/>
            </w:tcBorders>
            <w:vAlign w:val="center"/>
            <w:hideMark/>
          </w:tcPr>
          <w:p w14:paraId="0815F4C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109</w:t>
            </w:r>
          </w:p>
        </w:tc>
        <w:tc>
          <w:tcPr>
            <w:tcW w:w="0" w:type="auto"/>
            <w:tcBorders>
              <w:top w:val="nil"/>
              <w:left w:val="nil"/>
              <w:bottom w:val="single" w:sz="4" w:space="0" w:color="auto"/>
              <w:right w:val="single" w:sz="4" w:space="0" w:color="auto"/>
            </w:tcBorders>
            <w:vAlign w:val="center"/>
            <w:hideMark/>
          </w:tcPr>
          <w:p w14:paraId="4D5CEF4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49</w:t>
            </w:r>
          </w:p>
        </w:tc>
        <w:tc>
          <w:tcPr>
            <w:tcW w:w="0" w:type="auto"/>
            <w:tcBorders>
              <w:top w:val="nil"/>
              <w:left w:val="nil"/>
              <w:bottom w:val="single" w:sz="4" w:space="0" w:color="auto"/>
              <w:right w:val="single" w:sz="4" w:space="0" w:color="auto"/>
            </w:tcBorders>
            <w:vAlign w:val="center"/>
            <w:hideMark/>
          </w:tcPr>
          <w:p w14:paraId="0154675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13</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1E0D2157"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9. تُقدَّم المكافآت بناءً على الأداء الفردي المتميز.</w:t>
            </w:r>
          </w:p>
        </w:tc>
      </w:tr>
      <w:tr w:rsidR="00793DFB" w:rsidRPr="00E15AD4" w14:paraId="7A653A80"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30AA57B5"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1F37606"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40391A8"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57F7ACD3"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13.80%</w:t>
            </w:r>
          </w:p>
        </w:tc>
        <w:tc>
          <w:tcPr>
            <w:tcW w:w="0" w:type="auto"/>
            <w:tcBorders>
              <w:top w:val="nil"/>
              <w:left w:val="nil"/>
              <w:bottom w:val="single" w:sz="4" w:space="0" w:color="auto"/>
              <w:right w:val="single" w:sz="4" w:space="0" w:color="auto"/>
            </w:tcBorders>
            <w:vAlign w:val="center"/>
            <w:hideMark/>
          </w:tcPr>
          <w:p w14:paraId="53AE0FD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43.50%</w:t>
            </w:r>
          </w:p>
        </w:tc>
        <w:tc>
          <w:tcPr>
            <w:tcW w:w="0" w:type="auto"/>
            <w:tcBorders>
              <w:top w:val="nil"/>
              <w:left w:val="nil"/>
              <w:bottom w:val="single" w:sz="4" w:space="0" w:color="auto"/>
              <w:right w:val="single" w:sz="4" w:space="0" w:color="auto"/>
            </w:tcBorders>
            <w:vAlign w:val="center"/>
            <w:hideMark/>
          </w:tcPr>
          <w:p w14:paraId="57A2883D"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27.30%</w:t>
            </w:r>
          </w:p>
        </w:tc>
        <w:tc>
          <w:tcPr>
            <w:tcW w:w="0" w:type="auto"/>
            <w:tcBorders>
              <w:top w:val="nil"/>
              <w:left w:val="nil"/>
              <w:bottom w:val="single" w:sz="4" w:space="0" w:color="auto"/>
              <w:right w:val="single" w:sz="4" w:space="0" w:color="auto"/>
            </w:tcBorders>
            <w:vAlign w:val="center"/>
            <w:hideMark/>
          </w:tcPr>
          <w:p w14:paraId="115183E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12.30%</w:t>
            </w:r>
          </w:p>
        </w:tc>
        <w:tc>
          <w:tcPr>
            <w:tcW w:w="0" w:type="auto"/>
            <w:tcBorders>
              <w:top w:val="nil"/>
              <w:left w:val="nil"/>
              <w:bottom w:val="single" w:sz="4" w:space="0" w:color="auto"/>
              <w:right w:val="single" w:sz="4" w:space="0" w:color="auto"/>
            </w:tcBorders>
            <w:vAlign w:val="center"/>
            <w:hideMark/>
          </w:tcPr>
          <w:p w14:paraId="7F3DCC1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3.30%</w:t>
            </w:r>
          </w:p>
        </w:tc>
        <w:tc>
          <w:tcPr>
            <w:tcW w:w="0" w:type="auto"/>
            <w:vMerge/>
            <w:tcBorders>
              <w:top w:val="nil"/>
              <w:left w:val="single" w:sz="4" w:space="0" w:color="auto"/>
              <w:bottom w:val="single" w:sz="4" w:space="0" w:color="auto"/>
              <w:right w:val="single" w:sz="4" w:space="0" w:color="auto"/>
            </w:tcBorders>
            <w:vAlign w:val="center"/>
            <w:hideMark/>
          </w:tcPr>
          <w:p w14:paraId="00CAAD41"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75A67ECD"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188240E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5801B63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1.12</w:t>
            </w:r>
          </w:p>
        </w:tc>
        <w:tc>
          <w:tcPr>
            <w:tcW w:w="0" w:type="auto"/>
            <w:vMerge w:val="restart"/>
            <w:tcBorders>
              <w:top w:val="nil"/>
              <w:left w:val="single" w:sz="4" w:space="0" w:color="auto"/>
              <w:bottom w:val="single" w:sz="4" w:space="0" w:color="auto"/>
              <w:right w:val="single" w:sz="4" w:space="0" w:color="auto"/>
            </w:tcBorders>
            <w:vAlign w:val="center"/>
            <w:hideMark/>
          </w:tcPr>
          <w:p w14:paraId="54B827F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3.48</w:t>
            </w:r>
          </w:p>
        </w:tc>
        <w:tc>
          <w:tcPr>
            <w:tcW w:w="0" w:type="auto"/>
            <w:tcBorders>
              <w:top w:val="nil"/>
              <w:left w:val="nil"/>
              <w:bottom w:val="single" w:sz="4" w:space="0" w:color="auto"/>
              <w:right w:val="single" w:sz="4" w:space="0" w:color="auto"/>
            </w:tcBorders>
            <w:vAlign w:val="center"/>
            <w:hideMark/>
          </w:tcPr>
          <w:p w14:paraId="37E1C2E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76</w:t>
            </w:r>
          </w:p>
        </w:tc>
        <w:tc>
          <w:tcPr>
            <w:tcW w:w="0" w:type="auto"/>
            <w:tcBorders>
              <w:top w:val="nil"/>
              <w:left w:val="nil"/>
              <w:bottom w:val="single" w:sz="4" w:space="0" w:color="auto"/>
              <w:right w:val="single" w:sz="4" w:space="0" w:color="auto"/>
            </w:tcBorders>
            <w:vAlign w:val="center"/>
            <w:hideMark/>
          </w:tcPr>
          <w:p w14:paraId="6AFE52F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141</w:t>
            </w:r>
          </w:p>
        </w:tc>
        <w:tc>
          <w:tcPr>
            <w:tcW w:w="0" w:type="auto"/>
            <w:tcBorders>
              <w:top w:val="nil"/>
              <w:left w:val="nil"/>
              <w:bottom w:val="single" w:sz="4" w:space="0" w:color="auto"/>
              <w:right w:val="single" w:sz="4" w:space="0" w:color="auto"/>
            </w:tcBorders>
            <w:vAlign w:val="center"/>
            <w:hideMark/>
          </w:tcPr>
          <w:p w14:paraId="39C2633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107</w:t>
            </w:r>
          </w:p>
        </w:tc>
        <w:tc>
          <w:tcPr>
            <w:tcW w:w="0" w:type="auto"/>
            <w:tcBorders>
              <w:top w:val="nil"/>
              <w:left w:val="nil"/>
              <w:bottom w:val="single" w:sz="4" w:space="0" w:color="auto"/>
              <w:right w:val="single" w:sz="4" w:space="0" w:color="auto"/>
            </w:tcBorders>
            <w:vAlign w:val="center"/>
            <w:hideMark/>
          </w:tcPr>
          <w:p w14:paraId="716419F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51</w:t>
            </w:r>
          </w:p>
        </w:tc>
        <w:tc>
          <w:tcPr>
            <w:tcW w:w="0" w:type="auto"/>
            <w:tcBorders>
              <w:top w:val="nil"/>
              <w:left w:val="nil"/>
              <w:bottom w:val="single" w:sz="4" w:space="0" w:color="auto"/>
              <w:right w:val="single" w:sz="4" w:space="0" w:color="auto"/>
            </w:tcBorders>
            <w:vAlign w:val="center"/>
            <w:hideMark/>
          </w:tcPr>
          <w:p w14:paraId="2844869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25</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67EC7738"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10. يتم تحفيز العاملين على الإبداع من خلال نظام مكافآت عادل.</w:t>
            </w:r>
          </w:p>
        </w:tc>
      </w:tr>
      <w:tr w:rsidR="00793DFB" w:rsidRPr="00E15AD4" w14:paraId="4442955F"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0F5B680D"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0B36BA7"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E35B099"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2CC4A9A3"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19.00%</w:t>
            </w:r>
          </w:p>
        </w:tc>
        <w:tc>
          <w:tcPr>
            <w:tcW w:w="0" w:type="auto"/>
            <w:tcBorders>
              <w:top w:val="nil"/>
              <w:left w:val="nil"/>
              <w:bottom w:val="single" w:sz="4" w:space="0" w:color="auto"/>
              <w:right w:val="single" w:sz="4" w:space="0" w:color="auto"/>
            </w:tcBorders>
            <w:vAlign w:val="center"/>
            <w:hideMark/>
          </w:tcPr>
          <w:p w14:paraId="0FAC93B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35.30%</w:t>
            </w:r>
          </w:p>
        </w:tc>
        <w:tc>
          <w:tcPr>
            <w:tcW w:w="0" w:type="auto"/>
            <w:tcBorders>
              <w:top w:val="nil"/>
              <w:left w:val="nil"/>
              <w:bottom w:val="single" w:sz="4" w:space="0" w:color="auto"/>
              <w:right w:val="single" w:sz="4" w:space="0" w:color="auto"/>
            </w:tcBorders>
            <w:vAlign w:val="center"/>
            <w:hideMark/>
          </w:tcPr>
          <w:p w14:paraId="6AAB30C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26.80%</w:t>
            </w:r>
          </w:p>
        </w:tc>
        <w:tc>
          <w:tcPr>
            <w:tcW w:w="0" w:type="auto"/>
            <w:tcBorders>
              <w:top w:val="nil"/>
              <w:left w:val="nil"/>
              <w:bottom w:val="single" w:sz="4" w:space="0" w:color="auto"/>
              <w:right w:val="single" w:sz="4" w:space="0" w:color="auto"/>
            </w:tcBorders>
            <w:vAlign w:val="center"/>
            <w:hideMark/>
          </w:tcPr>
          <w:p w14:paraId="447B8B6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12.80%</w:t>
            </w:r>
          </w:p>
        </w:tc>
        <w:tc>
          <w:tcPr>
            <w:tcW w:w="0" w:type="auto"/>
            <w:tcBorders>
              <w:top w:val="nil"/>
              <w:left w:val="nil"/>
              <w:bottom w:val="single" w:sz="4" w:space="0" w:color="auto"/>
              <w:right w:val="single" w:sz="4" w:space="0" w:color="auto"/>
            </w:tcBorders>
            <w:vAlign w:val="center"/>
            <w:hideMark/>
          </w:tcPr>
          <w:p w14:paraId="529FB5F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6.30%</w:t>
            </w:r>
          </w:p>
        </w:tc>
        <w:tc>
          <w:tcPr>
            <w:tcW w:w="0" w:type="auto"/>
            <w:vMerge/>
            <w:tcBorders>
              <w:top w:val="nil"/>
              <w:left w:val="single" w:sz="4" w:space="0" w:color="auto"/>
              <w:bottom w:val="single" w:sz="4" w:space="0" w:color="auto"/>
              <w:right w:val="single" w:sz="4" w:space="0" w:color="auto"/>
            </w:tcBorders>
            <w:vAlign w:val="center"/>
            <w:hideMark/>
          </w:tcPr>
          <w:p w14:paraId="5414FD34"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17424597"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4969436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664C148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1.084</w:t>
            </w:r>
          </w:p>
        </w:tc>
        <w:tc>
          <w:tcPr>
            <w:tcW w:w="0" w:type="auto"/>
            <w:vMerge w:val="restart"/>
            <w:tcBorders>
              <w:top w:val="nil"/>
              <w:left w:val="single" w:sz="4" w:space="0" w:color="auto"/>
              <w:bottom w:val="single" w:sz="4" w:space="0" w:color="auto"/>
              <w:right w:val="single" w:sz="4" w:space="0" w:color="auto"/>
            </w:tcBorders>
            <w:vAlign w:val="center"/>
            <w:hideMark/>
          </w:tcPr>
          <w:p w14:paraId="0FBD0CF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3.63</w:t>
            </w:r>
          </w:p>
        </w:tc>
        <w:tc>
          <w:tcPr>
            <w:tcW w:w="0" w:type="auto"/>
            <w:tcBorders>
              <w:top w:val="nil"/>
              <w:left w:val="nil"/>
              <w:bottom w:val="single" w:sz="4" w:space="0" w:color="auto"/>
              <w:right w:val="single" w:sz="4" w:space="0" w:color="auto"/>
            </w:tcBorders>
            <w:vAlign w:val="center"/>
            <w:hideMark/>
          </w:tcPr>
          <w:p w14:paraId="62A6110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90</w:t>
            </w:r>
          </w:p>
        </w:tc>
        <w:tc>
          <w:tcPr>
            <w:tcW w:w="0" w:type="auto"/>
            <w:tcBorders>
              <w:top w:val="nil"/>
              <w:left w:val="nil"/>
              <w:bottom w:val="single" w:sz="4" w:space="0" w:color="auto"/>
              <w:right w:val="single" w:sz="4" w:space="0" w:color="auto"/>
            </w:tcBorders>
            <w:vAlign w:val="center"/>
            <w:hideMark/>
          </w:tcPr>
          <w:p w14:paraId="17E7279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154</w:t>
            </w:r>
          </w:p>
        </w:tc>
        <w:tc>
          <w:tcPr>
            <w:tcW w:w="0" w:type="auto"/>
            <w:tcBorders>
              <w:top w:val="nil"/>
              <w:left w:val="nil"/>
              <w:bottom w:val="single" w:sz="4" w:space="0" w:color="auto"/>
              <w:right w:val="single" w:sz="4" w:space="0" w:color="auto"/>
            </w:tcBorders>
            <w:vAlign w:val="center"/>
            <w:hideMark/>
          </w:tcPr>
          <w:p w14:paraId="19E65F44"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90</w:t>
            </w:r>
          </w:p>
        </w:tc>
        <w:tc>
          <w:tcPr>
            <w:tcW w:w="0" w:type="auto"/>
            <w:tcBorders>
              <w:top w:val="nil"/>
              <w:left w:val="nil"/>
              <w:bottom w:val="single" w:sz="4" w:space="0" w:color="auto"/>
              <w:right w:val="single" w:sz="4" w:space="0" w:color="auto"/>
            </w:tcBorders>
            <w:vAlign w:val="center"/>
            <w:hideMark/>
          </w:tcPr>
          <w:p w14:paraId="35E168E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50</w:t>
            </w:r>
          </w:p>
        </w:tc>
        <w:tc>
          <w:tcPr>
            <w:tcW w:w="0" w:type="auto"/>
            <w:tcBorders>
              <w:top w:val="nil"/>
              <w:left w:val="nil"/>
              <w:bottom w:val="single" w:sz="4" w:space="0" w:color="auto"/>
              <w:right w:val="single" w:sz="4" w:space="0" w:color="auto"/>
            </w:tcBorders>
            <w:vAlign w:val="center"/>
            <w:hideMark/>
          </w:tcPr>
          <w:p w14:paraId="23823E6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16</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56A1097A" w14:textId="77777777" w:rsidR="00793DFB"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11. تشمل الحوافز مكافآت مالية وغير مالية.</w:t>
            </w:r>
          </w:p>
          <w:p w14:paraId="7AF56429" w14:textId="77777777" w:rsidR="00793DFB" w:rsidRDefault="00793DFB" w:rsidP="009F1C88">
            <w:pPr>
              <w:bidi/>
              <w:spacing w:after="0" w:line="240" w:lineRule="auto"/>
              <w:jc w:val="center"/>
              <w:rPr>
                <w:rFonts w:ascii="Arial" w:eastAsia="Times New Roman" w:hAnsi="Arial" w:cs="Arial"/>
                <w:color w:val="000000"/>
                <w:kern w:val="0"/>
                <w:sz w:val="20"/>
                <w:szCs w:val="20"/>
                <w:rtl/>
                <w14:ligatures w14:val="none"/>
              </w:rPr>
            </w:pPr>
          </w:p>
          <w:p w14:paraId="331066BE"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p>
        </w:tc>
      </w:tr>
      <w:tr w:rsidR="00793DFB" w:rsidRPr="00E15AD4" w14:paraId="2A043E3F"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64747F08"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643A3331"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7CABE1D"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27EC13D0"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22.50%</w:t>
            </w:r>
          </w:p>
        </w:tc>
        <w:tc>
          <w:tcPr>
            <w:tcW w:w="0" w:type="auto"/>
            <w:tcBorders>
              <w:top w:val="nil"/>
              <w:left w:val="nil"/>
              <w:bottom w:val="single" w:sz="4" w:space="0" w:color="auto"/>
              <w:right w:val="single" w:sz="4" w:space="0" w:color="auto"/>
            </w:tcBorders>
            <w:vAlign w:val="center"/>
            <w:hideMark/>
          </w:tcPr>
          <w:p w14:paraId="26C0CBA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38.50%</w:t>
            </w:r>
          </w:p>
        </w:tc>
        <w:tc>
          <w:tcPr>
            <w:tcW w:w="0" w:type="auto"/>
            <w:tcBorders>
              <w:top w:val="nil"/>
              <w:left w:val="nil"/>
              <w:bottom w:val="single" w:sz="4" w:space="0" w:color="auto"/>
              <w:right w:val="single" w:sz="4" w:space="0" w:color="auto"/>
            </w:tcBorders>
            <w:vAlign w:val="center"/>
            <w:hideMark/>
          </w:tcPr>
          <w:p w14:paraId="4D51D59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22.50%</w:t>
            </w:r>
          </w:p>
        </w:tc>
        <w:tc>
          <w:tcPr>
            <w:tcW w:w="0" w:type="auto"/>
            <w:tcBorders>
              <w:top w:val="nil"/>
              <w:left w:val="nil"/>
              <w:bottom w:val="single" w:sz="4" w:space="0" w:color="auto"/>
              <w:right w:val="single" w:sz="4" w:space="0" w:color="auto"/>
            </w:tcBorders>
            <w:vAlign w:val="center"/>
            <w:hideMark/>
          </w:tcPr>
          <w:p w14:paraId="577C728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12.50%</w:t>
            </w:r>
          </w:p>
        </w:tc>
        <w:tc>
          <w:tcPr>
            <w:tcW w:w="0" w:type="auto"/>
            <w:tcBorders>
              <w:top w:val="nil"/>
              <w:left w:val="nil"/>
              <w:bottom w:val="single" w:sz="4" w:space="0" w:color="auto"/>
              <w:right w:val="single" w:sz="4" w:space="0" w:color="auto"/>
            </w:tcBorders>
            <w:vAlign w:val="center"/>
            <w:hideMark/>
          </w:tcPr>
          <w:p w14:paraId="5C42690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4.00%</w:t>
            </w:r>
          </w:p>
        </w:tc>
        <w:tc>
          <w:tcPr>
            <w:tcW w:w="0" w:type="auto"/>
            <w:vMerge/>
            <w:tcBorders>
              <w:top w:val="nil"/>
              <w:left w:val="single" w:sz="4" w:space="0" w:color="auto"/>
              <w:bottom w:val="single" w:sz="4" w:space="0" w:color="auto"/>
              <w:right w:val="single" w:sz="4" w:space="0" w:color="auto"/>
            </w:tcBorders>
            <w:vAlign w:val="center"/>
            <w:hideMark/>
          </w:tcPr>
          <w:p w14:paraId="7AC31B89"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757C6269" w14:textId="77777777" w:rsidTr="009F1C88">
        <w:trPr>
          <w:trHeight w:val="58"/>
        </w:trPr>
        <w:tc>
          <w:tcPr>
            <w:tcW w:w="0" w:type="auto"/>
            <w:vMerge w:val="restart"/>
            <w:tcBorders>
              <w:top w:val="nil"/>
              <w:left w:val="single" w:sz="4" w:space="0" w:color="auto"/>
              <w:bottom w:val="single" w:sz="4" w:space="0" w:color="auto"/>
              <w:right w:val="single" w:sz="4" w:space="0" w:color="auto"/>
            </w:tcBorders>
            <w:vAlign w:val="center"/>
            <w:hideMark/>
          </w:tcPr>
          <w:p w14:paraId="7FD4CAE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21780B5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1.112</w:t>
            </w:r>
          </w:p>
        </w:tc>
        <w:tc>
          <w:tcPr>
            <w:tcW w:w="0" w:type="auto"/>
            <w:vMerge w:val="restart"/>
            <w:tcBorders>
              <w:top w:val="nil"/>
              <w:left w:val="single" w:sz="4" w:space="0" w:color="auto"/>
              <w:bottom w:val="single" w:sz="4" w:space="0" w:color="auto"/>
              <w:right w:val="single" w:sz="4" w:space="0" w:color="auto"/>
            </w:tcBorders>
            <w:vAlign w:val="center"/>
            <w:hideMark/>
          </w:tcPr>
          <w:p w14:paraId="15577D7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3.485</w:t>
            </w:r>
          </w:p>
        </w:tc>
        <w:tc>
          <w:tcPr>
            <w:tcW w:w="0" w:type="auto"/>
            <w:tcBorders>
              <w:top w:val="nil"/>
              <w:left w:val="nil"/>
              <w:bottom w:val="single" w:sz="4" w:space="0" w:color="auto"/>
              <w:right w:val="single" w:sz="4" w:space="0" w:color="auto"/>
            </w:tcBorders>
            <w:vAlign w:val="center"/>
            <w:hideMark/>
          </w:tcPr>
          <w:p w14:paraId="58742F6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66</w:t>
            </w:r>
          </w:p>
        </w:tc>
        <w:tc>
          <w:tcPr>
            <w:tcW w:w="0" w:type="auto"/>
            <w:tcBorders>
              <w:top w:val="nil"/>
              <w:left w:val="nil"/>
              <w:bottom w:val="single" w:sz="4" w:space="0" w:color="auto"/>
              <w:right w:val="single" w:sz="4" w:space="0" w:color="auto"/>
            </w:tcBorders>
            <w:vAlign w:val="center"/>
            <w:hideMark/>
          </w:tcPr>
          <w:p w14:paraId="7C4BEDC4"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163</w:t>
            </w:r>
          </w:p>
        </w:tc>
        <w:tc>
          <w:tcPr>
            <w:tcW w:w="0" w:type="auto"/>
            <w:tcBorders>
              <w:top w:val="nil"/>
              <w:left w:val="nil"/>
              <w:bottom w:val="single" w:sz="4" w:space="0" w:color="auto"/>
              <w:right w:val="single" w:sz="4" w:space="0" w:color="auto"/>
            </w:tcBorders>
            <w:vAlign w:val="center"/>
            <w:hideMark/>
          </w:tcPr>
          <w:p w14:paraId="07ED668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100</w:t>
            </w:r>
          </w:p>
        </w:tc>
        <w:tc>
          <w:tcPr>
            <w:tcW w:w="0" w:type="auto"/>
            <w:tcBorders>
              <w:top w:val="nil"/>
              <w:left w:val="nil"/>
              <w:bottom w:val="single" w:sz="4" w:space="0" w:color="auto"/>
              <w:right w:val="single" w:sz="4" w:space="0" w:color="auto"/>
            </w:tcBorders>
            <w:vAlign w:val="center"/>
            <w:hideMark/>
          </w:tcPr>
          <w:p w14:paraId="3981FE5D"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41</w:t>
            </w:r>
          </w:p>
        </w:tc>
        <w:tc>
          <w:tcPr>
            <w:tcW w:w="0" w:type="auto"/>
            <w:tcBorders>
              <w:top w:val="nil"/>
              <w:left w:val="nil"/>
              <w:bottom w:val="single" w:sz="4" w:space="0" w:color="auto"/>
              <w:right w:val="single" w:sz="4" w:space="0" w:color="auto"/>
            </w:tcBorders>
            <w:vAlign w:val="center"/>
            <w:hideMark/>
          </w:tcPr>
          <w:p w14:paraId="4B0802A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30</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0D5AF52C"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12. تُمنح الترقيات بناءً على الأداء وليس الأقدمية.</w:t>
            </w:r>
          </w:p>
        </w:tc>
      </w:tr>
      <w:tr w:rsidR="00793DFB" w:rsidRPr="00E15AD4" w14:paraId="3F646DD5"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3FD856A6"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6980E58F"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0F39530"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6BAF1E0A"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16.50%</w:t>
            </w:r>
          </w:p>
        </w:tc>
        <w:tc>
          <w:tcPr>
            <w:tcW w:w="0" w:type="auto"/>
            <w:tcBorders>
              <w:top w:val="nil"/>
              <w:left w:val="nil"/>
              <w:bottom w:val="single" w:sz="4" w:space="0" w:color="auto"/>
              <w:right w:val="single" w:sz="4" w:space="0" w:color="auto"/>
            </w:tcBorders>
            <w:vAlign w:val="center"/>
            <w:hideMark/>
          </w:tcPr>
          <w:p w14:paraId="38204A0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40.80%</w:t>
            </w:r>
          </w:p>
        </w:tc>
        <w:tc>
          <w:tcPr>
            <w:tcW w:w="0" w:type="auto"/>
            <w:tcBorders>
              <w:top w:val="nil"/>
              <w:left w:val="nil"/>
              <w:bottom w:val="single" w:sz="4" w:space="0" w:color="auto"/>
              <w:right w:val="single" w:sz="4" w:space="0" w:color="auto"/>
            </w:tcBorders>
            <w:vAlign w:val="center"/>
            <w:hideMark/>
          </w:tcPr>
          <w:p w14:paraId="49C5246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25.00%</w:t>
            </w:r>
          </w:p>
        </w:tc>
        <w:tc>
          <w:tcPr>
            <w:tcW w:w="0" w:type="auto"/>
            <w:tcBorders>
              <w:top w:val="nil"/>
              <w:left w:val="nil"/>
              <w:bottom w:val="single" w:sz="4" w:space="0" w:color="auto"/>
              <w:right w:val="single" w:sz="4" w:space="0" w:color="auto"/>
            </w:tcBorders>
            <w:vAlign w:val="center"/>
            <w:hideMark/>
          </w:tcPr>
          <w:p w14:paraId="2B120A7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10.30%</w:t>
            </w:r>
          </w:p>
        </w:tc>
        <w:tc>
          <w:tcPr>
            <w:tcW w:w="0" w:type="auto"/>
            <w:tcBorders>
              <w:top w:val="nil"/>
              <w:left w:val="nil"/>
              <w:bottom w:val="single" w:sz="4" w:space="0" w:color="auto"/>
              <w:right w:val="single" w:sz="4" w:space="0" w:color="auto"/>
            </w:tcBorders>
            <w:vAlign w:val="center"/>
            <w:hideMark/>
          </w:tcPr>
          <w:p w14:paraId="6E282D8D"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7.50%</w:t>
            </w:r>
          </w:p>
        </w:tc>
        <w:tc>
          <w:tcPr>
            <w:tcW w:w="0" w:type="auto"/>
            <w:vMerge/>
            <w:tcBorders>
              <w:top w:val="nil"/>
              <w:left w:val="single" w:sz="4" w:space="0" w:color="auto"/>
              <w:bottom w:val="single" w:sz="4" w:space="0" w:color="auto"/>
              <w:right w:val="single" w:sz="4" w:space="0" w:color="auto"/>
            </w:tcBorders>
            <w:vAlign w:val="center"/>
            <w:hideMark/>
          </w:tcPr>
          <w:p w14:paraId="16686E84"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418FC9CA" w14:textId="77777777" w:rsidTr="009F1C88">
        <w:trPr>
          <w:trHeight w:val="264"/>
        </w:trPr>
        <w:tc>
          <w:tcPr>
            <w:tcW w:w="0" w:type="auto"/>
            <w:vMerge w:val="restart"/>
            <w:tcBorders>
              <w:top w:val="nil"/>
              <w:left w:val="single" w:sz="4" w:space="0" w:color="auto"/>
              <w:bottom w:val="single" w:sz="4" w:space="0" w:color="auto"/>
              <w:right w:val="single" w:sz="4" w:space="0" w:color="auto"/>
            </w:tcBorders>
            <w:shd w:val="clear" w:color="000000" w:fill="FF6D01"/>
            <w:vAlign w:val="center"/>
            <w:hideMark/>
          </w:tcPr>
          <w:p w14:paraId="0AD660D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p>
        </w:tc>
        <w:tc>
          <w:tcPr>
            <w:tcW w:w="0" w:type="auto"/>
            <w:gridSpan w:val="2"/>
            <w:tcBorders>
              <w:top w:val="single" w:sz="4" w:space="0" w:color="auto"/>
              <w:left w:val="nil"/>
              <w:bottom w:val="single" w:sz="4" w:space="0" w:color="auto"/>
              <w:right w:val="single" w:sz="4" w:space="0" w:color="auto"/>
            </w:tcBorders>
            <w:vAlign w:val="center"/>
            <w:hideMark/>
          </w:tcPr>
          <w:p w14:paraId="5D4DF77D"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3.529375</w:t>
            </w:r>
          </w:p>
        </w:tc>
        <w:tc>
          <w:tcPr>
            <w:tcW w:w="0" w:type="auto"/>
            <w:gridSpan w:val="6"/>
            <w:tcBorders>
              <w:top w:val="single" w:sz="4" w:space="0" w:color="auto"/>
              <w:left w:val="nil"/>
              <w:bottom w:val="single" w:sz="4" w:space="0" w:color="auto"/>
              <w:right w:val="single" w:sz="4" w:space="0" w:color="auto"/>
            </w:tcBorders>
            <w:shd w:val="clear" w:color="000000" w:fill="FF6D01"/>
            <w:vAlign w:val="center"/>
            <w:hideMark/>
          </w:tcPr>
          <w:p w14:paraId="131C590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proofErr w:type="spellStart"/>
            <w:r w:rsidRPr="00E15AD4">
              <w:rPr>
                <w:rFonts w:ascii="Arial" w:eastAsia="Times New Roman" w:hAnsi="Arial" w:cs="Arial"/>
                <w:color w:val="000000"/>
                <w:kern w:val="0"/>
                <w:sz w:val="20"/>
                <w:szCs w:val="20"/>
                <w14:ligatures w14:val="none"/>
              </w:rPr>
              <w:t>weightted</w:t>
            </w:r>
            <w:proofErr w:type="spellEnd"/>
            <w:r w:rsidRPr="00E15AD4">
              <w:rPr>
                <w:rFonts w:ascii="Arial" w:eastAsia="Times New Roman" w:hAnsi="Arial" w:cs="Arial"/>
                <w:color w:val="000000"/>
                <w:kern w:val="0"/>
                <w:sz w:val="20"/>
                <w:szCs w:val="20"/>
                <w14:ligatures w14:val="none"/>
              </w:rPr>
              <w:t xml:space="preserve"> mean </w:t>
            </w:r>
          </w:p>
        </w:tc>
      </w:tr>
      <w:tr w:rsidR="00793DFB" w:rsidRPr="00E15AD4" w14:paraId="3BBDD44F"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443D3455"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7B0D749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1.074825</w:t>
            </w:r>
          </w:p>
        </w:tc>
        <w:tc>
          <w:tcPr>
            <w:tcW w:w="0" w:type="auto"/>
            <w:gridSpan w:val="7"/>
            <w:tcBorders>
              <w:top w:val="single" w:sz="4" w:space="0" w:color="auto"/>
              <w:left w:val="nil"/>
              <w:bottom w:val="single" w:sz="4" w:space="0" w:color="auto"/>
              <w:right w:val="single" w:sz="4" w:space="0" w:color="auto"/>
            </w:tcBorders>
            <w:shd w:val="clear" w:color="000000" w:fill="FF6D01"/>
            <w:vAlign w:val="center"/>
            <w:hideMark/>
          </w:tcPr>
          <w:p w14:paraId="4E3E011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std. deviation</w:t>
            </w:r>
          </w:p>
        </w:tc>
      </w:tr>
      <w:tr w:rsidR="00793DFB" w:rsidRPr="00E15AD4" w14:paraId="56308AA8" w14:textId="77777777" w:rsidTr="009F1C88">
        <w:trPr>
          <w:trHeight w:val="264"/>
        </w:trPr>
        <w:tc>
          <w:tcPr>
            <w:tcW w:w="0" w:type="auto"/>
            <w:gridSpan w:val="9"/>
            <w:tcBorders>
              <w:top w:val="single" w:sz="4" w:space="0" w:color="auto"/>
              <w:left w:val="single" w:sz="4" w:space="0" w:color="auto"/>
              <w:bottom w:val="single" w:sz="4" w:space="0" w:color="auto"/>
              <w:right w:val="single" w:sz="4" w:space="0" w:color="auto"/>
            </w:tcBorders>
            <w:shd w:val="clear" w:color="000000" w:fill="FFFF00"/>
            <w:vAlign w:val="center"/>
            <w:hideMark/>
          </w:tcPr>
          <w:p w14:paraId="7C86B090"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 xml:space="preserve">رابعًا: المشاركة في اتخاذ القرار </w:t>
            </w:r>
          </w:p>
        </w:tc>
      </w:tr>
      <w:tr w:rsidR="00793DFB" w:rsidRPr="00E15AD4" w14:paraId="01013FF6" w14:textId="77777777" w:rsidTr="009F1C88">
        <w:trPr>
          <w:trHeight w:val="528"/>
        </w:trPr>
        <w:tc>
          <w:tcPr>
            <w:tcW w:w="0" w:type="auto"/>
            <w:tcBorders>
              <w:top w:val="nil"/>
              <w:left w:val="single" w:sz="4" w:space="0" w:color="auto"/>
              <w:bottom w:val="single" w:sz="4" w:space="0" w:color="auto"/>
              <w:right w:val="single" w:sz="4" w:space="0" w:color="auto"/>
            </w:tcBorders>
            <w:shd w:val="clear" w:color="000000" w:fill="7AD694"/>
            <w:vAlign w:val="center"/>
            <w:hideMark/>
          </w:tcPr>
          <w:p w14:paraId="1F444319" w14:textId="77777777" w:rsidR="00793DFB" w:rsidRPr="00E15AD4" w:rsidRDefault="00793DFB" w:rsidP="009F1C88">
            <w:pPr>
              <w:bidi/>
              <w:spacing w:after="0" w:line="240" w:lineRule="auto"/>
              <w:jc w:val="center"/>
              <w:rPr>
                <w:rFonts w:ascii="Arial" w:eastAsia="Times New Roman" w:hAnsi="Arial" w:cs="Arial"/>
                <w:kern w:val="0"/>
                <w:sz w:val="20"/>
                <w:szCs w:val="20"/>
                <w:rtl/>
                <w14:ligatures w14:val="none"/>
              </w:rPr>
            </w:pPr>
            <w:r w:rsidRPr="00E15AD4">
              <w:rPr>
                <w:rFonts w:ascii="Arial" w:eastAsia="Times New Roman" w:hAnsi="Arial" w:cs="Arial"/>
                <w:kern w:val="0"/>
                <w:sz w:val="20"/>
                <w:szCs w:val="20"/>
                <w:rtl/>
                <w14:ligatures w14:val="none"/>
              </w:rPr>
              <w:t>الدرجة</w:t>
            </w:r>
          </w:p>
        </w:tc>
        <w:tc>
          <w:tcPr>
            <w:tcW w:w="0" w:type="auto"/>
            <w:tcBorders>
              <w:top w:val="nil"/>
              <w:left w:val="nil"/>
              <w:bottom w:val="single" w:sz="4" w:space="0" w:color="auto"/>
              <w:right w:val="single" w:sz="4" w:space="0" w:color="auto"/>
            </w:tcBorders>
            <w:shd w:val="clear" w:color="000000" w:fill="B3CEFB"/>
            <w:vAlign w:val="center"/>
            <w:hideMark/>
          </w:tcPr>
          <w:p w14:paraId="18CED76C"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 xml:space="preserve">الانحراف المعياري </w:t>
            </w:r>
          </w:p>
        </w:tc>
        <w:tc>
          <w:tcPr>
            <w:tcW w:w="0" w:type="auto"/>
            <w:tcBorders>
              <w:top w:val="nil"/>
              <w:left w:val="nil"/>
              <w:bottom w:val="single" w:sz="4" w:space="0" w:color="auto"/>
              <w:right w:val="single" w:sz="4" w:space="0" w:color="auto"/>
            </w:tcBorders>
            <w:shd w:val="clear" w:color="000000" w:fill="B3CEFB"/>
            <w:vAlign w:val="center"/>
            <w:hideMark/>
          </w:tcPr>
          <w:p w14:paraId="522B0CB2"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المتوسط</w:t>
            </w:r>
          </w:p>
        </w:tc>
        <w:tc>
          <w:tcPr>
            <w:tcW w:w="0" w:type="auto"/>
            <w:tcBorders>
              <w:top w:val="nil"/>
              <w:left w:val="nil"/>
              <w:bottom w:val="single" w:sz="4" w:space="0" w:color="auto"/>
              <w:right w:val="single" w:sz="4" w:space="0" w:color="auto"/>
            </w:tcBorders>
            <w:shd w:val="clear" w:color="000000" w:fill="8CB5F9"/>
            <w:vAlign w:val="center"/>
            <w:hideMark/>
          </w:tcPr>
          <w:p w14:paraId="5892E6EC"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أوافق بشدة</w:t>
            </w:r>
          </w:p>
        </w:tc>
        <w:tc>
          <w:tcPr>
            <w:tcW w:w="0" w:type="auto"/>
            <w:tcBorders>
              <w:top w:val="nil"/>
              <w:left w:val="nil"/>
              <w:bottom w:val="single" w:sz="4" w:space="0" w:color="auto"/>
              <w:right w:val="single" w:sz="4" w:space="0" w:color="auto"/>
            </w:tcBorders>
            <w:shd w:val="clear" w:color="000000" w:fill="8CB5F9"/>
            <w:vAlign w:val="center"/>
            <w:hideMark/>
          </w:tcPr>
          <w:p w14:paraId="16B1D8E8"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أوافق</w:t>
            </w:r>
          </w:p>
        </w:tc>
        <w:tc>
          <w:tcPr>
            <w:tcW w:w="0" w:type="auto"/>
            <w:tcBorders>
              <w:top w:val="nil"/>
              <w:left w:val="nil"/>
              <w:bottom w:val="single" w:sz="4" w:space="0" w:color="auto"/>
              <w:right w:val="single" w:sz="4" w:space="0" w:color="auto"/>
            </w:tcBorders>
            <w:shd w:val="clear" w:color="000000" w:fill="8CB5F9"/>
            <w:vAlign w:val="center"/>
            <w:hideMark/>
          </w:tcPr>
          <w:p w14:paraId="3FDB08B5"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محايد</w:t>
            </w:r>
          </w:p>
        </w:tc>
        <w:tc>
          <w:tcPr>
            <w:tcW w:w="0" w:type="auto"/>
            <w:tcBorders>
              <w:top w:val="nil"/>
              <w:left w:val="nil"/>
              <w:bottom w:val="single" w:sz="4" w:space="0" w:color="auto"/>
              <w:right w:val="single" w:sz="4" w:space="0" w:color="auto"/>
            </w:tcBorders>
            <w:shd w:val="clear" w:color="000000" w:fill="8CB5F9"/>
            <w:vAlign w:val="center"/>
            <w:hideMark/>
          </w:tcPr>
          <w:p w14:paraId="50E9EC15"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لا أوافق</w:t>
            </w:r>
          </w:p>
        </w:tc>
        <w:tc>
          <w:tcPr>
            <w:tcW w:w="0" w:type="auto"/>
            <w:tcBorders>
              <w:top w:val="nil"/>
              <w:left w:val="nil"/>
              <w:bottom w:val="single" w:sz="4" w:space="0" w:color="auto"/>
              <w:right w:val="single" w:sz="4" w:space="0" w:color="auto"/>
            </w:tcBorders>
            <w:shd w:val="clear" w:color="000000" w:fill="8CB5F9"/>
            <w:vAlign w:val="center"/>
            <w:hideMark/>
          </w:tcPr>
          <w:p w14:paraId="3912C3C9"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لا أوافق بشدة</w:t>
            </w:r>
          </w:p>
        </w:tc>
        <w:tc>
          <w:tcPr>
            <w:tcW w:w="0" w:type="auto"/>
            <w:tcBorders>
              <w:top w:val="nil"/>
              <w:left w:val="nil"/>
              <w:bottom w:val="single" w:sz="4" w:space="0" w:color="auto"/>
              <w:right w:val="single" w:sz="4" w:space="0" w:color="auto"/>
            </w:tcBorders>
            <w:shd w:val="clear" w:color="000000" w:fill="FF6D01"/>
            <w:vAlign w:val="center"/>
            <w:hideMark/>
          </w:tcPr>
          <w:p w14:paraId="1FEDCDEA"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السؤال</w:t>
            </w:r>
          </w:p>
        </w:tc>
      </w:tr>
      <w:tr w:rsidR="00793DFB" w:rsidRPr="00E15AD4" w14:paraId="47C00E58"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27FF6B74"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Pr>
                <w:rFonts w:ascii="Arial" w:eastAsia="Times New Roman" w:hAnsi="Arial" w:cs="Arial" w:hint="cs"/>
                <w:color w:val="000000"/>
                <w:kern w:val="0"/>
                <w:sz w:val="20"/>
                <w:szCs w:val="20"/>
                <w:rtl/>
                <w14:ligatures w14:val="none"/>
              </w:rPr>
              <w:t>محايد</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0CCA05A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1.03859</w:t>
            </w:r>
          </w:p>
        </w:tc>
        <w:tc>
          <w:tcPr>
            <w:tcW w:w="0" w:type="auto"/>
            <w:vMerge w:val="restart"/>
            <w:tcBorders>
              <w:top w:val="nil"/>
              <w:left w:val="single" w:sz="4" w:space="0" w:color="auto"/>
              <w:bottom w:val="single" w:sz="4" w:space="0" w:color="auto"/>
              <w:right w:val="single" w:sz="4" w:space="0" w:color="auto"/>
            </w:tcBorders>
            <w:vAlign w:val="center"/>
            <w:hideMark/>
          </w:tcPr>
          <w:p w14:paraId="3D46B13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3.405</w:t>
            </w:r>
          </w:p>
        </w:tc>
        <w:tc>
          <w:tcPr>
            <w:tcW w:w="0" w:type="auto"/>
            <w:tcBorders>
              <w:top w:val="nil"/>
              <w:left w:val="nil"/>
              <w:bottom w:val="single" w:sz="4" w:space="0" w:color="auto"/>
              <w:right w:val="single" w:sz="4" w:space="0" w:color="auto"/>
            </w:tcBorders>
            <w:vAlign w:val="center"/>
            <w:hideMark/>
          </w:tcPr>
          <w:p w14:paraId="5C09644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50</w:t>
            </w:r>
          </w:p>
        </w:tc>
        <w:tc>
          <w:tcPr>
            <w:tcW w:w="0" w:type="auto"/>
            <w:tcBorders>
              <w:top w:val="nil"/>
              <w:left w:val="nil"/>
              <w:bottom w:val="single" w:sz="4" w:space="0" w:color="auto"/>
              <w:right w:val="single" w:sz="4" w:space="0" w:color="auto"/>
            </w:tcBorders>
            <w:vAlign w:val="center"/>
            <w:hideMark/>
          </w:tcPr>
          <w:p w14:paraId="6F580EE4"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158</w:t>
            </w:r>
          </w:p>
        </w:tc>
        <w:tc>
          <w:tcPr>
            <w:tcW w:w="0" w:type="auto"/>
            <w:tcBorders>
              <w:top w:val="nil"/>
              <w:left w:val="nil"/>
              <w:bottom w:val="single" w:sz="4" w:space="0" w:color="auto"/>
              <w:right w:val="single" w:sz="4" w:space="0" w:color="auto"/>
            </w:tcBorders>
            <w:vAlign w:val="center"/>
            <w:hideMark/>
          </w:tcPr>
          <w:p w14:paraId="204035A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117</w:t>
            </w:r>
          </w:p>
        </w:tc>
        <w:tc>
          <w:tcPr>
            <w:tcW w:w="0" w:type="auto"/>
            <w:tcBorders>
              <w:top w:val="nil"/>
              <w:left w:val="nil"/>
              <w:bottom w:val="single" w:sz="4" w:space="0" w:color="auto"/>
              <w:right w:val="single" w:sz="4" w:space="0" w:color="auto"/>
            </w:tcBorders>
            <w:vAlign w:val="center"/>
            <w:hideMark/>
          </w:tcPr>
          <w:p w14:paraId="5A56B54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54</w:t>
            </w:r>
          </w:p>
        </w:tc>
        <w:tc>
          <w:tcPr>
            <w:tcW w:w="0" w:type="auto"/>
            <w:tcBorders>
              <w:top w:val="nil"/>
              <w:left w:val="nil"/>
              <w:bottom w:val="single" w:sz="4" w:space="0" w:color="auto"/>
              <w:right w:val="single" w:sz="4" w:space="0" w:color="auto"/>
            </w:tcBorders>
            <w:vAlign w:val="center"/>
            <w:hideMark/>
          </w:tcPr>
          <w:p w14:paraId="4B7684A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21</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1CCB8BD4"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13. تُشرك الإدارة الموظفين في مناقشة القرارات التي تخص عملهم.</w:t>
            </w:r>
          </w:p>
        </w:tc>
      </w:tr>
      <w:tr w:rsidR="00793DFB" w:rsidRPr="00E15AD4" w14:paraId="3B497264" w14:textId="77777777" w:rsidTr="009F1C88">
        <w:trPr>
          <w:trHeight w:val="261"/>
        </w:trPr>
        <w:tc>
          <w:tcPr>
            <w:tcW w:w="0" w:type="auto"/>
            <w:vMerge/>
            <w:tcBorders>
              <w:top w:val="nil"/>
              <w:left w:val="single" w:sz="4" w:space="0" w:color="auto"/>
              <w:bottom w:val="single" w:sz="4" w:space="0" w:color="auto"/>
              <w:right w:val="single" w:sz="4" w:space="0" w:color="auto"/>
            </w:tcBorders>
            <w:vAlign w:val="center"/>
            <w:hideMark/>
          </w:tcPr>
          <w:p w14:paraId="2DF32701"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642C0D74"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090D0EE9"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5501A61C"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12.50%</w:t>
            </w:r>
          </w:p>
        </w:tc>
        <w:tc>
          <w:tcPr>
            <w:tcW w:w="0" w:type="auto"/>
            <w:tcBorders>
              <w:top w:val="nil"/>
              <w:left w:val="nil"/>
              <w:bottom w:val="single" w:sz="4" w:space="0" w:color="auto"/>
              <w:right w:val="single" w:sz="4" w:space="0" w:color="auto"/>
            </w:tcBorders>
            <w:vAlign w:val="center"/>
            <w:hideMark/>
          </w:tcPr>
          <w:p w14:paraId="3B4E531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39.50%</w:t>
            </w:r>
          </w:p>
        </w:tc>
        <w:tc>
          <w:tcPr>
            <w:tcW w:w="0" w:type="auto"/>
            <w:tcBorders>
              <w:top w:val="nil"/>
              <w:left w:val="nil"/>
              <w:bottom w:val="single" w:sz="4" w:space="0" w:color="auto"/>
              <w:right w:val="single" w:sz="4" w:space="0" w:color="auto"/>
            </w:tcBorders>
            <w:vAlign w:val="center"/>
            <w:hideMark/>
          </w:tcPr>
          <w:p w14:paraId="46D782A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29.30%</w:t>
            </w:r>
          </w:p>
        </w:tc>
        <w:tc>
          <w:tcPr>
            <w:tcW w:w="0" w:type="auto"/>
            <w:tcBorders>
              <w:top w:val="nil"/>
              <w:left w:val="nil"/>
              <w:bottom w:val="single" w:sz="4" w:space="0" w:color="auto"/>
              <w:right w:val="single" w:sz="4" w:space="0" w:color="auto"/>
            </w:tcBorders>
            <w:vAlign w:val="center"/>
            <w:hideMark/>
          </w:tcPr>
          <w:p w14:paraId="54BC624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13.50%</w:t>
            </w:r>
          </w:p>
        </w:tc>
        <w:tc>
          <w:tcPr>
            <w:tcW w:w="0" w:type="auto"/>
            <w:tcBorders>
              <w:top w:val="nil"/>
              <w:left w:val="nil"/>
              <w:bottom w:val="single" w:sz="4" w:space="0" w:color="auto"/>
              <w:right w:val="single" w:sz="4" w:space="0" w:color="auto"/>
            </w:tcBorders>
            <w:vAlign w:val="center"/>
            <w:hideMark/>
          </w:tcPr>
          <w:p w14:paraId="5A13830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5.30%</w:t>
            </w:r>
          </w:p>
        </w:tc>
        <w:tc>
          <w:tcPr>
            <w:tcW w:w="0" w:type="auto"/>
            <w:vMerge/>
            <w:tcBorders>
              <w:top w:val="nil"/>
              <w:left w:val="single" w:sz="4" w:space="0" w:color="auto"/>
              <w:bottom w:val="single" w:sz="4" w:space="0" w:color="auto"/>
              <w:right w:val="single" w:sz="4" w:space="0" w:color="auto"/>
            </w:tcBorders>
            <w:vAlign w:val="center"/>
            <w:hideMark/>
          </w:tcPr>
          <w:p w14:paraId="39959A33"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6FA5FE8E"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0BB6345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680257B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1.083</w:t>
            </w:r>
          </w:p>
        </w:tc>
        <w:tc>
          <w:tcPr>
            <w:tcW w:w="0" w:type="auto"/>
            <w:vMerge w:val="restart"/>
            <w:tcBorders>
              <w:top w:val="nil"/>
              <w:left w:val="single" w:sz="4" w:space="0" w:color="auto"/>
              <w:bottom w:val="single" w:sz="4" w:space="0" w:color="auto"/>
              <w:right w:val="single" w:sz="4" w:space="0" w:color="auto"/>
            </w:tcBorders>
            <w:vAlign w:val="center"/>
            <w:hideMark/>
          </w:tcPr>
          <w:p w14:paraId="3CEC52E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3.435</w:t>
            </w:r>
          </w:p>
        </w:tc>
        <w:tc>
          <w:tcPr>
            <w:tcW w:w="0" w:type="auto"/>
            <w:tcBorders>
              <w:top w:val="nil"/>
              <w:left w:val="nil"/>
              <w:bottom w:val="single" w:sz="4" w:space="0" w:color="auto"/>
              <w:right w:val="single" w:sz="4" w:space="0" w:color="auto"/>
            </w:tcBorders>
            <w:vAlign w:val="center"/>
            <w:hideMark/>
          </w:tcPr>
          <w:p w14:paraId="5135946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58</w:t>
            </w:r>
          </w:p>
        </w:tc>
        <w:tc>
          <w:tcPr>
            <w:tcW w:w="0" w:type="auto"/>
            <w:tcBorders>
              <w:top w:val="nil"/>
              <w:left w:val="nil"/>
              <w:bottom w:val="single" w:sz="4" w:space="0" w:color="auto"/>
              <w:right w:val="single" w:sz="4" w:space="0" w:color="auto"/>
            </w:tcBorders>
            <w:vAlign w:val="center"/>
            <w:hideMark/>
          </w:tcPr>
          <w:p w14:paraId="0F8B128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160</w:t>
            </w:r>
          </w:p>
        </w:tc>
        <w:tc>
          <w:tcPr>
            <w:tcW w:w="0" w:type="auto"/>
            <w:tcBorders>
              <w:top w:val="nil"/>
              <w:left w:val="nil"/>
              <w:bottom w:val="single" w:sz="4" w:space="0" w:color="auto"/>
              <w:right w:val="single" w:sz="4" w:space="0" w:color="auto"/>
            </w:tcBorders>
            <w:vAlign w:val="center"/>
            <w:hideMark/>
          </w:tcPr>
          <w:p w14:paraId="6551A59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105</w:t>
            </w:r>
          </w:p>
        </w:tc>
        <w:tc>
          <w:tcPr>
            <w:tcW w:w="0" w:type="auto"/>
            <w:tcBorders>
              <w:top w:val="nil"/>
              <w:left w:val="nil"/>
              <w:bottom w:val="single" w:sz="4" w:space="0" w:color="auto"/>
              <w:right w:val="single" w:sz="4" w:space="0" w:color="auto"/>
            </w:tcBorders>
            <w:vAlign w:val="center"/>
            <w:hideMark/>
          </w:tcPr>
          <w:p w14:paraId="084AA40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52</w:t>
            </w:r>
          </w:p>
        </w:tc>
        <w:tc>
          <w:tcPr>
            <w:tcW w:w="0" w:type="auto"/>
            <w:tcBorders>
              <w:top w:val="nil"/>
              <w:left w:val="nil"/>
              <w:bottom w:val="single" w:sz="4" w:space="0" w:color="auto"/>
              <w:right w:val="single" w:sz="4" w:space="0" w:color="auto"/>
            </w:tcBorders>
            <w:vAlign w:val="center"/>
            <w:hideMark/>
          </w:tcPr>
          <w:p w14:paraId="3283FC1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25</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0C6A936A"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14. يُشجَّع العاملون على طرح أفكار ومقترحات تطويرية.</w:t>
            </w:r>
          </w:p>
        </w:tc>
      </w:tr>
      <w:tr w:rsidR="00793DFB" w:rsidRPr="00E15AD4" w14:paraId="1E7F718F"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4E237E81"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2B8EA83"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B0980A7"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46995112"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14.50%</w:t>
            </w:r>
          </w:p>
        </w:tc>
        <w:tc>
          <w:tcPr>
            <w:tcW w:w="0" w:type="auto"/>
            <w:tcBorders>
              <w:top w:val="nil"/>
              <w:left w:val="nil"/>
              <w:bottom w:val="single" w:sz="4" w:space="0" w:color="auto"/>
              <w:right w:val="single" w:sz="4" w:space="0" w:color="auto"/>
            </w:tcBorders>
            <w:vAlign w:val="center"/>
            <w:hideMark/>
          </w:tcPr>
          <w:p w14:paraId="02C8078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40.00%</w:t>
            </w:r>
          </w:p>
        </w:tc>
        <w:tc>
          <w:tcPr>
            <w:tcW w:w="0" w:type="auto"/>
            <w:tcBorders>
              <w:top w:val="nil"/>
              <w:left w:val="nil"/>
              <w:bottom w:val="single" w:sz="4" w:space="0" w:color="auto"/>
              <w:right w:val="single" w:sz="4" w:space="0" w:color="auto"/>
            </w:tcBorders>
            <w:vAlign w:val="center"/>
            <w:hideMark/>
          </w:tcPr>
          <w:p w14:paraId="4ED6177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26.30%</w:t>
            </w:r>
          </w:p>
        </w:tc>
        <w:tc>
          <w:tcPr>
            <w:tcW w:w="0" w:type="auto"/>
            <w:tcBorders>
              <w:top w:val="nil"/>
              <w:left w:val="nil"/>
              <w:bottom w:val="single" w:sz="4" w:space="0" w:color="auto"/>
              <w:right w:val="single" w:sz="4" w:space="0" w:color="auto"/>
            </w:tcBorders>
            <w:vAlign w:val="center"/>
            <w:hideMark/>
          </w:tcPr>
          <w:p w14:paraId="064F246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13.00%</w:t>
            </w:r>
          </w:p>
        </w:tc>
        <w:tc>
          <w:tcPr>
            <w:tcW w:w="0" w:type="auto"/>
            <w:tcBorders>
              <w:top w:val="nil"/>
              <w:left w:val="nil"/>
              <w:bottom w:val="single" w:sz="4" w:space="0" w:color="auto"/>
              <w:right w:val="single" w:sz="4" w:space="0" w:color="auto"/>
            </w:tcBorders>
            <w:vAlign w:val="center"/>
            <w:hideMark/>
          </w:tcPr>
          <w:p w14:paraId="25332FD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6.30%</w:t>
            </w:r>
          </w:p>
        </w:tc>
        <w:tc>
          <w:tcPr>
            <w:tcW w:w="0" w:type="auto"/>
            <w:vMerge/>
            <w:tcBorders>
              <w:top w:val="nil"/>
              <w:left w:val="single" w:sz="4" w:space="0" w:color="auto"/>
              <w:bottom w:val="single" w:sz="4" w:space="0" w:color="auto"/>
              <w:right w:val="single" w:sz="4" w:space="0" w:color="auto"/>
            </w:tcBorders>
            <w:vAlign w:val="center"/>
            <w:hideMark/>
          </w:tcPr>
          <w:p w14:paraId="37BE66ED"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74E673BB"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1A343E2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6141821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1.0713</w:t>
            </w:r>
          </w:p>
        </w:tc>
        <w:tc>
          <w:tcPr>
            <w:tcW w:w="0" w:type="auto"/>
            <w:vMerge w:val="restart"/>
            <w:tcBorders>
              <w:top w:val="nil"/>
              <w:left w:val="single" w:sz="4" w:space="0" w:color="auto"/>
              <w:bottom w:val="single" w:sz="4" w:space="0" w:color="auto"/>
              <w:right w:val="single" w:sz="4" w:space="0" w:color="auto"/>
            </w:tcBorders>
            <w:vAlign w:val="center"/>
            <w:hideMark/>
          </w:tcPr>
          <w:p w14:paraId="2929567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3.5075</w:t>
            </w:r>
          </w:p>
        </w:tc>
        <w:tc>
          <w:tcPr>
            <w:tcW w:w="0" w:type="auto"/>
            <w:tcBorders>
              <w:top w:val="nil"/>
              <w:left w:val="nil"/>
              <w:bottom w:val="single" w:sz="4" w:space="0" w:color="auto"/>
              <w:right w:val="single" w:sz="4" w:space="0" w:color="auto"/>
            </w:tcBorders>
            <w:vAlign w:val="center"/>
            <w:hideMark/>
          </w:tcPr>
          <w:p w14:paraId="31E8165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70</w:t>
            </w:r>
          </w:p>
        </w:tc>
        <w:tc>
          <w:tcPr>
            <w:tcW w:w="0" w:type="auto"/>
            <w:tcBorders>
              <w:top w:val="nil"/>
              <w:left w:val="nil"/>
              <w:bottom w:val="single" w:sz="4" w:space="0" w:color="auto"/>
              <w:right w:val="single" w:sz="4" w:space="0" w:color="auto"/>
            </w:tcBorders>
            <w:vAlign w:val="center"/>
            <w:hideMark/>
          </w:tcPr>
          <w:p w14:paraId="2FACBC2D"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152</w:t>
            </w:r>
          </w:p>
        </w:tc>
        <w:tc>
          <w:tcPr>
            <w:tcW w:w="0" w:type="auto"/>
            <w:tcBorders>
              <w:top w:val="nil"/>
              <w:left w:val="nil"/>
              <w:bottom w:val="single" w:sz="4" w:space="0" w:color="auto"/>
              <w:right w:val="single" w:sz="4" w:space="0" w:color="auto"/>
            </w:tcBorders>
            <w:vAlign w:val="center"/>
            <w:hideMark/>
          </w:tcPr>
          <w:p w14:paraId="10BBDE4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109</w:t>
            </w:r>
          </w:p>
        </w:tc>
        <w:tc>
          <w:tcPr>
            <w:tcW w:w="0" w:type="auto"/>
            <w:tcBorders>
              <w:top w:val="nil"/>
              <w:left w:val="nil"/>
              <w:bottom w:val="single" w:sz="4" w:space="0" w:color="auto"/>
              <w:right w:val="single" w:sz="4" w:space="0" w:color="auto"/>
            </w:tcBorders>
            <w:vAlign w:val="center"/>
            <w:hideMark/>
          </w:tcPr>
          <w:p w14:paraId="124AC154"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49</w:t>
            </w:r>
          </w:p>
        </w:tc>
        <w:tc>
          <w:tcPr>
            <w:tcW w:w="0" w:type="auto"/>
            <w:tcBorders>
              <w:top w:val="nil"/>
              <w:left w:val="nil"/>
              <w:bottom w:val="single" w:sz="4" w:space="0" w:color="auto"/>
              <w:right w:val="single" w:sz="4" w:space="0" w:color="auto"/>
            </w:tcBorders>
            <w:vAlign w:val="center"/>
            <w:hideMark/>
          </w:tcPr>
          <w:p w14:paraId="58E7793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20</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43217085"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 xml:space="preserve">15. تتبنى الإدارة أسلوب الحوار المفتوح مع </w:t>
            </w:r>
            <w:r w:rsidRPr="00E15AD4">
              <w:rPr>
                <w:rFonts w:ascii="Arial" w:eastAsia="Times New Roman" w:hAnsi="Arial" w:cs="Arial"/>
                <w:color w:val="000000"/>
                <w:kern w:val="0"/>
                <w:sz w:val="20"/>
                <w:szCs w:val="20"/>
                <w:rtl/>
                <w14:ligatures w14:val="none"/>
              </w:rPr>
              <w:lastRenderedPageBreak/>
              <w:t>الموظفين عند اتخاذ القرارات.</w:t>
            </w:r>
          </w:p>
        </w:tc>
      </w:tr>
      <w:tr w:rsidR="00793DFB" w:rsidRPr="00E15AD4" w14:paraId="15CC3DE2"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47F2CFD5"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91C04CE"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2F1384A"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0B09467A"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17.50%</w:t>
            </w:r>
          </w:p>
        </w:tc>
        <w:tc>
          <w:tcPr>
            <w:tcW w:w="0" w:type="auto"/>
            <w:tcBorders>
              <w:top w:val="nil"/>
              <w:left w:val="nil"/>
              <w:bottom w:val="single" w:sz="4" w:space="0" w:color="auto"/>
              <w:right w:val="single" w:sz="4" w:space="0" w:color="auto"/>
            </w:tcBorders>
            <w:vAlign w:val="center"/>
            <w:hideMark/>
          </w:tcPr>
          <w:p w14:paraId="7DE176C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38.00%</w:t>
            </w:r>
          </w:p>
        </w:tc>
        <w:tc>
          <w:tcPr>
            <w:tcW w:w="0" w:type="auto"/>
            <w:tcBorders>
              <w:top w:val="nil"/>
              <w:left w:val="nil"/>
              <w:bottom w:val="single" w:sz="4" w:space="0" w:color="auto"/>
              <w:right w:val="single" w:sz="4" w:space="0" w:color="auto"/>
            </w:tcBorders>
            <w:vAlign w:val="center"/>
            <w:hideMark/>
          </w:tcPr>
          <w:p w14:paraId="4D95D26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27.30%</w:t>
            </w:r>
          </w:p>
        </w:tc>
        <w:tc>
          <w:tcPr>
            <w:tcW w:w="0" w:type="auto"/>
            <w:tcBorders>
              <w:top w:val="nil"/>
              <w:left w:val="nil"/>
              <w:bottom w:val="single" w:sz="4" w:space="0" w:color="auto"/>
              <w:right w:val="single" w:sz="4" w:space="0" w:color="auto"/>
            </w:tcBorders>
            <w:vAlign w:val="center"/>
            <w:hideMark/>
          </w:tcPr>
          <w:p w14:paraId="07B5C93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12.30%</w:t>
            </w:r>
          </w:p>
        </w:tc>
        <w:tc>
          <w:tcPr>
            <w:tcW w:w="0" w:type="auto"/>
            <w:tcBorders>
              <w:top w:val="nil"/>
              <w:left w:val="nil"/>
              <w:bottom w:val="single" w:sz="4" w:space="0" w:color="auto"/>
              <w:right w:val="single" w:sz="4" w:space="0" w:color="auto"/>
            </w:tcBorders>
            <w:vAlign w:val="center"/>
            <w:hideMark/>
          </w:tcPr>
          <w:p w14:paraId="63F4BF8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5.00%</w:t>
            </w:r>
          </w:p>
        </w:tc>
        <w:tc>
          <w:tcPr>
            <w:tcW w:w="0" w:type="auto"/>
            <w:vMerge/>
            <w:tcBorders>
              <w:top w:val="nil"/>
              <w:left w:val="single" w:sz="4" w:space="0" w:color="auto"/>
              <w:bottom w:val="single" w:sz="4" w:space="0" w:color="auto"/>
              <w:right w:val="single" w:sz="4" w:space="0" w:color="auto"/>
            </w:tcBorders>
            <w:vAlign w:val="center"/>
            <w:hideMark/>
          </w:tcPr>
          <w:p w14:paraId="3F64B6F9"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535CF874" w14:textId="77777777" w:rsidTr="009F1C88">
        <w:trPr>
          <w:trHeight w:val="264"/>
        </w:trPr>
        <w:tc>
          <w:tcPr>
            <w:tcW w:w="0" w:type="auto"/>
            <w:vMerge w:val="restart"/>
            <w:tcBorders>
              <w:top w:val="nil"/>
              <w:left w:val="single" w:sz="4" w:space="0" w:color="auto"/>
              <w:bottom w:val="single" w:sz="4" w:space="0" w:color="auto"/>
              <w:right w:val="single" w:sz="4" w:space="0" w:color="auto"/>
            </w:tcBorders>
            <w:shd w:val="clear" w:color="000000" w:fill="FF6D01"/>
            <w:vAlign w:val="center"/>
            <w:hideMark/>
          </w:tcPr>
          <w:p w14:paraId="576ECF4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p>
        </w:tc>
        <w:tc>
          <w:tcPr>
            <w:tcW w:w="0" w:type="auto"/>
            <w:gridSpan w:val="2"/>
            <w:tcBorders>
              <w:top w:val="single" w:sz="4" w:space="0" w:color="auto"/>
              <w:left w:val="nil"/>
              <w:bottom w:val="single" w:sz="4" w:space="0" w:color="auto"/>
              <w:right w:val="single" w:sz="4" w:space="0" w:color="auto"/>
            </w:tcBorders>
            <w:vAlign w:val="center"/>
            <w:hideMark/>
          </w:tcPr>
          <w:p w14:paraId="5111EDB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3.449166667</w:t>
            </w:r>
          </w:p>
        </w:tc>
        <w:tc>
          <w:tcPr>
            <w:tcW w:w="0" w:type="auto"/>
            <w:gridSpan w:val="6"/>
            <w:tcBorders>
              <w:top w:val="single" w:sz="4" w:space="0" w:color="auto"/>
              <w:left w:val="nil"/>
              <w:bottom w:val="single" w:sz="4" w:space="0" w:color="auto"/>
              <w:right w:val="single" w:sz="4" w:space="0" w:color="auto"/>
            </w:tcBorders>
            <w:shd w:val="clear" w:color="000000" w:fill="FF6D01"/>
            <w:vAlign w:val="center"/>
            <w:hideMark/>
          </w:tcPr>
          <w:p w14:paraId="37DA78E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proofErr w:type="spellStart"/>
            <w:r w:rsidRPr="00E15AD4">
              <w:rPr>
                <w:rFonts w:ascii="Arial" w:eastAsia="Times New Roman" w:hAnsi="Arial" w:cs="Arial"/>
                <w:color w:val="000000"/>
                <w:kern w:val="0"/>
                <w:sz w:val="20"/>
                <w:szCs w:val="20"/>
                <w14:ligatures w14:val="none"/>
              </w:rPr>
              <w:t>weightted</w:t>
            </w:r>
            <w:proofErr w:type="spellEnd"/>
            <w:r w:rsidRPr="00E15AD4">
              <w:rPr>
                <w:rFonts w:ascii="Arial" w:eastAsia="Times New Roman" w:hAnsi="Arial" w:cs="Arial"/>
                <w:color w:val="000000"/>
                <w:kern w:val="0"/>
                <w:sz w:val="20"/>
                <w:szCs w:val="20"/>
                <w14:ligatures w14:val="none"/>
              </w:rPr>
              <w:t xml:space="preserve"> mean </w:t>
            </w:r>
          </w:p>
        </w:tc>
      </w:tr>
      <w:tr w:rsidR="00793DFB" w:rsidRPr="00E15AD4" w14:paraId="1C7F9653"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30B45F5F"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12BB823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1.064296667</w:t>
            </w:r>
          </w:p>
        </w:tc>
        <w:tc>
          <w:tcPr>
            <w:tcW w:w="0" w:type="auto"/>
            <w:gridSpan w:val="7"/>
            <w:tcBorders>
              <w:top w:val="single" w:sz="4" w:space="0" w:color="auto"/>
              <w:left w:val="nil"/>
              <w:bottom w:val="single" w:sz="4" w:space="0" w:color="auto"/>
              <w:right w:val="single" w:sz="4" w:space="0" w:color="auto"/>
            </w:tcBorders>
            <w:shd w:val="clear" w:color="000000" w:fill="FF6D01"/>
            <w:vAlign w:val="center"/>
            <w:hideMark/>
          </w:tcPr>
          <w:p w14:paraId="3E7EAB54"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std. deviation</w:t>
            </w:r>
          </w:p>
        </w:tc>
      </w:tr>
      <w:tr w:rsidR="00793DFB" w:rsidRPr="00E15AD4" w14:paraId="2E4BC228" w14:textId="77777777" w:rsidTr="009F1C88">
        <w:trPr>
          <w:trHeight w:val="264"/>
        </w:trPr>
        <w:tc>
          <w:tcPr>
            <w:tcW w:w="0" w:type="auto"/>
            <w:gridSpan w:val="9"/>
            <w:tcBorders>
              <w:top w:val="single" w:sz="4" w:space="0" w:color="auto"/>
              <w:left w:val="single" w:sz="4" w:space="0" w:color="auto"/>
              <w:bottom w:val="single" w:sz="4" w:space="0" w:color="auto"/>
              <w:right w:val="single" w:sz="4" w:space="0" w:color="auto"/>
            </w:tcBorders>
            <w:shd w:val="clear" w:color="000000" w:fill="FFFF00"/>
            <w:vAlign w:val="center"/>
            <w:hideMark/>
          </w:tcPr>
          <w:p w14:paraId="65B6BBB3"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 xml:space="preserve">خامسًا: تقييم الأداء العادل </w:t>
            </w:r>
          </w:p>
        </w:tc>
      </w:tr>
      <w:tr w:rsidR="00793DFB" w:rsidRPr="00E15AD4" w14:paraId="1BE89D08" w14:textId="77777777" w:rsidTr="009F1C88">
        <w:trPr>
          <w:trHeight w:val="528"/>
        </w:trPr>
        <w:tc>
          <w:tcPr>
            <w:tcW w:w="0" w:type="auto"/>
            <w:tcBorders>
              <w:top w:val="nil"/>
              <w:left w:val="single" w:sz="4" w:space="0" w:color="auto"/>
              <w:bottom w:val="single" w:sz="4" w:space="0" w:color="auto"/>
              <w:right w:val="single" w:sz="4" w:space="0" w:color="auto"/>
            </w:tcBorders>
            <w:shd w:val="clear" w:color="000000" w:fill="7AD694"/>
            <w:vAlign w:val="center"/>
            <w:hideMark/>
          </w:tcPr>
          <w:p w14:paraId="2B64433D" w14:textId="77777777" w:rsidR="00793DFB" w:rsidRPr="00E15AD4" w:rsidRDefault="00793DFB" w:rsidP="009F1C88">
            <w:pPr>
              <w:bidi/>
              <w:spacing w:after="0" w:line="240" w:lineRule="auto"/>
              <w:jc w:val="center"/>
              <w:rPr>
                <w:rFonts w:ascii="Arial" w:eastAsia="Times New Roman" w:hAnsi="Arial" w:cs="Arial"/>
                <w:kern w:val="0"/>
                <w:sz w:val="20"/>
                <w:szCs w:val="20"/>
                <w:rtl/>
                <w14:ligatures w14:val="none"/>
              </w:rPr>
            </w:pPr>
            <w:r w:rsidRPr="00E15AD4">
              <w:rPr>
                <w:rFonts w:ascii="Arial" w:eastAsia="Times New Roman" w:hAnsi="Arial" w:cs="Arial"/>
                <w:kern w:val="0"/>
                <w:sz w:val="20"/>
                <w:szCs w:val="20"/>
                <w:rtl/>
                <w14:ligatures w14:val="none"/>
              </w:rPr>
              <w:t>الدرجة</w:t>
            </w:r>
          </w:p>
        </w:tc>
        <w:tc>
          <w:tcPr>
            <w:tcW w:w="0" w:type="auto"/>
            <w:tcBorders>
              <w:top w:val="nil"/>
              <w:left w:val="nil"/>
              <w:bottom w:val="single" w:sz="4" w:space="0" w:color="auto"/>
              <w:right w:val="single" w:sz="4" w:space="0" w:color="auto"/>
            </w:tcBorders>
            <w:shd w:val="clear" w:color="000000" w:fill="B3CEFB"/>
            <w:vAlign w:val="center"/>
            <w:hideMark/>
          </w:tcPr>
          <w:p w14:paraId="4074324F"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 xml:space="preserve">الانحراف المعياري </w:t>
            </w:r>
          </w:p>
        </w:tc>
        <w:tc>
          <w:tcPr>
            <w:tcW w:w="0" w:type="auto"/>
            <w:tcBorders>
              <w:top w:val="nil"/>
              <w:left w:val="nil"/>
              <w:bottom w:val="single" w:sz="4" w:space="0" w:color="auto"/>
              <w:right w:val="single" w:sz="4" w:space="0" w:color="auto"/>
            </w:tcBorders>
            <w:shd w:val="clear" w:color="000000" w:fill="B3CEFB"/>
            <w:vAlign w:val="center"/>
            <w:hideMark/>
          </w:tcPr>
          <w:p w14:paraId="44BACE8D"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المتوسط</w:t>
            </w:r>
          </w:p>
        </w:tc>
        <w:tc>
          <w:tcPr>
            <w:tcW w:w="0" w:type="auto"/>
            <w:tcBorders>
              <w:top w:val="nil"/>
              <w:left w:val="nil"/>
              <w:bottom w:val="single" w:sz="4" w:space="0" w:color="auto"/>
              <w:right w:val="single" w:sz="4" w:space="0" w:color="auto"/>
            </w:tcBorders>
            <w:shd w:val="clear" w:color="000000" w:fill="8CB5F9"/>
            <w:vAlign w:val="center"/>
            <w:hideMark/>
          </w:tcPr>
          <w:p w14:paraId="4D92C67F"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أوافق بشدة</w:t>
            </w:r>
          </w:p>
        </w:tc>
        <w:tc>
          <w:tcPr>
            <w:tcW w:w="0" w:type="auto"/>
            <w:tcBorders>
              <w:top w:val="nil"/>
              <w:left w:val="nil"/>
              <w:bottom w:val="single" w:sz="4" w:space="0" w:color="auto"/>
              <w:right w:val="single" w:sz="4" w:space="0" w:color="auto"/>
            </w:tcBorders>
            <w:shd w:val="clear" w:color="000000" w:fill="8CB5F9"/>
            <w:vAlign w:val="center"/>
            <w:hideMark/>
          </w:tcPr>
          <w:p w14:paraId="12D5D6B9"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أوافق</w:t>
            </w:r>
          </w:p>
        </w:tc>
        <w:tc>
          <w:tcPr>
            <w:tcW w:w="0" w:type="auto"/>
            <w:tcBorders>
              <w:top w:val="nil"/>
              <w:left w:val="nil"/>
              <w:bottom w:val="single" w:sz="4" w:space="0" w:color="auto"/>
              <w:right w:val="single" w:sz="4" w:space="0" w:color="auto"/>
            </w:tcBorders>
            <w:shd w:val="clear" w:color="000000" w:fill="8CB5F9"/>
            <w:vAlign w:val="center"/>
            <w:hideMark/>
          </w:tcPr>
          <w:p w14:paraId="309B2FDB"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محايد</w:t>
            </w:r>
          </w:p>
        </w:tc>
        <w:tc>
          <w:tcPr>
            <w:tcW w:w="0" w:type="auto"/>
            <w:tcBorders>
              <w:top w:val="nil"/>
              <w:left w:val="nil"/>
              <w:bottom w:val="single" w:sz="4" w:space="0" w:color="auto"/>
              <w:right w:val="single" w:sz="4" w:space="0" w:color="auto"/>
            </w:tcBorders>
            <w:shd w:val="clear" w:color="000000" w:fill="8CB5F9"/>
            <w:vAlign w:val="center"/>
            <w:hideMark/>
          </w:tcPr>
          <w:p w14:paraId="4C87A452"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لا أوافق</w:t>
            </w:r>
          </w:p>
        </w:tc>
        <w:tc>
          <w:tcPr>
            <w:tcW w:w="0" w:type="auto"/>
            <w:tcBorders>
              <w:top w:val="nil"/>
              <w:left w:val="nil"/>
              <w:bottom w:val="single" w:sz="4" w:space="0" w:color="auto"/>
              <w:right w:val="single" w:sz="4" w:space="0" w:color="auto"/>
            </w:tcBorders>
            <w:shd w:val="clear" w:color="000000" w:fill="8CB5F9"/>
            <w:vAlign w:val="center"/>
            <w:hideMark/>
          </w:tcPr>
          <w:p w14:paraId="0AB7CDBC"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لا أوافق بشدة</w:t>
            </w:r>
          </w:p>
        </w:tc>
        <w:tc>
          <w:tcPr>
            <w:tcW w:w="0" w:type="auto"/>
            <w:tcBorders>
              <w:top w:val="nil"/>
              <w:left w:val="nil"/>
              <w:bottom w:val="single" w:sz="4" w:space="0" w:color="auto"/>
              <w:right w:val="single" w:sz="4" w:space="0" w:color="auto"/>
            </w:tcBorders>
            <w:shd w:val="clear" w:color="000000" w:fill="FF6D01"/>
            <w:vAlign w:val="center"/>
            <w:hideMark/>
          </w:tcPr>
          <w:p w14:paraId="485C6702"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السؤال</w:t>
            </w:r>
          </w:p>
        </w:tc>
      </w:tr>
      <w:tr w:rsidR="00793DFB" w:rsidRPr="00E15AD4" w14:paraId="13FBD454"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45DD0590"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4B2B2DF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0.9444</w:t>
            </w:r>
          </w:p>
        </w:tc>
        <w:tc>
          <w:tcPr>
            <w:tcW w:w="0" w:type="auto"/>
            <w:vMerge w:val="restart"/>
            <w:tcBorders>
              <w:top w:val="nil"/>
              <w:left w:val="single" w:sz="4" w:space="0" w:color="auto"/>
              <w:bottom w:val="single" w:sz="4" w:space="0" w:color="auto"/>
              <w:right w:val="single" w:sz="4" w:space="0" w:color="auto"/>
            </w:tcBorders>
            <w:vAlign w:val="center"/>
            <w:hideMark/>
          </w:tcPr>
          <w:p w14:paraId="52904A74"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3.485</w:t>
            </w:r>
          </w:p>
        </w:tc>
        <w:tc>
          <w:tcPr>
            <w:tcW w:w="0" w:type="auto"/>
            <w:tcBorders>
              <w:top w:val="nil"/>
              <w:left w:val="nil"/>
              <w:bottom w:val="single" w:sz="4" w:space="0" w:color="auto"/>
              <w:right w:val="single" w:sz="4" w:space="0" w:color="auto"/>
            </w:tcBorders>
            <w:vAlign w:val="center"/>
            <w:hideMark/>
          </w:tcPr>
          <w:p w14:paraId="0485348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42</w:t>
            </w:r>
          </w:p>
        </w:tc>
        <w:tc>
          <w:tcPr>
            <w:tcW w:w="0" w:type="auto"/>
            <w:tcBorders>
              <w:top w:val="nil"/>
              <w:left w:val="nil"/>
              <w:bottom w:val="single" w:sz="4" w:space="0" w:color="auto"/>
              <w:right w:val="single" w:sz="4" w:space="0" w:color="auto"/>
            </w:tcBorders>
            <w:vAlign w:val="center"/>
            <w:hideMark/>
          </w:tcPr>
          <w:p w14:paraId="053D30E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183</w:t>
            </w:r>
          </w:p>
        </w:tc>
        <w:tc>
          <w:tcPr>
            <w:tcW w:w="0" w:type="auto"/>
            <w:tcBorders>
              <w:top w:val="nil"/>
              <w:left w:val="nil"/>
              <w:bottom w:val="single" w:sz="4" w:space="0" w:color="auto"/>
              <w:right w:val="single" w:sz="4" w:space="0" w:color="auto"/>
            </w:tcBorders>
            <w:vAlign w:val="center"/>
            <w:hideMark/>
          </w:tcPr>
          <w:p w14:paraId="178AE70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115</w:t>
            </w:r>
          </w:p>
        </w:tc>
        <w:tc>
          <w:tcPr>
            <w:tcW w:w="0" w:type="auto"/>
            <w:tcBorders>
              <w:top w:val="nil"/>
              <w:left w:val="nil"/>
              <w:bottom w:val="single" w:sz="4" w:space="0" w:color="auto"/>
              <w:right w:val="single" w:sz="4" w:space="0" w:color="auto"/>
            </w:tcBorders>
            <w:vAlign w:val="center"/>
            <w:hideMark/>
          </w:tcPr>
          <w:p w14:paraId="46CE368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47</w:t>
            </w:r>
          </w:p>
        </w:tc>
        <w:tc>
          <w:tcPr>
            <w:tcW w:w="0" w:type="auto"/>
            <w:tcBorders>
              <w:top w:val="nil"/>
              <w:left w:val="nil"/>
              <w:bottom w:val="single" w:sz="4" w:space="0" w:color="auto"/>
              <w:right w:val="single" w:sz="4" w:space="0" w:color="auto"/>
            </w:tcBorders>
            <w:vAlign w:val="center"/>
            <w:hideMark/>
          </w:tcPr>
          <w:p w14:paraId="700EFFA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13</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0A73B538"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16. يتم تقييم أداء الموظفين وفق معايير موضوعية ومعلنة.</w:t>
            </w:r>
          </w:p>
        </w:tc>
      </w:tr>
      <w:tr w:rsidR="00793DFB" w:rsidRPr="00E15AD4" w14:paraId="4865B29A" w14:textId="77777777" w:rsidTr="009F1C88">
        <w:trPr>
          <w:trHeight w:val="288"/>
        </w:trPr>
        <w:tc>
          <w:tcPr>
            <w:tcW w:w="0" w:type="auto"/>
            <w:vMerge/>
            <w:tcBorders>
              <w:top w:val="nil"/>
              <w:left w:val="single" w:sz="4" w:space="0" w:color="auto"/>
              <w:bottom w:val="single" w:sz="4" w:space="0" w:color="auto"/>
              <w:right w:val="single" w:sz="4" w:space="0" w:color="auto"/>
            </w:tcBorders>
            <w:vAlign w:val="center"/>
            <w:hideMark/>
          </w:tcPr>
          <w:p w14:paraId="3F0D49B9"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BD20250"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2AFBB89"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6ABA5600"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10.50%</w:t>
            </w:r>
          </w:p>
        </w:tc>
        <w:tc>
          <w:tcPr>
            <w:tcW w:w="0" w:type="auto"/>
            <w:tcBorders>
              <w:top w:val="nil"/>
              <w:left w:val="nil"/>
              <w:bottom w:val="single" w:sz="4" w:space="0" w:color="auto"/>
              <w:right w:val="single" w:sz="4" w:space="0" w:color="auto"/>
            </w:tcBorders>
            <w:vAlign w:val="center"/>
            <w:hideMark/>
          </w:tcPr>
          <w:p w14:paraId="0982390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45.80%</w:t>
            </w:r>
          </w:p>
        </w:tc>
        <w:tc>
          <w:tcPr>
            <w:tcW w:w="0" w:type="auto"/>
            <w:tcBorders>
              <w:top w:val="nil"/>
              <w:left w:val="nil"/>
              <w:bottom w:val="single" w:sz="4" w:space="0" w:color="auto"/>
              <w:right w:val="single" w:sz="4" w:space="0" w:color="auto"/>
            </w:tcBorders>
            <w:vAlign w:val="center"/>
            <w:hideMark/>
          </w:tcPr>
          <w:p w14:paraId="63D2CB7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28.80%</w:t>
            </w:r>
          </w:p>
        </w:tc>
        <w:tc>
          <w:tcPr>
            <w:tcW w:w="0" w:type="auto"/>
            <w:tcBorders>
              <w:top w:val="nil"/>
              <w:left w:val="nil"/>
              <w:bottom w:val="single" w:sz="4" w:space="0" w:color="auto"/>
              <w:right w:val="single" w:sz="4" w:space="0" w:color="auto"/>
            </w:tcBorders>
            <w:vAlign w:val="center"/>
            <w:hideMark/>
          </w:tcPr>
          <w:p w14:paraId="28D53D3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11.80%</w:t>
            </w:r>
          </w:p>
        </w:tc>
        <w:tc>
          <w:tcPr>
            <w:tcW w:w="0" w:type="auto"/>
            <w:tcBorders>
              <w:top w:val="nil"/>
              <w:left w:val="nil"/>
              <w:bottom w:val="single" w:sz="4" w:space="0" w:color="auto"/>
              <w:right w:val="single" w:sz="4" w:space="0" w:color="auto"/>
            </w:tcBorders>
            <w:vAlign w:val="center"/>
            <w:hideMark/>
          </w:tcPr>
          <w:p w14:paraId="179B74A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3.30%</w:t>
            </w:r>
          </w:p>
        </w:tc>
        <w:tc>
          <w:tcPr>
            <w:tcW w:w="0" w:type="auto"/>
            <w:vMerge/>
            <w:tcBorders>
              <w:top w:val="nil"/>
              <w:left w:val="single" w:sz="4" w:space="0" w:color="auto"/>
              <w:bottom w:val="single" w:sz="4" w:space="0" w:color="auto"/>
              <w:right w:val="single" w:sz="4" w:space="0" w:color="auto"/>
            </w:tcBorders>
            <w:vAlign w:val="center"/>
            <w:hideMark/>
          </w:tcPr>
          <w:p w14:paraId="41D5F6B1"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47924693"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008190A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0597B7F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0.9804</w:t>
            </w:r>
          </w:p>
        </w:tc>
        <w:tc>
          <w:tcPr>
            <w:tcW w:w="0" w:type="auto"/>
            <w:vMerge w:val="restart"/>
            <w:tcBorders>
              <w:top w:val="nil"/>
              <w:left w:val="single" w:sz="4" w:space="0" w:color="auto"/>
              <w:bottom w:val="single" w:sz="4" w:space="0" w:color="auto"/>
              <w:right w:val="single" w:sz="4" w:space="0" w:color="auto"/>
            </w:tcBorders>
            <w:vAlign w:val="center"/>
            <w:hideMark/>
          </w:tcPr>
          <w:p w14:paraId="2879D31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3.465</w:t>
            </w:r>
          </w:p>
        </w:tc>
        <w:tc>
          <w:tcPr>
            <w:tcW w:w="0" w:type="auto"/>
            <w:tcBorders>
              <w:top w:val="nil"/>
              <w:left w:val="nil"/>
              <w:bottom w:val="single" w:sz="4" w:space="0" w:color="auto"/>
              <w:right w:val="single" w:sz="4" w:space="0" w:color="auto"/>
            </w:tcBorders>
            <w:vAlign w:val="center"/>
            <w:hideMark/>
          </w:tcPr>
          <w:p w14:paraId="64A382C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48</w:t>
            </w:r>
          </w:p>
        </w:tc>
        <w:tc>
          <w:tcPr>
            <w:tcW w:w="0" w:type="auto"/>
            <w:tcBorders>
              <w:top w:val="nil"/>
              <w:left w:val="nil"/>
              <w:bottom w:val="single" w:sz="4" w:space="0" w:color="auto"/>
              <w:right w:val="single" w:sz="4" w:space="0" w:color="auto"/>
            </w:tcBorders>
            <w:vAlign w:val="center"/>
            <w:hideMark/>
          </w:tcPr>
          <w:p w14:paraId="6FDC3AE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166</w:t>
            </w:r>
          </w:p>
        </w:tc>
        <w:tc>
          <w:tcPr>
            <w:tcW w:w="0" w:type="auto"/>
            <w:tcBorders>
              <w:top w:val="nil"/>
              <w:left w:val="nil"/>
              <w:bottom w:val="single" w:sz="4" w:space="0" w:color="auto"/>
              <w:right w:val="single" w:sz="4" w:space="0" w:color="auto"/>
            </w:tcBorders>
            <w:vAlign w:val="center"/>
            <w:hideMark/>
          </w:tcPr>
          <w:p w14:paraId="6ECBCF8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128</w:t>
            </w:r>
          </w:p>
        </w:tc>
        <w:tc>
          <w:tcPr>
            <w:tcW w:w="0" w:type="auto"/>
            <w:tcBorders>
              <w:top w:val="nil"/>
              <w:left w:val="nil"/>
              <w:bottom w:val="single" w:sz="4" w:space="0" w:color="auto"/>
              <w:right w:val="single" w:sz="4" w:space="0" w:color="auto"/>
            </w:tcBorders>
            <w:vAlign w:val="center"/>
            <w:hideMark/>
          </w:tcPr>
          <w:p w14:paraId="1BE68AAD"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40</w:t>
            </w:r>
          </w:p>
        </w:tc>
        <w:tc>
          <w:tcPr>
            <w:tcW w:w="0" w:type="auto"/>
            <w:tcBorders>
              <w:top w:val="nil"/>
              <w:left w:val="nil"/>
              <w:bottom w:val="single" w:sz="4" w:space="0" w:color="auto"/>
              <w:right w:val="single" w:sz="4" w:space="0" w:color="auto"/>
            </w:tcBorders>
            <w:vAlign w:val="center"/>
            <w:hideMark/>
          </w:tcPr>
          <w:p w14:paraId="7662CDB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18</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477AA82B"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17. يحصل الموظفون على تغذية راجعة منتظمة حول أدائهم.</w:t>
            </w:r>
          </w:p>
        </w:tc>
      </w:tr>
      <w:tr w:rsidR="00793DFB" w:rsidRPr="00E15AD4" w14:paraId="2E70BB2E"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51AA3DC8"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0B110D55"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8392A08"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340E3891"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12.00%</w:t>
            </w:r>
          </w:p>
        </w:tc>
        <w:tc>
          <w:tcPr>
            <w:tcW w:w="0" w:type="auto"/>
            <w:tcBorders>
              <w:top w:val="nil"/>
              <w:left w:val="nil"/>
              <w:bottom w:val="single" w:sz="4" w:space="0" w:color="auto"/>
              <w:right w:val="single" w:sz="4" w:space="0" w:color="auto"/>
            </w:tcBorders>
            <w:vAlign w:val="center"/>
            <w:hideMark/>
          </w:tcPr>
          <w:p w14:paraId="209CED5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41.50%</w:t>
            </w:r>
          </w:p>
        </w:tc>
        <w:tc>
          <w:tcPr>
            <w:tcW w:w="0" w:type="auto"/>
            <w:tcBorders>
              <w:top w:val="nil"/>
              <w:left w:val="nil"/>
              <w:bottom w:val="single" w:sz="4" w:space="0" w:color="auto"/>
              <w:right w:val="single" w:sz="4" w:space="0" w:color="auto"/>
            </w:tcBorders>
            <w:vAlign w:val="center"/>
            <w:hideMark/>
          </w:tcPr>
          <w:p w14:paraId="3F49F434"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32.00%</w:t>
            </w:r>
          </w:p>
        </w:tc>
        <w:tc>
          <w:tcPr>
            <w:tcW w:w="0" w:type="auto"/>
            <w:tcBorders>
              <w:top w:val="nil"/>
              <w:left w:val="nil"/>
              <w:bottom w:val="single" w:sz="4" w:space="0" w:color="auto"/>
              <w:right w:val="single" w:sz="4" w:space="0" w:color="auto"/>
            </w:tcBorders>
            <w:vAlign w:val="center"/>
            <w:hideMark/>
          </w:tcPr>
          <w:p w14:paraId="132A415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10.00%</w:t>
            </w:r>
          </w:p>
        </w:tc>
        <w:tc>
          <w:tcPr>
            <w:tcW w:w="0" w:type="auto"/>
            <w:tcBorders>
              <w:top w:val="nil"/>
              <w:left w:val="nil"/>
              <w:bottom w:val="single" w:sz="4" w:space="0" w:color="auto"/>
              <w:right w:val="single" w:sz="4" w:space="0" w:color="auto"/>
            </w:tcBorders>
            <w:vAlign w:val="center"/>
            <w:hideMark/>
          </w:tcPr>
          <w:p w14:paraId="57186C6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4.50%</w:t>
            </w:r>
          </w:p>
        </w:tc>
        <w:tc>
          <w:tcPr>
            <w:tcW w:w="0" w:type="auto"/>
            <w:vMerge/>
            <w:tcBorders>
              <w:top w:val="nil"/>
              <w:left w:val="single" w:sz="4" w:space="0" w:color="auto"/>
              <w:bottom w:val="single" w:sz="4" w:space="0" w:color="auto"/>
              <w:right w:val="single" w:sz="4" w:space="0" w:color="auto"/>
            </w:tcBorders>
            <w:vAlign w:val="center"/>
            <w:hideMark/>
          </w:tcPr>
          <w:p w14:paraId="5F03C385"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2CAB928B"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35C9A2D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1378BE64"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1.0237</w:t>
            </w:r>
          </w:p>
        </w:tc>
        <w:tc>
          <w:tcPr>
            <w:tcW w:w="0" w:type="auto"/>
            <w:vMerge w:val="restart"/>
            <w:tcBorders>
              <w:top w:val="nil"/>
              <w:left w:val="single" w:sz="4" w:space="0" w:color="auto"/>
              <w:bottom w:val="single" w:sz="4" w:space="0" w:color="auto"/>
              <w:right w:val="single" w:sz="4" w:space="0" w:color="auto"/>
            </w:tcBorders>
            <w:vAlign w:val="center"/>
            <w:hideMark/>
          </w:tcPr>
          <w:p w14:paraId="1A2CC33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3.597</w:t>
            </w:r>
          </w:p>
        </w:tc>
        <w:tc>
          <w:tcPr>
            <w:tcW w:w="0" w:type="auto"/>
            <w:tcBorders>
              <w:top w:val="nil"/>
              <w:left w:val="nil"/>
              <w:bottom w:val="single" w:sz="4" w:space="0" w:color="auto"/>
              <w:right w:val="single" w:sz="4" w:space="0" w:color="auto"/>
            </w:tcBorders>
            <w:vAlign w:val="center"/>
            <w:hideMark/>
          </w:tcPr>
          <w:p w14:paraId="4249FA5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72</w:t>
            </w:r>
          </w:p>
        </w:tc>
        <w:tc>
          <w:tcPr>
            <w:tcW w:w="0" w:type="auto"/>
            <w:tcBorders>
              <w:top w:val="nil"/>
              <w:left w:val="nil"/>
              <w:bottom w:val="single" w:sz="4" w:space="0" w:color="auto"/>
              <w:right w:val="single" w:sz="4" w:space="0" w:color="auto"/>
            </w:tcBorders>
            <w:vAlign w:val="center"/>
            <w:hideMark/>
          </w:tcPr>
          <w:p w14:paraId="2B166C0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168</w:t>
            </w:r>
          </w:p>
        </w:tc>
        <w:tc>
          <w:tcPr>
            <w:tcW w:w="0" w:type="auto"/>
            <w:tcBorders>
              <w:top w:val="nil"/>
              <w:left w:val="nil"/>
              <w:bottom w:val="single" w:sz="4" w:space="0" w:color="auto"/>
              <w:right w:val="single" w:sz="4" w:space="0" w:color="auto"/>
            </w:tcBorders>
            <w:vAlign w:val="center"/>
            <w:hideMark/>
          </w:tcPr>
          <w:p w14:paraId="163BCCE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103</w:t>
            </w:r>
          </w:p>
        </w:tc>
        <w:tc>
          <w:tcPr>
            <w:tcW w:w="0" w:type="auto"/>
            <w:tcBorders>
              <w:top w:val="nil"/>
              <w:left w:val="nil"/>
              <w:bottom w:val="single" w:sz="4" w:space="0" w:color="auto"/>
              <w:right w:val="single" w:sz="4" w:space="0" w:color="auto"/>
            </w:tcBorders>
            <w:vAlign w:val="center"/>
            <w:hideMark/>
          </w:tcPr>
          <w:p w14:paraId="0F3134E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41</w:t>
            </w:r>
          </w:p>
        </w:tc>
        <w:tc>
          <w:tcPr>
            <w:tcW w:w="0" w:type="auto"/>
            <w:tcBorders>
              <w:top w:val="nil"/>
              <w:left w:val="nil"/>
              <w:bottom w:val="single" w:sz="4" w:space="0" w:color="auto"/>
              <w:right w:val="single" w:sz="4" w:space="0" w:color="auto"/>
            </w:tcBorders>
            <w:vAlign w:val="center"/>
            <w:hideMark/>
          </w:tcPr>
          <w:p w14:paraId="6DC854F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16</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39708503"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18. تُستخدم نتائج التقييم في تحديد فرص الترقية والتطوير.</w:t>
            </w:r>
          </w:p>
        </w:tc>
      </w:tr>
      <w:tr w:rsidR="00793DFB" w:rsidRPr="00E15AD4" w14:paraId="36C60264"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4D2198CA"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CEF635D"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6C3A26E"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3A3B1FEA"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18.00%</w:t>
            </w:r>
          </w:p>
        </w:tc>
        <w:tc>
          <w:tcPr>
            <w:tcW w:w="0" w:type="auto"/>
            <w:tcBorders>
              <w:top w:val="nil"/>
              <w:left w:val="nil"/>
              <w:bottom w:val="single" w:sz="4" w:space="0" w:color="auto"/>
              <w:right w:val="single" w:sz="4" w:space="0" w:color="auto"/>
            </w:tcBorders>
            <w:vAlign w:val="center"/>
            <w:hideMark/>
          </w:tcPr>
          <w:p w14:paraId="0944389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42.00%</w:t>
            </w:r>
          </w:p>
        </w:tc>
        <w:tc>
          <w:tcPr>
            <w:tcW w:w="0" w:type="auto"/>
            <w:tcBorders>
              <w:top w:val="nil"/>
              <w:left w:val="nil"/>
              <w:bottom w:val="single" w:sz="4" w:space="0" w:color="auto"/>
              <w:right w:val="single" w:sz="4" w:space="0" w:color="auto"/>
            </w:tcBorders>
            <w:vAlign w:val="center"/>
            <w:hideMark/>
          </w:tcPr>
          <w:p w14:paraId="193ABD0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25.80%</w:t>
            </w:r>
          </w:p>
        </w:tc>
        <w:tc>
          <w:tcPr>
            <w:tcW w:w="0" w:type="auto"/>
            <w:tcBorders>
              <w:top w:val="nil"/>
              <w:left w:val="nil"/>
              <w:bottom w:val="single" w:sz="4" w:space="0" w:color="auto"/>
              <w:right w:val="single" w:sz="4" w:space="0" w:color="auto"/>
            </w:tcBorders>
            <w:vAlign w:val="center"/>
            <w:hideMark/>
          </w:tcPr>
          <w:p w14:paraId="7D71E79D"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10.30%</w:t>
            </w:r>
          </w:p>
        </w:tc>
        <w:tc>
          <w:tcPr>
            <w:tcW w:w="0" w:type="auto"/>
            <w:tcBorders>
              <w:top w:val="nil"/>
              <w:left w:val="nil"/>
              <w:bottom w:val="single" w:sz="4" w:space="0" w:color="auto"/>
              <w:right w:val="single" w:sz="4" w:space="0" w:color="auto"/>
            </w:tcBorders>
            <w:vAlign w:val="center"/>
            <w:hideMark/>
          </w:tcPr>
          <w:p w14:paraId="15CF75D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4.00%</w:t>
            </w:r>
          </w:p>
        </w:tc>
        <w:tc>
          <w:tcPr>
            <w:tcW w:w="0" w:type="auto"/>
            <w:vMerge/>
            <w:tcBorders>
              <w:top w:val="nil"/>
              <w:left w:val="single" w:sz="4" w:space="0" w:color="auto"/>
              <w:bottom w:val="single" w:sz="4" w:space="0" w:color="auto"/>
              <w:right w:val="single" w:sz="4" w:space="0" w:color="auto"/>
            </w:tcBorders>
            <w:vAlign w:val="center"/>
            <w:hideMark/>
          </w:tcPr>
          <w:p w14:paraId="52E859B3"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2BE20A86" w14:textId="77777777" w:rsidTr="009F1C88">
        <w:trPr>
          <w:trHeight w:val="264"/>
        </w:trPr>
        <w:tc>
          <w:tcPr>
            <w:tcW w:w="0" w:type="auto"/>
            <w:vMerge w:val="restart"/>
            <w:tcBorders>
              <w:top w:val="nil"/>
              <w:left w:val="single" w:sz="4" w:space="0" w:color="auto"/>
              <w:bottom w:val="single" w:sz="4" w:space="0" w:color="auto"/>
              <w:right w:val="single" w:sz="4" w:space="0" w:color="auto"/>
            </w:tcBorders>
            <w:shd w:val="clear" w:color="000000" w:fill="FF6D01"/>
            <w:vAlign w:val="center"/>
            <w:hideMark/>
          </w:tcPr>
          <w:p w14:paraId="6556926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p>
        </w:tc>
        <w:tc>
          <w:tcPr>
            <w:tcW w:w="0" w:type="auto"/>
            <w:gridSpan w:val="2"/>
            <w:tcBorders>
              <w:top w:val="single" w:sz="4" w:space="0" w:color="auto"/>
              <w:left w:val="nil"/>
              <w:bottom w:val="single" w:sz="4" w:space="0" w:color="auto"/>
              <w:right w:val="single" w:sz="4" w:space="0" w:color="auto"/>
            </w:tcBorders>
            <w:vAlign w:val="center"/>
            <w:hideMark/>
          </w:tcPr>
          <w:p w14:paraId="453BCF6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3.515666667</w:t>
            </w:r>
          </w:p>
        </w:tc>
        <w:tc>
          <w:tcPr>
            <w:tcW w:w="0" w:type="auto"/>
            <w:gridSpan w:val="6"/>
            <w:tcBorders>
              <w:top w:val="single" w:sz="4" w:space="0" w:color="auto"/>
              <w:left w:val="nil"/>
              <w:bottom w:val="single" w:sz="4" w:space="0" w:color="auto"/>
              <w:right w:val="single" w:sz="4" w:space="0" w:color="auto"/>
            </w:tcBorders>
            <w:shd w:val="clear" w:color="000000" w:fill="FF6D01"/>
            <w:vAlign w:val="center"/>
            <w:hideMark/>
          </w:tcPr>
          <w:p w14:paraId="2290E65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proofErr w:type="spellStart"/>
            <w:r w:rsidRPr="00E15AD4">
              <w:rPr>
                <w:rFonts w:ascii="Arial" w:eastAsia="Times New Roman" w:hAnsi="Arial" w:cs="Arial"/>
                <w:color w:val="000000"/>
                <w:kern w:val="0"/>
                <w:sz w:val="20"/>
                <w:szCs w:val="20"/>
                <w14:ligatures w14:val="none"/>
              </w:rPr>
              <w:t>weightted</w:t>
            </w:r>
            <w:proofErr w:type="spellEnd"/>
            <w:r w:rsidRPr="00E15AD4">
              <w:rPr>
                <w:rFonts w:ascii="Arial" w:eastAsia="Times New Roman" w:hAnsi="Arial" w:cs="Arial"/>
                <w:color w:val="000000"/>
                <w:kern w:val="0"/>
                <w:sz w:val="20"/>
                <w:szCs w:val="20"/>
                <w14:ligatures w14:val="none"/>
              </w:rPr>
              <w:t xml:space="preserve"> mean </w:t>
            </w:r>
          </w:p>
        </w:tc>
      </w:tr>
      <w:tr w:rsidR="00793DFB" w:rsidRPr="00E15AD4" w14:paraId="24DD89A1"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19BA8BE0"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2494D80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0.982833333</w:t>
            </w:r>
          </w:p>
        </w:tc>
        <w:tc>
          <w:tcPr>
            <w:tcW w:w="0" w:type="auto"/>
            <w:gridSpan w:val="7"/>
            <w:tcBorders>
              <w:top w:val="single" w:sz="4" w:space="0" w:color="auto"/>
              <w:left w:val="nil"/>
              <w:bottom w:val="single" w:sz="4" w:space="0" w:color="auto"/>
              <w:right w:val="single" w:sz="4" w:space="0" w:color="auto"/>
            </w:tcBorders>
            <w:shd w:val="clear" w:color="000000" w:fill="FF6D01"/>
            <w:vAlign w:val="center"/>
            <w:hideMark/>
          </w:tcPr>
          <w:p w14:paraId="7D2F911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std. deviation</w:t>
            </w:r>
          </w:p>
        </w:tc>
      </w:tr>
      <w:tr w:rsidR="00793DFB" w:rsidRPr="00E15AD4" w14:paraId="27DCF7AD" w14:textId="77777777" w:rsidTr="009F1C88">
        <w:trPr>
          <w:trHeight w:val="264"/>
        </w:trPr>
        <w:tc>
          <w:tcPr>
            <w:tcW w:w="0" w:type="auto"/>
            <w:gridSpan w:val="9"/>
            <w:tcBorders>
              <w:top w:val="single" w:sz="4" w:space="0" w:color="auto"/>
              <w:left w:val="single" w:sz="4" w:space="0" w:color="auto"/>
              <w:bottom w:val="single" w:sz="4" w:space="0" w:color="auto"/>
              <w:right w:val="single" w:sz="4" w:space="0" w:color="auto"/>
            </w:tcBorders>
            <w:shd w:val="clear" w:color="000000" w:fill="FFFF00"/>
            <w:vAlign w:val="center"/>
            <w:hideMark/>
          </w:tcPr>
          <w:p w14:paraId="61F5A58D"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 xml:space="preserve">سادسًا: تمكين الموظفين </w:t>
            </w:r>
          </w:p>
        </w:tc>
      </w:tr>
      <w:tr w:rsidR="00793DFB" w:rsidRPr="00E15AD4" w14:paraId="3AFEF182" w14:textId="77777777" w:rsidTr="009F1C88">
        <w:trPr>
          <w:trHeight w:val="528"/>
        </w:trPr>
        <w:tc>
          <w:tcPr>
            <w:tcW w:w="0" w:type="auto"/>
            <w:tcBorders>
              <w:top w:val="nil"/>
              <w:left w:val="single" w:sz="4" w:space="0" w:color="auto"/>
              <w:bottom w:val="single" w:sz="4" w:space="0" w:color="auto"/>
              <w:right w:val="single" w:sz="4" w:space="0" w:color="auto"/>
            </w:tcBorders>
            <w:shd w:val="clear" w:color="000000" w:fill="7AD694"/>
            <w:vAlign w:val="center"/>
            <w:hideMark/>
          </w:tcPr>
          <w:p w14:paraId="63167F70" w14:textId="77777777" w:rsidR="00793DFB" w:rsidRPr="00E15AD4" w:rsidRDefault="00793DFB" w:rsidP="009F1C88">
            <w:pPr>
              <w:bidi/>
              <w:spacing w:after="0" w:line="240" w:lineRule="auto"/>
              <w:jc w:val="center"/>
              <w:rPr>
                <w:rFonts w:ascii="Arial" w:eastAsia="Times New Roman" w:hAnsi="Arial" w:cs="Arial"/>
                <w:kern w:val="0"/>
                <w:sz w:val="20"/>
                <w:szCs w:val="20"/>
                <w:rtl/>
                <w14:ligatures w14:val="none"/>
              </w:rPr>
            </w:pPr>
            <w:r w:rsidRPr="00E15AD4">
              <w:rPr>
                <w:rFonts w:ascii="Arial" w:eastAsia="Times New Roman" w:hAnsi="Arial" w:cs="Arial"/>
                <w:kern w:val="0"/>
                <w:sz w:val="20"/>
                <w:szCs w:val="20"/>
                <w:rtl/>
                <w14:ligatures w14:val="none"/>
              </w:rPr>
              <w:t>الدرجة</w:t>
            </w:r>
          </w:p>
        </w:tc>
        <w:tc>
          <w:tcPr>
            <w:tcW w:w="0" w:type="auto"/>
            <w:tcBorders>
              <w:top w:val="nil"/>
              <w:left w:val="nil"/>
              <w:bottom w:val="single" w:sz="4" w:space="0" w:color="auto"/>
              <w:right w:val="single" w:sz="4" w:space="0" w:color="auto"/>
            </w:tcBorders>
            <w:shd w:val="clear" w:color="000000" w:fill="B3CEFB"/>
            <w:vAlign w:val="center"/>
            <w:hideMark/>
          </w:tcPr>
          <w:p w14:paraId="7123D27D"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 xml:space="preserve">الانحراف المعياري </w:t>
            </w:r>
          </w:p>
        </w:tc>
        <w:tc>
          <w:tcPr>
            <w:tcW w:w="0" w:type="auto"/>
            <w:tcBorders>
              <w:top w:val="nil"/>
              <w:left w:val="nil"/>
              <w:bottom w:val="single" w:sz="4" w:space="0" w:color="auto"/>
              <w:right w:val="single" w:sz="4" w:space="0" w:color="auto"/>
            </w:tcBorders>
            <w:shd w:val="clear" w:color="000000" w:fill="B3CEFB"/>
            <w:vAlign w:val="center"/>
            <w:hideMark/>
          </w:tcPr>
          <w:p w14:paraId="064EE758"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المتوسط</w:t>
            </w:r>
          </w:p>
        </w:tc>
        <w:tc>
          <w:tcPr>
            <w:tcW w:w="0" w:type="auto"/>
            <w:tcBorders>
              <w:top w:val="nil"/>
              <w:left w:val="nil"/>
              <w:bottom w:val="single" w:sz="4" w:space="0" w:color="auto"/>
              <w:right w:val="single" w:sz="4" w:space="0" w:color="auto"/>
            </w:tcBorders>
            <w:shd w:val="clear" w:color="000000" w:fill="8CB5F9"/>
            <w:vAlign w:val="center"/>
            <w:hideMark/>
          </w:tcPr>
          <w:p w14:paraId="1C0DDE08"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أوافق بشدة</w:t>
            </w:r>
          </w:p>
        </w:tc>
        <w:tc>
          <w:tcPr>
            <w:tcW w:w="0" w:type="auto"/>
            <w:tcBorders>
              <w:top w:val="nil"/>
              <w:left w:val="nil"/>
              <w:bottom w:val="single" w:sz="4" w:space="0" w:color="auto"/>
              <w:right w:val="single" w:sz="4" w:space="0" w:color="auto"/>
            </w:tcBorders>
            <w:shd w:val="clear" w:color="000000" w:fill="8CB5F9"/>
            <w:vAlign w:val="center"/>
            <w:hideMark/>
          </w:tcPr>
          <w:p w14:paraId="5B0BA22F"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أوافق</w:t>
            </w:r>
          </w:p>
        </w:tc>
        <w:tc>
          <w:tcPr>
            <w:tcW w:w="0" w:type="auto"/>
            <w:tcBorders>
              <w:top w:val="nil"/>
              <w:left w:val="nil"/>
              <w:bottom w:val="single" w:sz="4" w:space="0" w:color="auto"/>
              <w:right w:val="single" w:sz="4" w:space="0" w:color="auto"/>
            </w:tcBorders>
            <w:shd w:val="clear" w:color="000000" w:fill="8CB5F9"/>
            <w:vAlign w:val="center"/>
            <w:hideMark/>
          </w:tcPr>
          <w:p w14:paraId="6859D7A3"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محايد</w:t>
            </w:r>
          </w:p>
        </w:tc>
        <w:tc>
          <w:tcPr>
            <w:tcW w:w="0" w:type="auto"/>
            <w:tcBorders>
              <w:top w:val="nil"/>
              <w:left w:val="nil"/>
              <w:bottom w:val="single" w:sz="4" w:space="0" w:color="auto"/>
              <w:right w:val="single" w:sz="4" w:space="0" w:color="auto"/>
            </w:tcBorders>
            <w:shd w:val="clear" w:color="000000" w:fill="8CB5F9"/>
            <w:vAlign w:val="center"/>
            <w:hideMark/>
          </w:tcPr>
          <w:p w14:paraId="59B27E00"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لا أوافق</w:t>
            </w:r>
          </w:p>
        </w:tc>
        <w:tc>
          <w:tcPr>
            <w:tcW w:w="0" w:type="auto"/>
            <w:tcBorders>
              <w:top w:val="nil"/>
              <w:left w:val="nil"/>
              <w:bottom w:val="single" w:sz="4" w:space="0" w:color="auto"/>
              <w:right w:val="single" w:sz="4" w:space="0" w:color="auto"/>
            </w:tcBorders>
            <w:shd w:val="clear" w:color="000000" w:fill="8CB5F9"/>
            <w:vAlign w:val="center"/>
            <w:hideMark/>
          </w:tcPr>
          <w:p w14:paraId="2F98B485"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لا أوافق بشدة</w:t>
            </w:r>
          </w:p>
        </w:tc>
        <w:tc>
          <w:tcPr>
            <w:tcW w:w="0" w:type="auto"/>
            <w:tcBorders>
              <w:top w:val="nil"/>
              <w:left w:val="nil"/>
              <w:bottom w:val="single" w:sz="4" w:space="0" w:color="auto"/>
              <w:right w:val="single" w:sz="4" w:space="0" w:color="auto"/>
            </w:tcBorders>
            <w:shd w:val="clear" w:color="000000" w:fill="FF6D01"/>
            <w:vAlign w:val="center"/>
            <w:hideMark/>
          </w:tcPr>
          <w:p w14:paraId="10522916"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rtl/>
                <w14:ligatures w14:val="none"/>
              </w:rPr>
              <w:t>السؤال</w:t>
            </w:r>
          </w:p>
        </w:tc>
      </w:tr>
      <w:tr w:rsidR="00793DFB" w:rsidRPr="00E15AD4" w14:paraId="19A5DF6C"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6183CAC3"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1806801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1.03085</w:t>
            </w:r>
          </w:p>
        </w:tc>
        <w:tc>
          <w:tcPr>
            <w:tcW w:w="0" w:type="auto"/>
            <w:vMerge w:val="restart"/>
            <w:tcBorders>
              <w:top w:val="nil"/>
              <w:left w:val="single" w:sz="4" w:space="0" w:color="auto"/>
              <w:bottom w:val="single" w:sz="4" w:space="0" w:color="auto"/>
              <w:right w:val="single" w:sz="4" w:space="0" w:color="auto"/>
            </w:tcBorders>
            <w:vAlign w:val="center"/>
            <w:hideMark/>
          </w:tcPr>
          <w:p w14:paraId="4C6BF53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3.4975</w:t>
            </w:r>
          </w:p>
        </w:tc>
        <w:tc>
          <w:tcPr>
            <w:tcW w:w="0" w:type="auto"/>
            <w:tcBorders>
              <w:top w:val="nil"/>
              <w:left w:val="nil"/>
              <w:bottom w:val="single" w:sz="4" w:space="0" w:color="auto"/>
              <w:right w:val="single" w:sz="4" w:space="0" w:color="auto"/>
            </w:tcBorders>
            <w:vAlign w:val="center"/>
            <w:hideMark/>
          </w:tcPr>
          <w:p w14:paraId="64AB7ED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58</w:t>
            </w:r>
          </w:p>
        </w:tc>
        <w:tc>
          <w:tcPr>
            <w:tcW w:w="0" w:type="auto"/>
            <w:tcBorders>
              <w:top w:val="nil"/>
              <w:left w:val="nil"/>
              <w:bottom w:val="single" w:sz="4" w:space="0" w:color="auto"/>
              <w:right w:val="single" w:sz="4" w:space="0" w:color="auto"/>
            </w:tcBorders>
            <w:vAlign w:val="center"/>
            <w:hideMark/>
          </w:tcPr>
          <w:p w14:paraId="222F11D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166</w:t>
            </w:r>
          </w:p>
        </w:tc>
        <w:tc>
          <w:tcPr>
            <w:tcW w:w="0" w:type="auto"/>
            <w:tcBorders>
              <w:top w:val="nil"/>
              <w:left w:val="nil"/>
              <w:bottom w:val="single" w:sz="4" w:space="0" w:color="auto"/>
              <w:right w:val="single" w:sz="4" w:space="0" w:color="auto"/>
            </w:tcBorders>
            <w:vAlign w:val="center"/>
            <w:hideMark/>
          </w:tcPr>
          <w:p w14:paraId="02CB72D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114</w:t>
            </w:r>
          </w:p>
        </w:tc>
        <w:tc>
          <w:tcPr>
            <w:tcW w:w="0" w:type="auto"/>
            <w:tcBorders>
              <w:top w:val="nil"/>
              <w:left w:val="nil"/>
              <w:bottom w:val="single" w:sz="4" w:space="0" w:color="auto"/>
              <w:right w:val="single" w:sz="4" w:space="0" w:color="auto"/>
            </w:tcBorders>
            <w:vAlign w:val="center"/>
            <w:hideMark/>
          </w:tcPr>
          <w:p w14:paraId="52017BD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41</w:t>
            </w:r>
          </w:p>
        </w:tc>
        <w:tc>
          <w:tcPr>
            <w:tcW w:w="0" w:type="auto"/>
            <w:tcBorders>
              <w:top w:val="nil"/>
              <w:left w:val="nil"/>
              <w:bottom w:val="single" w:sz="4" w:space="0" w:color="auto"/>
              <w:right w:val="single" w:sz="4" w:space="0" w:color="auto"/>
            </w:tcBorders>
            <w:vAlign w:val="center"/>
            <w:hideMark/>
          </w:tcPr>
          <w:p w14:paraId="1DF9E4B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21</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16C834FF"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19. تُمنح للموظفين الصلاحيات اللازمة لإنجاز مهامهم بكفاءة.</w:t>
            </w:r>
          </w:p>
        </w:tc>
      </w:tr>
      <w:tr w:rsidR="00793DFB" w:rsidRPr="00E15AD4" w14:paraId="3FD7AC26"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0B790256"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C5B5763"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7344902"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4BE1959C"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14.50%</w:t>
            </w:r>
          </w:p>
        </w:tc>
        <w:tc>
          <w:tcPr>
            <w:tcW w:w="0" w:type="auto"/>
            <w:tcBorders>
              <w:top w:val="nil"/>
              <w:left w:val="nil"/>
              <w:bottom w:val="single" w:sz="4" w:space="0" w:color="auto"/>
              <w:right w:val="single" w:sz="4" w:space="0" w:color="auto"/>
            </w:tcBorders>
            <w:vAlign w:val="center"/>
            <w:hideMark/>
          </w:tcPr>
          <w:p w14:paraId="2835713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41.50%</w:t>
            </w:r>
          </w:p>
        </w:tc>
        <w:tc>
          <w:tcPr>
            <w:tcW w:w="0" w:type="auto"/>
            <w:tcBorders>
              <w:top w:val="nil"/>
              <w:left w:val="nil"/>
              <w:bottom w:val="single" w:sz="4" w:space="0" w:color="auto"/>
              <w:right w:val="single" w:sz="4" w:space="0" w:color="auto"/>
            </w:tcBorders>
            <w:vAlign w:val="center"/>
            <w:hideMark/>
          </w:tcPr>
          <w:p w14:paraId="25461CC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28.50%</w:t>
            </w:r>
          </w:p>
        </w:tc>
        <w:tc>
          <w:tcPr>
            <w:tcW w:w="0" w:type="auto"/>
            <w:tcBorders>
              <w:top w:val="nil"/>
              <w:left w:val="nil"/>
              <w:bottom w:val="single" w:sz="4" w:space="0" w:color="auto"/>
              <w:right w:val="single" w:sz="4" w:space="0" w:color="auto"/>
            </w:tcBorders>
            <w:vAlign w:val="center"/>
            <w:hideMark/>
          </w:tcPr>
          <w:p w14:paraId="0DCA120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10.30%</w:t>
            </w:r>
          </w:p>
        </w:tc>
        <w:tc>
          <w:tcPr>
            <w:tcW w:w="0" w:type="auto"/>
            <w:tcBorders>
              <w:top w:val="nil"/>
              <w:left w:val="nil"/>
              <w:bottom w:val="single" w:sz="4" w:space="0" w:color="auto"/>
              <w:right w:val="single" w:sz="4" w:space="0" w:color="auto"/>
            </w:tcBorders>
            <w:vAlign w:val="center"/>
            <w:hideMark/>
          </w:tcPr>
          <w:p w14:paraId="1C2237F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5.30%</w:t>
            </w:r>
          </w:p>
        </w:tc>
        <w:tc>
          <w:tcPr>
            <w:tcW w:w="0" w:type="auto"/>
            <w:vMerge/>
            <w:tcBorders>
              <w:top w:val="nil"/>
              <w:left w:val="single" w:sz="4" w:space="0" w:color="auto"/>
              <w:bottom w:val="single" w:sz="4" w:space="0" w:color="auto"/>
              <w:right w:val="single" w:sz="4" w:space="0" w:color="auto"/>
            </w:tcBorders>
            <w:vAlign w:val="center"/>
            <w:hideMark/>
          </w:tcPr>
          <w:p w14:paraId="67C9B2A7"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7F0A05CD"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4FF414D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61CFFFD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1.07684</w:t>
            </w:r>
          </w:p>
        </w:tc>
        <w:tc>
          <w:tcPr>
            <w:tcW w:w="0" w:type="auto"/>
            <w:vMerge w:val="restart"/>
            <w:tcBorders>
              <w:top w:val="nil"/>
              <w:left w:val="single" w:sz="4" w:space="0" w:color="auto"/>
              <w:bottom w:val="single" w:sz="4" w:space="0" w:color="auto"/>
              <w:right w:val="single" w:sz="4" w:space="0" w:color="auto"/>
            </w:tcBorders>
            <w:vAlign w:val="center"/>
            <w:hideMark/>
          </w:tcPr>
          <w:p w14:paraId="03972B2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3.4425</w:t>
            </w:r>
          </w:p>
        </w:tc>
        <w:tc>
          <w:tcPr>
            <w:tcW w:w="0" w:type="auto"/>
            <w:tcBorders>
              <w:top w:val="nil"/>
              <w:left w:val="nil"/>
              <w:bottom w:val="single" w:sz="4" w:space="0" w:color="auto"/>
              <w:right w:val="single" w:sz="4" w:space="0" w:color="auto"/>
            </w:tcBorders>
            <w:vAlign w:val="center"/>
            <w:hideMark/>
          </w:tcPr>
          <w:p w14:paraId="59606D8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54</w:t>
            </w:r>
          </w:p>
        </w:tc>
        <w:tc>
          <w:tcPr>
            <w:tcW w:w="0" w:type="auto"/>
            <w:tcBorders>
              <w:top w:val="nil"/>
              <w:left w:val="nil"/>
              <w:bottom w:val="single" w:sz="4" w:space="0" w:color="auto"/>
              <w:right w:val="single" w:sz="4" w:space="0" w:color="auto"/>
            </w:tcBorders>
            <w:vAlign w:val="center"/>
            <w:hideMark/>
          </w:tcPr>
          <w:p w14:paraId="6356005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171</w:t>
            </w:r>
          </w:p>
        </w:tc>
        <w:tc>
          <w:tcPr>
            <w:tcW w:w="0" w:type="auto"/>
            <w:tcBorders>
              <w:top w:val="nil"/>
              <w:left w:val="nil"/>
              <w:bottom w:val="single" w:sz="4" w:space="0" w:color="auto"/>
              <w:right w:val="single" w:sz="4" w:space="0" w:color="auto"/>
            </w:tcBorders>
            <w:vAlign w:val="center"/>
            <w:hideMark/>
          </w:tcPr>
          <w:p w14:paraId="7558344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99</w:t>
            </w:r>
          </w:p>
        </w:tc>
        <w:tc>
          <w:tcPr>
            <w:tcW w:w="0" w:type="auto"/>
            <w:tcBorders>
              <w:top w:val="nil"/>
              <w:left w:val="nil"/>
              <w:bottom w:val="single" w:sz="4" w:space="0" w:color="auto"/>
              <w:right w:val="single" w:sz="4" w:space="0" w:color="auto"/>
            </w:tcBorders>
            <w:vAlign w:val="center"/>
            <w:hideMark/>
          </w:tcPr>
          <w:p w14:paraId="53DAF28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50</w:t>
            </w:r>
          </w:p>
        </w:tc>
        <w:tc>
          <w:tcPr>
            <w:tcW w:w="0" w:type="auto"/>
            <w:tcBorders>
              <w:top w:val="nil"/>
              <w:left w:val="nil"/>
              <w:bottom w:val="single" w:sz="4" w:space="0" w:color="auto"/>
              <w:right w:val="single" w:sz="4" w:space="0" w:color="auto"/>
            </w:tcBorders>
            <w:vAlign w:val="center"/>
            <w:hideMark/>
          </w:tcPr>
          <w:p w14:paraId="11979B7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26</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0034A77D"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20. تُشجّع الإدارة العاملين على اتخاذ القرارات المناسبة لأعمالهم.</w:t>
            </w:r>
          </w:p>
        </w:tc>
      </w:tr>
      <w:tr w:rsidR="00793DFB" w:rsidRPr="00E15AD4" w14:paraId="6E0D8D7A"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3E8D8DCC"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785AACB"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DF605DD"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224BBA24"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13.50%</w:t>
            </w:r>
          </w:p>
        </w:tc>
        <w:tc>
          <w:tcPr>
            <w:tcW w:w="0" w:type="auto"/>
            <w:tcBorders>
              <w:top w:val="nil"/>
              <w:left w:val="nil"/>
              <w:bottom w:val="single" w:sz="4" w:space="0" w:color="auto"/>
              <w:right w:val="single" w:sz="4" w:space="0" w:color="auto"/>
            </w:tcBorders>
            <w:vAlign w:val="center"/>
            <w:hideMark/>
          </w:tcPr>
          <w:p w14:paraId="4E30BC2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42.80%</w:t>
            </w:r>
          </w:p>
        </w:tc>
        <w:tc>
          <w:tcPr>
            <w:tcW w:w="0" w:type="auto"/>
            <w:tcBorders>
              <w:top w:val="nil"/>
              <w:left w:val="nil"/>
              <w:bottom w:val="single" w:sz="4" w:space="0" w:color="auto"/>
              <w:right w:val="single" w:sz="4" w:space="0" w:color="auto"/>
            </w:tcBorders>
            <w:vAlign w:val="center"/>
            <w:hideMark/>
          </w:tcPr>
          <w:p w14:paraId="3EAF5CD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24.80%</w:t>
            </w:r>
          </w:p>
        </w:tc>
        <w:tc>
          <w:tcPr>
            <w:tcW w:w="0" w:type="auto"/>
            <w:tcBorders>
              <w:top w:val="nil"/>
              <w:left w:val="nil"/>
              <w:bottom w:val="single" w:sz="4" w:space="0" w:color="auto"/>
              <w:right w:val="single" w:sz="4" w:space="0" w:color="auto"/>
            </w:tcBorders>
            <w:vAlign w:val="center"/>
            <w:hideMark/>
          </w:tcPr>
          <w:p w14:paraId="688A80A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12.50%</w:t>
            </w:r>
          </w:p>
        </w:tc>
        <w:tc>
          <w:tcPr>
            <w:tcW w:w="0" w:type="auto"/>
            <w:tcBorders>
              <w:top w:val="nil"/>
              <w:left w:val="nil"/>
              <w:bottom w:val="single" w:sz="4" w:space="0" w:color="auto"/>
              <w:right w:val="single" w:sz="4" w:space="0" w:color="auto"/>
            </w:tcBorders>
            <w:vAlign w:val="center"/>
            <w:hideMark/>
          </w:tcPr>
          <w:p w14:paraId="2477200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6.50%</w:t>
            </w:r>
          </w:p>
        </w:tc>
        <w:tc>
          <w:tcPr>
            <w:tcW w:w="0" w:type="auto"/>
            <w:vMerge/>
            <w:tcBorders>
              <w:top w:val="nil"/>
              <w:left w:val="single" w:sz="4" w:space="0" w:color="auto"/>
              <w:bottom w:val="single" w:sz="4" w:space="0" w:color="auto"/>
              <w:right w:val="single" w:sz="4" w:space="0" w:color="auto"/>
            </w:tcBorders>
            <w:vAlign w:val="center"/>
            <w:hideMark/>
          </w:tcPr>
          <w:p w14:paraId="09146258"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0CDB5BEA"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18F9746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34F3B9F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1.11346</w:t>
            </w:r>
          </w:p>
        </w:tc>
        <w:tc>
          <w:tcPr>
            <w:tcW w:w="0" w:type="auto"/>
            <w:vMerge w:val="restart"/>
            <w:tcBorders>
              <w:top w:val="nil"/>
              <w:left w:val="single" w:sz="4" w:space="0" w:color="auto"/>
              <w:bottom w:val="single" w:sz="4" w:space="0" w:color="auto"/>
              <w:right w:val="single" w:sz="4" w:space="0" w:color="auto"/>
            </w:tcBorders>
            <w:vAlign w:val="center"/>
            <w:hideMark/>
          </w:tcPr>
          <w:p w14:paraId="0532CA3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3.5575</w:t>
            </w:r>
          </w:p>
        </w:tc>
        <w:tc>
          <w:tcPr>
            <w:tcW w:w="0" w:type="auto"/>
            <w:tcBorders>
              <w:top w:val="nil"/>
              <w:left w:val="nil"/>
              <w:bottom w:val="single" w:sz="4" w:space="0" w:color="auto"/>
              <w:right w:val="single" w:sz="4" w:space="0" w:color="auto"/>
            </w:tcBorders>
            <w:vAlign w:val="center"/>
            <w:hideMark/>
          </w:tcPr>
          <w:p w14:paraId="08849FBD"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83</w:t>
            </w:r>
          </w:p>
        </w:tc>
        <w:tc>
          <w:tcPr>
            <w:tcW w:w="0" w:type="auto"/>
            <w:tcBorders>
              <w:top w:val="nil"/>
              <w:left w:val="nil"/>
              <w:bottom w:val="single" w:sz="4" w:space="0" w:color="auto"/>
              <w:right w:val="single" w:sz="4" w:space="0" w:color="auto"/>
            </w:tcBorders>
            <w:vAlign w:val="center"/>
            <w:hideMark/>
          </w:tcPr>
          <w:p w14:paraId="62F0BD85"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149</w:t>
            </w:r>
          </w:p>
        </w:tc>
        <w:tc>
          <w:tcPr>
            <w:tcW w:w="0" w:type="auto"/>
            <w:tcBorders>
              <w:top w:val="nil"/>
              <w:left w:val="nil"/>
              <w:bottom w:val="single" w:sz="4" w:space="0" w:color="auto"/>
              <w:right w:val="single" w:sz="4" w:space="0" w:color="auto"/>
            </w:tcBorders>
            <w:vAlign w:val="center"/>
            <w:hideMark/>
          </w:tcPr>
          <w:p w14:paraId="48A3896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99</w:t>
            </w:r>
          </w:p>
        </w:tc>
        <w:tc>
          <w:tcPr>
            <w:tcW w:w="0" w:type="auto"/>
            <w:tcBorders>
              <w:top w:val="nil"/>
              <w:left w:val="nil"/>
              <w:bottom w:val="single" w:sz="4" w:space="0" w:color="auto"/>
              <w:right w:val="single" w:sz="4" w:space="0" w:color="auto"/>
            </w:tcBorders>
            <w:vAlign w:val="center"/>
            <w:hideMark/>
          </w:tcPr>
          <w:p w14:paraId="44DC334D"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46</w:t>
            </w:r>
          </w:p>
        </w:tc>
        <w:tc>
          <w:tcPr>
            <w:tcW w:w="0" w:type="auto"/>
            <w:tcBorders>
              <w:top w:val="nil"/>
              <w:left w:val="nil"/>
              <w:bottom w:val="single" w:sz="4" w:space="0" w:color="auto"/>
              <w:right w:val="single" w:sz="4" w:space="0" w:color="auto"/>
            </w:tcBorders>
            <w:vAlign w:val="center"/>
            <w:hideMark/>
          </w:tcPr>
          <w:p w14:paraId="4EA8F1D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23</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42533314"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21. يشعر الموظفون بأنهم موثوق بهم وقادرون على المبادرة الذاتية.</w:t>
            </w:r>
          </w:p>
        </w:tc>
      </w:tr>
      <w:tr w:rsidR="00793DFB" w:rsidRPr="00E15AD4" w14:paraId="28A3DEB8"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5661C4B9"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FC4C731"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B1AA8C6"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08C98515"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20.80%</w:t>
            </w:r>
          </w:p>
        </w:tc>
        <w:tc>
          <w:tcPr>
            <w:tcW w:w="0" w:type="auto"/>
            <w:tcBorders>
              <w:top w:val="nil"/>
              <w:left w:val="nil"/>
              <w:bottom w:val="single" w:sz="4" w:space="0" w:color="auto"/>
              <w:right w:val="single" w:sz="4" w:space="0" w:color="auto"/>
            </w:tcBorders>
            <w:vAlign w:val="center"/>
            <w:hideMark/>
          </w:tcPr>
          <w:p w14:paraId="36031F3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37.30%</w:t>
            </w:r>
          </w:p>
        </w:tc>
        <w:tc>
          <w:tcPr>
            <w:tcW w:w="0" w:type="auto"/>
            <w:tcBorders>
              <w:top w:val="nil"/>
              <w:left w:val="nil"/>
              <w:bottom w:val="single" w:sz="4" w:space="0" w:color="auto"/>
              <w:right w:val="single" w:sz="4" w:space="0" w:color="auto"/>
            </w:tcBorders>
            <w:vAlign w:val="center"/>
            <w:hideMark/>
          </w:tcPr>
          <w:p w14:paraId="30D2523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24.80%</w:t>
            </w:r>
          </w:p>
        </w:tc>
        <w:tc>
          <w:tcPr>
            <w:tcW w:w="0" w:type="auto"/>
            <w:tcBorders>
              <w:top w:val="nil"/>
              <w:left w:val="nil"/>
              <w:bottom w:val="single" w:sz="4" w:space="0" w:color="auto"/>
              <w:right w:val="single" w:sz="4" w:space="0" w:color="auto"/>
            </w:tcBorders>
            <w:vAlign w:val="center"/>
            <w:hideMark/>
          </w:tcPr>
          <w:p w14:paraId="0FA990E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11.50%</w:t>
            </w:r>
          </w:p>
        </w:tc>
        <w:tc>
          <w:tcPr>
            <w:tcW w:w="0" w:type="auto"/>
            <w:tcBorders>
              <w:top w:val="nil"/>
              <w:left w:val="nil"/>
              <w:bottom w:val="single" w:sz="4" w:space="0" w:color="auto"/>
              <w:right w:val="single" w:sz="4" w:space="0" w:color="auto"/>
            </w:tcBorders>
            <w:vAlign w:val="center"/>
            <w:hideMark/>
          </w:tcPr>
          <w:p w14:paraId="7729B8B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5.80%</w:t>
            </w:r>
          </w:p>
        </w:tc>
        <w:tc>
          <w:tcPr>
            <w:tcW w:w="0" w:type="auto"/>
            <w:vMerge/>
            <w:tcBorders>
              <w:top w:val="nil"/>
              <w:left w:val="single" w:sz="4" w:space="0" w:color="auto"/>
              <w:bottom w:val="single" w:sz="4" w:space="0" w:color="auto"/>
              <w:right w:val="single" w:sz="4" w:space="0" w:color="auto"/>
            </w:tcBorders>
            <w:vAlign w:val="center"/>
            <w:hideMark/>
          </w:tcPr>
          <w:p w14:paraId="16A08F3D"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60B34E56"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31A3FE3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7B5CD88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1.01061</w:t>
            </w:r>
          </w:p>
        </w:tc>
        <w:tc>
          <w:tcPr>
            <w:tcW w:w="0" w:type="auto"/>
            <w:vMerge w:val="restart"/>
            <w:tcBorders>
              <w:top w:val="nil"/>
              <w:left w:val="single" w:sz="4" w:space="0" w:color="auto"/>
              <w:bottom w:val="single" w:sz="4" w:space="0" w:color="auto"/>
              <w:right w:val="single" w:sz="4" w:space="0" w:color="auto"/>
            </w:tcBorders>
            <w:vAlign w:val="center"/>
            <w:hideMark/>
          </w:tcPr>
          <w:p w14:paraId="33EC7F2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3.535</w:t>
            </w:r>
          </w:p>
        </w:tc>
        <w:tc>
          <w:tcPr>
            <w:tcW w:w="0" w:type="auto"/>
            <w:tcBorders>
              <w:top w:val="nil"/>
              <w:left w:val="nil"/>
              <w:bottom w:val="single" w:sz="4" w:space="0" w:color="auto"/>
              <w:right w:val="single" w:sz="4" w:space="0" w:color="auto"/>
            </w:tcBorders>
            <w:vAlign w:val="center"/>
            <w:hideMark/>
          </w:tcPr>
          <w:p w14:paraId="12D5C9A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59</w:t>
            </w:r>
          </w:p>
        </w:tc>
        <w:tc>
          <w:tcPr>
            <w:tcW w:w="0" w:type="auto"/>
            <w:tcBorders>
              <w:top w:val="nil"/>
              <w:left w:val="nil"/>
              <w:bottom w:val="single" w:sz="4" w:space="0" w:color="auto"/>
              <w:right w:val="single" w:sz="4" w:space="0" w:color="auto"/>
            </w:tcBorders>
            <w:vAlign w:val="center"/>
            <w:hideMark/>
          </w:tcPr>
          <w:p w14:paraId="2EA64CD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177</w:t>
            </w:r>
          </w:p>
        </w:tc>
        <w:tc>
          <w:tcPr>
            <w:tcW w:w="0" w:type="auto"/>
            <w:tcBorders>
              <w:top w:val="nil"/>
              <w:left w:val="nil"/>
              <w:bottom w:val="single" w:sz="4" w:space="0" w:color="auto"/>
              <w:right w:val="single" w:sz="4" w:space="0" w:color="auto"/>
            </w:tcBorders>
            <w:vAlign w:val="center"/>
            <w:hideMark/>
          </w:tcPr>
          <w:p w14:paraId="3CDE6B8F"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97</w:t>
            </w:r>
          </w:p>
        </w:tc>
        <w:tc>
          <w:tcPr>
            <w:tcW w:w="0" w:type="auto"/>
            <w:tcBorders>
              <w:top w:val="nil"/>
              <w:left w:val="nil"/>
              <w:bottom w:val="single" w:sz="4" w:space="0" w:color="auto"/>
              <w:right w:val="single" w:sz="4" w:space="0" w:color="auto"/>
            </w:tcBorders>
            <w:vAlign w:val="center"/>
            <w:hideMark/>
          </w:tcPr>
          <w:p w14:paraId="3BD1212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53</w:t>
            </w:r>
          </w:p>
        </w:tc>
        <w:tc>
          <w:tcPr>
            <w:tcW w:w="0" w:type="auto"/>
            <w:tcBorders>
              <w:top w:val="nil"/>
              <w:left w:val="nil"/>
              <w:bottom w:val="single" w:sz="4" w:space="0" w:color="auto"/>
              <w:right w:val="single" w:sz="4" w:space="0" w:color="auto"/>
            </w:tcBorders>
            <w:vAlign w:val="center"/>
            <w:hideMark/>
          </w:tcPr>
          <w:p w14:paraId="60F24EC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14</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4AC41DAD"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22. يتم الاعتراف بمساهمات الموظفين في تحسين الأداء التنظيمي.</w:t>
            </w:r>
          </w:p>
        </w:tc>
      </w:tr>
      <w:tr w:rsidR="00793DFB" w:rsidRPr="00E15AD4" w14:paraId="0C990E33"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59D126F0"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7CF9C07"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02A1A664"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0E7908BF"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14.80%</w:t>
            </w:r>
          </w:p>
        </w:tc>
        <w:tc>
          <w:tcPr>
            <w:tcW w:w="0" w:type="auto"/>
            <w:tcBorders>
              <w:top w:val="nil"/>
              <w:left w:val="nil"/>
              <w:bottom w:val="single" w:sz="4" w:space="0" w:color="auto"/>
              <w:right w:val="single" w:sz="4" w:space="0" w:color="auto"/>
            </w:tcBorders>
            <w:vAlign w:val="center"/>
            <w:hideMark/>
          </w:tcPr>
          <w:p w14:paraId="545146A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44.30%</w:t>
            </w:r>
          </w:p>
        </w:tc>
        <w:tc>
          <w:tcPr>
            <w:tcW w:w="0" w:type="auto"/>
            <w:tcBorders>
              <w:top w:val="nil"/>
              <w:left w:val="nil"/>
              <w:bottom w:val="single" w:sz="4" w:space="0" w:color="auto"/>
              <w:right w:val="single" w:sz="4" w:space="0" w:color="auto"/>
            </w:tcBorders>
            <w:vAlign w:val="center"/>
            <w:hideMark/>
          </w:tcPr>
          <w:p w14:paraId="4D0F64A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24.30%</w:t>
            </w:r>
          </w:p>
        </w:tc>
        <w:tc>
          <w:tcPr>
            <w:tcW w:w="0" w:type="auto"/>
            <w:tcBorders>
              <w:top w:val="nil"/>
              <w:left w:val="nil"/>
              <w:bottom w:val="single" w:sz="4" w:space="0" w:color="auto"/>
              <w:right w:val="single" w:sz="4" w:space="0" w:color="auto"/>
            </w:tcBorders>
            <w:vAlign w:val="center"/>
            <w:hideMark/>
          </w:tcPr>
          <w:p w14:paraId="6295568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13.30%</w:t>
            </w:r>
          </w:p>
        </w:tc>
        <w:tc>
          <w:tcPr>
            <w:tcW w:w="0" w:type="auto"/>
            <w:tcBorders>
              <w:top w:val="nil"/>
              <w:left w:val="nil"/>
              <w:bottom w:val="single" w:sz="4" w:space="0" w:color="auto"/>
              <w:right w:val="single" w:sz="4" w:space="0" w:color="auto"/>
            </w:tcBorders>
            <w:vAlign w:val="center"/>
            <w:hideMark/>
          </w:tcPr>
          <w:p w14:paraId="1625363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3.50%</w:t>
            </w:r>
          </w:p>
        </w:tc>
        <w:tc>
          <w:tcPr>
            <w:tcW w:w="0" w:type="auto"/>
            <w:vMerge/>
            <w:tcBorders>
              <w:top w:val="nil"/>
              <w:left w:val="single" w:sz="4" w:space="0" w:color="auto"/>
              <w:bottom w:val="single" w:sz="4" w:space="0" w:color="auto"/>
              <w:right w:val="single" w:sz="4" w:space="0" w:color="auto"/>
            </w:tcBorders>
            <w:vAlign w:val="center"/>
            <w:hideMark/>
          </w:tcPr>
          <w:p w14:paraId="2C9C8B4F"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2B4610C8"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66C26C5A"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4BC3B0E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0.97332</w:t>
            </w:r>
          </w:p>
        </w:tc>
        <w:tc>
          <w:tcPr>
            <w:tcW w:w="0" w:type="auto"/>
            <w:vMerge w:val="restart"/>
            <w:tcBorders>
              <w:top w:val="nil"/>
              <w:left w:val="single" w:sz="4" w:space="0" w:color="auto"/>
              <w:bottom w:val="single" w:sz="4" w:space="0" w:color="auto"/>
              <w:right w:val="single" w:sz="4" w:space="0" w:color="auto"/>
            </w:tcBorders>
            <w:vAlign w:val="center"/>
            <w:hideMark/>
          </w:tcPr>
          <w:p w14:paraId="2D658F1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3.495</w:t>
            </w:r>
          </w:p>
        </w:tc>
        <w:tc>
          <w:tcPr>
            <w:tcW w:w="0" w:type="auto"/>
            <w:tcBorders>
              <w:top w:val="nil"/>
              <w:left w:val="nil"/>
              <w:bottom w:val="single" w:sz="4" w:space="0" w:color="auto"/>
              <w:right w:val="single" w:sz="4" w:space="0" w:color="auto"/>
            </w:tcBorders>
            <w:vAlign w:val="center"/>
            <w:hideMark/>
          </w:tcPr>
          <w:p w14:paraId="2C2E452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49</w:t>
            </w:r>
          </w:p>
        </w:tc>
        <w:tc>
          <w:tcPr>
            <w:tcW w:w="0" w:type="auto"/>
            <w:tcBorders>
              <w:top w:val="nil"/>
              <w:left w:val="nil"/>
              <w:bottom w:val="single" w:sz="4" w:space="0" w:color="auto"/>
              <w:right w:val="single" w:sz="4" w:space="0" w:color="auto"/>
            </w:tcBorders>
            <w:vAlign w:val="center"/>
            <w:hideMark/>
          </w:tcPr>
          <w:p w14:paraId="06200266"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175</w:t>
            </w:r>
          </w:p>
        </w:tc>
        <w:tc>
          <w:tcPr>
            <w:tcW w:w="0" w:type="auto"/>
            <w:tcBorders>
              <w:top w:val="nil"/>
              <w:left w:val="nil"/>
              <w:bottom w:val="single" w:sz="4" w:space="0" w:color="auto"/>
              <w:right w:val="single" w:sz="4" w:space="0" w:color="auto"/>
            </w:tcBorders>
            <w:vAlign w:val="center"/>
            <w:hideMark/>
          </w:tcPr>
          <w:p w14:paraId="1508C7FE"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116</w:t>
            </w:r>
          </w:p>
        </w:tc>
        <w:tc>
          <w:tcPr>
            <w:tcW w:w="0" w:type="auto"/>
            <w:tcBorders>
              <w:top w:val="nil"/>
              <w:left w:val="nil"/>
              <w:bottom w:val="single" w:sz="4" w:space="0" w:color="auto"/>
              <w:right w:val="single" w:sz="4" w:space="0" w:color="auto"/>
            </w:tcBorders>
            <w:vAlign w:val="center"/>
            <w:hideMark/>
          </w:tcPr>
          <w:p w14:paraId="0CED12F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45</w:t>
            </w:r>
          </w:p>
        </w:tc>
        <w:tc>
          <w:tcPr>
            <w:tcW w:w="0" w:type="auto"/>
            <w:tcBorders>
              <w:top w:val="nil"/>
              <w:left w:val="nil"/>
              <w:bottom w:val="single" w:sz="4" w:space="0" w:color="auto"/>
              <w:right w:val="single" w:sz="4" w:space="0" w:color="auto"/>
            </w:tcBorders>
            <w:vAlign w:val="center"/>
            <w:hideMark/>
          </w:tcPr>
          <w:p w14:paraId="7DFCA62D"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15</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60800B80" w14:textId="77777777" w:rsidR="00793DFB" w:rsidRPr="00E15AD4" w:rsidRDefault="00793DFB" w:rsidP="009F1C88">
            <w:pPr>
              <w:bidi/>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rtl/>
                <w14:ligatures w14:val="none"/>
              </w:rPr>
              <w:t>23. يتم دعم العاملين في تحمل المسؤولية عن نتائج أعمالهم.</w:t>
            </w:r>
          </w:p>
        </w:tc>
      </w:tr>
      <w:tr w:rsidR="00793DFB" w:rsidRPr="00E15AD4" w14:paraId="636B319A"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39FE95FC"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6CCA967"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48BD1DA"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22FE4E5F" w14:textId="77777777" w:rsidR="00793DFB" w:rsidRPr="00E15AD4" w:rsidRDefault="00793DFB" w:rsidP="009F1C88">
            <w:pPr>
              <w:spacing w:after="0" w:line="240" w:lineRule="auto"/>
              <w:jc w:val="center"/>
              <w:rPr>
                <w:rFonts w:ascii="Arial" w:eastAsia="Times New Roman" w:hAnsi="Arial" w:cs="Arial"/>
                <w:color w:val="000000"/>
                <w:kern w:val="0"/>
                <w:sz w:val="20"/>
                <w:szCs w:val="20"/>
                <w:rtl/>
                <w14:ligatures w14:val="none"/>
              </w:rPr>
            </w:pPr>
            <w:r w:rsidRPr="00E15AD4">
              <w:rPr>
                <w:rFonts w:ascii="Arial" w:eastAsia="Times New Roman" w:hAnsi="Arial" w:cs="Arial"/>
                <w:color w:val="000000"/>
                <w:kern w:val="0"/>
                <w:sz w:val="20"/>
                <w:szCs w:val="20"/>
                <w14:ligatures w14:val="none"/>
              </w:rPr>
              <w:t>12.30%</w:t>
            </w:r>
          </w:p>
        </w:tc>
        <w:tc>
          <w:tcPr>
            <w:tcW w:w="0" w:type="auto"/>
            <w:tcBorders>
              <w:top w:val="nil"/>
              <w:left w:val="nil"/>
              <w:bottom w:val="single" w:sz="4" w:space="0" w:color="auto"/>
              <w:right w:val="single" w:sz="4" w:space="0" w:color="auto"/>
            </w:tcBorders>
            <w:vAlign w:val="center"/>
            <w:hideMark/>
          </w:tcPr>
          <w:p w14:paraId="11115281"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43.80%</w:t>
            </w:r>
          </w:p>
        </w:tc>
        <w:tc>
          <w:tcPr>
            <w:tcW w:w="0" w:type="auto"/>
            <w:tcBorders>
              <w:top w:val="nil"/>
              <w:left w:val="nil"/>
              <w:bottom w:val="single" w:sz="4" w:space="0" w:color="auto"/>
              <w:right w:val="single" w:sz="4" w:space="0" w:color="auto"/>
            </w:tcBorders>
            <w:vAlign w:val="center"/>
            <w:hideMark/>
          </w:tcPr>
          <w:p w14:paraId="6096D6F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29.00%</w:t>
            </w:r>
          </w:p>
        </w:tc>
        <w:tc>
          <w:tcPr>
            <w:tcW w:w="0" w:type="auto"/>
            <w:tcBorders>
              <w:top w:val="nil"/>
              <w:left w:val="nil"/>
              <w:bottom w:val="single" w:sz="4" w:space="0" w:color="auto"/>
              <w:right w:val="single" w:sz="4" w:space="0" w:color="auto"/>
            </w:tcBorders>
            <w:vAlign w:val="center"/>
            <w:hideMark/>
          </w:tcPr>
          <w:p w14:paraId="15C25D43"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11.30%</w:t>
            </w:r>
          </w:p>
        </w:tc>
        <w:tc>
          <w:tcPr>
            <w:tcW w:w="0" w:type="auto"/>
            <w:tcBorders>
              <w:top w:val="nil"/>
              <w:left w:val="nil"/>
              <w:bottom w:val="single" w:sz="4" w:space="0" w:color="auto"/>
              <w:right w:val="single" w:sz="4" w:space="0" w:color="auto"/>
            </w:tcBorders>
            <w:vAlign w:val="center"/>
            <w:hideMark/>
          </w:tcPr>
          <w:p w14:paraId="5C80936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3.80%</w:t>
            </w:r>
          </w:p>
        </w:tc>
        <w:tc>
          <w:tcPr>
            <w:tcW w:w="0" w:type="auto"/>
            <w:vMerge/>
            <w:tcBorders>
              <w:top w:val="nil"/>
              <w:left w:val="single" w:sz="4" w:space="0" w:color="auto"/>
              <w:bottom w:val="single" w:sz="4" w:space="0" w:color="auto"/>
              <w:right w:val="single" w:sz="4" w:space="0" w:color="auto"/>
            </w:tcBorders>
            <w:vAlign w:val="center"/>
            <w:hideMark/>
          </w:tcPr>
          <w:p w14:paraId="4BA3BBDF"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E15AD4" w14:paraId="7E1D1C9A" w14:textId="77777777" w:rsidTr="009F1C88">
        <w:trPr>
          <w:trHeight w:val="264"/>
        </w:trPr>
        <w:tc>
          <w:tcPr>
            <w:tcW w:w="0" w:type="auto"/>
            <w:vMerge w:val="restart"/>
            <w:tcBorders>
              <w:top w:val="nil"/>
              <w:left w:val="single" w:sz="4" w:space="0" w:color="auto"/>
              <w:bottom w:val="single" w:sz="4" w:space="0" w:color="auto"/>
              <w:right w:val="single" w:sz="4" w:space="0" w:color="auto"/>
            </w:tcBorders>
            <w:shd w:val="clear" w:color="000000" w:fill="FF6D01"/>
            <w:vAlign w:val="center"/>
            <w:hideMark/>
          </w:tcPr>
          <w:p w14:paraId="225AC7C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gridSpan w:val="2"/>
            <w:tcBorders>
              <w:top w:val="single" w:sz="4" w:space="0" w:color="auto"/>
              <w:left w:val="nil"/>
              <w:bottom w:val="single" w:sz="4" w:space="0" w:color="auto"/>
              <w:right w:val="single" w:sz="4" w:space="0" w:color="auto"/>
            </w:tcBorders>
            <w:vAlign w:val="center"/>
            <w:hideMark/>
          </w:tcPr>
          <w:p w14:paraId="0FADCC5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3.5055</w:t>
            </w:r>
          </w:p>
        </w:tc>
        <w:tc>
          <w:tcPr>
            <w:tcW w:w="0" w:type="auto"/>
            <w:gridSpan w:val="6"/>
            <w:tcBorders>
              <w:top w:val="single" w:sz="4" w:space="0" w:color="auto"/>
              <w:left w:val="nil"/>
              <w:bottom w:val="single" w:sz="4" w:space="0" w:color="auto"/>
              <w:right w:val="single" w:sz="4" w:space="0" w:color="auto"/>
            </w:tcBorders>
            <w:shd w:val="clear" w:color="000000" w:fill="FF6D01"/>
            <w:vAlign w:val="center"/>
            <w:hideMark/>
          </w:tcPr>
          <w:p w14:paraId="198428C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proofErr w:type="spellStart"/>
            <w:r w:rsidRPr="00E15AD4">
              <w:rPr>
                <w:rFonts w:ascii="Arial" w:eastAsia="Times New Roman" w:hAnsi="Arial" w:cs="Arial"/>
                <w:color w:val="000000"/>
                <w:kern w:val="0"/>
                <w:sz w:val="20"/>
                <w:szCs w:val="20"/>
                <w14:ligatures w14:val="none"/>
              </w:rPr>
              <w:t>weightted</w:t>
            </w:r>
            <w:proofErr w:type="spellEnd"/>
            <w:r w:rsidRPr="00E15AD4">
              <w:rPr>
                <w:rFonts w:ascii="Arial" w:eastAsia="Times New Roman" w:hAnsi="Arial" w:cs="Arial"/>
                <w:color w:val="000000"/>
                <w:kern w:val="0"/>
                <w:sz w:val="20"/>
                <w:szCs w:val="20"/>
                <w14:ligatures w14:val="none"/>
              </w:rPr>
              <w:t xml:space="preserve"> mean </w:t>
            </w:r>
          </w:p>
        </w:tc>
      </w:tr>
      <w:tr w:rsidR="00793DFB" w:rsidRPr="00E15AD4" w14:paraId="7A1D6296"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3DDF36A2"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373FB3E7"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1.041016</w:t>
            </w:r>
          </w:p>
        </w:tc>
        <w:tc>
          <w:tcPr>
            <w:tcW w:w="0" w:type="auto"/>
            <w:gridSpan w:val="7"/>
            <w:tcBorders>
              <w:top w:val="single" w:sz="4" w:space="0" w:color="auto"/>
              <w:left w:val="nil"/>
              <w:bottom w:val="single" w:sz="4" w:space="0" w:color="auto"/>
              <w:right w:val="single" w:sz="4" w:space="0" w:color="auto"/>
            </w:tcBorders>
            <w:shd w:val="clear" w:color="000000" w:fill="FF6D01"/>
            <w:vAlign w:val="center"/>
            <w:hideMark/>
          </w:tcPr>
          <w:p w14:paraId="21E57099"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std. deviation</w:t>
            </w:r>
          </w:p>
        </w:tc>
      </w:tr>
      <w:tr w:rsidR="00793DFB" w:rsidRPr="00E15AD4" w14:paraId="3E456170" w14:textId="77777777" w:rsidTr="009F1C88">
        <w:trPr>
          <w:trHeight w:val="264"/>
        </w:trPr>
        <w:tc>
          <w:tcPr>
            <w:tcW w:w="0" w:type="auto"/>
            <w:vMerge w:val="restart"/>
            <w:tcBorders>
              <w:top w:val="nil"/>
              <w:left w:val="single" w:sz="4" w:space="0" w:color="auto"/>
              <w:bottom w:val="single" w:sz="4" w:space="0" w:color="auto"/>
              <w:right w:val="single" w:sz="4" w:space="0" w:color="auto"/>
            </w:tcBorders>
            <w:shd w:val="clear" w:color="000000" w:fill="FF6D01"/>
            <w:vAlign w:val="center"/>
            <w:hideMark/>
          </w:tcPr>
          <w:p w14:paraId="545C1FDC"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w:t>
            </w:r>
            <w:r>
              <w:rPr>
                <w:rFonts w:ascii="Arial" w:eastAsia="Times New Roman" w:hAnsi="Arial" w:cs="Arial" w:hint="cs"/>
                <w:color w:val="000000"/>
                <w:kern w:val="0"/>
                <w:sz w:val="20"/>
                <w:szCs w:val="20"/>
                <w:rtl/>
                <w14:ligatures w14:val="none"/>
              </w:rPr>
              <w:t>موافقة</w:t>
            </w:r>
            <w:r w:rsidRPr="00E15AD4">
              <w:rPr>
                <w:rFonts w:ascii="Arial" w:eastAsia="Times New Roman" w:hAnsi="Arial" w:cs="Arial"/>
                <w:color w:val="000000"/>
                <w:kern w:val="0"/>
                <w:sz w:val="20"/>
                <w:szCs w:val="20"/>
                <w14:ligatures w14:val="none"/>
              </w:rPr>
              <w:t> </w:t>
            </w:r>
          </w:p>
        </w:tc>
        <w:tc>
          <w:tcPr>
            <w:tcW w:w="0" w:type="auto"/>
            <w:gridSpan w:val="2"/>
            <w:tcBorders>
              <w:top w:val="single" w:sz="4" w:space="0" w:color="auto"/>
              <w:left w:val="nil"/>
              <w:bottom w:val="single" w:sz="4" w:space="0" w:color="auto"/>
              <w:right w:val="single" w:sz="4" w:space="0" w:color="auto"/>
            </w:tcBorders>
            <w:vAlign w:val="center"/>
            <w:hideMark/>
          </w:tcPr>
          <w:p w14:paraId="6D3F0F10"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3.561413043</w:t>
            </w:r>
          </w:p>
        </w:tc>
        <w:tc>
          <w:tcPr>
            <w:tcW w:w="0" w:type="auto"/>
            <w:gridSpan w:val="6"/>
            <w:tcBorders>
              <w:top w:val="single" w:sz="4" w:space="0" w:color="auto"/>
              <w:left w:val="nil"/>
              <w:bottom w:val="single" w:sz="4" w:space="0" w:color="auto"/>
              <w:right w:val="single" w:sz="4" w:space="0" w:color="auto"/>
            </w:tcBorders>
            <w:shd w:val="clear" w:color="000000" w:fill="FF6D01"/>
            <w:vAlign w:val="center"/>
            <w:hideMark/>
          </w:tcPr>
          <w:p w14:paraId="2731D858"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proofErr w:type="spellStart"/>
            <w:r w:rsidRPr="00E15AD4">
              <w:rPr>
                <w:rFonts w:ascii="Arial" w:eastAsia="Times New Roman" w:hAnsi="Arial" w:cs="Arial"/>
                <w:color w:val="000000"/>
                <w:kern w:val="0"/>
                <w:sz w:val="20"/>
                <w:szCs w:val="20"/>
                <w14:ligatures w14:val="none"/>
              </w:rPr>
              <w:t>weightted</w:t>
            </w:r>
            <w:proofErr w:type="spellEnd"/>
            <w:r w:rsidRPr="00E15AD4">
              <w:rPr>
                <w:rFonts w:ascii="Arial" w:eastAsia="Times New Roman" w:hAnsi="Arial" w:cs="Arial"/>
                <w:color w:val="000000"/>
                <w:kern w:val="0"/>
                <w:sz w:val="20"/>
                <w:szCs w:val="20"/>
                <w14:ligatures w14:val="none"/>
              </w:rPr>
              <w:t xml:space="preserve"> mean </w:t>
            </w:r>
            <w:proofErr w:type="gramStart"/>
            <w:r w:rsidRPr="00E15AD4">
              <w:rPr>
                <w:rFonts w:ascii="Arial" w:eastAsia="Times New Roman" w:hAnsi="Arial" w:cs="Arial"/>
                <w:color w:val="000000"/>
                <w:kern w:val="0"/>
                <w:sz w:val="20"/>
                <w:szCs w:val="20"/>
                <w14:ligatures w14:val="none"/>
              </w:rPr>
              <w:t>For</w:t>
            </w:r>
            <w:proofErr w:type="gramEnd"/>
            <w:r w:rsidRPr="00E15AD4">
              <w:rPr>
                <w:rFonts w:ascii="Arial" w:eastAsia="Times New Roman" w:hAnsi="Arial" w:cs="Arial"/>
                <w:color w:val="000000"/>
                <w:kern w:val="0"/>
                <w:sz w:val="20"/>
                <w:szCs w:val="20"/>
                <w14:ligatures w14:val="none"/>
              </w:rPr>
              <w:t xml:space="preserve"> all Section</w:t>
            </w:r>
          </w:p>
        </w:tc>
      </w:tr>
      <w:tr w:rsidR="00793DFB" w:rsidRPr="00E15AD4" w14:paraId="4842224A"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06B7EBBE" w14:textId="77777777" w:rsidR="00793DFB" w:rsidRPr="00E15AD4"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58DB9AA2"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1.065155217</w:t>
            </w:r>
          </w:p>
        </w:tc>
        <w:tc>
          <w:tcPr>
            <w:tcW w:w="0" w:type="auto"/>
            <w:gridSpan w:val="7"/>
            <w:tcBorders>
              <w:top w:val="single" w:sz="4" w:space="0" w:color="auto"/>
              <w:left w:val="nil"/>
              <w:bottom w:val="single" w:sz="4" w:space="0" w:color="auto"/>
              <w:right w:val="single" w:sz="4" w:space="0" w:color="auto"/>
            </w:tcBorders>
            <w:shd w:val="clear" w:color="000000" w:fill="FF6D01"/>
            <w:vAlign w:val="center"/>
            <w:hideMark/>
          </w:tcPr>
          <w:p w14:paraId="7BC8250B" w14:textId="77777777" w:rsidR="00793DFB" w:rsidRPr="00E15AD4" w:rsidRDefault="00793DFB" w:rsidP="009F1C88">
            <w:pPr>
              <w:spacing w:after="0" w:line="240" w:lineRule="auto"/>
              <w:jc w:val="center"/>
              <w:rPr>
                <w:rFonts w:ascii="Arial" w:eastAsia="Times New Roman" w:hAnsi="Arial" w:cs="Arial"/>
                <w:color w:val="000000"/>
                <w:kern w:val="0"/>
                <w:sz w:val="20"/>
                <w:szCs w:val="20"/>
                <w14:ligatures w14:val="none"/>
              </w:rPr>
            </w:pPr>
            <w:r w:rsidRPr="00E15AD4">
              <w:rPr>
                <w:rFonts w:ascii="Arial" w:eastAsia="Times New Roman" w:hAnsi="Arial" w:cs="Arial"/>
                <w:color w:val="000000"/>
                <w:kern w:val="0"/>
                <w:sz w:val="20"/>
                <w:szCs w:val="20"/>
                <w14:ligatures w14:val="none"/>
              </w:rPr>
              <w:t xml:space="preserve">std. deviation </w:t>
            </w:r>
            <w:proofErr w:type="gramStart"/>
            <w:r w:rsidRPr="00E15AD4">
              <w:rPr>
                <w:rFonts w:ascii="Arial" w:eastAsia="Times New Roman" w:hAnsi="Arial" w:cs="Arial"/>
                <w:color w:val="000000"/>
                <w:kern w:val="0"/>
                <w:sz w:val="20"/>
                <w:szCs w:val="20"/>
                <w14:ligatures w14:val="none"/>
              </w:rPr>
              <w:t>For</w:t>
            </w:r>
            <w:proofErr w:type="gramEnd"/>
            <w:r w:rsidRPr="00E15AD4">
              <w:rPr>
                <w:rFonts w:ascii="Arial" w:eastAsia="Times New Roman" w:hAnsi="Arial" w:cs="Arial"/>
                <w:color w:val="000000"/>
                <w:kern w:val="0"/>
                <w:sz w:val="20"/>
                <w:szCs w:val="20"/>
                <w14:ligatures w14:val="none"/>
              </w:rPr>
              <w:t xml:space="preserve"> all Section</w:t>
            </w:r>
          </w:p>
        </w:tc>
      </w:tr>
    </w:tbl>
    <w:p w14:paraId="2C2A3E23" w14:textId="77777777" w:rsidR="00793DFB" w:rsidRPr="00E15AD4" w:rsidRDefault="00793DFB" w:rsidP="00793DFB">
      <w:pPr>
        <w:bidi/>
      </w:pPr>
      <w:r w:rsidRPr="00E15AD4">
        <w:rPr>
          <w:rtl/>
        </w:rPr>
        <w:t>بلغ المتوسط الكلي للمحور (3.561)، بانحراف معياري (1.065)، وهو ما يشير إلى مستوى تطبيق يقع ضمن الفئة المتوسطة المائلة إلى الارتفاع، بما يعكس وجود ممارسات إدارية متقدمة نسبيًا، وإن كانت لا تزال بحاجة إلى تعزيز منهجي أكثر تكاملاً</w:t>
      </w:r>
      <w:r w:rsidRPr="00E15AD4">
        <w:t>.</w:t>
      </w:r>
    </w:p>
    <w:p w14:paraId="6B9E829A" w14:textId="77777777" w:rsidR="00793DFB" w:rsidRPr="00E15AD4" w:rsidRDefault="00793DFB" w:rsidP="00793DFB">
      <w:pPr>
        <w:bidi/>
        <w:rPr>
          <w:b/>
          <w:bCs/>
        </w:rPr>
      </w:pPr>
      <w:r w:rsidRPr="00E15AD4">
        <w:rPr>
          <w:b/>
          <w:bCs/>
          <w:rtl/>
        </w:rPr>
        <w:t>أولًا: التوظيف الانتقائي</w:t>
      </w:r>
    </w:p>
    <w:p w14:paraId="3B054F7F" w14:textId="77777777" w:rsidR="00793DFB" w:rsidRPr="00E15AD4" w:rsidRDefault="00793DFB" w:rsidP="00793DFB">
      <w:pPr>
        <w:bidi/>
      </w:pPr>
      <w:r w:rsidRPr="00E15AD4">
        <w:rPr>
          <w:rtl/>
        </w:rPr>
        <w:t>جاء بُعد التوظيف الانتقائي في المرتبة الأولى بين أبعاد</w:t>
      </w:r>
      <w:r w:rsidRPr="00E15AD4">
        <w:t xml:space="preserve"> HPWS </w:t>
      </w:r>
      <w:r w:rsidRPr="00E15AD4">
        <w:rPr>
          <w:rtl/>
        </w:rPr>
        <w:t xml:space="preserve">من حيث المتوسط الحسابي، مما يعكس إدراكًا مرتفعًا نسبيًا لوجود معايير واضحة ومنهجية في عمليات الاستقطاب والاختيار. فقد سجلت العبارة المتعلقة باعتماد معايير دقيقة متوافقة مع </w:t>
      </w:r>
      <w:r w:rsidRPr="00E15AD4">
        <w:rPr>
          <w:rtl/>
        </w:rPr>
        <w:lastRenderedPageBreak/>
        <w:t>متطلبات الوظيفة متوسطًا بلغ (3.862)، مع نسبة موافقة (72.1%)، وهو مؤشر على وجود درجة من الاحترافية في عمليات التعيين</w:t>
      </w:r>
      <w:r w:rsidRPr="00E15AD4">
        <w:t>.</w:t>
      </w:r>
    </w:p>
    <w:p w14:paraId="55C79739" w14:textId="77777777" w:rsidR="00793DFB" w:rsidRPr="00E15AD4" w:rsidRDefault="00793DFB" w:rsidP="00793DFB">
      <w:pPr>
        <w:bidi/>
      </w:pPr>
      <w:r w:rsidRPr="00E15AD4">
        <w:rPr>
          <w:rtl/>
        </w:rPr>
        <w:t>كما أظهرت النتائج أن إجراء مقابلات متعددة لتقييم الكفاءة والسلوك المهني حاز متوسطًا (3.87)، وهو الأعلى ضمن هذا البعد، بما يدل على اهتمام إداري نسبي بجوانب الكفاءة والسلوك التنظيمي. في المقابل، كانت أقل العبارات متوسطًا تلك المرتبطة بمشاركة الإدارة العليا في قرارات التعيين (3.652)، مع ارتفاع نسبي في نسبة عدم الموافقة، مما قد يعكس تفاوتًا في مركزية القرار بين المؤسسات محل الدراسة</w:t>
      </w:r>
      <w:r w:rsidRPr="00E15AD4">
        <w:t>.</w:t>
      </w:r>
    </w:p>
    <w:p w14:paraId="6501489C" w14:textId="77777777" w:rsidR="00793DFB" w:rsidRPr="00E15AD4" w:rsidRDefault="00793DFB" w:rsidP="00793DFB">
      <w:pPr>
        <w:bidi/>
      </w:pPr>
      <w:r w:rsidRPr="00E15AD4">
        <w:rPr>
          <w:rtl/>
        </w:rPr>
        <w:t>إجمالًا، يعكس هذا البعد مستوى متقدمًا نسبيًا من الانتقائية في التوظيف، وهو عنصر جوهري في بناء رأس مال بشري قادر على دعم الأداء الإبداعي لاحقًا</w:t>
      </w:r>
      <w:r w:rsidRPr="00E15AD4">
        <w:t>.</w:t>
      </w:r>
    </w:p>
    <w:p w14:paraId="7D4B7FE1" w14:textId="77777777" w:rsidR="00793DFB" w:rsidRPr="00E15AD4" w:rsidRDefault="00793DFB" w:rsidP="00793DFB">
      <w:pPr>
        <w:bidi/>
        <w:rPr>
          <w:b/>
          <w:bCs/>
        </w:rPr>
      </w:pPr>
      <w:r w:rsidRPr="00E15AD4">
        <w:rPr>
          <w:b/>
          <w:bCs/>
          <w:rtl/>
        </w:rPr>
        <w:t>ثانيًا: التدريب والتطوير المستمر</w:t>
      </w:r>
    </w:p>
    <w:p w14:paraId="5475DA91" w14:textId="77777777" w:rsidR="00793DFB" w:rsidRPr="00E15AD4" w:rsidRDefault="00793DFB" w:rsidP="00793DFB">
      <w:pPr>
        <w:bidi/>
      </w:pPr>
      <w:r w:rsidRPr="00E15AD4">
        <w:rPr>
          <w:b/>
          <w:bCs/>
          <w:rtl/>
        </w:rPr>
        <w:t>المتوسط المرجح للبُعد = 3.548</w:t>
      </w:r>
      <w:r w:rsidRPr="00E15AD4">
        <w:br/>
      </w:r>
      <w:r w:rsidRPr="00E15AD4">
        <w:rPr>
          <w:b/>
          <w:bCs/>
          <w:rtl/>
        </w:rPr>
        <w:t>الانحراف المعياري = 1.092</w:t>
      </w:r>
    </w:p>
    <w:p w14:paraId="484EC205" w14:textId="77777777" w:rsidR="00793DFB" w:rsidRPr="00E15AD4" w:rsidRDefault="00793DFB" w:rsidP="00793DFB">
      <w:pPr>
        <w:bidi/>
      </w:pPr>
      <w:r w:rsidRPr="00E15AD4">
        <w:rPr>
          <w:rtl/>
        </w:rPr>
        <w:t>جاء هذا البعد في المرتبة الثانية. وتشير النتائج إلى أن المؤسسات محل الدراسة توفر برامج تدريبية بدرجة متوسطة تميل إلى الإيجابية. فقد سجلت عبارة توفير برامج تدريب منتظمة متوسطًا (3.537)، مع نسبة موافقة تقارب</w:t>
      </w:r>
      <w:r w:rsidRPr="00E15AD4">
        <w:t xml:space="preserve"> (60.6%).</w:t>
      </w:r>
    </w:p>
    <w:p w14:paraId="10760F63" w14:textId="77777777" w:rsidR="00793DFB" w:rsidRPr="00E15AD4" w:rsidRDefault="00793DFB" w:rsidP="00793DFB">
      <w:pPr>
        <w:bidi/>
      </w:pPr>
      <w:r w:rsidRPr="00E15AD4">
        <w:rPr>
          <w:rtl/>
        </w:rPr>
        <w:t>أما ربط التدريب بأهداف العمل ومتطلبات التطوير المستقبلية فقد بلغ متوسطه (3.607)، مما يعكس درجة من الاتساق الاستراتيجي في تصميم البرامج التدريبية. ومع ذلك، سجلت عبارة تشجيع الموظفين على حضور الدورات الداخلية والخارجية أدنى متوسط (3.467)، مصحوبًا بنسبة محايد مرتفعة نسبيًا، وهو ما قد يشير إلى محدودية في فرص التطوير الخارجي أو تفاوت في إتاحتها</w:t>
      </w:r>
      <w:r w:rsidRPr="00E15AD4">
        <w:t>.</w:t>
      </w:r>
    </w:p>
    <w:p w14:paraId="1C390D14" w14:textId="77777777" w:rsidR="00793DFB" w:rsidRPr="00E15AD4" w:rsidRDefault="00793DFB" w:rsidP="00793DFB">
      <w:pPr>
        <w:bidi/>
      </w:pPr>
      <w:r w:rsidRPr="00E15AD4">
        <w:rPr>
          <w:rtl/>
        </w:rPr>
        <w:t>توضح هذه النتائج أن التدريب يمثل ممارسة قائمة بالفعل، إلا أن فاعليته الاستراتيجية تختلف من مؤسسة إلى أخرى</w:t>
      </w:r>
      <w:r w:rsidRPr="00E15AD4">
        <w:t>.</w:t>
      </w:r>
    </w:p>
    <w:p w14:paraId="53B77003" w14:textId="77777777" w:rsidR="00793DFB" w:rsidRPr="00E15AD4" w:rsidRDefault="00793DFB" w:rsidP="00793DFB">
      <w:pPr>
        <w:bidi/>
        <w:rPr>
          <w:b/>
          <w:bCs/>
        </w:rPr>
      </w:pPr>
      <w:r w:rsidRPr="00E15AD4">
        <w:rPr>
          <w:b/>
          <w:bCs/>
          <w:rtl/>
        </w:rPr>
        <w:t>ثالثًا: نظم الحوافز والمكافآت</w:t>
      </w:r>
    </w:p>
    <w:p w14:paraId="3F510253" w14:textId="77777777" w:rsidR="00793DFB" w:rsidRPr="00E15AD4" w:rsidRDefault="00793DFB" w:rsidP="00793DFB">
      <w:pPr>
        <w:bidi/>
      </w:pPr>
      <w:r w:rsidRPr="00E15AD4">
        <w:rPr>
          <w:rtl/>
        </w:rPr>
        <w:t>جاء هذا البعد بمستوى متوسط يميل إلى الاعتدال. فقد سجلت عبارة شمول الحوافز لمكافآت مالية وغير مالية أعلى متوسط (3.63)، مما يشير إلى تنوع نسبي في أدوات التحفيز. في المقابل، سجلت عبارة تحفيز العاملين على الإبداع من خلال نظام مكافآت عادل متوسطًا أقل (3.48)، وهو ما قد يعكس فجوة بين نظام الحوافز والسلوك الإبداعي</w:t>
      </w:r>
      <w:r w:rsidRPr="00E15AD4">
        <w:t>.</w:t>
      </w:r>
    </w:p>
    <w:p w14:paraId="21D2FED3" w14:textId="77777777" w:rsidR="00793DFB" w:rsidRPr="00E15AD4" w:rsidRDefault="00793DFB" w:rsidP="00793DFB">
      <w:pPr>
        <w:bidi/>
      </w:pPr>
      <w:r w:rsidRPr="00E15AD4">
        <w:rPr>
          <w:rtl/>
        </w:rPr>
        <w:t>كما أن نسبة المحايدين كانت مرتفعة نسبيًا في هذا البعد، الأمر الذي قد يدل على تباين إدراكي حول عدالة النظام التحفيزي أو وضوح معاييره. وبناءً عليه، يبدو أن أنظمة المكافآت قائمة، لكنها قد لا تكون مرتبطة بصورة مباشرة ومحفزة بما يكفي للإبداع التنظيمي</w:t>
      </w:r>
      <w:r w:rsidRPr="00E15AD4">
        <w:t>.</w:t>
      </w:r>
    </w:p>
    <w:p w14:paraId="3686A1DF" w14:textId="77777777" w:rsidR="00793DFB" w:rsidRDefault="00793DFB" w:rsidP="00793DFB">
      <w:pPr>
        <w:bidi/>
        <w:rPr>
          <w:b/>
          <w:bCs/>
          <w:rtl/>
        </w:rPr>
      </w:pPr>
      <w:r w:rsidRPr="00E15AD4">
        <w:rPr>
          <w:b/>
          <w:bCs/>
          <w:rtl/>
        </w:rPr>
        <w:t>رابعًا: المشاركة في اتخاذ القرار</w:t>
      </w:r>
    </w:p>
    <w:p w14:paraId="65FCAAD9" w14:textId="77777777" w:rsidR="00793DFB" w:rsidRPr="0086008F" w:rsidRDefault="00793DFB" w:rsidP="00793DFB">
      <w:pPr>
        <w:bidi/>
        <w:rPr>
          <w:b/>
          <w:bCs/>
        </w:rPr>
      </w:pPr>
      <w:r w:rsidRPr="00E15AD4">
        <w:rPr>
          <w:rtl/>
        </w:rPr>
        <w:t>سجل هذا البعد أدنى متوسط بين أبعاد</w:t>
      </w:r>
      <w:r>
        <w:rPr>
          <w:rFonts w:hint="cs"/>
          <w:rtl/>
        </w:rPr>
        <w:t xml:space="preserve"> </w:t>
      </w:r>
      <w:r w:rsidRPr="00E15AD4">
        <w:t>HPWS</w:t>
      </w:r>
      <w:r>
        <w:rPr>
          <w:rFonts w:hint="cs"/>
          <w:rtl/>
        </w:rPr>
        <w:t>.</w:t>
      </w:r>
      <w:r w:rsidRPr="00E15AD4">
        <w:t xml:space="preserve"> </w:t>
      </w:r>
      <w:r w:rsidRPr="00E15AD4">
        <w:rPr>
          <w:rtl/>
        </w:rPr>
        <w:t>وتشير النتائج إلى أن مشاركة الموظفين في القرارات تمارس بدرجة متوسطة. فقد بلغ متوسط إشراك الإدارة للموظفين في مناقشة القرارات (3.405)، في حين سجلت عبارة تبني أسلوب الحوار المفتوح أعلى متوسط داخل البعد</w:t>
      </w:r>
      <w:r>
        <w:rPr>
          <w:rFonts w:hint="cs"/>
          <w:rtl/>
        </w:rPr>
        <w:t xml:space="preserve"> </w:t>
      </w:r>
      <w:r w:rsidRPr="00E15AD4">
        <w:t>(3.507)</w:t>
      </w:r>
      <w:r>
        <w:rPr>
          <w:rFonts w:hint="cs"/>
          <w:rtl/>
        </w:rPr>
        <w:t>.</w:t>
      </w:r>
    </w:p>
    <w:p w14:paraId="29332192" w14:textId="77777777" w:rsidR="00793DFB" w:rsidRPr="00E15AD4" w:rsidRDefault="00793DFB" w:rsidP="00793DFB">
      <w:pPr>
        <w:bidi/>
      </w:pPr>
      <w:r w:rsidRPr="00E15AD4">
        <w:rPr>
          <w:rtl/>
        </w:rPr>
        <w:t>ارتفاع نسبة المحايدين في هذا البعد يعكس وجود مساحة مشاركة محدودة أو غير منتظمة، مما قد يؤثر لاحقًا في مستويات الالتزام التنظيمي والدافعية الداخلية</w:t>
      </w:r>
      <w:r w:rsidRPr="00E15AD4">
        <w:t>.</w:t>
      </w:r>
    </w:p>
    <w:p w14:paraId="299BB69B" w14:textId="77777777" w:rsidR="00793DFB" w:rsidRPr="00E15AD4" w:rsidRDefault="00793DFB" w:rsidP="00793DFB">
      <w:pPr>
        <w:bidi/>
        <w:rPr>
          <w:b/>
          <w:bCs/>
        </w:rPr>
      </w:pPr>
      <w:r w:rsidRPr="00E15AD4">
        <w:rPr>
          <w:b/>
          <w:bCs/>
          <w:rtl/>
        </w:rPr>
        <w:t>خامسًا: تقييم الأداء العادل</w:t>
      </w:r>
    </w:p>
    <w:p w14:paraId="55B9269C" w14:textId="77777777" w:rsidR="00793DFB" w:rsidRPr="00E15AD4" w:rsidRDefault="00793DFB" w:rsidP="00793DFB">
      <w:pPr>
        <w:bidi/>
      </w:pPr>
      <w:r w:rsidRPr="00E15AD4">
        <w:rPr>
          <w:rtl/>
        </w:rPr>
        <w:lastRenderedPageBreak/>
        <w:t>يعكس هذا البعد مستوى استقرار أعلى نسبيًا مقارنة ببقية الأبعاد، حيث كان انحرافه المعياري الأقل. وقد سجلت عبارة تقييم الأداء وفق معايير موضوعية متوسطًا (3.485)، في حين بلغت عبارة استخدام نتائج التقييم في تحديد فرص الترقية والتطوير متوسطًا</w:t>
      </w:r>
      <w:r w:rsidRPr="00E15AD4">
        <w:t xml:space="preserve"> (3.597).</w:t>
      </w:r>
    </w:p>
    <w:p w14:paraId="3B0B0165" w14:textId="77777777" w:rsidR="00793DFB" w:rsidRPr="00E15AD4" w:rsidRDefault="00793DFB" w:rsidP="00793DFB">
      <w:pPr>
        <w:bidi/>
      </w:pPr>
      <w:r w:rsidRPr="00E15AD4">
        <w:rPr>
          <w:rtl/>
        </w:rPr>
        <w:t>تدل هذه النتائج على وجود نظام تقييم أداء يُنظر إليه باعتباره منظمًا إلى حد مقبول، مع درجة من الاتساق في آليات تطبيقه</w:t>
      </w:r>
      <w:r w:rsidRPr="00E15AD4">
        <w:t>.</w:t>
      </w:r>
    </w:p>
    <w:p w14:paraId="3041478D" w14:textId="77777777" w:rsidR="00793DFB" w:rsidRPr="00E15AD4" w:rsidRDefault="00793DFB" w:rsidP="00793DFB">
      <w:pPr>
        <w:bidi/>
        <w:rPr>
          <w:b/>
          <w:bCs/>
        </w:rPr>
      </w:pPr>
      <w:r w:rsidRPr="00E15AD4">
        <w:rPr>
          <w:b/>
          <w:bCs/>
          <w:rtl/>
        </w:rPr>
        <w:t>سادسًا: تمكين الموظفين</w:t>
      </w:r>
    </w:p>
    <w:p w14:paraId="5362A71E" w14:textId="77777777" w:rsidR="00793DFB" w:rsidRPr="00E15AD4" w:rsidRDefault="00793DFB" w:rsidP="00793DFB">
      <w:pPr>
        <w:bidi/>
      </w:pPr>
      <w:r w:rsidRPr="00E15AD4">
        <w:rPr>
          <w:rtl/>
        </w:rPr>
        <w:t>يشير هذا البعد إلى مستوى متوسط من التمكين الإداري. فقد بلغ متوسط منح الصلاحيات اللازمة (3.497)، بينما سجلت عبارة شعور الموظفين بالثقة والمبادرة الذاتية (3.557)، وهي الأعلى ضمن البعد</w:t>
      </w:r>
      <w:r w:rsidRPr="00E15AD4">
        <w:t>.</w:t>
      </w:r>
    </w:p>
    <w:p w14:paraId="0AB1FAE6" w14:textId="77777777" w:rsidR="00793DFB" w:rsidRPr="00E15AD4" w:rsidRDefault="00793DFB" w:rsidP="00793DFB">
      <w:pPr>
        <w:bidi/>
      </w:pPr>
      <w:r w:rsidRPr="00E15AD4">
        <w:rPr>
          <w:rtl/>
        </w:rPr>
        <w:t xml:space="preserve">وتكشف النتائج أن التمكين موجود بدرجة معقولة، غير أنه ليس </w:t>
      </w:r>
      <w:r w:rsidRPr="00E15AD4">
        <w:rPr>
          <w:rFonts w:hint="cs"/>
          <w:rtl/>
        </w:rPr>
        <w:t>مماسا</w:t>
      </w:r>
      <w:r w:rsidRPr="00E15AD4">
        <w:rPr>
          <w:rtl/>
        </w:rPr>
        <w:t xml:space="preserve"> بصورة كاملة، إذ ما تزال نسب المحايد وعدم الموافقة قائمة، وهو ما يعكس تفاوتًا في ثقافة التفويض بين المؤسسات</w:t>
      </w:r>
      <w:r w:rsidRPr="00E15AD4">
        <w:t>.</w:t>
      </w:r>
    </w:p>
    <w:p w14:paraId="68F30A97" w14:textId="77777777" w:rsidR="00793DFB" w:rsidRPr="00E15AD4" w:rsidRDefault="00793DFB" w:rsidP="00793DFB">
      <w:pPr>
        <w:bidi/>
      </w:pPr>
      <w:r w:rsidRPr="00E15AD4">
        <w:rPr>
          <w:rtl/>
        </w:rPr>
        <w:t>تشير النتائج إلى أن ممارسات أنظمة العمل عالية الأداء مطبقة بدرجة متوسطة تميل إلى الارتفاع، مع تميز واضح في جانب التوظيف الانتقائي، مقابل ضعف نسبي في المشاركة في اتخاذ القرار. ويعكس هذا النمط تركيزًا أكبر على المدخلات البشرية (الاختيار) مقارنة بالعمليات التشاركية الداخلية</w:t>
      </w:r>
      <w:r w:rsidRPr="00E15AD4">
        <w:t>.</w:t>
      </w:r>
    </w:p>
    <w:p w14:paraId="4EEA362B" w14:textId="77777777" w:rsidR="00793DFB" w:rsidRPr="00E15AD4" w:rsidRDefault="00793DFB" w:rsidP="00793DFB">
      <w:pPr>
        <w:bidi/>
      </w:pPr>
      <w:r w:rsidRPr="00E15AD4">
        <w:rPr>
          <w:rtl/>
        </w:rPr>
        <w:t>ويمثل هذا التباين مؤشرًا مهمًا لفهم طبيعة العلاقة اللاحقة بين</w:t>
      </w:r>
      <w:r w:rsidRPr="00E15AD4">
        <w:t xml:space="preserve"> HPWS </w:t>
      </w:r>
      <w:r w:rsidRPr="00E15AD4">
        <w:rPr>
          <w:rtl/>
        </w:rPr>
        <w:t>والإبداع الوظيفي، إذ إن فعالية الأنظمة عالية الأداء لا تعتمد فقط على استقطاب الكفاءات، بل كذلك على تمكينها وإشراكها في صنع القرار ضمن ثقافة تنظيمية داعمة</w:t>
      </w:r>
      <w:r w:rsidRPr="00E15AD4">
        <w:t>.</w:t>
      </w:r>
    </w:p>
    <w:p w14:paraId="0A2CFE5E" w14:textId="77777777" w:rsidR="00793DFB" w:rsidRDefault="00793DFB" w:rsidP="00793DFB">
      <w:pPr>
        <w:bidi/>
      </w:pPr>
    </w:p>
    <w:p w14:paraId="7B272174" w14:textId="77777777" w:rsidR="00793DFB" w:rsidRPr="00B724D5" w:rsidRDefault="00793DFB" w:rsidP="00793DFB">
      <w:pPr>
        <w:bidi/>
        <w:rPr>
          <w:b/>
          <w:bCs/>
        </w:rPr>
      </w:pPr>
      <w:r>
        <w:rPr>
          <w:rFonts w:hint="cs"/>
          <w:b/>
          <w:bCs/>
          <w:rtl/>
          <w:lang w:bidi="ar-EG"/>
        </w:rPr>
        <w:t xml:space="preserve">4.3.2. </w:t>
      </w:r>
      <w:r w:rsidRPr="00B724D5">
        <w:rPr>
          <w:b/>
          <w:bCs/>
          <w:rtl/>
        </w:rPr>
        <w:t>التحليل الوصفي للمحور الثاني: الثقافة التنظيمية</w:t>
      </w:r>
    </w:p>
    <w:p w14:paraId="273B6005" w14:textId="77777777" w:rsidR="00793DFB" w:rsidRPr="00B724D5" w:rsidRDefault="00793DFB" w:rsidP="00793DFB">
      <w:pPr>
        <w:bidi/>
      </w:pPr>
      <w:r w:rsidRPr="00B724D5">
        <w:rPr>
          <w:rtl/>
        </w:rPr>
        <w:t>يهدف هذا الجزء إلى تحليل مستوى إدراك أفراد العينة لأبعاد الثقافة التنظيمية وفق نموذج</w:t>
      </w:r>
      <w:r>
        <w:rPr>
          <w:rFonts w:hint="cs"/>
          <w:rtl/>
        </w:rPr>
        <w:t xml:space="preserve"> </w:t>
      </w:r>
      <w:r w:rsidRPr="00B724D5">
        <w:t>Denison</w:t>
      </w:r>
      <w:r w:rsidRPr="00B724D5">
        <w:rPr>
          <w:rtl/>
        </w:rPr>
        <w:t>، وذلك من خلال فحص المتوسطات الحسابية والانحرافات المعيارية والتوزيع النسبي للاستجابات. وقد تم اعتماد المتوسط المرجح لكل بُعد لتحديد مستوى الثقافة التنظيمية السائد داخل المؤسسات محل الدراسة</w:t>
      </w:r>
      <w:r w:rsidRPr="00B724D5">
        <w:t>.</w:t>
      </w:r>
    </w:p>
    <w:p w14:paraId="2BDF637A" w14:textId="77777777" w:rsidR="00793DFB" w:rsidRDefault="00793DFB" w:rsidP="00793DFB">
      <w:pPr>
        <w:bidi/>
        <w:rPr>
          <w:rtl/>
        </w:rPr>
      </w:pPr>
      <w:r w:rsidRPr="00B724D5">
        <w:rPr>
          <w:rtl/>
        </w:rPr>
        <w:t>بلغ المتوسط الكلي للمحور (3.466)، بانحراف معياري عام يقارب (1.02)، مما يشير إلى أن مستوى الثقافة التنظيمية يقع ضمن الفئة المتوسطة المائلة إلى الإيجابية، مع وجود تباين نسبي بين أبعادها المختلفة</w:t>
      </w:r>
      <w:r w:rsidRPr="00B724D5">
        <w:t>.</w:t>
      </w:r>
    </w:p>
    <w:p w14:paraId="33F819FC" w14:textId="77777777" w:rsidR="00793DFB" w:rsidRPr="00B724D5" w:rsidRDefault="00793DFB" w:rsidP="00793DFB">
      <w:pPr>
        <w:bidi/>
      </w:pPr>
      <w:r>
        <w:rPr>
          <w:rFonts w:hint="cs"/>
          <w:rtl/>
        </w:rPr>
        <w:t>جدول (4-4): يوضح الاحصائيات الوصفية لأبعاد المحور الثاني: الثقافة التنظيمية</w:t>
      </w:r>
    </w:p>
    <w:tbl>
      <w:tblPr>
        <w:tblW w:w="0" w:type="auto"/>
        <w:tblLook w:val="04A0" w:firstRow="1" w:lastRow="0" w:firstColumn="1" w:lastColumn="0" w:noHBand="0" w:noVBand="1"/>
      </w:tblPr>
      <w:tblGrid>
        <w:gridCol w:w="646"/>
        <w:gridCol w:w="1398"/>
        <w:gridCol w:w="828"/>
        <w:gridCol w:w="895"/>
        <w:gridCol w:w="895"/>
        <w:gridCol w:w="895"/>
        <w:gridCol w:w="895"/>
        <w:gridCol w:w="859"/>
        <w:gridCol w:w="2039"/>
      </w:tblGrid>
      <w:tr w:rsidR="00793DFB" w:rsidRPr="00B724D5" w14:paraId="1DD11FDD" w14:textId="77777777" w:rsidTr="009F1C88">
        <w:trPr>
          <w:trHeight w:val="264"/>
        </w:trPr>
        <w:tc>
          <w:tcPr>
            <w:tcW w:w="0" w:type="auto"/>
            <w:gridSpan w:val="9"/>
            <w:tcBorders>
              <w:top w:val="single" w:sz="4" w:space="0" w:color="auto"/>
              <w:left w:val="single" w:sz="4" w:space="0" w:color="auto"/>
              <w:bottom w:val="single" w:sz="4" w:space="0" w:color="auto"/>
              <w:right w:val="single" w:sz="4" w:space="0" w:color="auto"/>
            </w:tcBorders>
            <w:shd w:val="clear" w:color="000000" w:fill="FFFF00"/>
            <w:vAlign w:val="center"/>
            <w:hideMark/>
          </w:tcPr>
          <w:p w14:paraId="5009AA25"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المحور الثاني: الثقافة التنظيمية</w:t>
            </w:r>
          </w:p>
        </w:tc>
      </w:tr>
      <w:tr w:rsidR="00793DFB" w:rsidRPr="00B724D5" w14:paraId="5BB5CEB0" w14:textId="77777777" w:rsidTr="009F1C88">
        <w:trPr>
          <w:trHeight w:val="264"/>
        </w:trPr>
        <w:tc>
          <w:tcPr>
            <w:tcW w:w="0" w:type="auto"/>
            <w:tcBorders>
              <w:top w:val="nil"/>
              <w:left w:val="single" w:sz="4" w:space="0" w:color="auto"/>
              <w:bottom w:val="single" w:sz="4" w:space="0" w:color="auto"/>
              <w:right w:val="single" w:sz="4" w:space="0" w:color="auto"/>
            </w:tcBorders>
            <w:shd w:val="clear" w:color="000000" w:fill="FFFF00"/>
            <w:vAlign w:val="center"/>
            <w:hideMark/>
          </w:tcPr>
          <w:p w14:paraId="7AC033A1"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 </w:t>
            </w:r>
          </w:p>
        </w:tc>
        <w:tc>
          <w:tcPr>
            <w:tcW w:w="0" w:type="auto"/>
            <w:tcBorders>
              <w:top w:val="nil"/>
              <w:left w:val="nil"/>
              <w:bottom w:val="single" w:sz="4" w:space="0" w:color="auto"/>
              <w:right w:val="single" w:sz="4" w:space="0" w:color="auto"/>
            </w:tcBorders>
            <w:shd w:val="clear" w:color="000000" w:fill="FFFF00"/>
            <w:vAlign w:val="center"/>
            <w:hideMark/>
          </w:tcPr>
          <w:p w14:paraId="3A89993B"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 </w:t>
            </w:r>
          </w:p>
        </w:tc>
        <w:tc>
          <w:tcPr>
            <w:tcW w:w="0" w:type="auto"/>
            <w:gridSpan w:val="7"/>
            <w:tcBorders>
              <w:top w:val="single" w:sz="4" w:space="0" w:color="auto"/>
              <w:left w:val="nil"/>
              <w:bottom w:val="single" w:sz="4" w:space="0" w:color="auto"/>
              <w:right w:val="single" w:sz="4" w:space="0" w:color="000000"/>
            </w:tcBorders>
            <w:shd w:val="clear" w:color="000000" w:fill="FFFF00"/>
            <w:vAlign w:val="center"/>
            <w:hideMark/>
          </w:tcPr>
          <w:p w14:paraId="4BC83C15"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 xml:space="preserve">أولاً: التكيّف </w:t>
            </w:r>
          </w:p>
        </w:tc>
      </w:tr>
      <w:tr w:rsidR="00793DFB" w:rsidRPr="00B724D5" w14:paraId="37369A52" w14:textId="77777777" w:rsidTr="009F1C88">
        <w:trPr>
          <w:trHeight w:val="528"/>
        </w:trPr>
        <w:tc>
          <w:tcPr>
            <w:tcW w:w="0" w:type="auto"/>
            <w:tcBorders>
              <w:top w:val="nil"/>
              <w:left w:val="single" w:sz="4" w:space="0" w:color="auto"/>
              <w:bottom w:val="single" w:sz="4" w:space="0" w:color="auto"/>
              <w:right w:val="single" w:sz="4" w:space="0" w:color="auto"/>
            </w:tcBorders>
            <w:shd w:val="clear" w:color="000000" w:fill="7AD694"/>
            <w:vAlign w:val="center"/>
            <w:hideMark/>
          </w:tcPr>
          <w:p w14:paraId="68C726B4" w14:textId="77777777" w:rsidR="00793DFB" w:rsidRPr="00B724D5" w:rsidRDefault="00793DFB" w:rsidP="009F1C88">
            <w:pPr>
              <w:bidi/>
              <w:spacing w:after="0" w:line="240" w:lineRule="auto"/>
              <w:jc w:val="center"/>
              <w:rPr>
                <w:rFonts w:ascii="Arial" w:eastAsia="Times New Roman" w:hAnsi="Arial" w:cs="Arial"/>
                <w:kern w:val="0"/>
                <w:sz w:val="20"/>
                <w:szCs w:val="20"/>
                <w:rtl/>
                <w14:ligatures w14:val="none"/>
              </w:rPr>
            </w:pPr>
            <w:r w:rsidRPr="00B724D5">
              <w:rPr>
                <w:rFonts w:ascii="Arial" w:eastAsia="Times New Roman" w:hAnsi="Arial" w:cs="Arial"/>
                <w:kern w:val="0"/>
                <w:sz w:val="20"/>
                <w:szCs w:val="20"/>
                <w:rtl/>
                <w14:ligatures w14:val="none"/>
              </w:rPr>
              <w:t>الدرجة</w:t>
            </w:r>
          </w:p>
        </w:tc>
        <w:tc>
          <w:tcPr>
            <w:tcW w:w="0" w:type="auto"/>
            <w:tcBorders>
              <w:top w:val="nil"/>
              <w:left w:val="nil"/>
              <w:bottom w:val="single" w:sz="4" w:space="0" w:color="auto"/>
              <w:right w:val="single" w:sz="4" w:space="0" w:color="auto"/>
            </w:tcBorders>
            <w:shd w:val="clear" w:color="000000" w:fill="B3CEFB"/>
            <w:vAlign w:val="center"/>
            <w:hideMark/>
          </w:tcPr>
          <w:p w14:paraId="3B24AF64"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 xml:space="preserve">الانحراف المعياري </w:t>
            </w:r>
          </w:p>
        </w:tc>
        <w:tc>
          <w:tcPr>
            <w:tcW w:w="0" w:type="auto"/>
            <w:tcBorders>
              <w:top w:val="nil"/>
              <w:left w:val="nil"/>
              <w:bottom w:val="single" w:sz="4" w:space="0" w:color="auto"/>
              <w:right w:val="single" w:sz="4" w:space="0" w:color="auto"/>
            </w:tcBorders>
            <w:shd w:val="clear" w:color="000000" w:fill="B3CEFB"/>
            <w:vAlign w:val="center"/>
            <w:hideMark/>
          </w:tcPr>
          <w:p w14:paraId="09696DAB"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المتوسط</w:t>
            </w:r>
          </w:p>
        </w:tc>
        <w:tc>
          <w:tcPr>
            <w:tcW w:w="0" w:type="auto"/>
            <w:tcBorders>
              <w:top w:val="nil"/>
              <w:left w:val="nil"/>
              <w:bottom w:val="single" w:sz="4" w:space="0" w:color="auto"/>
              <w:right w:val="single" w:sz="4" w:space="0" w:color="auto"/>
            </w:tcBorders>
            <w:shd w:val="clear" w:color="000000" w:fill="8CB5F9"/>
            <w:vAlign w:val="center"/>
            <w:hideMark/>
          </w:tcPr>
          <w:p w14:paraId="2CA0E089"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أوافق بشدة</w:t>
            </w:r>
          </w:p>
        </w:tc>
        <w:tc>
          <w:tcPr>
            <w:tcW w:w="0" w:type="auto"/>
            <w:tcBorders>
              <w:top w:val="nil"/>
              <w:left w:val="nil"/>
              <w:bottom w:val="single" w:sz="4" w:space="0" w:color="auto"/>
              <w:right w:val="single" w:sz="4" w:space="0" w:color="auto"/>
            </w:tcBorders>
            <w:shd w:val="clear" w:color="000000" w:fill="8CB5F9"/>
            <w:vAlign w:val="center"/>
            <w:hideMark/>
          </w:tcPr>
          <w:p w14:paraId="32D2B014"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أوافق</w:t>
            </w:r>
          </w:p>
        </w:tc>
        <w:tc>
          <w:tcPr>
            <w:tcW w:w="0" w:type="auto"/>
            <w:tcBorders>
              <w:top w:val="nil"/>
              <w:left w:val="nil"/>
              <w:bottom w:val="single" w:sz="4" w:space="0" w:color="auto"/>
              <w:right w:val="single" w:sz="4" w:space="0" w:color="auto"/>
            </w:tcBorders>
            <w:shd w:val="clear" w:color="000000" w:fill="8CB5F9"/>
            <w:vAlign w:val="center"/>
            <w:hideMark/>
          </w:tcPr>
          <w:p w14:paraId="57B9AD9B"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محايد</w:t>
            </w:r>
          </w:p>
        </w:tc>
        <w:tc>
          <w:tcPr>
            <w:tcW w:w="0" w:type="auto"/>
            <w:tcBorders>
              <w:top w:val="nil"/>
              <w:left w:val="nil"/>
              <w:bottom w:val="single" w:sz="4" w:space="0" w:color="auto"/>
              <w:right w:val="single" w:sz="4" w:space="0" w:color="auto"/>
            </w:tcBorders>
            <w:shd w:val="clear" w:color="000000" w:fill="8CB5F9"/>
            <w:vAlign w:val="center"/>
            <w:hideMark/>
          </w:tcPr>
          <w:p w14:paraId="0945F1F2"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لا أوافق</w:t>
            </w:r>
          </w:p>
        </w:tc>
        <w:tc>
          <w:tcPr>
            <w:tcW w:w="0" w:type="auto"/>
            <w:tcBorders>
              <w:top w:val="nil"/>
              <w:left w:val="nil"/>
              <w:bottom w:val="single" w:sz="4" w:space="0" w:color="auto"/>
              <w:right w:val="single" w:sz="4" w:space="0" w:color="auto"/>
            </w:tcBorders>
            <w:shd w:val="clear" w:color="000000" w:fill="8CB5F9"/>
            <w:vAlign w:val="center"/>
            <w:hideMark/>
          </w:tcPr>
          <w:p w14:paraId="5B5F9433"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لا أوافق بشدة</w:t>
            </w:r>
          </w:p>
        </w:tc>
        <w:tc>
          <w:tcPr>
            <w:tcW w:w="0" w:type="auto"/>
            <w:tcBorders>
              <w:top w:val="nil"/>
              <w:left w:val="nil"/>
              <w:bottom w:val="single" w:sz="4" w:space="0" w:color="auto"/>
              <w:right w:val="single" w:sz="4" w:space="0" w:color="auto"/>
            </w:tcBorders>
            <w:shd w:val="clear" w:color="000000" w:fill="FF6D01"/>
            <w:vAlign w:val="center"/>
            <w:hideMark/>
          </w:tcPr>
          <w:p w14:paraId="7CC546B5"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السؤال</w:t>
            </w:r>
          </w:p>
        </w:tc>
      </w:tr>
      <w:tr w:rsidR="00793DFB" w:rsidRPr="00B724D5" w14:paraId="7B537156"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44CB0C56"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3CA52332"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0.82187</w:t>
            </w:r>
          </w:p>
        </w:tc>
        <w:tc>
          <w:tcPr>
            <w:tcW w:w="0" w:type="auto"/>
            <w:vMerge w:val="restart"/>
            <w:tcBorders>
              <w:top w:val="nil"/>
              <w:left w:val="single" w:sz="4" w:space="0" w:color="auto"/>
              <w:bottom w:val="single" w:sz="4" w:space="0" w:color="auto"/>
              <w:right w:val="single" w:sz="4" w:space="0" w:color="auto"/>
            </w:tcBorders>
            <w:vAlign w:val="center"/>
            <w:hideMark/>
          </w:tcPr>
          <w:p w14:paraId="26441AD8"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3.285</w:t>
            </w:r>
          </w:p>
        </w:tc>
        <w:tc>
          <w:tcPr>
            <w:tcW w:w="0" w:type="auto"/>
            <w:tcBorders>
              <w:top w:val="nil"/>
              <w:left w:val="nil"/>
              <w:bottom w:val="single" w:sz="4" w:space="0" w:color="auto"/>
              <w:right w:val="single" w:sz="4" w:space="0" w:color="auto"/>
            </w:tcBorders>
            <w:vAlign w:val="center"/>
            <w:hideMark/>
          </w:tcPr>
          <w:p w14:paraId="1DC6969B"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17</w:t>
            </w:r>
          </w:p>
        </w:tc>
        <w:tc>
          <w:tcPr>
            <w:tcW w:w="0" w:type="auto"/>
            <w:tcBorders>
              <w:top w:val="nil"/>
              <w:left w:val="nil"/>
              <w:bottom w:val="single" w:sz="4" w:space="0" w:color="auto"/>
              <w:right w:val="single" w:sz="4" w:space="0" w:color="auto"/>
            </w:tcBorders>
            <w:vAlign w:val="center"/>
            <w:hideMark/>
          </w:tcPr>
          <w:p w14:paraId="668C6C62"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150</w:t>
            </w:r>
          </w:p>
        </w:tc>
        <w:tc>
          <w:tcPr>
            <w:tcW w:w="0" w:type="auto"/>
            <w:tcBorders>
              <w:top w:val="nil"/>
              <w:left w:val="nil"/>
              <w:bottom w:val="single" w:sz="4" w:space="0" w:color="auto"/>
              <w:right w:val="single" w:sz="4" w:space="0" w:color="auto"/>
            </w:tcBorders>
            <w:vAlign w:val="center"/>
            <w:hideMark/>
          </w:tcPr>
          <w:p w14:paraId="3426CEA8"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170</w:t>
            </w:r>
          </w:p>
        </w:tc>
        <w:tc>
          <w:tcPr>
            <w:tcW w:w="0" w:type="auto"/>
            <w:tcBorders>
              <w:top w:val="nil"/>
              <w:left w:val="nil"/>
              <w:bottom w:val="single" w:sz="4" w:space="0" w:color="auto"/>
              <w:right w:val="single" w:sz="4" w:space="0" w:color="auto"/>
            </w:tcBorders>
            <w:vAlign w:val="center"/>
            <w:hideMark/>
          </w:tcPr>
          <w:p w14:paraId="4FD2E1D1"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56</w:t>
            </w:r>
          </w:p>
        </w:tc>
        <w:tc>
          <w:tcPr>
            <w:tcW w:w="0" w:type="auto"/>
            <w:tcBorders>
              <w:top w:val="nil"/>
              <w:left w:val="nil"/>
              <w:bottom w:val="single" w:sz="4" w:space="0" w:color="auto"/>
              <w:right w:val="single" w:sz="4" w:space="0" w:color="auto"/>
            </w:tcBorders>
            <w:vAlign w:val="center"/>
            <w:hideMark/>
          </w:tcPr>
          <w:p w14:paraId="682DE025"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7</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42FCE7BF"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24. تتبنّى المنظمة التغيير بسهولة لمواكبة متطلبات السوق.</w:t>
            </w:r>
          </w:p>
        </w:tc>
      </w:tr>
      <w:tr w:rsidR="00793DFB" w:rsidRPr="00B724D5" w14:paraId="2D8DDF4C"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4B2FE01C"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06B5735C"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A173416"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67361B83"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4.30%</w:t>
            </w:r>
          </w:p>
        </w:tc>
        <w:tc>
          <w:tcPr>
            <w:tcW w:w="0" w:type="auto"/>
            <w:tcBorders>
              <w:top w:val="nil"/>
              <w:left w:val="nil"/>
              <w:bottom w:val="single" w:sz="4" w:space="0" w:color="auto"/>
              <w:right w:val="single" w:sz="4" w:space="0" w:color="auto"/>
            </w:tcBorders>
            <w:vAlign w:val="center"/>
            <w:hideMark/>
          </w:tcPr>
          <w:p w14:paraId="21CA639B"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37.50%</w:t>
            </w:r>
          </w:p>
        </w:tc>
        <w:tc>
          <w:tcPr>
            <w:tcW w:w="0" w:type="auto"/>
            <w:tcBorders>
              <w:top w:val="nil"/>
              <w:left w:val="nil"/>
              <w:bottom w:val="single" w:sz="4" w:space="0" w:color="auto"/>
              <w:right w:val="single" w:sz="4" w:space="0" w:color="auto"/>
            </w:tcBorders>
            <w:vAlign w:val="center"/>
            <w:hideMark/>
          </w:tcPr>
          <w:p w14:paraId="6C5C042D"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42.50%</w:t>
            </w:r>
          </w:p>
        </w:tc>
        <w:tc>
          <w:tcPr>
            <w:tcW w:w="0" w:type="auto"/>
            <w:tcBorders>
              <w:top w:val="nil"/>
              <w:left w:val="nil"/>
              <w:bottom w:val="single" w:sz="4" w:space="0" w:color="auto"/>
              <w:right w:val="single" w:sz="4" w:space="0" w:color="auto"/>
            </w:tcBorders>
            <w:vAlign w:val="center"/>
            <w:hideMark/>
          </w:tcPr>
          <w:p w14:paraId="21192E82"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14.00%</w:t>
            </w:r>
          </w:p>
        </w:tc>
        <w:tc>
          <w:tcPr>
            <w:tcW w:w="0" w:type="auto"/>
            <w:tcBorders>
              <w:top w:val="nil"/>
              <w:left w:val="nil"/>
              <w:bottom w:val="single" w:sz="4" w:space="0" w:color="auto"/>
              <w:right w:val="single" w:sz="4" w:space="0" w:color="auto"/>
            </w:tcBorders>
            <w:vAlign w:val="center"/>
            <w:hideMark/>
          </w:tcPr>
          <w:p w14:paraId="5E19E3F4"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1.80%</w:t>
            </w:r>
          </w:p>
        </w:tc>
        <w:tc>
          <w:tcPr>
            <w:tcW w:w="0" w:type="auto"/>
            <w:vMerge/>
            <w:tcBorders>
              <w:top w:val="nil"/>
              <w:left w:val="single" w:sz="4" w:space="0" w:color="auto"/>
              <w:bottom w:val="single" w:sz="4" w:space="0" w:color="auto"/>
              <w:right w:val="single" w:sz="4" w:space="0" w:color="auto"/>
            </w:tcBorders>
            <w:vAlign w:val="center"/>
            <w:hideMark/>
          </w:tcPr>
          <w:p w14:paraId="224AE05C"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B724D5" w14:paraId="2D7C5785"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36BC3117"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6CB407F5"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1.0629</w:t>
            </w:r>
          </w:p>
        </w:tc>
        <w:tc>
          <w:tcPr>
            <w:tcW w:w="0" w:type="auto"/>
            <w:vMerge w:val="restart"/>
            <w:tcBorders>
              <w:top w:val="nil"/>
              <w:left w:val="single" w:sz="4" w:space="0" w:color="auto"/>
              <w:bottom w:val="single" w:sz="4" w:space="0" w:color="auto"/>
              <w:right w:val="single" w:sz="4" w:space="0" w:color="auto"/>
            </w:tcBorders>
            <w:vAlign w:val="center"/>
            <w:hideMark/>
          </w:tcPr>
          <w:p w14:paraId="51A24295"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3.3325</w:t>
            </w:r>
          </w:p>
        </w:tc>
        <w:tc>
          <w:tcPr>
            <w:tcW w:w="0" w:type="auto"/>
            <w:tcBorders>
              <w:top w:val="nil"/>
              <w:left w:val="nil"/>
              <w:bottom w:val="single" w:sz="4" w:space="0" w:color="auto"/>
              <w:right w:val="single" w:sz="4" w:space="0" w:color="auto"/>
            </w:tcBorders>
            <w:vAlign w:val="center"/>
            <w:hideMark/>
          </w:tcPr>
          <w:p w14:paraId="58E11C47"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39</w:t>
            </w:r>
          </w:p>
        </w:tc>
        <w:tc>
          <w:tcPr>
            <w:tcW w:w="0" w:type="auto"/>
            <w:tcBorders>
              <w:top w:val="nil"/>
              <w:left w:val="nil"/>
              <w:bottom w:val="single" w:sz="4" w:space="0" w:color="auto"/>
              <w:right w:val="single" w:sz="4" w:space="0" w:color="auto"/>
            </w:tcBorders>
            <w:vAlign w:val="center"/>
            <w:hideMark/>
          </w:tcPr>
          <w:p w14:paraId="4F06BAF1"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165</w:t>
            </w:r>
          </w:p>
        </w:tc>
        <w:tc>
          <w:tcPr>
            <w:tcW w:w="0" w:type="auto"/>
            <w:tcBorders>
              <w:top w:val="nil"/>
              <w:left w:val="nil"/>
              <w:bottom w:val="single" w:sz="4" w:space="0" w:color="auto"/>
              <w:right w:val="single" w:sz="4" w:space="0" w:color="auto"/>
            </w:tcBorders>
            <w:vAlign w:val="center"/>
            <w:hideMark/>
          </w:tcPr>
          <w:p w14:paraId="503E7FA6"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118</w:t>
            </w:r>
          </w:p>
        </w:tc>
        <w:tc>
          <w:tcPr>
            <w:tcW w:w="0" w:type="auto"/>
            <w:tcBorders>
              <w:top w:val="nil"/>
              <w:left w:val="nil"/>
              <w:bottom w:val="single" w:sz="4" w:space="0" w:color="auto"/>
              <w:right w:val="single" w:sz="4" w:space="0" w:color="auto"/>
            </w:tcBorders>
            <w:vAlign w:val="center"/>
            <w:hideMark/>
          </w:tcPr>
          <w:p w14:paraId="08B3E3D1"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46</w:t>
            </w:r>
          </w:p>
        </w:tc>
        <w:tc>
          <w:tcPr>
            <w:tcW w:w="0" w:type="auto"/>
            <w:tcBorders>
              <w:top w:val="nil"/>
              <w:left w:val="nil"/>
              <w:bottom w:val="single" w:sz="4" w:space="0" w:color="auto"/>
              <w:right w:val="single" w:sz="4" w:space="0" w:color="auto"/>
            </w:tcBorders>
            <w:vAlign w:val="center"/>
            <w:hideMark/>
          </w:tcPr>
          <w:p w14:paraId="78377A9A"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32</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03675033"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25.  تشجع الإدارة التجريب وتقبّل الأفكار الجديدة.</w:t>
            </w:r>
          </w:p>
        </w:tc>
      </w:tr>
      <w:tr w:rsidR="00793DFB" w:rsidRPr="00B724D5" w14:paraId="62DA68E5"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16365C7D"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E86F2B7"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A1A1F03"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37248956"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9.80%</w:t>
            </w:r>
          </w:p>
        </w:tc>
        <w:tc>
          <w:tcPr>
            <w:tcW w:w="0" w:type="auto"/>
            <w:tcBorders>
              <w:top w:val="nil"/>
              <w:left w:val="nil"/>
              <w:bottom w:val="single" w:sz="4" w:space="0" w:color="auto"/>
              <w:right w:val="single" w:sz="4" w:space="0" w:color="auto"/>
            </w:tcBorders>
            <w:vAlign w:val="center"/>
            <w:hideMark/>
          </w:tcPr>
          <w:p w14:paraId="0FB57A84"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41.30%</w:t>
            </w:r>
          </w:p>
        </w:tc>
        <w:tc>
          <w:tcPr>
            <w:tcW w:w="0" w:type="auto"/>
            <w:tcBorders>
              <w:top w:val="nil"/>
              <w:left w:val="nil"/>
              <w:bottom w:val="single" w:sz="4" w:space="0" w:color="auto"/>
              <w:right w:val="single" w:sz="4" w:space="0" w:color="auto"/>
            </w:tcBorders>
            <w:vAlign w:val="center"/>
            <w:hideMark/>
          </w:tcPr>
          <w:p w14:paraId="4029DE5D"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29.50%</w:t>
            </w:r>
          </w:p>
        </w:tc>
        <w:tc>
          <w:tcPr>
            <w:tcW w:w="0" w:type="auto"/>
            <w:tcBorders>
              <w:top w:val="nil"/>
              <w:left w:val="nil"/>
              <w:bottom w:val="single" w:sz="4" w:space="0" w:color="auto"/>
              <w:right w:val="single" w:sz="4" w:space="0" w:color="auto"/>
            </w:tcBorders>
            <w:vAlign w:val="center"/>
            <w:hideMark/>
          </w:tcPr>
          <w:p w14:paraId="21446968"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11.50%</w:t>
            </w:r>
          </w:p>
        </w:tc>
        <w:tc>
          <w:tcPr>
            <w:tcW w:w="0" w:type="auto"/>
            <w:tcBorders>
              <w:top w:val="nil"/>
              <w:left w:val="nil"/>
              <w:bottom w:val="single" w:sz="4" w:space="0" w:color="auto"/>
              <w:right w:val="single" w:sz="4" w:space="0" w:color="auto"/>
            </w:tcBorders>
            <w:vAlign w:val="center"/>
            <w:hideMark/>
          </w:tcPr>
          <w:p w14:paraId="588C8988"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8.00%</w:t>
            </w:r>
          </w:p>
        </w:tc>
        <w:tc>
          <w:tcPr>
            <w:tcW w:w="0" w:type="auto"/>
            <w:vMerge/>
            <w:tcBorders>
              <w:top w:val="nil"/>
              <w:left w:val="single" w:sz="4" w:space="0" w:color="auto"/>
              <w:bottom w:val="single" w:sz="4" w:space="0" w:color="auto"/>
              <w:right w:val="single" w:sz="4" w:space="0" w:color="auto"/>
            </w:tcBorders>
            <w:vAlign w:val="center"/>
            <w:hideMark/>
          </w:tcPr>
          <w:p w14:paraId="2284FC93"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B724D5" w14:paraId="4CED84DC" w14:textId="77777777" w:rsidTr="009F1C88">
        <w:trPr>
          <w:trHeight w:val="264"/>
        </w:trPr>
        <w:tc>
          <w:tcPr>
            <w:tcW w:w="0" w:type="auto"/>
            <w:vMerge w:val="restart"/>
            <w:tcBorders>
              <w:top w:val="nil"/>
              <w:left w:val="single" w:sz="4" w:space="0" w:color="auto"/>
              <w:bottom w:val="single" w:sz="4" w:space="0" w:color="000000"/>
              <w:right w:val="single" w:sz="4" w:space="0" w:color="auto"/>
            </w:tcBorders>
            <w:shd w:val="clear" w:color="000000" w:fill="FF6D01"/>
            <w:vAlign w:val="center"/>
            <w:hideMark/>
          </w:tcPr>
          <w:p w14:paraId="6FF6FCB2"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محايد</w:t>
            </w:r>
          </w:p>
        </w:tc>
        <w:tc>
          <w:tcPr>
            <w:tcW w:w="0" w:type="auto"/>
            <w:gridSpan w:val="2"/>
            <w:tcBorders>
              <w:top w:val="single" w:sz="4" w:space="0" w:color="auto"/>
              <w:left w:val="nil"/>
              <w:bottom w:val="single" w:sz="4" w:space="0" w:color="auto"/>
              <w:right w:val="single" w:sz="4" w:space="0" w:color="auto"/>
            </w:tcBorders>
            <w:vAlign w:val="center"/>
            <w:hideMark/>
          </w:tcPr>
          <w:p w14:paraId="71491AE4"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3.30875</w:t>
            </w:r>
          </w:p>
        </w:tc>
        <w:tc>
          <w:tcPr>
            <w:tcW w:w="0" w:type="auto"/>
            <w:gridSpan w:val="6"/>
            <w:tcBorders>
              <w:top w:val="single" w:sz="4" w:space="0" w:color="auto"/>
              <w:left w:val="nil"/>
              <w:bottom w:val="single" w:sz="4" w:space="0" w:color="auto"/>
              <w:right w:val="single" w:sz="4" w:space="0" w:color="auto"/>
            </w:tcBorders>
            <w:shd w:val="clear" w:color="000000" w:fill="FF6D01"/>
            <w:vAlign w:val="center"/>
            <w:hideMark/>
          </w:tcPr>
          <w:p w14:paraId="1C99A221"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proofErr w:type="spellStart"/>
            <w:r w:rsidRPr="00B724D5">
              <w:rPr>
                <w:rFonts w:ascii="Arial" w:eastAsia="Times New Roman" w:hAnsi="Arial" w:cs="Arial"/>
                <w:color w:val="000000"/>
                <w:kern w:val="0"/>
                <w:sz w:val="20"/>
                <w:szCs w:val="20"/>
                <w14:ligatures w14:val="none"/>
              </w:rPr>
              <w:t>weightted</w:t>
            </w:r>
            <w:proofErr w:type="spellEnd"/>
            <w:r w:rsidRPr="00B724D5">
              <w:rPr>
                <w:rFonts w:ascii="Arial" w:eastAsia="Times New Roman" w:hAnsi="Arial" w:cs="Arial"/>
                <w:color w:val="000000"/>
                <w:kern w:val="0"/>
                <w:sz w:val="20"/>
                <w:szCs w:val="20"/>
                <w14:ligatures w14:val="none"/>
              </w:rPr>
              <w:t xml:space="preserve"> mean </w:t>
            </w:r>
          </w:p>
        </w:tc>
      </w:tr>
      <w:tr w:rsidR="00793DFB" w:rsidRPr="00B724D5" w14:paraId="2C1ED26B" w14:textId="77777777" w:rsidTr="009F1C88">
        <w:trPr>
          <w:trHeight w:val="264"/>
        </w:trPr>
        <w:tc>
          <w:tcPr>
            <w:tcW w:w="0" w:type="auto"/>
            <w:vMerge/>
            <w:tcBorders>
              <w:top w:val="nil"/>
              <w:left w:val="single" w:sz="4" w:space="0" w:color="auto"/>
              <w:bottom w:val="single" w:sz="4" w:space="0" w:color="000000"/>
              <w:right w:val="single" w:sz="4" w:space="0" w:color="auto"/>
            </w:tcBorders>
            <w:vAlign w:val="center"/>
            <w:hideMark/>
          </w:tcPr>
          <w:p w14:paraId="4F0EC097"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03FF4470"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0.942385</w:t>
            </w:r>
          </w:p>
        </w:tc>
        <w:tc>
          <w:tcPr>
            <w:tcW w:w="0" w:type="auto"/>
            <w:gridSpan w:val="7"/>
            <w:tcBorders>
              <w:top w:val="single" w:sz="4" w:space="0" w:color="auto"/>
              <w:left w:val="nil"/>
              <w:bottom w:val="single" w:sz="4" w:space="0" w:color="auto"/>
              <w:right w:val="single" w:sz="4" w:space="0" w:color="auto"/>
            </w:tcBorders>
            <w:shd w:val="clear" w:color="000000" w:fill="FF6D01"/>
            <w:vAlign w:val="center"/>
            <w:hideMark/>
          </w:tcPr>
          <w:p w14:paraId="72F13F85"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std. deviation</w:t>
            </w:r>
          </w:p>
        </w:tc>
      </w:tr>
      <w:tr w:rsidR="00793DFB" w:rsidRPr="00B724D5" w14:paraId="514115DC" w14:textId="77777777" w:rsidTr="009F1C88">
        <w:trPr>
          <w:trHeight w:val="264"/>
        </w:trPr>
        <w:tc>
          <w:tcPr>
            <w:tcW w:w="0" w:type="auto"/>
            <w:gridSpan w:val="9"/>
            <w:tcBorders>
              <w:top w:val="single" w:sz="4" w:space="0" w:color="auto"/>
              <w:left w:val="single" w:sz="4" w:space="0" w:color="auto"/>
              <w:bottom w:val="single" w:sz="4" w:space="0" w:color="auto"/>
              <w:right w:val="single" w:sz="4" w:space="0" w:color="auto"/>
            </w:tcBorders>
            <w:shd w:val="clear" w:color="000000" w:fill="FFFF00"/>
            <w:vAlign w:val="center"/>
            <w:hideMark/>
          </w:tcPr>
          <w:p w14:paraId="357B2B83"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 xml:space="preserve">ثانيًا: المهمة </w:t>
            </w:r>
          </w:p>
        </w:tc>
      </w:tr>
      <w:tr w:rsidR="00793DFB" w:rsidRPr="00B724D5" w14:paraId="094DDC65" w14:textId="77777777" w:rsidTr="009F1C88">
        <w:trPr>
          <w:trHeight w:val="528"/>
        </w:trPr>
        <w:tc>
          <w:tcPr>
            <w:tcW w:w="0" w:type="auto"/>
            <w:tcBorders>
              <w:top w:val="nil"/>
              <w:left w:val="single" w:sz="4" w:space="0" w:color="auto"/>
              <w:bottom w:val="single" w:sz="4" w:space="0" w:color="auto"/>
              <w:right w:val="single" w:sz="4" w:space="0" w:color="auto"/>
            </w:tcBorders>
            <w:shd w:val="clear" w:color="000000" w:fill="7AD694"/>
            <w:vAlign w:val="center"/>
            <w:hideMark/>
          </w:tcPr>
          <w:p w14:paraId="48F06785" w14:textId="77777777" w:rsidR="00793DFB" w:rsidRPr="00B724D5" w:rsidRDefault="00793DFB" w:rsidP="009F1C88">
            <w:pPr>
              <w:bidi/>
              <w:spacing w:after="0" w:line="240" w:lineRule="auto"/>
              <w:jc w:val="center"/>
              <w:rPr>
                <w:rFonts w:ascii="Arial" w:eastAsia="Times New Roman" w:hAnsi="Arial" w:cs="Arial"/>
                <w:kern w:val="0"/>
                <w:sz w:val="20"/>
                <w:szCs w:val="20"/>
                <w:rtl/>
                <w14:ligatures w14:val="none"/>
              </w:rPr>
            </w:pPr>
            <w:r w:rsidRPr="00B724D5">
              <w:rPr>
                <w:rFonts w:ascii="Arial" w:eastAsia="Times New Roman" w:hAnsi="Arial" w:cs="Arial"/>
                <w:kern w:val="0"/>
                <w:sz w:val="20"/>
                <w:szCs w:val="20"/>
                <w:rtl/>
                <w14:ligatures w14:val="none"/>
              </w:rPr>
              <w:lastRenderedPageBreak/>
              <w:t>الدرجة</w:t>
            </w:r>
          </w:p>
        </w:tc>
        <w:tc>
          <w:tcPr>
            <w:tcW w:w="0" w:type="auto"/>
            <w:tcBorders>
              <w:top w:val="nil"/>
              <w:left w:val="nil"/>
              <w:bottom w:val="single" w:sz="4" w:space="0" w:color="auto"/>
              <w:right w:val="single" w:sz="4" w:space="0" w:color="auto"/>
            </w:tcBorders>
            <w:shd w:val="clear" w:color="000000" w:fill="B3CEFB"/>
            <w:vAlign w:val="center"/>
            <w:hideMark/>
          </w:tcPr>
          <w:p w14:paraId="49C047E9"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 xml:space="preserve">الانحراف المعياري </w:t>
            </w:r>
          </w:p>
        </w:tc>
        <w:tc>
          <w:tcPr>
            <w:tcW w:w="0" w:type="auto"/>
            <w:tcBorders>
              <w:top w:val="nil"/>
              <w:left w:val="nil"/>
              <w:bottom w:val="single" w:sz="4" w:space="0" w:color="auto"/>
              <w:right w:val="single" w:sz="4" w:space="0" w:color="auto"/>
            </w:tcBorders>
            <w:shd w:val="clear" w:color="000000" w:fill="B3CEFB"/>
            <w:vAlign w:val="center"/>
            <w:hideMark/>
          </w:tcPr>
          <w:p w14:paraId="70939361"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المتوسط</w:t>
            </w:r>
          </w:p>
        </w:tc>
        <w:tc>
          <w:tcPr>
            <w:tcW w:w="0" w:type="auto"/>
            <w:tcBorders>
              <w:top w:val="nil"/>
              <w:left w:val="nil"/>
              <w:bottom w:val="single" w:sz="4" w:space="0" w:color="auto"/>
              <w:right w:val="single" w:sz="4" w:space="0" w:color="auto"/>
            </w:tcBorders>
            <w:shd w:val="clear" w:color="000000" w:fill="8CB5F9"/>
            <w:vAlign w:val="center"/>
            <w:hideMark/>
          </w:tcPr>
          <w:p w14:paraId="6889D2FE"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أوافق بشدة</w:t>
            </w:r>
          </w:p>
        </w:tc>
        <w:tc>
          <w:tcPr>
            <w:tcW w:w="0" w:type="auto"/>
            <w:tcBorders>
              <w:top w:val="nil"/>
              <w:left w:val="nil"/>
              <w:bottom w:val="single" w:sz="4" w:space="0" w:color="auto"/>
              <w:right w:val="single" w:sz="4" w:space="0" w:color="auto"/>
            </w:tcBorders>
            <w:shd w:val="clear" w:color="000000" w:fill="8CB5F9"/>
            <w:vAlign w:val="center"/>
            <w:hideMark/>
          </w:tcPr>
          <w:p w14:paraId="0A7043B3"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أوافق</w:t>
            </w:r>
          </w:p>
        </w:tc>
        <w:tc>
          <w:tcPr>
            <w:tcW w:w="0" w:type="auto"/>
            <w:tcBorders>
              <w:top w:val="nil"/>
              <w:left w:val="nil"/>
              <w:bottom w:val="single" w:sz="4" w:space="0" w:color="auto"/>
              <w:right w:val="single" w:sz="4" w:space="0" w:color="auto"/>
            </w:tcBorders>
            <w:shd w:val="clear" w:color="000000" w:fill="8CB5F9"/>
            <w:vAlign w:val="center"/>
            <w:hideMark/>
          </w:tcPr>
          <w:p w14:paraId="0FE1F34F"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محايد</w:t>
            </w:r>
          </w:p>
        </w:tc>
        <w:tc>
          <w:tcPr>
            <w:tcW w:w="0" w:type="auto"/>
            <w:tcBorders>
              <w:top w:val="nil"/>
              <w:left w:val="nil"/>
              <w:bottom w:val="single" w:sz="4" w:space="0" w:color="auto"/>
              <w:right w:val="single" w:sz="4" w:space="0" w:color="auto"/>
            </w:tcBorders>
            <w:shd w:val="clear" w:color="000000" w:fill="8CB5F9"/>
            <w:vAlign w:val="center"/>
            <w:hideMark/>
          </w:tcPr>
          <w:p w14:paraId="6A3FE9E6"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لا أوافق</w:t>
            </w:r>
          </w:p>
        </w:tc>
        <w:tc>
          <w:tcPr>
            <w:tcW w:w="0" w:type="auto"/>
            <w:tcBorders>
              <w:top w:val="nil"/>
              <w:left w:val="nil"/>
              <w:bottom w:val="single" w:sz="4" w:space="0" w:color="auto"/>
              <w:right w:val="single" w:sz="4" w:space="0" w:color="auto"/>
            </w:tcBorders>
            <w:shd w:val="clear" w:color="000000" w:fill="8CB5F9"/>
            <w:vAlign w:val="center"/>
            <w:hideMark/>
          </w:tcPr>
          <w:p w14:paraId="30FD1258"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لا أوافق بشدة</w:t>
            </w:r>
          </w:p>
        </w:tc>
        <w:tc>
          <w:tcPr>
            <w:tcW w:w="0" w:type="auto"/>
            <w:tcBorders>
              <w:top w:val="nil"/>
              <w:left w:val="nil"/>
              <w:bottom w:val="single" w:sz="4" w:space="0" w:color="auto"/>
              <w:right w:val="single" w:sz="4" w:space="0" w:color="auto"/>
            </w:tcBorders>
            <w:shd w:val="clear" w:color="000000" w:fill="FF6D01"/>
            <w:vAlign w:val="center"/>
            <w:hideMark/>
          </w:tcPr>
          <w:p w14:paraId="77B5821F"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السؤال</w:t>
            </w:r>
          </w:p>
        </w:tc>
      </w:tr>
      <w:tr w:rsidR="00793DFB" w:rsidRPr="00B724D5" w14:paraId="58D83F58"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0B0CCF5C"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057BA689"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1.04857</w:t>
            </w:r>
          </w:p>
        </w:tc>
        <w:tc>
          <w:tcPr>
            <w:tcW w:w="0" w:type="auto"/>
            <w:vMerge w:val="restart"/>
            <w:tcBorders>
              <w:top w:val="nil"/>
              <w:left w:val="single" w:sz="4" w:space="0" w:color="auto"/>
              <w:bottom w:val="single" w:sz="4" w:space="0" w:color="auto"/>
              <w:right w:val="single" w:sz="4" w:space="0" w:color="auto"/>
            </w:tcBorders>
            <w:vAlign w:val="center"/>
            <w:hideMark/>
          </w:tcPr>
          <w:p w14:paraId="73B08C64"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3.3475</w:t>
            </w:r>
          </w:p>
        </w:tc>
        <w:tc>
          <w:tcPr>
            <w:tcW w:w="0" w:type="auto"/>
            <w:tcBorders>
              <w:top w:val="nil"/>
              <w:left w:val="nil"/>
              <w:bottom w:val="single" w:sz="4" w:space="0" w:color="auto"/>
              <w:right w:val="single" w:sz="4" w:space="0" w:color="auto"/>
            </w:tcBorders>
            <w:vAlign w:val="center"/>
            <w:hideMark/>
          </w:tcPr>
          <w:p w14:paraId="5706C220"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41</w:t>
            </w:r>
          </w:p>
        </w:tc>
        <w:tc>
          <w:tcPr>
            <w:tcW w:w="0" w:type="auto"/>
            <w:tcBorders>
              <w:top w:val="nil"/>
              <w:left w:val="nil"/>
              <w:bottom w:val="single" w:sz="4" w:space="0" w:color="auto"/>
              <w:right w:val="single" w:sz="4" w:space="0" w:color="auto"/>
            </w:tcBorders>
            <w:vAlign w:val="center"/>
            <w:hideMark/>
          </w:tcPr>
          <w:p w14:paraId="395231BF"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163</w:t>
            </w:r>
          </w:p>
        </w:tc>
        <w:tc>
          <w:tcPr>
            <w:tcW w:w="0" w:type="auto"/>
            <w:tcBorders>
              <w:top w:val="nil"/>
              <w:left w:val="nil"/>
              <w:bottom w:val="single" w:sz="4" w:space="0" w:color="auto"/>
              <w:right w:val="single" w:sz="4" w:space="0" w:color="auto"/>
            </w:tcBorders>
            <w:vAlign w:val="center"/>
            <w:hideMark/>
          </w:tcPr>
          <w:p w14:paraId="214B4A59"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117</w:t>
            </w:r>
          </w:p>
        </w:tc>
        <w:tc>
          <w:tcPr>
            <w:tcW w:w="0" w:type="auto"/>
            <w:tcBorders>
              <w:top w:val="nil"/>
              <w:left w:val="nil"/>
              <w:bottom w:val="single" w:sz="4" w:space="0" w:color="auto"/>
              <w:right w:val="single" w:sz="4" w:space="0" w:color="auto"/>
            </w:tcBorders>
            <w:vAlign w:val="center"/>
            <w:hideMark/>
          </w:tcPr>
          <w:p w14:paraId="607009A1"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52</w:t>
            </w:r>
          </w:p>
        </w:tc>
        <w:tc>
          <w:tcPr>
            <w:tcW w:w="0" w:type="auto"/>
            <w:tcBorders>
              <w:top w:val="nil"/>
              <w:left w:val="nil"/>
              <w:bottom w:val="single" w:sz="4" w:space="0" w:color="auto"/>
              <w:right w:val="single" w:sz="4" w:space="0" w:color="auto"/>
            </w:tcBorders>
            <w:vAlign w:val="center"/>
            <w:hideMark/>
          </w:tcPr>
          <w:p w14:paraId="452E4266"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27</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1AB625E3"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26. يمتلك جميع الموظفين فهمًا واضحًا لرؤية ورسالة المنظمة.</w:t>
            </w:r>
          </w:p>
        </w:tc>
      </w:tr>
      <w:tr w:rsidR="00793DFB" w:rsidRPr="00B724D5" w14:paraId="5B39CD85"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7B02F08D"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AD34C68"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726FCEF"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0DC23DC9"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10.30%</w:t>
            </w:r>
          </w:p>
        </w:tc>
        <w:tc>
          <w:tcPr>
            <w:tcW w:w="0" w:type="auto"/>
            <w:tcBorders>
              <w:top w:val="nil"/>
              <w:left w:val="nil"/>
              <w:bottom w:val="single" w:sz="4" w:space="0" w:color="auto"/>
              <w:right w:val="single" w:sz="4" w:space="0" w:color="auto"/>
            </w:tcBorders>
            <w:vAlign w:val="center"/>
            <w:hideMark/>
          </w:tcPr>
          <w:p w14:paraId="6FC8FD24"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40.80%</w:t>
            </w:r>
          </w:p>
        </w:tc>
        <w:tc>
          <w:tcPr>
            <w:tcW w:w="0" w:type="auto"/>
            <w:tcBorders>
              <w:top w:val="nil"/>
              <w:left w:val="nil"/>
              <w:bottom w:val="single" w:sz="4" w:space="0" w:color="auto"/>
              <w:right w:val="single" w:sz="4" w:space="0" w:color="auto"/>
            </w:tcBorders>
            <w:vAlign w:val="center"/>
            <w:hideMark/>
          </w:tcPr>
          <w:p w14:paraId="0CA445F8"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29.30%</w:t>
            </w:r>
          </w:p>
        </w:tc>
        <w:tc>
          <w:tcPr>
            <w:tcW w:w="0" w:type="auto"/>
            <w:tcBorders>
              <w:top w:val="nil"/>
              <w:left w:val="nil"/>
              <w:bottom w:val="single" w:sz="4" w:space="0" w:color="auto"/>
              <w:right w:val="single" w:sz="4" w:space="0" w:color="auto"/>
            </w:tcBorders>
            <w:vAlign w:val="center"/>
            <w:hideMark/>
          </w:tcPr>
          <w:p w14:paraId="151CE030"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13.00%</w:t>
            </w:r>
          </w:p>
        </w:tc>
        <w:tc>
          <w:tcPr>
            <w:tcW w:w="0" w:type="auto"/>
            <w:tcBorders>
              <w:top w:val="nil"/>
              <w:left w:val="nil"/>
              <w:bottom w:val="single" w:sz="4" w:space="0" w:color="auto"/>
              <w:right w:val="single" w:sz="4" w:space="0" w:color="auto"/>
            </w:tcBorders>
            <w:vAlign w:val="center"/>
            <w:hideMark/>
          </w:tcPr>
          <w:p w14:paraId="0FD1418B"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6.80%</w:t>
            </w:r>
          </w:p>
        </w:tc>
        <w:tc>
          <w:tcPr>
            <w:tcW w:w="0" w:type="auto"/>
            <w:vMerge/>
            <w:tcBorders>
              <w:top w:val="nil"/>
              <w:left w:val="single" w:sz="4" w:space="0" w:color="auto"/>
              <w:bottom w:val="single" w:sz="4" w:space="0" w:color="auto"/>
              <w:right w:val="single" w:sz="4" w:space="0" w:color="auto"/>
            </w:tcBorders>
            <w:vAlign w:val="center"/>
            <w:hideMark/>
          </w:tcPr>
          <w:p w14:paraId="69CC3C7F"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B724D5" w14:paraId="76305E41" w14:textId="77777777" w:rsidTr="009F1C88">
        <w:trPr>
          <w:trHeight w:val="264"/>
        </w:trPr>
        <w:tc>
          <w:tcPr>
            <w:tcW w:w="0" w:type="auto"/>
            <w:vMerge w:val="restart"/>
            <w:tcBorders>
              <w:top w:val="nil"/>
              <w:left w:val="single" w:sz="4" w:space="0" w:color="auto"/>
              <w:bottom w:val="single" w:sz="4" w:space="0" w:color="000000"/>
              <w:right w:val="single" w:sz="4" w:space="0" w:color="auto"/>
            </w:tcBorders>
            <w:vAlign w:val="center"/>
            <w:hideMark/>
          </w:tcPr>
          <w:p w14:paraId="538E4B0C"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000000"/>
              <w:right w:val="single" w:sz="4" w:space="0" w:color="auto"/>
            </w:tcBorders>
            <w:vAlign w:val="center"/>
            <w:hideMark/>
          </w:tcPr>
          <w:p w14:paraId="14E1DC23"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0.93374</w:t>
            </w:r>
          </w:p>
        </w:tc>
        <w:tc>
          <w:tcPr>
            <w:tcW w:w="0" w:type="auto"/>
            <w:vMerge w:val="restart"/>
            <w:tcBorders>
              <w:top w:val="nil"/>
              <w:left w:val="single" w:sz="4" w:space="0" w:color="auto"/>
              <w:bottom w:val="single" w:sz="4" w:space="0" w:color="000000"/>
              <w:right w:val="single" w:sz="4" w:space="0" w:color="auto"/>
            </w:tcBorders>
            <w:vAlign w:val="center"/>
            <w:hideMark/>
          </w:tcPr>
          <w:p w14:paraId="37C6D6D9"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3.5175</w:t>
            </w:r>
          </w:p>
        </w:tc>
        <w:tc>
          <w:tcPr>
            <w:tcW w:w="0" w:type="auto"/>
            <w:tcBorders>
              <w:top w:val="nil"/>
              <w:left w:val="nil"/>
              <w:bottom w:val="single" w:sz="4" w:space="0" w:color="auto"/>
              <w:right w:val="single" w:sz="4" w:space="0" w:color="auto"/>
            </w:tcBorders>
            <w:vAlign w:val="center"/>
            <w:hideMark/>
          </w:tcPr>
          <w:p w14:paraId="622D1C25"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56</w:t>
            </w:r>
          </w:p>
        </w:tc>
        <w:tc>
          <w:tcPr>
            <w:tcW w:w="0" w:type="auto"/>
            <w:tcBorders>
              <w:top w:val="nil"/>
              <w:left w:val="nil"/>
              <w:bottom w:val="single" w:sz="4" w:space="0" w:color="auto"/>
              <w:right w:val="single" w:sz="4" w:space="0" w:color="auto"/>
            </w:tcBorders>
            <w:vAlign w:val="center"/>
            <w:hideMark/>
          </w:tcPr>
          <w:p w14:paraId="779DA50F"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153</w:t>
            </w:r>
          </w:p>
        </w:tc>
        <w:tc>
          <w:tcPr>
            <w:tcW w:w="0" w:type="auto"/>
            <w:tcBorders>
              <w:top w:val="nil"/>
              <w:left w:val="nil"/>
              <w:bottom w:val="single" w:sz="4" w:space="0" w:color="auto"/>
              <w:right w:val="single" w:sz="4" w:space="0" w:color="auto"/>
            </w:tcBorders>
            <w:vAlign w:val="center"/>
            <w:hideMark/>
          </w:tcPr>
          <w:p w14:paraId="75D226AF"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143</w:t>
            </w:r>
          </w:p>
        </w:tc>
        <w:tc>
          <w:tcPr>
            <w:tcW w:w="0" w:type="auto"/>
            <w:tcBorders>
              <w:top w:val="nil"/>
              <w:left w:val="nil"/>
              <w:bottom w:val="single" w:sz="4" w:space="0" w:color="auto"/>
              <w:right w:val="single" w:sz="4" w:space="0" w:color="auto"/>
            </w:tcBorders>
            <w:vAlign w:val="center"/>
            <w:hideMark/>
          </w:tcPr>
          <w:p w14:paraId="1A22F9B1"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38</w:t>
            </w:r>
          </w:p>
        </w:tc>
        <w:tc>
          <w:tcPr>
            <w:tcW w:w="0" w:type="auto"/>
            <w:tcBorders>
              <w:top w:val="nil"/>
              <w:left w:val="nil"/>
              <w:bottom w:val="single" w:sz="4" w:space="0" w:color="auto"/>
              <w:right w:val="single" w:sz="4" w:space="0" w:color="auto"/>
            </w:tcBorders>
            <w:vAlign w:val="center"/>
            <w:hideMark/>
          </w:tcPr>
          <w:p w14:paraId="4AD1C75A"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10</w:t>
            </w:r>
          </w:p>
        </w:tc>
        <w:tc>
          <w:tcPr>
            <w:tcW w:w="0" w:type="auto"/>
            <w:vMerge w:val="restart"/>
            <w:tcBorders>
              <w:top w:val="nil"/>
              <w:left w:val="single" w:sz="4" w:space="0" w:color="auto"/>
              <w:bottom w:val="single" w:sz="4" w:space="0" w:color="000000"/>
              <w:right w:val="single" w:sz="4" w:space="0" w:color="auto"/>
            </w:tcBorders>
            <w:shd w:val="clear" w:color="000000" w:fill="DAF1F3"/>
            <w:vAlign w:val="center"/>
            <w:hideMark/>
          </w:tcPr>
          <w:p w14:paraId="6CD9AF8B"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27. تتوافق أهداف الأفراد مع الأهداف الاستراتيجية للمؤسسة.</w:t>
            </w:r>
          </w:p>
        </w:tc>
      </w:tr>
      <w:tr w:rsidR="00793DFB" w:rsidRPr="00B724D5" w14:paraId="41279FC1" w14:textId="77777777" w:rsidTr="009F1C88">
        <w:trPr>
          <w:trHeight w:val="264"/>
        </w:trPr>
        <w:tc>
          <w:tcPr>
            <w:tcW w:w="0" w:type="auto"/>
            <w:vMerge/>
            <w:tcBorders>
              <w:top w:val="nil"/>
              <w:left w:val="single" w:sz="4" w:space="0" w:color="auto"/>
              <w:bottom w:val="single" w:sz="4" w:space="0" w:color="000000"/>
              <w:right w:val="single" w:sz="4" w:space="0" w:color="auto"/>
            </w:tcBorders>
            <w:vAlign w:val="center"/>
            <w:hideMark/>
          </w:tcPr>
          <w:p w14:paraId="389CE012"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754CE123"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2165EA50"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5DDAB66F"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14.00%</w:t>
            </w:r>
          </w:p>
        </w:tc>
        <w:tc>
          <w:tcPr>
            <w:tcW w:w="0" w:type="auto"/>
            <w:tcBorders>
              <w:top w:val="nil"/>
              <w:left w:val="nil"/>
              <w:bottom w:val="single" w:sz="4" w:space="0" w:color="auto"/>
              <w:right w:val="single" w:sz="4" w:space="0" w:color="auto"/>
            </w:tcBorders>
            <w:vAlign w:val="center"/>
            <w:hideMark/>
          </w:tcPr>
          <w:p w14:paraId="2A95A315"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38.30%</w:t>
            </w:r>
          </w:p>
        </w:tc>
        <w:tc>
          <w:tcPr>
            <w:tcW w:w="0" w:type="auto"/>
            <w:tcBorders>
              <w:top w:val="nil"/>
              <w:left w:val="nil"/>
              <w:bottom w:val="single" w:sz="4" w:space="0" w:color="auto"/>
              <w:right w:val="single" w:sz="4" w:space="0" w:color="auto"/>
            </w:tcBorders>
            <w:vAlign w:val="center"/>
            <w:hideMark/>
          </w:tcPr>
          <w:p w14:paraId="499E1F8A"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35.80%</w:t>
            </w:r>
          </w:p>
        </w:tc>
        <w:tc>
          <w:tcPr>
            <w:tcW w:w="0" w:type="auto"/>
            <w:tcBorders>
              <w:top w:val="nil"/>
              <w:left w:val="nil"/>
              <w:bottom w:val="single" w:sz="4" w:space="0" w:color="auto"/>
              <w:right w:val="single" w:sz="4" w:space="0" w:color="auto"/>
            </w:tcBorders>
            <w:vAlign w:val="center"/>
            <w:hideMark/>
          </w:tcPr>
          <w:p w14:paraId="522CD2D7"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9.50%</w:t>
            </w:r>
          </w:p>
        </w:tc>
        <w:tc>
          <w:tcPr>
            <w:tcW w:w="0" w:type="auto"/>
            <w:tcBorders>
              <w:top w:val="nil"/>
              <w:left w:val="nil"/>
              <w:bottom w:val="single" w:sz="4" w:space="0" w:color="auto"/>
              <w:right w:val="single" w:sz="4" w:space="0" w:color="auto"/>
            </w:tcBorders>
            <w:vAlign w:val="center"/>
            <w:hideMark/>
          </w:tcPr>
          <w:p w14:paraId="1CA1568D"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2.50%</w:t>
            </w:r>
          </w:p>
        </w:tc>
        <w:tc>
          <w:tcPr>
            <w:tcW w:w="0" w:type="auto"/>
            <w:vMerge/>
            <w:tcBorders>
              <w:top w:val="nil"/>
              <w:left w:val="single" w:sz="4" w:space="0" w:color="auto"/>
              <w:bottom w:val="single" w:sz="4" w:space="0" w:color="000000"/>
              <w:right w:val="single" w:sz="4" w:space="0" w:color="auto"/>
            </w:tcBorders>
            <w:vAlign w:val="center"/>
            <w:hideMark/>
          </w:tcPr>
          <w:p w14:paraId="74822DE5"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B724D5" w14:paraId="1479E7F7" w14:textId="77777777" w:rsidTr="009F1C88">
        <w:trPr>
          <w:trHeight w:val="264"/>
        </w:trPr>
        <w:tc>
          <w:tcPr>
            <w:tcW w:w="0" w:type="auto"/>
            <w:vMerge w:val="restart"/>
            <w:tcBorders>
              <w:top w:val="nil"/>
              <w:left w:val="single" w:sz="4" w:space="0" w:color="auto"/>
              <w:bottom w:val="single" w:sz="4" w:space="0" w:color="000000"/>
              <w:right w:val="single" w:sz="4" w:space="0" w:color="auto"/>
            </w:tcBorders>
            <w:shd w:val="clear" w:color="000000" w:fill="FF6D01"/>
            <w:vAlign w:val="center"/>
            <w:hideMark/>
          </w:tcPr>
          <w:p w14:paraId="282888CE"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محايد</w:t>
            </w:r>
          </w:p>
        </w:tc>
        <w:tc>
          <w:tcPr>
            <w:tcW w:w="0" w:type="auto"/>
            <w:gridSpan w:val="2"/>
            <w:tcBorders>
              <w:top w:val="single" w:sz="4" w:space="0" w:color="auto"/>
              <w:left w:val="nil"/>
              <w:bottom w:val="single" w:sz="4" w:space="0" w:color="auto"/>
              <w:right w:val="single" w:sz="4" w:space="0" w:color="auto"/>
            </w:tcBorders>
            <w:vAlign w:val="center"/>
            <w:hideMark/>
          </w:tcPr>
          <w:p w14:paraId="36150A92"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3.4325</w:t>
            </w:r>
          </w:p>
        </w:tc>
        <w:tc>
          <w:tcPr>
            <w:tcW w:w="0" w:type="auto"/>
            <w:gridSpan w:val="6"/>
            <w:tcBorders>
              <w:top w:val="single" w:sz="4" w:space="0" w:color="auto"/>
              <w:left w:val="nil"/>
              <w:bottom w:val="single" w:sz="4" w:space="0" w:color="auto"/>
              <w:right w:val="single" w:sz="4" w:space="0" w:color="auto"/>
            </w:tcBorders>
            <w:shd w:val="clear" w:color="000000" w:fill="FF6D01"/>
            <w:vAlign w:val="center"/>
            <w:hideMark/>
          </w:tcPr>
          <w:p w14:paraId="604364AB"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proofErr w:type="spellStart"/>
            <w:r w:rsidRPr="00B724D5">
              <w:rPr>
                <w:rFonts w:ascii="Arial" w:eastAsia="Times New Roman" w:hAnsi="Arial" w:cs="Arial"/>
                <w:color w:val="000000"/>
                <w:kern w:val="0"/>
                <w:sz w:val="20"/>
                <w:szCs w:val="20"/>
                <w14:ligatures w14:val="none"/>
              </w:rPr>
              <w:t>weightted</w:t>
            </w:r>
            <w:proofErr w:type="spellEnd"/>
            <w:r w:rsidRPr="00B724D5">
              <w:rPr>
                <w:rFonts w:ascii="Arial" w:eastAsia="Times New Roman" w:hAnsi="Arial" w:cs="Arial"/>
                <w:color w:val="000000"/>
                <w:kern w:val="0"/>
                <w:sz w:val="20"/>
                <w:szCs w:val="20"/>
                <w14:ligatures w14:val="none"/>
              </w:rPr>
              <w:t xml:space="preserve"> mean </w:t>
            </w:r>
          </w:p>
        </w:tc>
      </w:tr>
      <w:tr w:rsidR="00793DFB" w:rsidRPr="00B724D5" w14:paraId="1F675B94" w14:textId="77777777" w:rsidTr="009F1C88">
        <w:trPr>
          <w:trHeight w:val="264"/>
        </w:trPr>
        <w:tc>
          <w:tcPr>
            <w:tcW w:w="0" w:type="auto"/>
            <w:vMerge/>
            <w:tcBorders>
              <w:top w:val="nil"/>
              <w:left w:val="single" w:sz="4" w:space="0" w:color="auto"/>
              <w:bottom w:val="single" w:sz="4" w:space="0" w:color="000000"/>
              <w:right w:val="single" w:sz="4" w:space="0" w:color="auto"/>
            </w:tcBorders>
            <w:vAlign w:val="center"/>
            <w:hideMark/>
          </w:tcPr>
          <w:p w14:paraId="23C49B2A"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48816915"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0.991155</w:t>
            </w:r>
          </w:p>
        </w:tc>
        <w:tc>
          <w:tcPr>
            <w:tcW w:w="0" w:type="auto"/>
            <w:gridSpan w:val="7"/>
            <w:tcBorders>
              <w:top w:val="single" w:sz="4" w:space="0" w:color="auto"/>
              <w:left w:val="nil"/>
              <w:bottom w:val="single" w:sz="4" w:space="0" w:color="auto"/>
              <w:right w:val="single" w:sz="4" w:space="0" w:color="auto"/>
            </w:tcBorders>
            <w:shd w:val="clear" w:color="000000" w:fill="FF6D01"/>
            <w:vAlign w:val="center"/>
            <w:hideMark/>
          </w:tcPr>
          <w:p w14:paraId="27A927C4"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std. deviation</w:t>
            </w:r>
          </w:p>
        </w:tc>
      </w:tr>
      <w:tr w:rsidR="00793DFB" w:rsidRPr="00B724D5" w14:paraId="00FE7ADF" w14:textId="77777777" w:rsidTr="009F1C88">
        <w:trPr>
          <w:trHeight w:val="264"/>
        </w:trPr>
        <w:tc>
          <w:tcPr>
            <w:tcW w:w="0" w:type="auto"/>
            <w:gridSpan w:val="9"/>
            <w:tcBorders>
              <w:top w:val="single" w:sz="4" w:space="0" w:color="auto"/>
              <w:left w:val="single" w:sz="4" w:space="0" w:color="auto"/>
              <w:bottom w:val="single" w:sz="4" w:space="0" w:color="auto"/>
              <w:right w:val="single" w:sz="4" w:space="0" w:color="auto"/>
            </w:tcBorders>
            <w:shd w:val="clear" w:color="000000" w:fill="FFFF00"/>
            <w:vAlign w:val="center"/>
            <w:hideMark/>
          </w:tcPr>
          <w:p w14:paraId="5B30FA48"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 xml:space="preserve">ثالثًا: الاتساق الداخلي </w:t>
            </w:r>
          </w:p>
        </w:tc>
      </w:tr>
      <w:tr w:rsidR="00793DFB" w:rsidRPr="00B724D5" w14:paraId="6DFC305E" w14:textId="77777777" w:rsidTr="009F1C88">
        <w:trPr>
          <w:trHeight w:val="528"/>
        </w:trPr>
        <w:tc>
          <w:tcPr>
            <w:tcW w:w="0" w:type="auto"/>
            <w:tcBorders>
              <w:top w:val="nil"/>
              <w:left w:val="single" w:sz="4" w:space="0" w:color="auto"/>
              <w:bottom w:val="single" w:sz="4" w:space="0" w:color="auto"/>
              <w:right w:val="single" w:sz="4" w:space="0" w:color="auto"/>
            </w:tcBorders>
            <w:shd w:val="clear" w:color="000000" w:fill="7AD694"/>
            <w:vAlign w:val="center"/>
            <w:hideMark/>
          </w:tcPr>
          <w:p w14:paraId="3DBC60E7" w14:textId="77777777" w:rsidR="00793DFB" w:rsidRPr="00B724D5" w:rsidRDefault="00793DFB" w:rsidP="009F1C88">
            <w:pPr>
              <w:bidi/>
              <w:spacing w:after="0" w:line="240" w:lineRule="auto"/>
              <w:jc w:val="center"/>
              <w:rPr>
                <w:rFonts w:ascii="Arial" w:eastAsia="Times New Roman" w:hAnsi="Arial" w:cs="Arial"/>
                <w:kern w:val="0"/>
                <w:sz w:val="20"/>
                <w:szCs w:val="20"/>
                <w:rtl/>
                <w14:ligatures w14:val="none"/>
              </w:rPr>
            </w:pPr>
            <w:r w:rsidRPr="00B724D5">
              <w:rPr>
                <w:rFonts w:ascii="Arial" w:eastAsia="Times New Roman" w:hAnsi="Arial" w:cs="Arial"/>
                <w:kern w:val="0"/>
                <w:sz w:val="20"/>
                <w:szCs w:val="20"/>
                <w:rtl/>
                <w14:ligatures w14:val="none"/>
              </w:rPr>
              <w:t>الدرجة</w:t>
            </w:r>
          </w:p>
        </w:tc>
        <w:tc>
          <w:tcPr>
            <w:tcW w:w="0" w:type="auto"/>
            <w:tcBorders>
              <w:top w:val="nil"/>
              <w:left w:val="nil"/>
              <w:bottom w:val="single" w:sz="4" w:space="0" w:color="auto"/>
              <w:right w:val="single" w:sz="4" w:space="0" w:color="auto"/>
            </w:tcBorders>
            <w:shd w:val="clear" w:color="000000" w:fill="B3CEFB"/>
            <w:vAlign w:val="center"/>
            <w:hideMark/>
          </w:tcPr>
          <w:p w14:paraId="7EDE57FB"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 xml:space="preserve">الانحراف المعياري </w:t>
            </w:r>
          </w:p>
        </w:tc>
        <w:tc>
          <w:tcPr>
            <w:tcW w:w="0" w:type="auto"/>
            <w:tcBorders>
              <w:top w:val="nil"/>
              <w:left w:val="nil"/>
              <w:bottom w:val="single" w:sz="4" w:space="0" w:color="auto"/>
              <w:right w:val="single" w:sz="4" w:space="0" w:color="auto"/>
            </w:tcBorders>
            <w:shd w:val="clear" w:color="000000" w:fill="B3CEFB"/>
            <w:vAlign w:val="center"/>
            <w:hideMark/>
          </w:tcPr>
          <w:p w14:paraId="32E22A3A"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المتوسط</w:t>
            </w:r>
          </w:p>
        </w:tc>
        <w:tc>
          <w:tcPr>
            <w:tcW w:w="0" w:type="auto"/>
            <w:tcBorders>
              <w:top w:val="nil"/>
              <w:left w:val="nil"/>
              <w:bottom w:val="single" w:sz="4" w:space="0" w:color="auto"/>
              <w:right w:val="single" w:sz="4" w:space="0" w:color="auto"/>
            </w:tcBorders>
            <w:shd w:val="clear" w:color="000000" w:fill="8CB5F9"/>
            <w:vAlign w:val="center"/>
            <w:hideMark/>
          </w:tcPr>
          <w:p w14:paraId="297AB83B"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أوافق بشدة</w:t>
            </w:r>
          </w:p>
        </w:tc>
        <w:tc>
          <w:tcPr>
            <w:tcW w:w="0" w:type="auto"/>
            <w:tcBorders>
              <w:top w:val="nil"/>
              <w:left w:val="nil"/>
              <w:bottom w:val="single" w:sz="4" w:space="0" w:color="auto"/>
              <w:right w:val="single" w:sz="4" w:space="0" w:color="auto"/>
            </w:tcBorders>
            <w:shd w:val="clear" w:color="000000" w:fill="8CB5F9"/>
            <w:vAlign w:val="center"/>
            <w:hideMark/>
          </w:tcPr>
          <w:p w14:paraId="63FA7C02"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أوافق</w:t>
            </w:r>
          </w:p>
        </w:tc>
        <w:tc>
          <w:tcPr>
            <w:tcW w:w="0" w:type="auto"/>
            <w:tcBorders>
              <w:top w:val="nil"/>
              <w:left w:val="nil"/>
              <w:bottom w:val="single" w:sz="4" w:space="0" w:color="auto"/>
              <w:right w:val="single" w:sz="4" w:space="0" w:color="auto"/>
            </w:tcBorders>
            <w:shd w:val="clear" w:color="000000" w:fill="8CB5F9"/>
            <w:vAlign w:val="center"/>
            <w:hideMark/>
          </w:tcPr>
          <w:p w14:paraId="1B744AFF"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محايد</w:t>
            </w:r>
          </w:p>
        </w:tc>
        <w:tc>
          <w:tcPr>
            <w:tcW w:w="0" w:type="auto"/>
            <w:tcBorders>
              <w:top w:val="nil"/>
              <w:left w:val="nil"/>
              <w:bottom w:val="single" w:sz="4" w:space="0" w:color="auto"/>
              <w:right w:val="single" w:sz="4" w:space="0" w:color="auto"/>
            </w:tcBorders>
            <w:shd w:val="clear" w:color="000000" w:fill="8CB5F9"/>
            <w:vAlign w:val="center"/>
            <w:hideMark/>
          </w:tcPr>
          <w:p w14:paraId="576DCC30"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لا أوافق</w:t>
            </w:r>
          </w:p>
        </w:tc>
        <w:tc>
          <w:tcPr>
            <w:tcW w:w="0" w:type="auto"/>
            <w:tcBorders>
              <w:top w:val="nil"/>
              <w:left w:val="nil"/>
              <w:bottom w:val="single" w:sz="4" w:space="0" w:color="auto"/>
              <w:right w:val="single" w:sz="4" w:space="0" w:color="auto"/>
            </w:tcBorders>
            <w:shd w:val="clear" w:color="000000" w:fill="8CB5F9"/>
            <w:vAlign w:val="center"/>
            <w:hideMark/>
          </w:tcPr>
          <w:p w14:paraId="2A3F2614"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لا أوافق بشدة</w:t>
            </w:r>
          </w:p>
        </w:tc>
        <w:tc>
          <w:tcPr>
            <w:tcW w:w="0" w:type="auto"/>
            <w:tcBorders>
              <w:top w:val="nil"/>
              <w:left w:val="nil"/>
              <w:bottom w:val="single" w:sz="4" w:space="0" w:color="auto"/>
              <w:right w:val="single" w:sz="4" w:space="0" w:color="auto"/>
            </w:tcBorders>
            <w:shd w:val="clear" w:color="000000" w:fill="FF6D01"/>
            <w:vAlign w:val="center"/>
            <w:hideMark/>
          </w:tcPr>
          <w:p w14:paraId="53A4A288"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rtl/>
                <w14:ligatures w14:val="none"/>
              </w:rPr>
              <w:t>السؤال</w:t>
            </w:r>
          </w:p>
        </w:tc>
      </w:tr>
      <w:tr w:rsidR="00793DFB" w:rsidRPr="00B724D5" w14:paraId="214657D3"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7ED874BD"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51037AC2"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1.00612</w:t>
            </w:r>
          </w:p>
        </w:tc>
        <w:tc>
          <w:tcPr>
            <w:tcW w:w="0" w:type="auto"/>
            <w:vMerge w:val="restart"/>
            <w:tcBorders>
              <w:top w:val="nil"/>
              <w:left w:val="single" w:sz="4" w:space="0" w:color="auto"/>
              <w:bottom w:val="single" w:sz="4" w:space="0" w:color="auto"/>
              <w:right w:val="single" w:sz="4" w:space="0" w:color="auto"/>
            </w:tcBorders>
            <w:vAlign w:val="center"/>
            <w:hideMark/>
          </w:tcPr>
          <w:p w14:paraId="0D89474F"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3.5725</w:t>
            </w:r>
          </w:p>
        </w:tc>
        <w:tc>
          <w:tcPr>
            <w:tcW w:w="0" w:type="auto"/>
            <w:tcBorders>
              <w:top w:val="nil"/>
              <w:left w:val="nil"/>
              <w:bottom w:val="single" w:sz="4" w:space="0" w:color="auto"/>
              <w:right w:val="single" w:sz="4" w:space="0" w:color="auto"/>
            </w:tcBorders>
            <w:vAlign w:val="center"/>
            <w:hideMark/>
          </w:tcPr>
          <w:p w14:paraId="66816B94"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65</w:t>
            </w:r>
          </w:p>
        </w:tc>
        <w:tc>
          <w:tcPr>
            <w:tcW w:w="0" w:type="auto"/>
            <w:tcBorders>
              <w:top w:val="nil"/>
              <w:left w:val="nil"/>
              <w:bottom w:val="single" w:sz="4" w:space="0" w:color="auto"/>
              <w:right w:val="single" w:sz="4" w:space="0" w:color="auto"/>
            </w:tcBorders>
            <w:vAlign w:val="center"/>
            <w:hideMark/>
          </w:tcPr>
          <w:p w14:paraId="0E08EA5B"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1777</w:t>
            </w:r>
          </w:p>
        </w:tc>
        <w:tc>
          <w:tcPr>
            <w:tcW w:w="0" w:type="auto"/>
            <w:tcBorders>
              <w:top w:val="nil"/>
              <w:left w:val="nil"/>
              <w:bottom w:val="single" w:sz="4" w:space="0" w:color="auto"/>
              <w:right w:val="single" w:sz="4" w:space="0" w:color="auto"/>
            </w:tcBorders>
            <w:vAlign w:val="center"/>
            <w:hideMark/>
          </w:tcPr>
          <w:p w14:paraId="07135385"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90</w:t>
            </w:r>
          </w:p>
        </w:tc>
        <w:tc>
          <w:tcPr>
            <w:tcW w:w="0" w:type="auto"/>
            <w:tcBorders>
              <w:top w:val="nil"/>
              <w:left w:val="nil"/>
              <w:bottom w:val="single" w:sz="4" w:space="0" w:color="auto"/>
              <w:right w:val="single" w:sz="4" w:space="0" w:color="auto"/>
            </w:tcBorders>
            <w:vAlign w:val="center"/>
            <w:hideMark/>
          </w:tcPr>
          <w:p w14:paraId="0B77BA1C"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58</w:t>
            </w:r>
          </w:p>
        </w:tc>
        <w:tc>
          <w:tcPr>
            <w:tcW w:w="0" w:type="auto"/>
            <w:tcBorders>
              <w:top w:val="nil"/>
              <w:left w:val="nil"/>
              <w:bottom w:val="single" w:sz="4" w:space="0" w:color="auto"/>
              <w:right w:val="single" w:sz="4" w:space="0" w:color="auto"/>
            </w:tcBorders>
            <w:vAlign w:val="center"/>
            <w:hideMark/>
          </w:tcPr>
          <w:p w14:paraId="0B2B7EC5"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10</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1EAB00B1"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28. تسود بين العاملين قيم تنظيمية مشتركة تحكم سلوكهم المهني.</w:t>
            </w:r>
          </w:p>
        </w:tc>
      </w:tr>
      <w:tr w:rsidR="00793DFB" w:rsidRPr="00B724D5" w14:paraId="2877EE67"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22A4051B"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0964B348"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73E75CB"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3239E622"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16.30%</w:t>
            </w:r>
          </w:p>
        </w:tc>
        <w:tc>
          <w:tcPr>
            <w:tcW w:w="0" w:type="auto"/>
            <w:tcBorders>
              <w:top w:val="nil"/>
              <w:left w:val="nil"/>
              <w:bottom w:val="single" w:sz="4" w:space="0" w:color="auto"/>
              <w:right w:val="single" w:sz="4" w:space="0" w:color="auto"/>
            </w:tcBorders>
            <w:vAlign w:val="center"/>
            <w:hideMark/>
          </w:tcPr>
          <w:p w14:paraId="723E63B7"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44.30%</w:t>
            </w:r>
          </w:p>
        </w:tc>
        <w:tc>
          <w:tcPr>
            <w:tcW w:w="0" w:type="auto"/>
            <w:tcBorders>
              <w:top w:val="nil"/>
              <w:left w:val="nil"/>
              <w:bottom w:val="single" w:sz="4" w:space="0" w:color="auto"/>
              <w:right w:val="single" w:sz="4" w:space="0" w:color="auto"/>
            </w:tcBorders>
            <w:vAlign w:val="center"/>
            <w:hideMark/>
          </w:tcPr>
          <w:p w14:paraId="5E845A9D"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22.50%</w:t>
            </w:r>
          </w:p>
        </w:tc>
        <w:tc>
          <w:tcPr>
            <w:tcW w:w="0" w:type="auto"/>
            <w:tcBorders>
              <w:top w:val="nil"/>
              <w:left w:val="nil"/>
              <w:bottom w:val="single" w:sz="4" w:space="0" w:color="auto"/>
              <w:right w:val="single" w:sz="4" w:space="0" w:color="auto"/>
            </w:tcBorders>
            <w:vAlign w:val="center"/>
            <w:hideMark/>
          </w:tcPr>
          <w:p w14:paraId="1695320C"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14.50%</w:t>
            </w:r>
          </w:p>
        </w:tc>
        <w:tc>
          <w:tcPr>
            <w:tcW w:w="0" w:type="auto"/>
            <w:tcBorders>
              <w:top w:val="nil"/>
              <w:left w:val="nil"/>
              <w:bottom w:val="single" w:sz="4" w:space="0" w:color="auto"/>
              <w:right w:val="single" w:sz="4" w:space="0" w:color="auto"/>
            </w:tcBorders>
            <w:vAlign w:val="center"/>
            <w:hideMark/>
          </w:tcPr>
          <w:p w14:paraId="74ADB73F"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2.50%</w:t>
            </w:r>
          </w:p>
        </w:tc>
        <w:tc>
          <w:tcPr>
            <w:tcW w:w="0" w:type="auto"/>
            <w:vMerge/>
            <w:tcBorders>
              <w:top w:val="nil"/>
              <w:left w:val="single" w:sz="4" w:space="0" w:color="auto"/>
              <w:bottom w:val="single" w:sz="4" w:space="0" w:color="auto"/>
              <w:right w:val="single" w:sz="4" w:space="0" w:color="auto"/>
            </w:tcBorders>
            <w:vAlign w:val="center"/>
            <w:hideMark/>
          </w:tcPr>
          <w:p w14:paraId="475BD144"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B724D5" w14:paraId="0232690C"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1C01B0F3"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07EE115A"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1.16927</w:t>
            </w:r>
          </w:p>
        </w:tc>
        <w:tc>
          <w:tcPr>
            <w:tcW w:w="0" w:type="auto"/>
            <w:vMerge w:val="restart"/>
            <w:tcBorders>
              <w:top w:val="nil"/>
              <w:left w:val="single" w:sz="4" w:space="0" w:color="auto"/>
              <w:bottom w:val="single" w:sz="4" w:space="0" w:color="auto"/>
              <w:right w:val="single" w:sz="4" w:space="0" w:color="auto"/>
            </w:tcBorders>
            <w:vAlign w:val="center"/>
            <w:hideMark/>
          </w:tcPr>
          <w:p w14:paraId="531C7094"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3.465</w:t>
            </w:r>
          </w:p>
        </w:tc>
        <w:tc>
          <w:tcPr>
            <w:tcW w:w="0" w:type="auto"/>
            <w:tcBorders>
              <w:top w:val="nil"/>
              <w:left w:val="nil"/>
              <w:bottom w:val="single" w:sz="4" w:space="0" w:color="auto"/>
              <w:right w:val="single" w:sz="4" w:space="0" w:color="auto"/>
            </w:tcBorders>
            <w:vAlign w:val="center"/>
            <w:hideMark/>
          </w:tcPr>
          <w:p w14:paraId="0517B12A"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73</w:t>
            </w:r>
          </w:p>
        </w:tc>
        <w:tc>
          <w:tcPr>
            <w:tcW w:w="0" w:type="auto"/>
            <w:tcBorders>
              <w:top w:val="nil"/>
              <w:left w:val="nil"/>
              <w:bottom w:val="single" w:sz="4" w:space="0" w:color="auto"/>
              <w:right w:val="single" w:sz="4" w:space="0" w:color="auto"/>
            </w:tcBorders>
            <w:vAlign w:val="center"/>
            <w:hideMark/>
          </w:tcPr>
          <w:p w14:paraId="78F45219"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155</w:t>
            </w:r>
          </w:p>
        </w:tc>
        <w:tc>
          <w:tcPr>
            <w:tcW w:w="0" w:type="auto"/>
            <w:tcBorders>
              <w:top w:val="nil"/>
              <w:left w:val="nil"/>
              <w:bottom w:val="single" w:sz="4" w:space="0" w:color="auto"/>
              <w:right w:val="single" w:sz="4" w:space="0" w:color="auto"/>
            </w:tcBorders>
            <w:vAlign w:val="center"/>
            <w:hideMark/>
          </w:tcPr>
          <w:p w14:paraId="4FFE91FA"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92</w:t>
            </w:r>
          </w:p>
        </w:tc>
        <w:tc>
          <w:tcPr>
            <w:tcW w:w="0" w:type="auto"/>
            <w:tcBorders>
              <w:top w:val="nil"/>
              <w:left w:val="nil"/>
              <w:bottom w:val="single" w:sz="4" w:space="0" w:color="auto"/>
              <w:right w:val="single" w:sz="4" w:space="0" w:color="auto"/>
            </w:tcBorders>
            <w:vAlign w:val="center"/>
            <w:hideMark/>
          </w:tcPr>
          <w:p w14:paraId="7432F843"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45</w:t>
            </w:r>
          </w:p>
        </w:tc>
        <w:tc>
          <w:tcPr>
            <w:tcW w:w="0" w:type="auto"/>
            <w:tcBorders>
              <w:top w:val="nil"/>
              <w:left w:val="nil"/>
              <w:bottom w:val="single" w:sz="4" w:space="0" w:color="auto"/>
              <w:right w:val="single" w:sz="4" w:space="0" w:color="auto"/>
            </w:tcBorders>
            <w:vAlign w:val="center"/>
            <w:hideMark/>
          </w:tcPr>
          <w:p w14:paraId="626B1760"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35</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416CB396"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29. يتم التعامل مع النزاعات بطريقة عادلة ومنظمة.</w:t>
            </w:r>
          </w:p>
        </w:tc>
      </w:tr>
      <w:tr w:rsidR="00793DFB" w:rsidRPr="00B724D5" w14:paraId="738522DE"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62F4A5E2"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E8CB59B"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71FD85E"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7BBC7EEA"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18.30%</w:t>
            </w:r>
          </w:p>
        </w:tc>
        <w:tc>
          <w:tcPr>
            <w:tcW w:w="0" w:type="auto"/>
            <w:tcBorders>
              <w:top w:val="nil"/>
              <w:left w:val="nil"/>
              <w:bottom w:val="single" w:sz="4" w:space="0" w:color="auto"/>
              <w:right w:val="single" w:sz="4" w:space="0" w:color="auto"/>
            </w:tcBorders>
            <w:vAlign w:val="center"/>
            <w:hideMark/>
          </w:tcPr>
          <w:p w14:paraId="095DBF03"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38.80%</w:t>
            </w:r>
          </w:p>
        </w:tc>
        <w:tc>
          <w:tcPr>
            <w:tcW w:w="0" w:type="auto"/>
            <w:tcBorders>
              <w:top w:val="nil"/>
              <w:left w:val="nil"/>
              <w:bottom w:val="single" w:sz="4" w:space="0" w:color="auto"/>
              <w:right w:val="single" w:sz="4" w:space="0" w:color="auto"/>
            </w:tcBorders>
            <w:vAlign w:val="center"/>
            <w:hideMark/>
          </w:tcPr>
          <w:p w14:paraId="6C758E0F"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23.00%</w:t>
            </w:r>
          </w:p>
        </w:tc>
        <w:tc>
          <w:tcPr>
            <w:tcW w:w="0" w:type="auto"/>
            <w:tcBorders>
              <w:top w:val="nil"/>
              <w:left w:val="nil"/>
              <w:bottom w:val="single" w:sz="4" w:space="0" w:color="auto"/>
              <w:right w:val="single" w:sz="4" w:space="0" w:color="auto"/>
            </w:tcBorders>
            <w:vAlign w:val="center"/>
            <w:hideMark/>
          </w:tcPr>
          <w:p w14:paraId="74D7C996"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11.30%</w:t>
            </w:r>
          </w:p>
        </w:tc>
        <w:tc>
          <w:tcPr>
            <w:tcW w:w="0" w:type="auto"/>
            <w:tcBorders>
              <w:top w:val="nil"/>
              <w:left w:val="nil"/>
              <w:bottom w:val="single" w:sz="4" w:space="0" w:color="auto"/>
              <w:right w:val="single" w:sz="4" w:space="0" w:color="auto"/>
            </w:tcBorders>
            <w:vAlign w:val="center"/>
            <w:hideMark/>
          </w:tcPr>
          <w:p w14:paraId="155D6E50"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8.80%</w:t>
            </w:r>
          </w:p>
        </w:tc>
        <w:tc>
          <w:tcPr>
            <w:tcW w:w="0" w:type="auto"/>
            <w:vMerge/>
            <w:tcBorders>
              <w:top w:val="nil"/>
              <w:left w:val="single" w:sz="4" w:space="0" w:color="auto"/>
              <w:bottom w:val="single" w:sz="4" w:space="0" w:color="auto"/>
              <w:right w:val="single" w:sz="4" w:space="0" w:color="auto"/>
            </w:tcBorders>
            <w:vAlign w:val="center"/>
            <w:hideMark/>
          </w:tcPr>
          <w:p w14:paraId="3C5DBF6A"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B724D5" w14:paraId="150DA998" w14:textId="77777777" w:rsidTr="009F1C88">
        <w:trPr>
          <w:trHeight w:val="264"/>
        </w:trPr>
        <w:tc>
          <w:tcPr>
            <w:tcW w:w="0" w:type="auto"/>
            <w:vMerge w:val="restart"/>
            <w:tcBorders>
              <w:top w:val="nil"/>
              <w:left w:val="single" w:sz="4" w:space="0" w:color="auto"/>
              <w:bottom w:val="single" w:sz="4" w:space="0" w:color="000000"/>
              <w:right w:val="single" w:sz="4" w:space="0" w:color="auto"/>
            </w:tcBorders>
            <w:shd w:val="clear" w:color="000000" w:fill="FF6D01"/>
            <w:vAlign w:val="center"/>
            <w:hideMark/>
          </w:tcPr>
          <w:p w14:paraId="559784ED"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محايد</w:t>
            </w:r>
          </w:p>
        </w:tc>
        <w:tc>
          <w:tcPr>
            <w:tcW w:w="0" w:type="auto"/>
            <w:gridSpan w:val="2"/>
            <w:tcBorders>
              <w:top w:val="single" w:sz="4" w:space="0" w:color="auto"/>
              <w:left w:val="nil"/>
              <w:bottom w:val="single" w:sz="4" w:space="0" w:color="auto"/>
              <w:right w:val="single" w:sz="4" w:space="0" w:color="auto"/>
            </w:tcBorders>
            <w:vAlign w:val="center"/>
            <w:hideMark/>
          </w:tcPr>
          <w:p w14:paraId="30D34FB1"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3.51875</w:t>
            </w:r>
          </w:p>
        </w:tc>
        <w:tc>
          <w:tcPr>
            <w:tcW w:w="0" w:type="auto"/>
            <w:gridSpan w:val="6"/>
            <w:tcBorders>
              <w:top w:val="single" w:sz="4" w:space="0" w:color="auto"/>
              <w:left w:val="nil"/>
              <w:bottom w:val="single" w:sz="4" w:space="0" w:color="auto"/>
              <w:right w:val="single" w:sz="4" w:space="0" w:color="auto"/>
            </w:tcBorders>
            <w:shd w:val="clear" w:color="000000" w:fill="FF6D01"/>
            <w:vAlign w:val="center"/>
            <w:hideMark/>
          </w:tcPr>
          <w:p w14:paraId="35A4F9BD"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proofErr w:type="spellStart"/>
            <w:r w:rsidRPr="00B724D5">
              <w:rPr>
                <w:rFonts w:ascii="Arial" w:eastAsia="Times New Roman" w:hAnsi="Arial" w:cs="Arial"/>
                <w:color w:val="000000"/>
                <w:kern w:val="0"/>
                <w:sz w:val="20"/>
                <w:szCs w:val="20"/>
                <w14:ligatures w14:val="none"/>
              </w:rPr>
              <w:t>weightted</w:t>
            </w:r>
            <w:proofErr w:type="spellEnd"/>
            <w:r w:rsidRPr="00B724D5">
              <w:rPr>
                <w:rFonts w:ascii="Arial" w:eastAsia="Times New Roman" w:hAnsi="Arial" w:cs="Arial"/>
                <w:color w:val="000000"/>
                <w:kern w:val="0"/>
                <w:sz w:val="20"/>
                <w:szCs w:val="20"/>
                <w14:ligatures w14:val="none"/>
              </w:rPr>
              <w:t xml:space="preserve"> mean </w:t>
            </w:r>
          </w:p>
        </w:tc>
      </w:tr>
      <w:tr w:rsidR="00793DFB" w:rsidRPr="00B724D5" w14:paraId="084A840E" w14:textId="77777777" w:rsidTr="009F1C88">
        <w:trPr>
          <w:trHeight w:val="264"/>
        </w:trPr>
        <w:tc>
          <w:tcPr>
            <w:tcW w:w="0" w:type="auto"/>
            <w:vMerge/>
            <w:tcBorders>
              <w:top w:val="nil"/>
              <w:left w:val="single" w:sz="4" w:space="0" w:color="auto"/>
              <w:bottom w:val="single" w:sz="4" w:space="0" w:color="000000"/>
              <w:right w:val="single" w:sz="4" w:space="0" w:color="auto"/>
            </w:tcBorders>
            <w:vAlign w:val="center"/>
            <w:hideMark/>
          </w:tcPr>
          <w:p w14:paraId="482FEF34"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71F88690"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1.087695</w:t>
            </w:r>
          </w:p>
        </w:tc>
        <w:tc>
          <w:tcPr>
            <w:tcW w:w="0" w:type="auto"/>
            <w:gridSpan w:val="7"/>
            <w:tcBorders>
              <w:top w:val="single" w:sz="4" w:space="0" w:color="auto"/>
              <w:left w:val="nil"/>
              <w:bottom w:val="single" w:sz="4" w:space="0" w:color="auto"/>
              <w:right w:val="single" w:sz="4" w:space="0" w:color="auto"/>
            </w:tcBorders>
            <w:shd w:val="clear" w:color="000000" w:fill="FF6D01"/>
            <w:vAlign w:val="center"/>
            <w:hideMark/>
          </w:tcPr>
          <w:p w14:paraId="664F38FF"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std. deviation</w:t>
            </w:r>
          </w:p>
        </w:tc>
      </w:tr>
      <w:tr w:rsidR="00793DFB" w:rsidRPr="00B724D5" w14:paraId="21A0DE6E" w14:textId="77777777" w:rsidTr="009F1C88">
        <w:trPr>
          <w:trHeight w:val="264"/>
        </w:trPr>
        <w:tc>
          <w:tcPr>
            <w:tcW w:w="0" w:type="auto"/>
            <w:gridSpan w:val="9"/>
            <w:tcBorders>
              <w:top w:val="single" w:sz="4" w:space="0" w:color="auto"/>
              <w:left w:val="single" w:sz="4" w:space="0" w:color="auto"/>
              <w:bottom w:val="single" w:sz="4" w:space="0" w:color="auto"/>
              <w:right w:val="single" w:sz="4" w:space="0" w:color="auto"/>
            </w:tcBorders>
            <w:shd w:val="clear" w:color="000000" w:fill="FFFF00"/>
            <w:vAlign w:val="center"/>
            <w:hideMark/>
          </w:tcPr>
          <w:p w14:paraId="2DB8B267"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 xml:space="preserve">رابعًا: إشراك الموظفين </w:t>
            </w:r>
          </w:p>
        </w:tc>
      </w:tr>
      <w:tr w:rsidR="00793DFB" w:rsidRPr="00B724D5" w14:paraId="79FEEF24"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3381E09A"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18924818"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1.11865</w:t>
            </w:r>
          </w:p>
        </w:tc>
        <w:tc>
          <w:tcPr>
            <w:tcW w:w="0" w:type="auto"/>
            <w:vMerge w:val="restart"/>
            <w:tcBorders>
              <w:top w:val="nil"/>
              <w:left w:val="single" w:sz="4" w:space="0" w:color="auto"/>
              <w:bottom w:val="single" w:sz="4" w:space="0" w:color="auto"/>
              <w:right w:val="single" w:sz="4" w:space="0" w:color="auto"/>
            </w:tcBorders>
            <w:vAlign w:val="center"/>
            <w:hideMark/>
          </w:tcPr>
          <w:p w14:paraId="3EE47385"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3.7275</w:t>
            </w:r>
          </w:p>
        </w:tc>
        <w:tc>
          <w:tcPr>
            <w:tcW w:w="0" w:type="auto"/>
            <w:tcBorders>
              <w:top w:val="nil"/>
              <w:left w:val="nil"/>
              <w:bottom w:val="single" w:sz="4" w:space="0" w:color="auto"/>
              <w:right w:val="single" w:sz="4" w:space="0" w:color="auto"/>
            </w:tcBorders>
            <w:vAlign w:val="center"/>
            <w:hideMark/>
          </w:tcPr>
          <w:p w14:paraId="5D309500"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116</w:t>
            </w:r>
          </w:p>
        </w:tc>
        <w:tc>
          <w:tcPr>
            <w:tcW w:w="0" w:type="auto"/>
            <w:tcBorders>
              <w:top w:val="nil"/>
              <w:left w:val="nil"/>
              <w:bottom w:val="single" w:sz="4" w:space="0" w:color="auto"/>
              <w:right w:val="single" w:sz="4" w:space="0" w:color="auto"/>
            </w:tcBorders>
            <w:vAlign w:val="center"/>
            <w:hideMark/>
          </w:tcPr>
          <w:p w14:paraId="2BD0F91E"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136</w:t>
            </w:r>
          </w:p>
        </w:tc>
        <w:tc>
          <w:tcPr>
            <w:tcW w:w="0" w:type="auto"/>
            <w:tcBorders>
              <w:top w:val="nil"/>
              <w:left w:val="nil"/>
              <w:bottom w:val="single" w:sz="4" w:space="0" w:color="auto"/>
              <w:right w:val="single" w:sz="4" w:space="0" w:color="auto"/>
            </w:tcBorders>
            <w:vAlign w:val="center"/>
            <w:hideMark/>
          </w:tcPr>
          <w:p w14:paraId="0AF1BEC1"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88</w:t>
            </w:r>
          </w:p>
        </w:tc>
        <w:tc>
          <w:tcPr>
            <w:tcW w:w="0" w:type="auto"/>
            <w:tcBorders>
              <w:top w:val="nil"/>
              <w:left w:val="nil"/>
              <w:bottom w:val="single" w:sz="4" w:space="0" w:color="auto"/>
              <w:right w:val="single" w:sz="4" w:space="0" w:color="auto"/>
            </w:tcBorders>
            <w:vAlign w:val="center"/>
            <w:hideMark/>
          </w:tcPr>
          <w:p w14:paraId="772FB732"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43</w:t>
            </w:r>
          </w:p>
        </w:tc>
        <w:tc>
          <w:tcPr>
            <w:tcW w:w="0" w:type="auto"/>
            <w:tcBorders>
              <w:top w:val="nil"/>
              <w:left w:val="nil"/>
              <w:bottom w:val="single" w:sz="4" w:space="0" w:color="auto"/>
              <w:right w:val="single" w:sz="4" w:space="0" w:color="auto"/>
            </w:tcBorders>
            <w:vAlign w:val="center"/>
            <w:hideMark/>
          </w:tcPr>
          <w:p w14:paraId="7C93E522"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17</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50CA3FD0"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30. يشعر الموظفون بالانتماء إلى مؤسستهم.</w:t>
            </w:r>
          </w:p>
        </w:tc>
      </w:tr>
      <w:tr w:rsidR="00793DFB" w:rsidRPr="00B724D5" w14:paraId="39292CF2"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44293D73"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D274AE7"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67716FDC"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05DD3327"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29.00%</w:t>
            </w:r>
          </w:p>
        </w:tc>
        <w:tc>
          <w:tcPr>
            <w:tcW w:w="0" w:type="auto"/>
            <w:tcBorders>
              <w:top w:val="nil"/>
              <w:left w:val="nil"/>
              <w:bottom w:val="single" w:sz="4" w:space="0" w:color="auto"/>
              <w:right w:val="single" w:sz="4" w:space="0" w:color="auto"/>
            </w:tcBorders>
            <w:vAlign w:val="center"/>
            <w:hideMark/>
          </w:tcPr>
          <w:p w14:paraId="120005AF"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34.00%</w:t>
            </w:r>
          </w:p>
        </w:tc>
        <w:tc>
          <w:tcPr>
            <w:tcW w:w="0" w:type="auto"/>
            <w:tcBorders>
              <w:top w:val="nil"/>
              <w:left w:val="nil"/>
              <w:bottom w:val="single" w:sz="4" w:space="0" w:color="auto"/>
              <w:right w:val="single" w:sz="4" w:space="0" w:color="auto"/>
            </w:tcBorders>
            <w:vAlign w:val="center"/>
            <w:hideMark/>
          </w:tcPr>
          <w:p w14:paraId="25E6CBFD"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22.00%</w:t>
            </w:r>
          </w:p>
        </w:tc>
        <w:tc>
          <w:tcPr>
            <w:tcW w:w="0" w:type="auto"/>
            <w:tcBorders>
              <w:top w:val="nil"/>
              <w:left w:val="nil"/>
              <w:bottom w:val="single" w:sz="4" w:space="0" w:color="auto"/>
              <w:right w:val="single" w:sz="4" w:space="0" w:color="auto"/>
            </w:tcBorders>
            <w:vAlign w:val="center"/>
            <w:hideMark/>
          </w:tcPr>
          <w:p w14:paraId="222C7258"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10.80%</w:t>
            </w:r>
          </w:p>
        </w:tc>
        <w:tc>
          <w:tcPr>
            <w:tcW w:w="0" w:type="auto"/>
            <w:tcBorders>
              <w:top w:val="nil"/>
              <w:left w:val="nil"/>
              <w:bottom w:val="single" w:sz="4" w:space="0" w:color="auto"/>
              <w:right w:val="single" w:sz="4" w:space="0" w:color="auto"/>
            </w:tcBorders>
            <w:vAlign w:val="center"/>
            <w:hideMark/>
          </w:tcPr>
          <w:p w14:paraId="1E2B4DBF"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4.30%</w:t>
            </w:r>
          </w:p>
        </w:tc>
        <w:tc>
          <w:tcPr>
            <w:tcW w:w="0" w:type="auto"/>
            <w:vMerge/>
            <w:tcBorders>
              <w:top w:val="nil"/>
              <w:left w:val="single" w:sz="4" w:space="0" w:color="auto"/>
              <w:bottom w:val="single" w:sz="4" w:space="0" w:color="auto"/>
              <w:right w:val="single" w:sz="4" w:space="0" w:color="auto"/>
            </w:tcBorders>
            <w:vAlign w:val="center"/>
            <w:hideMark/>
          </w:tcPr>
          <w:p w14:paraId="7E525F91"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B724D5" w14:paraId="116F37F4"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7BAE0FB6"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5F9DA41D"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1.08023</w:t>
            </w:r>
          </w:p>
        </w:tc>
        <w:tc>
          <w:tcPr>
            <w:tcW w:w="0" w:type="auto"/>
            <w:vMerge w:val="restart"/>
            <w:tcBorders>
              <w:top w:val="nil"/>
              <w:left w:val="single" w:sz="4" w:space="0" w:color="auto"/>
              <w:bottom w:val="single" w:sz="4" w:space="0" w:color="auto"/>
              <w:right w:val="single" w:sz="4" w:space="0" w:color="auto"/>
            </w:tcBorders>
            <w:vAlign w:val="center"/>
            <w:hideMark/>
          </w:tcPr>
          <w:p w14:paraId="3DADD510"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3.605</w:t>
            </w:r>
          </w:p>
        </w:tc>
        <w:tc>
          <w:tcPr>
            <w:tcW w:w="0" w:type="auto"/>
            <w:tcBorders>
              <w:top w:val="nil"/>
              <w:left w:val="nil"/>
              <w:bottom w:val="single" w:sz="4" w:space="0" w:color="auto"/>
              <w:right w:val="single" w:sz="4" w:space="0" w:color="auto"/>
            </w:tcBorders>
            <w:vAlign w:val="center"/>
            <w:hideMark/>
          </w:tcPr>
          <w:p w14:paraId="50D38933"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79</w:t>
            </w:r>
          </w:p>
        </w:tc>
        <w:tc>
          <w:tcPr>
            <w:tcW w:w="0" w:type="auto"/>
            <w:tcBorders>
              <w:top w:val="nil"/>
              <w:left w:val="nil"/>
              <w:bottom w:val="single" w:sz="4" w:space="0" w:color="auto"/>
              <w:right w:val="single" w:sz="4" w:space="0" w:color="auto"/>
            </w:tcBorders>
            <w:vAlign w:val="center"/>
            <w:hideMark/>
          </w:tcPr>
          <w:p w14:paraId="5E4340D1"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170</w:t>
            </w:r>
          </w:p>
        </w:tc>
        <w:tc>
          <w:tcPr>
            <w:tcW w:w="0" w:type="auto"/>
            <w:tcBorders>
              <w:top w:val="nil"/>
              <w:left w:val="nil"/>
              <w:bottom w:val="single" w:sz="4" w:space="0" w:color="auto"/>
              <w:right w:val="single" w:sz="4" w:space="0" w:color="auto"/>
            </w:tcBorders>
            <w:vAlign w:val="center"/>
            <w:hideMark/>
          </w:tcPr>
          <w:p w14:paraId="551A8337"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85</w:t>
            </w:r>
          </w:p>
        </w:tc>
        <w:tc>
          <w:tcPr>
            <w:tcW w:w="0" w:type="auto"/>
            <w:tcBorders>
              <w:top w:val="nil"/>
              <w:left w:val="nil"/>
              <w:bottom w:val="single" w:sz="4" w:space="0" w:color="auto"/>
              <w:right w:val="single" w:sz="4" w:space="0" w:color="auto"/>
            </w:tcBorders>
            <w:vAlign w:val="center"/>
            <w:hideMark/>
          </w:tcPr>
          <w:p w14:paraId="7528C765"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46</w:t>
            </w:r>
          </w:p>
        </w:tc>
        <w:tc>
          <w:tcPr>
            <w:tcW w:w="0" w:type="auto"/>
            <w:tcBorders>
              <w:top w:val="nil"/>
              <w:left w:val="nil"/>
              <w:bottom w:val="single" w:sz="4" w:space="0" w:color="auto"/>
              <w:right w:val="single" w:sz="4" w:space="0" w:color="auto"/>
            </w:tcBorders>
            <w:vAlign w:val="center"/>
            <w:hideMark/>
          </w:tcPr>
          <w:p w14:paraId="3876558B"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20</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2EBC860C"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31. يُشجَّع التعاون والعمل الجماعي بين الزملاء.</w:t>
            </w:r>
          </w:p>
        </w:tc>
      </w:tr>
      <w:tr w:rsidR="00793DFB" w:rsidRPr="00B724D5" w14:paraId="57299354"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72C24AF4"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2C25F24"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5C89C28"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4C1B6739"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19.80%</w:t>
            </w:r>
          </w:p>
        </w:tc>
        <w:tc>
          <w:tcPr>
            <w:tcW w:w="0" w:type="auto"/>
            <w:tcBorders>
              <w:top w:val="nil"/>
              <w:left w:val="nil"/>
              <w:bottom w:val="single" w:sz="4" w:space="0" w:color="auto"/>
              <w:right w:val="single" w:sz="4" w:space="0" w:color="auto"/>
            </w:tcBorders>
            <w:vAlign w:val="center"/>
            <w:hideMark/>
          </w:tcPr>
          <w:p w14:paraId="5253D47E"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42.50%</w:t>
            </w:r>
          </w:p>
        </w:tc>
        <w:tc>
          <w:tcPr>
            <w:tcW w:w="0" w:type="auto"/>
            <w:tcBorders>
              <w:top w:val="nil"/>
              <w:left w:val="nil"/>
              <w:bottom w:val="single" w:sz="4" w:space="0" w:color="auto"/>
              <w:right w:val="single" w:sz="4" w:space="0" w:color="auto"/>
            </w:tcBorders>
            <w:vAlign w:val="center"/>
            <w:hideMark/>
          </w:tcPr>
          <w:p w14:paraId="750BB6FE"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21.30%</w:t>
            </w:r>
          </w:p>
        </w:tc>
        <w:tc>
          <w:tcPr>
            <w:tcW w:w="0" w:type="auto"/>
            <w:tcBorders>
              <w:top w:val="nil"/>
              <w:left w:val="nil"/>
              <w:bottom w:val="single" w:sz="4" w:space="0" w:color="auto"/>
              <w:right w:val="single" w:sz="4" w:space="0" w:color="auto"/>
            </w:tcBorders>
            <w:vAlign w:val="center"/>
            <w:hideMark/>
          </w:tcPr>
          <w:p w14:paraId="5D782A94"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11.50%</w:t>
            </w:r>
          </w:p>
        </w:tc>
        <w:tc>
          <w:tcPr>
            <w:tcW w:w="0" w:type="auto"/>
            <w:tcBorders>
              <w:top w:val="nil"/>
              <w:left w:val="nil"/>
              <w:bottom w:val="single" w:sz="4" w:space="0" w:color="auto"/>
              <w:right w:val="single" w:sz="4" w:space="0" w:color="auto"/>
            </w:tcBorders>
            <w:vAlign w:val="center"/>
            <w:hideMark/>
          </w:tcPr>
          <w:p w14:paraId="660656CA"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5.00%</w:t>
            </w:r>
          </w:p>
        </w:tc>
        <w:tc>
          <w:tcPr>
            <w:tcW w:w="0" w:type="auto"/>
            <w:vMerge/>
            <w:tcBorders>
              <w:top w:val="nil"/>
              <w:left w:val="single" w:sz="4" w:space="0" w:color="auto"/>
              <w:bottom w:val="single" w:sz="4" w:space="0" w:color="auto"/>
              <w:right w:val="single" w:sz="4" w:space="0" w:color="auto"/>
            </w:tcBorders>
            <w:vAlign w:val="center"/>
            <w:hideMark/>
          </w:tcPr>
          <w:p w14:paraId="1C3C7A39"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B724D5" w14:paraId="7EF0524B"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7105E750"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0A87D430"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1.02097</w:t>
            </w:r>
          </w:p>
        </w:tc>
        <w:tc>
          <w:tcPr>
            <w:tcW w:w="0" w:type="auto"/>
            <w:vMerge w:val="restart"/>
            <w:tcBorders>
              <w:top w:val="nil"/>
              <w:left w:val="single" w:sz="4" w:space="0" w:color="auto"/>
              <w:bottom w:val="single" w:sz="4" w:space="0" w:color="auto"/>
              <w:right w:val="single" w:sz="4" w:space="0" w:color="auto"/>
            </w:tcBorders>
            <w:vAlign w:val="center"/>
            <w:hideMark/>
          </w:tcPr>
          <w:p w14:paraId="17E3ED1D"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3.485</w:t>
            </w:r>
          </w:p>
        </w:tc>
        <w:tc>
          <w:tcPr>
            <w:tcW w:w="0" w:type="auto"/>
            <w:tcBorders>
              <w:top w:val="nil"/>
              <w:left w:val="nil"/>
              <w:bottom w:val="single" w:sz="4" w:space="0" w:color="auto"/>
              <w:right w:val="single" w:sz="4" w:space="0" w:color="auto"/>
            </w:tcBorders>
            <w:vAlign w:val="center"/>
            <w:hideMark/>
          </w:tcPr>
          <w:p w14:paraId="1E0C2371"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47</w:t>
            </w:r>
          </w:p>
        </w:tc>
        <w:tc>
          <w:tcPr>
            <w:tcW w:w="0" w:type="auto"/>
            <w:tcBorders>
              <w:top w:val="nil"/>
              <w:left w:val="nil"/>
              <w:bottom w:val="single" w:sz="4" w:space="0" w:color="auto"/>
              <w:right w:val="single" w:sz="4" w:space="0" w:color="auto"/>
            </w:tcBorders>
            <w:vAlign w:val="center"/>
            <w:hideMark/>
          </w:tcPr>
          <w:p w14:paraId="52B8587A"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191</w:t>
            </w:r>
          </w:p>
        </w:tc>
        <w:tc>
          <w:tcPr>
            <w:tcW w:w="0" w:type="auto"/>
            <w:tcBorders>
              <w:top w:val="nil"/>
              <w:left w:val="nil"/>
              <w:bottom w:val="single" w:sz="4" w:space="0" w:color="auto"/>
              <w:right w:val="single" w:sz="4" w:space="0" w:color="auto"/>
            </w:tcBorders>
            <w:vAlign w:val="center"/>
            <w:hideMark/>
          </w:tcPr>
          <w:p w14:paraId="05272387"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91</w:t>
            </w:r>
          </w:p>
        </w:tc>
        <w:tc>
          <w:tcPr>
            <w:tcW w:w="0" w:type="auto"/>
            <w:tcBorders>
              <w:top w:val="nil"/>
              <w:left w:val="nil"/>
              <w:bottom w:val="single" w:sz="4" w:space="0" w:color="auto"/>
              <w:right w:val="single" w:sz="4" w:space="0" w:color="auto"/>
            </w:tcBorders>
            <w:vAlign w:val="center"/>
            <w:hideMark/>
          </w:tcPr>
          <w:p w14:paraId="498AB866"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51</w:t>
            </w:r>
          </w:p>
        </w:tc>
        <w:tc>
          <w:tcPr>
            <w:tcW w:w="0" w:type="auto"/>
            <w:tcBorders>
              <w:top w:val="nil"/>
              <w:left w:val="nil"/>
              <w:bottom w:val="single" w:sz="4" w:space="0" w:color="auto"/>
              <w:right w:val="single" w:sz="4" w:space="0" w:color="auto"/>
            </w:tcBorders>
            <w:vAlign w:val="center"/>
            <w:hideMark/>
          </w:tcPr>
          <w:p w14:paraId="69D11065"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20</w:t>
            </w:r>
          </w:p>
        </w:tc>
        <w:tc>
          <w:tcPr>
            <w:tcW w:w="0" w:type="auto"/>
            <w:vMerge w:val="restart"/>
            <w:tcBorders>
              <w:top w:val="nil"/>
              <w:left w:val="single" w:sz="4" w:space="0" w:color="auto"/>
              <w:bottom w:val="single" w:sz="4" w:space="0" w:color="auto"/>
              <w:right w:val="single" w:sz="4" w:space="0" w:color="auto"/>
            </w:tcBorders>
            <w:shd w:val="clear" w:color="000000" w:fill="DAF1F3"/>
            <w:vAlign w:val="center"/>
            <w:hideMark/>
          </w:tcPr>
          <w:p w14:paraId="146EEFC0"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32. يُنظر إلى الموظفين على أنهم مساهمون رئيسيون في نجاح المنظمة.</w:t>
            </w:r>
          </w:p>
        </w:tc>
      </w:tr>
      <w:tr w:rsidR="00793DFB" w:rsidRPr="00B724D5" w14:paraId="3D99ABEC"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6491F444"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E54B9A2"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3624908"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0C986ED5"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11.80%</w:t>
            </w:r>
          </w:p>
        </w:tc>
        <w:tc>
          <w:tcPr>
            <w:tcW w:w="0" w:type="auto"/>
            <w:tcBorders>
              <w:top w:val="nil"/>
              <w:left w:val="nil"/>
              <w:bottom w:val="single" w:sz="4" w:space="0" w:color="auto"/>
              <w:right w:val="single" w:sz="4" w:space="0" w:color="auto"/>
            </w:tcBorders>
            <w:vAlign w:val="center"/>
            <w:hideMark/>
          </w:tcPr>
          <w:p w14:paraId="4EE09A53"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47.80%</w:t>
            </w:r>
          </w:p>
        </w:tc>
        <w:tc>
          <w:tcPr>
            <w:tcW w:w="0" w:type="auto"/>
            <w:tcBorders>
              <w:top w:val="nil"/>
              <w:left w:val="nil"/>
              <w:bottom w:val="single" w:sz="4" w:space="0" w:color="auto"/>
              <w:right w:val="single" w:sz="4" w:space="0" w:color="auto"/>
            </w:tcBorders>
            <w:vAlign w:val="center"/>
            <w:hideMark/>
          </w:tcPr>
          <w:p w14:paraId="198D3DCB"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22.80%</w:t>
            </w:r>
          </w:p>
        </w:tc>
        <w:tc>
          <w:tcPr>
            <w:tcW w:w="0" w:type="auto"/>
            <w:tcBorders>
              <w:top w:val="nil"/>
              <w:left w:val="nil"/>
              <w:bottom w:val="single" w:sz="4" w:space="0" w:color="auto"/>
              <w:right w:val="single" w:sz="4" w:space="0" w:color="auto"/>
            </w:tcBorders>
            <w:vAlign w:val="center"/>
            <w:hideMark/>
          </w:tcPr>
          <w:p w14:paraId="5A884DD7"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12.80%</w:t>
            </w:r>
          </w:p>
        </w:tc>
        <w:tc>
          <w:tcPr>
            <w:tcW w:w="0" w:type="auto"/>
            <w:tcBorders>
              <w:top w:val="nil"/>
              <w:left w:val="nil"/>
              <w:bottom w:val="single" w:sz="4" w:space="0" w:color="auto"/>
              <w:right w:val="single" w:sz="4" w:space="0" w:color="auto"/>
            </w:tcBorders>
            <w:vAlign w:val="center"/>
            <w:hideMark/>
          </w:tcPr>
          <w:p w14:paraId="3A1F1AAE"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5.00%</w:t>
            </w:r>
          </w:p>
        </w:tc>
        <w:tc>
          <w:tcPr>
            <w:tcW w:w="0" w:type="auto"/>
            <w:vMerge/>
            <w:tcBorders>
              <w:top w:val="nil"/>
              <w:left w:val="single" w:sz="4" w:space="0" w:color="auto"/>
              <w:bottom w:val="single" w:sz="4" w:space="0" w:color="auto"/>
              <w:right w:val="single" w:sz="4" w:space="0" w:color="auto"/>
            </w:tcBorders>
            <w:vAlign w:val="center"/>
            <w:hideMark/>
          </w:tcPr>
          <w:p w14:paraId="564F5C6D"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B724D5" w14:paraId="107F5A51" w14:textId="77777777" w:rsidTr="009F1C88">
        <w:trPr>
          <w:trHeight w:val="264"/>
        </w:trPr>
        <w:tc>
          <w:tcPr>
            <w:tcW w:w="0" w:type="auto"/>
            <w:vMerge w:val="restart"/>
            <w:tcBorders>
              <w:top w:val="nil"/>
              <w:left w:val="single" w:sz="4" w:space="0" w:color="auto"/>
              <w:bottom w:val="single" w:sz="4" w:space="0" w:color="000000"/>
              <w:right w:val="single" w:sz="4" w:space="0" w:color="auto"/>
            </w:tcBorders>
            <w:shd w:val="clear" w:color="000000" w:fill="FF6D01"/>
            <w:vAlign w:val="center"/>
            <w:hideMark/>
          </w:tcPr>
          <w:p w14:paraId="4B654CE8" w14:textId="77777777" w:rsidR="00793DFB" w:rsidRPr="00B724D5" w:rsidRDefault="00793DFB" w:rsidP="009F1C88">
            <w:pPr>
              <w:bidi/>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rtl/>
                <w14:ligatures w14:val="none"/>
              </w:rPr>
              <w:t>محايد</w:t>
            </w:r>
          </w:p>
        </w:tc>
        <w:tc>
          <w:tcPr>
            <w:tcW w:w="0" w:type="auto"/>
            <w:gridSpan w:val="2"/>
            <w:tcBorders>
              <w:top w:val="single" w:sz="4" w:space="0" w:color="auto"/>
              <w:left w:val="nil"/>
              <w:bottom w:val="single" w:sz="4" w:space="0" w:color="auto"/>
              <w:right w:val="single" w:sz="4" w:space="0" w:color="auto"/>
            </w:tcBorders>
            <w:vAlign w:val="center"/>
            <w:hideMark/>
          </w:tcPr>
          <w:p w14:paraId="084447C3" w14:textId="77777777" w:rsidR="00793DFB" w:rsidRPr="00B724D5" w:rsidRDefault="00793DFB" w:rsidP="009F1C88">
            <w:pPr>
              <w:spacing w:after="0" w:line="240" w:lineRule="auto"/>
              <w:jc w:val="center"/>
              <w:rPr>
                <w:rFonts w:ascii="Arial" w:eastAsia="Times New Roman" w:hAnsi="Arial" w:cs="Arial"/>
                <w:color w:val="000000"/>
                <w:kern w:val="0"/>
                <w:sz w:val="20"/>
                <w:szCs w:val="20"/>
                <w:rtl/>
                <w14:ligatures w14:val="none"/>
              </w:rPr>
            </w:pPr>
            <w:r w:rsidRPr="00B724D5">
              <w:rPr>
                <w:rFonts w:ascii="Arial" w:eastAsia="Times New Roman" w:hAnsi="Arial" w:cs="Arial"/>
                <w:color w:val="000000"/>
                <w:kern w:val="0"/>
                <w:sz w:val="20"/>
                <w:szCs w:val="20"/>
                <w14:ligatures w14:val="none"/>
              </w:rPr>
              <w:t>3.605833333</w:t>
            </w:r>
          </w:p>
        </w:tc>
        <w:tc>
          <w:tcPr>
            <w:tcW w:w="0" w:type="auto"/>
            <w:gridSpan w:val="6"/>
            <w:tcBorders>
              <w:top w:val="single" w:sz="4" w:space="0" w:color="auto"/>
              <w:left w:val="nil"/>
              <w:bottom w:val="single" w:sz="4" w:space="0" w:color="auto"/>
              <w:right w:val="single" w:sz="4" w:space="0" w:color="auto"/>
            </w:tcBorders>
            <w:shd w:val="clear" w:color="000000" w:fill="FF6D01"/>
            <w:vAlign w:val="center"/>
            <w:hideMark/>
          </w:tcPr>
          <w:p w14:paraId="3E81B166"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proofErr w:type="spellStart"/>
            <w:r w:rsidRPr="00B724D5">
              <w:rPr>
                <w:rFonts w:ascii="Arial" w:eastAsia="Times New Roman" w:hAnsi="Arial" w:cs="Arial"/>
                <w:color w:val="000000"/>
                <w:kern w:val="0"/>
                <w:sz w:val="20"/>
                <w:szCs w:val="20"/>
                <w14:ligatures w14:val="none"/>
              </w:rPr>
              <w:t>weightted</w:t>
            </w:r>
            <w:proofErr w:type="spellEnd"/>
            <w:r w:rsidRPr="00B724D5">
              <w:rPr>
                <w:rFonts w:ascii="Arial" w:eastAsia="Times New Roman" w:hAnsi="Arial" w:cs="Arial"/>
                <w:color w:val="000000"/>
                <w:kern w:val="0"/>
                <w:sz w:val="20"/>
                <w:szCs w:val="20"/>
                <w14:ligatures w14:val="none"/>
              </w:rPr>
              <w:t xml:space="preserve"> mean </w:t>
            </w:r>
          </w:p>
        </w:tc>
      </w:tr>
      <w:tr w:rsidR="00793DFB" w:rsidRPr="00B724D5" w14:paraId="50918CD9" w14:textId="77777777" w:rsidTr="009F1C88">
        <w:trPr>
          <w:trHeight w:val="264"/>
        </w:trPr>
        <w:tc>
          <w:tcPr>
            <w:tcW w:w="0" w:type="auto"/>
            <w:vMerge/>
            <w:tcBorders>
              <w:top w:val="nil"/>
              <w:left w:val="single" w:sz="4" w:space="0" w:color="auto"/>
              <w:bottom w:val="single" w:sz="4" w:space="0" w:color="000000"/>
              <w:right w:val="single" w:sz="4" w:space="0" w:color="auto"/>
            </w:tcBorders>
            <w:vAlign w:val="center"/>
            <w:hideMark/>
          </w:tcPr>
          <w:p w14:paraId="00B89B1D" w14:textId="77777777" w:rsidR="00793DFB" w:rsidRPr="00B724D5"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4523582A"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1.073283333</w:t>
            </w:r>
          </w:p>
        </w:tc>
        <w:tc>
          <w:tcPr>
            <w:tcW w:w="0" w:type="auto"/>
            <w:gridSpan w:val="7"/>
            <w:tcBorders>
              <w:top w:val="single" w:sz="4" w:space="0" w:color="auto"/>
              <w:left w:val="nil"/>
              <w:bottom w:val="single" w:sz="4" w:space="0" w:color="auto"/>
              <w:right w:val="single" w:sz="4" w:space="0" w:color="auto"/>
            </w:tcBorders>
            <w:shd w:val="clear" w:color="000000" w:fill="FF6D01"/>
            <w:vAlign w:val="center"/>
            <w:hideMark/>
          </w:tcPr>
          <w:p w14:paraId="77FA18AD" w14:textId="77777777" w:rsidR="00793DFB" w:rsidRPr="00B724D5" w:rsidRDefault="00793DFB" w:rsidP="009F1C88">
            <w:pPr>
              <w:spacing w:after="0" w:line="240" w:lineRule="auto"/>
              <w:jc w:val="center"/>
              <w:rPr>
                <w:rFonts w:ascii="Arial" w:eastAsia="Times New Roman" w:hAnsi="Arial" w:cs="Arial"/>
                <w:color w:val="000000"/>
                <w:kern w:val="0"/>
                <w:sz w:val="20"/>
                <w:szCs w:val="20"/>
                <w14:ligatures w14:val="none"/>
              </w:rPr>
            </w:pPr>
            <w:r w:rsidRPr="00B724D5">
              <w:rPr>
                <w:rFonts w:ascii="Arial" w:eastAsia="Times New Roman" w:hAnsi="Arial" w:cs="Arial"/>
                <w:color w:val="000000"/>
                <w:kern w:val="0"/>
                <w:sz w:val="20"/>
                <w:szCs w:val="20"/>
                <w14:ligatures w14:val="none"/>
              </w:rPr>
              <w:t>std. deviation</w:t>
            </w:r>
          </w:p>
        </w:tc>
      </w:tr>
    </w:tbl>
    <w:p w14:paraId="7AD53F2A" w14:textId="77777777" w:rsidR="00793DFB" w:rsidRPr="00B724D5" w:rsidRDefault="00793DFB" w:rsidP="00793DFB">
      <w:pPr>
        <w:bidi/>
      </w:pPr>
    </w:p>
    <w:p w14:paraId="61E52265" w14:textId="77777777" w:rsidR="00793DFB" w:rsidRPr="00B724D5" w:rsidRDefault="00793DFB" w:rsidP="00793DFB">
      <w:pPr>
        <w:bidi/>
        <w:rPr>
          <w:b/>
          <w:bCs/>
        </w:rPr>
      </w:pPr>
      <w:r w:rsidRPr="00B724D5">
        <w:rPr>
          <w:b/>
          <w:bCs/>
          <w:rtl/>
        </w:rPr>
        <w:t>أولًا: التكيّف</w:t>
      </w:r>
      <w:r>
        <w:rPr>
          <w:rFonts w:hint="cs"/>
          <w:b/>
          <w:bCs/>
          <w:rtl/>
        </w:rPr>
        <w:t xml:space="preserve"> </w:t>
      </w:r>
      <w:r w:rsidRPr="00B724D5">
        <w:rPr>
          <w:b/>
          <w:bCs/>
        </w:rPr>
        <w:t>(Adaptability)</w:t>
      </w:r>
    </w:p>
    <w:p w14:paraId="2E656B83" w14:textId="77777777" w:rsidR="00793DFB" w:rsidRPr="00B724D5" w:rsidRDefault="00793DFB" w:rsidP="00793DFB">
      <w:pPr>
        <w:bidi/>
      </w:pPr>
      <w:r w:rsidRPr="00B724D5">
        <w:rPr>
          <w:rtl/>
        </w:rPr>
        <w:t>جاء بُعد التكيّف في المرتبة الأخيرة بين أبعاد الثقافة التنظيمية. فقد بلغ متوسط العبارة المتعلقة بتبنّي المنظمة للتغيير بسهولة (3.285)، مع ارتفاع نسبة المحايدين (42.5%)، مما يعكس حالة من الحياد أو التردد في تقييم قدرة المنظمة على الاستجابة السريعة لمتغيرات السوق</w:t>
      </w:r>
      <w:r w:rsidRPr="00B724D5">
        <w:t>.</w:t>
      </w:r>
    </w:p>
    <w:p w14:paraId="03DA4CDF" w14:textId="77777777" w:rsidR="00793DFB" w:rsidRPr="00B724D5" w:rsidRDefault="00793DFB" w:rsidP="00793DFB">
      <w:pPr>
        <w:bidi/>
      </w:pPr>
      <w:r w:rsidRPr="00B724D5">
        <w:rPr>
          <w:rtl/>
        </w:rPr>
        <w:t>كما سجلت عبارة تشجيع الإدارة للتجريب وتقبّل الأفكار الجديدة متوسطًا (3.333)، وهو مستوى متوسط يميل إلى الإيجابية، إلا أن نسبة عدم الموافقة (19.5% تقريبًا) تشير إلى وجود فجوة إدراكية لدى بعض العاملين بشأن دعم الإدارة للابتكار</w:t>
      </w:r>
      <w:r w:rsidRPr="00B724D5">
        <w:t>.</w:t>
      </w:r>
    </w:p>
    <w:p w14:paraId="68C3B70A" w14:textId="77777777" w:rsidR="00793DFB" w:rsidRPr="00B724D5" w:rsidRDefault="00793DFB" w:rsidP="00793DFB">
      <w:pPr>
        <w:bidi/>
      </w:pPr>
      <w:r w:rsidRPr="00B724D5">
        <w:rPr>
          <w:rtl/>
        </w:rPr>
        <w:t>إجمالًا، يعكس هذا البعد وجود توجه نحو التكيّف، لكنه ليس راسخًا بصورة مؤسسية كاملة</w:t>
      </w:r>
      <w:r w:rsidRPr="00B724D5">
        <w:t>.</w:t>
      </w:r>
    </w:p>
    <w:p w14:paraId="3751E508" w14:textId="77777777" w:rsidR="00793DFB" w:rsidRPr="00B724D5" w:rsidRDefault="00793DFB" w:rsidP="00793DFB">
      <w:pPr>
        <w:bidi/>
        <w:rPr>
          <w:b/>
          <w:bCs/>
        </w:rPr>
      </w:pPr>
      <w:r w:rsidRPr="00B724D5">
        <w:rPr>
          <w:b/>
          <w:bCs/>
          <w:rtl/>
        </w:rPr>
        <w:t>ثانيًا: المهمة</w:t>
      </w:r>
      <w:r>
        <w:rPr>
          <w:rFonts w:hint="cs"/>
          <w:b/>
          <w:bCs/>
          <w:rtl/>
        </w:rPr>
        <w:t xml:space="preserve"> </w:t>
      </w:r>
      <w:r w:rsidRPr="00B724D5">
        <w:rPr>
          <w:b/>
          <w:bCs/>
        </w:rPr>
        <w:t>(Mission)</w:t>
      </w:r>
    </w:p>
    <w:p w14:paraId="5BCC3B0C" w14:textId="77777777" w:rsidR="00793DFB" w:rsidRPr="00B724D5" w:rsidRDefault="00793DFB" w:rsidP="00793DFB">
      <w:pPr>
        <w:bidi/>
      </w:pPr>
      <w:r w:rsidRPr="00B724D5">
        <w:rPr>
          <w:rtl/>
        </w:rPr>
        <w:t>احتل بُعد المهمة المرتبة الثالثة. فقد بلغ متوسط وضوح الرؤية والرسالة لدى الموظفين (3.348)، في حين سجلت عبارة توافق أهداف الأفراد مع الأهداف الاستراتيجية متوسطًا أعلى بلغ</w:t>
      </w:r>
      <w:r w:rsidRPr="00B724D5">
        <w:t xml:space="preserve"> (3.518).</w:t>
      </w:r>
    </w:p>
    <w:p w14:paraId="45021EB7" w14:textId="77777777" w:rsidR="00793DFB" w:rsidRPr="00B724D5" w:rsidRDefault="00793DFB" w:rsidP="00793DFB">
      <w:pPr>
        <w:bidi/>
      </w:pPr>
      <w:r w:rsidRPr="00B724D5">
        <w:rPr>
          <w:rtl/>
        </w:rPr>
        <w:lastRenderedPageBreak/>
        <w:t>تشير النتائج إلى وجود مستوى معقول من الاتساق الاستراتيجي، حيث أبدى أكثر من نصف العينة موافقتهم على توافق الأهداف، وهو ما يعكس درجة من التكامل بين البعد الفردي والتنظيمي. ومع ذلك، فإن نسب الحياد المرتفعة نسبيًا تدل على أن وضوح الرسالة الاستراتيجية ليس شاملًا لجميع العاملين</w:t>
      </w:r>
      <w:r w:rsidRPr="00B724D5">
        <w:t>.</w:t>
      </w:r>
    </w:p>
    <w:p w14:paraId="7D6126C5" w14:textId="77777777" w:rsidR="00793DFB" w:rsidRPr="00B724D5" w:rsidRDefault="00793DFB" w:rsidP="00793DFB">
      <w:pPr>
        <w:bidi/>
        <w:rPr>
          <w:b/>
          <w:bCs/>
        </w:rPr>
      </w:pPr>
      <w:r w:rsidRPr="00B724D5">
        <w:rPr>
          <w:b/>
          <w:bCs/>
          <w:rtl/>
        </w:rPr>
        <w:t>ثالثًا: الاتساق الداخلي</w:t>
      </w:r>
      <w:r>
        <w:rPr>
          <w:rFonts w:hint="cs"/>
          <w:b/>
          <w:bCs/>
          <w:rtl/>
        </w:rPr>
        <w:t xml:space="preserve"> </w:t>
      </w:r>
      <w:r w:rsidRPr="00B724D5">
        <w:rPr>
          <w:b/>
          <w:bCs/>
        </w:rPr>
        <w:t>(Consistency)</w:t>
      </w:r>
    </w:p>
    <w:p w14:paraId="13196109" w14:textId="77777777" w:rsidR="00793DFB" w:rsidRPr="00B724D5" w:rsidRDefault="00793DFB" w:rsidP="00793DFB">
      <w:pPr>
        <w:bidi/>
      </w:pPr>
      <w:r w:rsidRPr="00B724D5">
        <w:rPr>
          <w:rtl/>
        </w:rPr>
        <w:t>جاء هذا البعد في المرتبة الثانية. فقد سجلت عبارة وجود قيم تنظيمية مشتركة متوسطًا (3.573)، وهو من أعلى المتوسطات ضمن المحور، مما يعكس إدراكًا إيجابيًا لوجود إطار قيمي منظم يحكم السلوك المهني</w:t>
      </w:r>
      <w:r w:rsidRPr="00B724D5">
        <w:t>.</w:t>
      </w:r>
    </w:p>
    <w:p w14:paraId="4FAC4759" w14:textId="77777777" w:rsidR="00793DFB" w:rsidRPr="00B724D5" w:rsidRDefault="00793DFB" w:rsidP="00793DFB">
      <w:pPr>
        <w:bidi/>
      </w:pPr>
      <w:r w:rsidRPr="00B724D5">
        <w:rPr>
          <w:rtl/>
        </w:rPr>
        <w:t>كما بلغ متوسط التعامل العادل مع النزاعات (3.465)، وهو مؤشر على وجود آليات تنظيمية لمعالجة الخلافات، وإن كانت ليست متجانسة تمامًا عبر جميع المؤسسات</w:t>
      </w:r>
      <w:r w:rsidRPr="00B724D5">
        <w:t>.</w:t>
      </w:r>
    </w:p>
    <w:p w14:paraId="1F39FA33" w14:textId="77777777" w:rsidR="00793DFB" w:rsidRPr="00B724D5" w:rsidRDefault="00793DFB" w:rsidP="00793DFB">
      <w:pPr>
        <w:bidi/>
      </w:pPr>
      <w:r w:rsidRPr="00B724D5">
        <w:rPr>
          <w:rtl/>
        </w:rPr>
        <w:t>ارتفاع الانحراف المعياري نسبيًا يدل على تباين في إدراك العدالة التنظيمية بين العاملين، مما يستدعي اهتمامًا إداريًا بتوحيد معايير التطبيق</w:t>
      </w:r>
      <w:r w:rsidRPr="00B724D5">
        <w:t>.</w:t>
      </w:r>
    </w:p>
    <w:p w14:paraId="0E403A57" w14:textId="77777777" w:rsidR="00793DFB" w:rsidRPr="00B724D5" w:rsidRDefault="00793DFB" w:rsidP="00793DFB">
      <w:pPr>
        <w:bidi/>
        <w:rPr>
          <w:b/>
          <w:bCs/>
        </w:rPr>
      </w:pPr>
      <w:r w:rsidRPr="00B724D5">
        <w:rPr>
          <w:b/>
          <w:bCs/>
          <w:rtl/>
        </w:rPr>
        <w:t>رابعًا: إشراك الموظفين</w:t>
      </w:r>
      <w:r>
        <w:rPr>
          <w:rFonts w:hint="cs"/>
          <w:b/>
          <w:bCs/>
          <w:rtl/>
        </w:rPr>
        <w:t xml:space="preserve"> </w:t>
      </w:r>
      <w:r w:rsidRPr="00B724D5">
        <w:rPr>
          <w:b/>
          <w:bCs/>
        </w:rPr>
        <w:t>(Involvement)</w:t>
      </w:r>
    </w:p>
    <w:p w14:paraId="510ADDD7" w14:textId="77777777" w:rsidR="00793DFB" w:rsidRPr="00B724D5" w:rsidRDefault="00793DFB" w:rsidP="00793DFB">
      <w:pPr>
        <w:bidi/>
      </w:pPr>
      <w:r w:rsidRPr="00B724D5">
        <w:rPr>
          <w:rtl/>
        </w:rPr>
        <w:t>جاء هذا البعد في المرتبة الأولى بين أبعاد الثقافة التنظيمية. فقد سجلت عبارة شعور الموظفين بالانتماء متوسطًا مرتفعًا نسبيًا (3.728)، مع نسبة موافقة تجاوزت 63%، وهو ما يعكس مستوى جيدًا من الالتزام العاطفي تجاه المؤسسة</w:t>
      </w:r>
      <w:r w:rsidRPr="00B724D5">
        <w:t>.</w:t>
      </w:r>
    </w:p>
    <w:p w14:paraId="28ED70D3" w14:textId="77777777" w:rsidR="00793DFB" w:rsidRPr="00B724D5" w:rsidRDefault="00793DFB" w:rsidP="00793DFB">
      <w:pPr>
        <w:bidi/>
      </w:pPr>
      <w:r w:rsidRPr="00B724D5">
        <w:rPr>
          <w:rtl/>
        </w:rPr>
        <w:t>كما سجلت عبارة تشجيع التعاون والعمل الجماعي متوسطًا (3.605)، في حين بلغت عبارة اعتبار الموظفين مساهمين رئيسيين في نجاح المنظمة (3.485)، وهو مستوى متوسط يميل إلى الإيجابية</w:t>
      </w:r>
      <w:r w:rsidRPr="00B724D5">
        <w:t>.</w:t>
      </w:r>
    </w:p>
    <w:p w14:paraId="380E21D3" w14:textId="77777777" w:rsidR="00793DFB" w:rsidRPr="00B724D5" w:rsidRDefault="00793DFB" w:rsidP="00793DFB">
      <w:pPr>
        <w:bidi/>
      </w:pPr>
      <w:r w:rsidRPr="00B724D5">
        <w:rPr>
          <w:rtl/>
        </w:rPr>
        <w:t>تشير هذه النتائج إلى وجود ثقافة تنظيمية داعمة للاندماج والهوية المؤسسية، وهو عامل أساسي في تعزيز الأداء الإبداعي لاحقًا</w:t>
      </w:r>
      <w:r w:rsidRPr="00B724D5">
        <w:t>.</w:t>
      </w:r>
    </w:p>
    <w:p w14:paraId="113466F5" w14:textId="77777777" w:rsidR="00793DFB" w:rsidRPr="00B724D5" w:rsidRDefault="00793DFB" w:rsidP="00793DFB">
      <w:pPr>
        <w:bidi/>
      </w:pPr>
      <w:r w:rsidRPr="00B724D5">
        <w:rPr>
          <w:rtl/>
        </w:rPr>
        <w:t>تشير النتائج إلى أن الثقافة التنظيمية في المؤسسات محل الدراسة تتسم بطابع متوسط يميل إلى الإيجابية، مع بروز واضح لبُعد إشراك الموظفين باعتباره الأقوى تأثيرًا. في المقابل، يُعد بُعد التكيّف الأقل حضورًا، مما قد يؤثر في قدرة المؤسسات على مواكبة التغيرات البيئية السريعة</w:t>
      </w:r>
      <w:r w:rsidRPr="00B724D5">
        <w:t>.</w:t>
      </w:r>
    </w:p>
    <w:p w14:paraId="225E8D89" w14:textId="77777777" w:rsidR="00793DFB" w:rsidRDefault="00793DFB" w:rsidP="00793DFB">
      <w:pPr>
        <w:bidi/>
        <w:rPr>
          <w:rtl/>
        </w:rPr>
      </w:pPr>
      <w:r w:rsidRPr="00B724D5">
        <w:rPr>
          <w:rtl/>
        </w:rPr>
        <w:t>وتحمل هذه النتائج دلالة تحليلية مهمة في سياق نموذج الدراسة، حيث يُتوقع أن يلعب إشراك الموظفين والاتساق الداخلي دورًا وسيطًا محتملًا في العلاقة بين أنظمة العمل عالية الأداء والأداء الإبداعي، وهو ما سيتم اختباره في مرحلة النمذجة الهيكلية لاحقًا</w:t>
      </w:r>
      <w:r w:rsidRPr="00B724D5">
        <w:t>.</w:t>
      </w:r>
    </w:p>
    <w:p w14:paraId="20689404" w14:textId="77777777" w:rsidR="00793DFB" w:rsidRDefault="00793DFB" w:rsidP="00793DFB">
      <w:pPr>
        <w:bidi/>
        <w:rPr>
          <w:rtl/>
        </w:rPr>
      </w:pPr>
    </w:p>
    <w:p w14:paraId="67032FB9" w14:textId="77777777" w:rsidR="00793DFB" w:rsidRDefault="00793DFB" w:rsidP="00793DFB">
      <w:pPr>
        <w:bidi/>
        <w:rPr>
          <w:rtl/>
        </w:rPr>
      </w:pPr>
    </w:p>
    <w:p w14:paraId="004AB6FC" w14:textId="77777777" w:rsidR="00793DFB" w:rsidRDefault="00793DFB" w:rsidP="00793DFB">
      <w:pPr>
        <w:bidi/>
        <w:rPr>
          <w:rtl/>
        </w:rPr>
      </w:pPr>
    </w:p>
    <w:p w14:paraId="4D5A8ECE" w14:textId="77777777" w:rsidR="00793DFB" w:rsidRDefault="00793DFB" w:rsidP="00793DFB">
      <w:pPr>
        <w:bidi/>
        <w:rPr>
          <w:rtl/>
        </w:rPr>
      </w:pPr>
    </w:p>
    <w:p w14:paraId="26254397" w14:textId="77777777" w:rsidR="00793DFB" w:rsidRDefault="00793DFB" w:rsidP="00793DFB">
      <w:pPr>
        <w:bidi/>
        <w:rPr>
          <w:rtl/>
        </w:rPr>
      </w:pPr>
    </w:p>
    <w:p w14:paraId="7E9EB60B" w14:textId="77777777" w:rsidR="00793DFB" w:rsidRDefault="00793DFB" w:rsidP="00793DFB">
      <w:pPr>
        <w:bidi/>
        <w:rPr>
          <w:rtl/>
        </w:rPr>
      </w:pPr>
    </w:p>
    <w:p w14:paraId="29BABB0F" w14:textId="77777777" w:rsidR="00793DFB" w:rsidRPr="00B724D5" w:rsidRDefault="00793DFB" w:rsidP="00793DFB">
      <w:pPr>
        <w:bidi/>
      </w:pPr>
    </w:p>
    <w:p w14:paraId="7BA6FA0C" w14:textId="77777777" w:rsidR="00793DFB" w:rsidRPr="00B724D5" w:rsidRDefault="00793DFB" w:rsidP="00793DFB">
      <w:pPr>
        <w:bidi/>
        <w:rPr>
          <w:b/>
          <w:bCs/>
        </w:rPr>
      </w:pPr>
      <w:r>
        <w:rPr>
          <w:rFonts w:hint="cs"/>
          <w:b/>
          <w:bCs/>
          <w:rtl/>
        </w:rPr>
        <w:lastRenderedPageBreak/>
        <w:t xml:space="preserve">4.3.3. </w:t>
      </w:r>
      <w:r w:rsidRPr="00B724D5">
        <w:rPr>
          <w:b/>
          <w:bCs/>
          <w:rtl/>
        </w:rPr>
        <w:t>التحليل الوصفي للمحور الثالث: الأداء الإبداعي</w:t>
      </w:r>
    </w:p>
    <w:p w14:paraId="4FD3A920" w14:textId="77777777" w:rsidR="00793DFB" w:rsidRDefault="00793DFB" w:rsidP="00793DFB">
      <w:pPr>
        <w:bidi/>
        <w:rPr>
          <w:rtl/>
        </w:rPr>
      </w:pPr>
      <w:r w:rsidRPr="00B724D5">
        <w:rPr>
          <w:rtl/>
        </w:rPr>
        <w:t>يهدف هذا الجزء إلى تحليل مستوى الأداء الإبداعي لدى العاملين في قطاعي الفنادق والمطاعم، وذلك من خلال دراسة المتوسطات الحسابية والانحرافات المعيارية وتوزيع الاستجابات وفق مقياس ليكرت الخماسي</w:t>
      </w:r>
      <w:r w:rsidRPr="00B724D5">
        <w:t>.</w:t>
      </w:r>
    </w:p>
    <w:p w14:paraId="060C19C1" w14:textId="77777777" w:rsidR="00793DFB" w:rsidRDefault="00793DFB" w:rsidP="00793DFB">
      <w:pPr>
        <w:bidi/>
        <w:rPr>
          <w:rtl/>
        </w:rPr>
      </w:pPr>
      <w:r>
        <w:rPr>
          <w:rFonts w:hint="cs"/>
          <w:rtl/>
        </w:rPr>
        <w:t>جدول (4-5): يوضح الاحصائيات الوصفية لأبعاد الأداء الابداعي</w:t>
      </w:r>
    </w:p>
    <w:tbl>
      <w:tblPr>
        <w:tblW w:w="9493" w:type="dxa"/>
        <w:tblLook w:val="04A0" w:firstRow="1" w:lastRow="0" w:firstColumn="1" w:lastColumn="0" w:noHBand="0" w:noVBand="1"/>
      </w:tblPr>
      <w:tblGrid>
        <w:gridCol w:w="646"/>
        <w:gridCol w:w="1192"/>
        <w:gridCol w:w="828"/>
        <w:gridCol w:w="895"/>
        <w:gridCol w:w="895"/>
        <w:gridCol w:w="895"/>
        <w:gridCol w:w="895"/>
        <w:gridCol w:w="954"/>
        <w:gridCol w:w="2293"/>
      </w:tblGrid>
      <w:tr w:rsidR="00793DFB" w:rsidRPr="00F21B4A" w14:paraId="7AE80100" w14:textId="77777777" w:rsidTr="009F1C88">
        <w:trPr>
          <w:trHeight w:val="264"/>
        </w:trPr>
        <w:tc>
          <w:tcPr>
            <w:tcW w:w="9493" w:type="dxa"/>
            <w:gridSpan w:val="9"/>
            <w:tcBorders>
              <w:top w:val="single" w:sz="4" w:space="0" w:color="auto"/>
              <w:left w:val="single" w:sz="4" w:space="0" w:color="auto"/>
              <w:bottom w:val="single" w:sz="4" w:space="0" w:color="auto"/>
              <w:right w:val="single" w:sz="4" w:space="0" w:color="auto"/>
            </w:tcBorders>
            <w:shd w:val="clear" w:color="000000" w:fill="FFFF00"/>
            <w:vAlign w:val="center"/>
            <w:hideMark/>
          </w:tcPr>
          <w:p w14:paraId="1944AE86"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rtl/>
                <w14:ligatures w14:val="none"/>
              </w:rPr>
              <w:t xml:space="preserve">المحور الثالث: الأداء الإبداعي </w:t>
            </w:r>
          </w:p>
        </w:tc>
      </w:tr>
      <w:tr w:rsidR="00793DFB" w:rsidRPr="00F21B4A" w14:paraId="4D69B77A" w14:textId="77777777" w:rsidTr="009F1C88">
        <w:trPr>
          <w:trHeight w:val="528"/>
        </w:trPr>
        <w:tc>
          <w:tcPr>
            <w:tcW w:w="0" w:type="auto"/>
            <w:tcBorders>
              <w:top w:val="nil"/>
              <w:left w:val="single" w:sz="4" w:space="0" w:color="auto"/>
              <w:bottom w:val="single" w:sz="4" w:space="0" w:color="auto"/>
              <w:right w:val="single" w:sz="4" w:space="0" w:color="auto"/>
            </w:tcBorders>
            <w:shd w:val="clear" w:color="000000" w:fill="7AD694"/>
            <w:vAlign w:val="center"/>
            <w:hideMark/>
          </w:tcPr>
          <w:p w14:paraId="317B514A" w14:textId="77777777" w:rsidR="00793DFB" w:rsidRPr="00F21B4A" w:rsidRDefault="00793DFB" w:rsidP="009F1C88">
            <w:pPr>
              <w:bidi/>
              <w:spacing w:after="0" w:line="240" w:lineRule="auto"/>
              <w:jc w:val="center"/>
              <w:rPr>
                <w:rFonts w:ascii="Arial" w:eastAsia="Times New Roman" w:hAnsi="Arial" w:cs="Arial"/>
                <w:kern w:val="0"/>
                <w:sz w:val="20"/>
                <w:szCs w:val="20"/>
                <w:rtl/>
                <w14:ligatures w14:val="none"/>
              </w:rPr>
            </w:pPr>
            <w:r w:rsidRPr="00F21B4A">
              <w:rPr>
                <w:rFonts w:ascii="Arial" w:eastAsia="Times New Roman" w:hAnsi="Arial" w:cs="Arial"/>
                <w:kern w:val="0"/>
                <w:sz w:val="20"/>
                <w:szCs w:val="20"/>
                <w:rtl/>
                <w14:ligatures w14:val="none"/>
              </w:rPr>
              <w:t>الدرجة</w:t>
            </w:r>
          </w:p>
        </w:tc>
        <w:tc>
          <w:tcPr>
            <w:tcW w:w="0" w:type="auto"/>
            <w:tcBorders>
              <w:top w:val="nil"/>
              <w:left w:val="nil"/>
              <w:bottom w:val="single" w:sz="4" w:space="0" w:color="auto"/>
              <w:right w:val="single" w:sz="4" w:space="0" w:color="auto"/>
            </w:tcBorders>
            <w:shd w:val="clear" w:color="000000" w:fill="B3CEFB"/>
            <w:vAlign w:val="center"/>
            <w:hideMark/>
          </w:tcPr>
          <w:p w14:paraId="62EA5A20"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rtl/>
                <w14:ligatures w14:val="none"/>
              </w:rPr>
              <w:t xml:space="preserve">الانحراف المعياري </w:t>
            </w:r>
          </w:p>
        </w:tc>
        <w:tc>
          <w:tcPr>
            <w:tcW w:w="0" w:type="auto"/>
            <w:tcBorders>
              <w:top w:val="nil"/>
              <w:left w:val="nil"/>
              <w:bottom w:val="single" w:sz="4" w:space="0" w:color="auto"/>
              <w:right w:val="single" w:sz="4" w:space="0" w:color="auto"/>
            </w:tcBorders>
            <w:shd w:val="clear" w:color="000000" w:fill="B3CEFB"/>
            <w:vAlign w:val="center"/>
            <w:hideMark/>
          </w:tcPr>
          <w:p w14:paraId="53905A16"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rtl/>
                <w14:ligatures w14:val="none"/>
              </w:rPr>
              <w:t>المتوسط</w:t>
            </w:r>
          </w:p>
        </w:tc>
        <w:tc>
          <w:tcPr>
            <w:tcW w:w="0" w:type="auto"/>
            <w:tcBorders>
              <w:top w:val="nil"/>
              <w:left w:val="nil"/>
              <w:bottom w:val="single" w:sz="4" w:space="0" w:color="auto"/>
              <w:right w:val="single" w:sz="4" w:space="0" w:color="auto"/>
            </w:tcBorders>
            <w:shd w:val="clear" w:color="000000" w:fill="8CB5F9"/>
            <w:vAlign w:val="center"/>
            <w:hideMark/>
          </w:tcPr>
          <w:p w14:paraId="63DCDD60"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rtl/>
                <w14:ligatures w14:val="none"/>
              </w:rPr>
              <w:t>أوافق بشدة</w:t>
            </w:r>
          </w:p>
        </w:tc>
        <w:tc>
          <w:tcPr>
            <w:tcW w:w="0" w:type="auto"/>
            <w:tcBorders>
              <w:top w:val="nil"/>
              <w:left w:val="nil"/>
              <w:bottom w:val="single" w:sz="4" w:space="0" w:color="auto"/>
              <w:right w:val="single" w:sz="4" w:space="0" w:color="auto"/>
            </w:tcBorders>
            <w:shd w:val="clear" w:color="000000" w:fill="8CB5F9"/>
            <w:vAlign w:val="center"/>
            <w:hideMark/>
          </w:tcPr>
          <w:p w14:paraId="2B258E7B"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rtl/>
                <w14:ligatures w14:val="none"/>
              </w:rPr>
              <w:t>أوافق</w:t>
            </w:r>
          </w:p>
        </w:tc>
        <w:tc>
          <w:tcPr>
            <w:tcW w:w="0" w:type="auto"/>
            <w:tcBorders>
              <w:top w:val="nil"/>
              <w:left w:val="nil"/>
              <w:bottom w:val="single" w:sz="4" w:space="0" w:color="auto"/>
              <w:right w:val="single" w:sz="4" w:space="0" w:color="auto"/>
            </w:tcBorders>
            <w:shd w:val="clear" w:color="000000" w:fill="8CB5F9"/>
            <w:vAlign w:val="center"/>
            <w:hideMark/>
          </w:tcPr>
          <w:p w14:paraId="5AD7E005"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rtl/>
                <w14:ligatures w14:val="none"/>
              </w:rPr>
              <w:t>محايد</w:t>
            </w:r>
          </w:p>
        </w:tc>
        <w:tc>
          <w:tcPr>
            <w:tcW w:w="0" w:type="auto"/>
            <w:tcBorders>
              <w:top w:val="nil"/>
              <w:left w:val="nil"/>
              <w:bottom w:val="single" w:sz="4" w:space="0" w:color="auto"/>
              <w:right w:val="single" w:sz="4" w:space="0" w:color="auto"/>
            </w:tcBorders>
            <w:shd w:val="clear" w:color="000000" w:fill="8CB5F9"/>
            <w:vAlign w:val="center"/>
            <w:hideMark/>
          </w:tcPr>
          <w:p w14:paraId="26BA09C4"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rtl/>
                <w14:ligatures w14:val="none"/>
              </w:rPr>
              <w:t>لا أوافق</w:t>
            </w:r>
          </w:p>
        </w:tc>
        <w:tc>
          <w:tcPr>
            <w:tcW w:w="0" w:type="auto"/>
            <w:tcBorders>
              <w:top w:val="nil"/>
              <w:left w:val="nil"/>
              <w:bottom w:val="single" w:sz="4" w:space="0" w:color="auto"/>
              <w:right w:val="single" w:sz="4" w:space="0" w:color="auto"/>
            </w:tcBorders>
            <w:shd w:val="clear" w:color="000000" w:fill="8CB5F9"/>
            <w:vAlign w:val="center"/>
            <w:hideMark/>
          </w:tcPr>
          <w:p w14:paraId="4A1577E6"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rtl/>
                <w14:ligatures w14:val="none"/>
              </w:rPr>
              <w:t>لا أوافق بشدة</w:t>
            </w:r>
          </w:p>
        </w:tc>
        <w:tc>
          <w:tcPr>
            <w:tcW w:w="2293" w:type="dxa"/>
            <w:tcBorders>
              <w:top w:val="nil"/>
              <w:left w:val="nil"/>
              <w:bottom w:val="single" w:sz="4" w:space="0" w:color="auto"/>
              <w:right w:val="single" w:sz="4" w:space="0" w:color="auto"/>
            </w:tcBorders>
            <w:shd w:val="clear" w:color="000000" w:fill="FF6D01"/>
            <w:vAlign w:val="center"/>
            <w:hideMark/>
          </w:tcPr>
          <w:p w14:paraId="34A58846"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rtl/>
                <w14:ligatures w14:val="none"/>
              </w:rPr>
              <w:t>السؤال</w:t>
            </w:r>
          </w:p>
        </w:tc>
      </w:tr>
      <w:tr w:rsidR="00793DFB" w:rsidRPr="00F21B4A" w14:paraId="5275A099"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6BB09930" w14:textId="77777777" w:rsidR="00793DFB" w:rsidRPr="00F21B4A" w:rsidRDefault="00793DFB" w:rsidP="009F1C88">
            <w:pPr>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70F1A66B"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0.83409</w:t>
            </w:r>
          </w:p>
        </w:tc>
        <w:tc>
          <w:tcPr>
            <w:tcW w:w="0" w:type="auto"/>
            <w:vMerge w:val="restart"/>
            <w:tcBorders>
              <w:top w:val="nil"/>
              <w:left w:val="single" w:sz="4" w:space="0" w:color="auto"/>
              <w:bottom w:val="single" w:sz="4" w:space="0" w:color="auto"/>
              <w:right w:val="single" w:sz="4" w:space="0" w:color="auto"/>
            </w:tcBorders>
            <w:vAlign w:val="center"/>
            <w:hideMark/>
          </w:tcPr>
          <w:p w14:paraId="018A4AF0"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3.395</w:t>
            </w:r>
          </w:p>
        </w:tc>
        <w:tc>
          <w:tcPr>
            <w:tcW w:w="0" w:type="auto"/>
            <w:tcBorders>
              <w:top w:val="nil"/>
              <w:left w:val="nil"/>
              <w:bottom w:val="single" w:sz="4" w:space="0" w:color="auto"/>
              <w:right w:val="single" w:sz="4" w:space="0" w:color="auto"/>
            </w:tcBorders>
            <w:vAlign w:val="center"/>
            <w:hideMark/>
          </w:tcPr>
          <w:p w14:paraId="31699A9A"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20</w:t>
            </w:r>
          </w:p>
        </w:tc>
        <w:tc>
          <w:tcPr>
            <w:tcW w:w="0" w:type="auto"/>
            <w:tcBorders>
              <w:top w:val="nil"/>
              <w:left w:val="nil"/>
              <w:bottom w:val="single" w:sz="4" w:space="0" w:color="auto"/>
              <w:right w:val="single" w:sz="4" w:space="0" w:color="auto"/>
            </w:tcBorders>
            <w:vAlign w:val="center"/>
            <w:hideMark/>
          </w:tcPr>
          <w:p w14:paraId="3B5CCF60"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188</w:t>
            </w:r>
          </w:p>
        </w:tc>
        <w:tc>
          <w:tcPr>
            <w:tcW w:w="0" w:type="auto"/>
            <w:tcBorders>
              <w:top w:val="nil"/>
              <w:left w:val="nil"/>
              <w:bottom w:val="single" w:sz="4" w:space="0" w:color="auto"/>
              <w:right w:val="single" w:sz="4" w:space="0" w:color="auto"/>
            </w:tcBorders>
            <w:vAlign w:val="center"/>
            <w:hideMark/>
          </w:tcPr>
          <w:p w14:paraId="728C7B83"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123</w:t>
            </w:r>
          </w:p>
        </w:tc>
        <w:tc>
          <w:tcPr>
            <w:tcW w:w="0" w:type="auto"/>
            <w:tcBorders>
              <w:top w:val="nil"/>
              <w:left w:val="nil"/>
              <w:bottom w:val="single" w:sz="4" w:space="0" w:color="auto"/>
              <w:right w:val="single" w:sz="4" w:space="0" w:color="auto"/>
            </w:tcBorders>
            <w:vAlign w:val="center"/>
            <w:hideMark/>
          </w:tcPr>
          <w:p w14:paraId="126B4CD3"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68</w:t>
            </w:r>
          </w:p>
        </w:tc>
        <w:tc>
          <w:tcPr>
            <w:tcW w:w="0" w:type="auto"/>
            <w:tcBorders>
              <w:top w:val="nil"/>
              <w:left w:val="nil"/>
              <w:bottom w:val="single" w:sz="4" w:space="0" w:color="auto"/>
              <w:right w:val="single" w:sz="4" w:space="0" w:color="auto"/>
            </w:tcBorders>
            <w:vAlign w:val="center"/>
            <w:hideMark/>
          </w:tcPr>
          <w:p w14:paraId="396EF46C"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w:t>
            </w:r>
          </w:p>
        </w:tc>
        <w:tc>
          <w:tcPr>
            <w:tcW w:w="2293" w:type="dxa"/>
            <w:vMerge w:val="restart"/>
            <w:tcBorders>
              <w:top w:val="nil"/>
              <w:left w:val="single" w:sz="4" w:space="0" w:color="auto"/>
              <w:bottom w:val="single" w:sz="4" w:space="0" w:color="auto"/>
              <w:right w:val="single" w:sz="4" w:space="0" w:color="auto"/>
            </w:tcBorders>
            <w:shd w:val="clear" w:color="000000" w:fill="DAF1F3"/>
            <w:vAlign w:val="center"/>
            <w:hideMark/>
          </w:tcPr>
          <w:p w14:paraId="70A3AECB"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rtl/>
                <w14:ligatures w14:val="none"/>
              </w:rPr>
              <w:t>33. أقدّم بانتظام أفكارًا جديدة لتحسين العمل.</w:t>
            </w:r>
          </w:p>
        </w:tc>
      </w:tr>
      <w:tr w:rsidR="00793DFB" w:rsidRPr="00F21B4A" w14:paraId="27F070AF"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059EFB5B"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F1D8982"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6B310396"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526376A5" w14:textId="77777777" w:rsidR="00793DFB" w:rsidRPr="00F21B4A" w:rsidRDefault="00793DFB" w:rsidP="009F1C88">
            <w:pPr>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14:ligatures w14:val="none"/>
              </w:rPr>
              <w:t>5.00%</w:t>
            </w:r>
          </w:p>
        </w:tc>
        <w:tc>
          <w:tcPr>
            <w:tcW w:w="0" w:type="auto"/>
            <w:tcBorders>
              <w:top w:val="nil"/>
              <w:left w:val="nil"/>
              <w:bottom w:val="single" w:sz="4" w:space="0" w:color="auto"/>
              <w:right w:val="single" w:sz="4" w:space="0" w:color="auto"/>
            </w:tcBorders>
            <w:vAlign w:val="center"/>
            <w:hideMark/>
          </w:tcPr>
          <w:p w14:paraId="4CCB7A2C"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47.00%</w:t>
            </w:r>
          </w:p>
        </w:tc>
        <w:tc>
          <w:tcPr>
            <w:tcW w:w="0" w:type="auto"/>
            <w:tcBorders>
              <w:top w:val="nil"/>
              <w:left w:val="nil"/>
              <w:bottom w:val="single" w:sz="4" w:space="0" w:color="auto"/>
              <w:right w:val="single" w:sz="4" w:space="0" w:color="auto"/>
            </w:tcBorders>
            <w:vAlign w:val="center"/>
            <w:hideMark/>
          </w:tcPr>
          <w:p w14:paraId="351AC8D8"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30.80%</w:t>
            </w:r>
          </w:p>
        </w:tc>
        <w:tc>
          <w:tcPr>
            <w:tcW w:w="0" w:type="auto"/>
            <w:tcBorders>
              <w:top w:val="nil"/>
              <w:left w:val="nil"/>
              <w:bottom w:val="single" w:sz="4" w:space="0" w:color="auto"/>
              <w:right w:val="single" w:sz="4" w:space="0" w:color="auto"/>
            </w:tcBorders>
            <w:vAlign w:val="center"/>
            <w:hideMark/>
          </w:tcPr>
          <w:p w14:paraId="5F97DEA8"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17.00%</w:t>
            </w:r>
          </w:p>
        </w:tc>
        <w:tc>
          <w:tcPr>
            <w:tcW w:w="0" w:type="auto"/>
            <w:tcBorders>
              <w:top w:val="nil"/>
              <w:left w:val="nil"/>
              <w:bottom w:val="single" w:sz="4" w:space="0" w:color="auto"/>
              <w:right w:val="single" w:sz="4" w:space="0" w:color="auto"/>
            </w:tcBorders>
            <w:vAlign w:val="center"/>
            <w:hideMark/>
          </w:tcPr>
          <w:p w14:paraId="6045CB37"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0.30%</w:t>
            </w:r>
          </w:p>
        </w:tc>
        <w:tc>
          <w:tcPr>
            <w:tcW w:w="2293" w:type="dxa"/>
            <w:vMerge/>
            <w:tcBorders>
              <w:top w:val="nil"/>
              <w:left w:val="single" w:sz="4" w:space="0" w:color="auto"/>
              <w:bottom w:val="single" w:sz="4" w:space="0" w:color="auto"/>
              <w:right w:val="single" w:sz="4" w:space="0" w:color="auto"/>
            </w:tcBorders>
            <w:vAlign w:val="center"/>
            <w:hideMark/>
          </w:tcPr>
          <w:p w14:paraId="7091E44E"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F21B4A" w14:paraId="7AC9A6C7"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4E1FB63A"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319EA1F1"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0.99741</w:t>
            </w:r>
          </w:p>
        </w:tc>
        <w:tc>
          <w:tcPr>
            <w:tcW w:w="0" w:type="auto"/>
            <w:vMerge w:val="restart"/>
            <w:tcBorders>
              <w:top w:val="nil"/>
              <w:left w:val="single" w:sz="4" w:space="0" w:color="auto"/>
              <w:bottom w:val="single" w:sz="4" w:space="0" w:color="auto"/>
              <w:right w:val="single" w:sz="4" w:space="0" w:color="auto"/>
            </w:tcBorders>
            <w:vAlign w:val="center"/>
            <w:hideMark/>
          </w:tcPr>
          <w:p w14:paraId="2DB77058"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3.3875</w:t>
            </w:r>
          </w:p>
        </w:tc>
        <w:tc>
          <w:tcPr>
            <w:tcW w:w="0" w:type="auto"/>
            <w:tcBorders>
              <w:top w:val="nil"/>
              <w:left w:val="nil"/>
              <w:bottom w:val="single" w:sz="4" w:space="0" w:color="auto"/>
              <w:right w:val="single" w:sz="4" w:space="0" w:color="auto"/>
            </w:tcBorders>
            <w:vAlign w:val="center"/>
            <w:hideMark/>
          </w:tcPr>
          <w:p w14:paraId="715DB8FB"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38</w:t>
            </w:r>
          </w:p>
        </w:tc>
        <w:tc>
          <w:tcPr>
            <w:tcW w:w="0" w:type="auto"/>
            <w:tcBorders>
              <w:top w:val="nil"/>
              <w:left w:val="nil"/>
              <w:bottom w:val="single" w:sz="4" w:space="0" w:color="auto"/>
              <w:right w:val="single" w:sz="4" w:space="0" w:color="auto"/>
            </w:tcBorders>
            <w:vAlign w:val="center"/>
            <w:hideMark/>
          </w:tcPr>
          <w:p w14:paraId="338E6D4B"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171</w:t>
            </w:r>
          </w:p>
        </w:tc>
        <w:tc>
          <w:tcPr>
            <w:tcW w:w="0" w:type="auto"/>
            <w:tcBorders>
              <w:top w:val="nil"/>
              <w:left w:val="nil"/>
              <w:bottom w:val="single" w:sz="4" w:space="0" w:color="auto"/>
              <w:right w:val="single" w:sz="4" w:space="0" w:color="auto"/>
            </w:tcBorders>
            <w:vAlign w:val="center"/>
            <w:hideMark/>
          </w:tcPr>
          <w:p w14:paraId="7A03B6AD"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120</w:t>
            </w:r>
          </w:p>
        </w:tc>
        <w:tc>
          <w:tcPr>
            <w:tcW w:w="0" w:type="auto"/>
            <w:tcBorders>
              <w:top w:val="nil"/>
              <w:left w:val="nil"/>
              <w:bottom w:val="single" w:sz="4" w:space="0" w:color="auto"/>
              <w:right w:val="single" w:sz="4" w:space="0" w:color="auto"/>
            </w:tcBorders>
            <w:vAlign w:val="center"/>
            <w:hideMark/>
          </w:tcPr>
          <w:p w14:paraId="7B840248"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50</w:t>
            </w:r>
          </w:p>
        </w:tc>
        <w:tc>
          <w:tcPr>
            <w:tcW w:w="0" w:type="auto"/>
            <w:tcBorders>
              <w:top w:val="nil"/>
              <w:left w:val="nil"/>
              <w:bottom w:val="single" w:sz="4" w:space="0" w:color="auto"/>
              <w:right w:val="single" w:sz="4" w:space="0" w:color="auto"/>
            </w:tcBorders>
            <w:vAlign w:val="center"/>
            <w:hideMark/>
          </w:tcPr>
          <w:p w14:paraId="125872AE"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21</w:t>
            </w:r>
          </w:p>
        </w:tc>
        <w:tc>
          <w:tcPr>
            <w:tcW w:w="2293" w:type="dxa"/>
            <w:vMerge w:val="restart"/>
            <w:tcBorders>
              <w:top w:val="nil"/>
              <w:left w:val="single" w:sz="4" w:space="0" w:color="auto"/>
              <w:bottom w:val="single" w:sz="4" w:space="0" w:color="auto"/>
              <w:right w:val="single" w:sz="4" w:space="0" w:color="auto"/>
            </w:tcBorders>
            <w:shd w:val="clear" w:color="000000" w:fill="DAF1F3"/>
            <w:vAlign w:val="center"/>
            <w:hideMark/>
          </w:tcPr>
          <w:p w14:paraId="66342DB0"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rtl/>
                <w14:ligatures w14:val="none"/>
              </w:rPr>
              <w:t>34. أبحث عن حلول مبتكرة للتحديات اليومية.</w:t>
            </w:r>
          </w:p>
        </w:tc>
      </w:tr>
      <w:tr w:rsidR="00793DFB" w:rsidRPr="00F21B4A" w14:paraId="3A1C60CD"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25102B70"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85F2700"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568177E"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355A3D93" w14:textId="77777777" w:rsidR="00793DFB" w:rsidRPr="00F21B4A" w:rsidRDefault="00793DFB" w:rsidP="009F1C88">
            <w:pPr>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14:ligatures w14:val="none"/>
              </w:rPr>
              <w:t>9.50%</w:t>
            </w:r>
          </w:p>
        </w:tc>
        <w:tc>
          <w:tcPr>
            <w:tcW w:w="0" w:type="auto"/>
            <w:tcBorders>
              <w:top w:val="nil"/>
              <w:left w:val="nil"/>
              <w:bottom w:val="single" w:sz="4" w:space="0" w:color="auto"/>
              <w:right w:val="single" w:sz="4" w:space="0" w:color="auto"/>
            </w:tcBorders>
            <w:vAlign w:val="center"/>
            <w:hideMark/>
          </w:tcPr>
          <w:p w14:paraId="61F91388"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42.80%</w:t>
            </w:r>
          </w:p>
        </w:tc>
        <w:tc>
          <w:tcPr>
            <w:tcW w:w="0" w:type="auto"/>
            <w:tcBorders>
              <w:top w:val="nil"/>
              <w:left w:val="nil"/>
              <w:bottom w:val="single" w:sz="4" w:space="0" w:color="auto"/>
              <w:right w:val="single" w:sz="4" w:space="0" w:color="auto"/>
            </w:tcBorders>
            <w:vAlign w:val="center"/>
            <w:hideMark/>
          </w:tcPr>
          <w:p w14:paraId="2B6F2E29"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30.00%</w:t>
            </w:r>
          </w:p>
        </w:tc>
        <w:tc>
          <w:tcPr>
            <w:tcW w:w="0" w:type="auto"/>
            <w:tcBorders>
              <w:top w:val="nil"/>
              <w:left w:val="nil"/>
              <w:bottom w:val="single" w:sz="4" w:space="0" w:color="auto"/>
              <w:right w:val="single" w:sz="4" w:space="0" w:color="auto"/>
            </w:tcBorders>
            <w:vAlign w:val="center"/>
            <w:hideMark/>
          </w:tcPr>
          <w:p w14:paraId="634AA7FE"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12.50%</w:t>
            </w:r>
          </w:p>
        </w:tc>
        <w:tc>
          <w:tcPr>
            <w:tcW w:w="0" w:type="auto"/>
            <w:tcBorders>
              <w:top w:val="nil"/>
              <w:left w:val="nil"/>
              <w:bottom w:val="single" w:sz="4" w:space="0" w:color="auto"/>
              <w:right w:val="single" w:sz="4" w:space="0" w:color="auto"/>
            </w:tcBorders>
            <w:vAlign w:val="center"/>
            <w:hideMark/>
          </w:tcPr>
          <w:p w14:paraId="421BB7F4"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5.30%</w:t>
            </w:r>
          </w:p>
        </w:tc>
        <w:tc>
          <w:tcPr>
            <w:tcW w:w="2293" w:type="dxa"/>
            <w:vMerge/>
            <w:tcBorders>
              <w:top w:val="nil"/>
              <w:left w:val="single" w:sz="4" w:space="0" w:color="auto"/>
              <w:bottom w:val="single" w:sz="4" w:space="0" w:color="auto"/>
              <w:right w:val="single" w:sz="4" w:space="0" w:color="auto"/>
            </w:tcBorders>
            <w:vAlign w:val="center"/>
            <w:hideMark/>
          </w:tcPr>
          <w:p w14:paraId="3C6CEF12"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F21B4A" w14:paraId="023717BE"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6DBA7B73"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261EE8F5"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1.1318</w:t>
            </w:r>
          </w:p>
        </w:tc>
        <w:tc>
          <w:tcPr>
            <w:tcW w:w="0" w:type="auto"/>
            <w:vMerge w:val="restart"/>
            <w:tcBorders>
              <w:top w:val="nil"/>
              <w:left w:val="single" w:sz="4" w:space="0" w:color="auto"/>
              <w:bottom w:val="single" w:sz="4" w:space="0" w:color="auto"/>
              <w:right w:val="single" w:sz="4" w:space="0" w:color="auto"/>
            </w:tcBorders>
            <w:vAlign w:val="center"/>
            <w:hideMark/>
          </w:tcPr>
          <w:p w14:paraId="0ADBD45A"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3.415</w:t>
            </w:r>
          </w:p>
        </w:tc>
        <w:tc>
          <w:tcPr>
            <w:tcW w:w="0" w:type="auto"/>
            <w:tcBorders>
              <w:top w:val="nil"/>
              <w:left w:val="nil"/>
              <w:bottom w:val="single" w:sz="4" w:space="0" w:color="auto"/>
              <w:right w:val="single" w:sz="4" w:space="0" w:color="auto"/>
            </w:tcBorders>
            <w:vAlign w:val="center"/>
            <w:hideMark/>
          </w:tcPr>
          <w:p w14:paraId="2E6E2FE7"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63</w:t>
            </w:r>
          </w:p>
        </w:tc>
        <w:tc>
          <w:tcPr>
            <w:tcW w:w="0" w:type="auto"/>
            <w:tcBorders>
              <w:top w:val="nil"/>
              <w:left w:val="nil"/>
              <w:bottom w:val="single" w:sz="4" w:space="0" w:color="auto"/>
              <w:right w:val="single" w:sz="4" w:space="0" w:color="auto"/>
            </w:tcBorders>
            <w:vAlign w:val="center"/>
            <w:hideMark/>
          </w:tcPr>
          <w:p w14:paraId="54307507"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150</w:t>
            </w:r>
          </w:p>
        </w:tc>
        <w:tc>
          <w:tcPr>
            <w:tcW w:w="0" w:type="auto"/>
            <w:tcBorders>
              <w:top w:val="nil"/>
              <w:left w:val="nil"/>
              <w:bottom w:val="single" w:sz="4" w:space="0" w:color="auto"/>
              <w:right w:val="single" w:sz="4" w:space="0" w:color="auto"/>
            </w:tcBorders>
            <w:vAlign w:val="center"/>
            <w:hideMark/>
          </w:tcPr>
          <w:p w14:paraId="62066BA7"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111</w:t>
            </w:r>
          </w:p>
        </w:tc>
        <w:tc>
          <w:tcPr>
            <w:tcW w:w="0" w:type="auto"/>
            <w:tcBorders>
              <w:top w:val="nil"/>
              <w:left w:val="nil"/>
              <w:bottom w:val="single" w:sz="4" w:space="0" w:color="auto"/>
              <w:right w:val="single" w:sz="4" w:space="0" w:color="auto"/>
            </w:tcBorders>
            <w:vAlign w:val="center"/>
            <w:hideMark/>
          </w:tcPr>
          <w:p w14:paraId="2B5CC4E7"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42</w:t>
            </w:r>
          </w:p>
        </w:tc>
        <w:tc>
          <w:tcPr>
            <w:tcW w:w="0" w:type="auto"/>
            <w:tcBorders>
              <w:top w:val="nil"/>
              <w:left w:val="nil"/>
              <w:bottom w:val="single" w:sz="4" w:space="0" w:color="auto"/>
              <w:right w:val="single" w:sz="4" w:space="0" w:color="auto"/>
            </w:tcBorders>
            <w:vAlign w:val="center"/>
            <w:hideMark/>
          </w:tcPr>
          <w:p w14:paraId="20FAA697"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34</w:t>
            </w:r>
          </w:p>
        </w:tc>
        <w:tc>
          <w:tcPr>
            <w:tcW w:w="2293" w:type="dxa"/>
            <w:vMerge w:val="restart"/>
            <w:tcBorders>
              <w:top w:val="nil"/>
              <w:left w:val="single" w:sz="4" w:space="0" w:color="auto"/>
              <w:bottom w:val="single" w:sz="4" w:space="0" w:color="auto"/>
              <w:right w:val="single" w:sz="4" w:space="0" w:color="auto"/>
            </w:tcBorders>
            <w:shd w:val="clear" w:color="000000" w:fill="DAF1F3"/>
            <w:vAlign w:val="center"/>
            <w:hideMark/>
          </w:tcPr>
          <w:p w14:paraId="4AD5AC12"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rtl/>
                <w14:ligatures w14:val="none"/>
              </w:rPr>
              <w:t>35. أشارك في تطوير الخدمات أو العمليات في مؤسستي.</w:t>
            </w:r>
          </w:p>
        </w:tc>
      </w:tr>
      <w:tr w:rsidR="00793DFB" w:rsidRPr="00F21B4A" w14:paraId="0312B62F"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16968867"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7FB89A0"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7DB7E10"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3A801BD5" w14:textId="77777777" w:rsidR="00793DFB" w:rsidRPr="00F21B4A" w:rsidRDefault="00793DFB" w:rsidP="009F1C88">
            <w:pPr>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14:ligatures w14:val="none"/>
              </w:rPr>
              <w:t>15.80%</w:t>
            </w:r>
          </w:p>
        </w:tc>
        <w:tc>
          <w:tcPr>
            <w:tcW w:w="0" w:type="auto"/>
            <w:tcBorders>
              <w:top w:val="nil"/>
              <w:left w:val="nil"/>
              <w:bottom w:val="single" w:sz="4" w:space="0" w:color="auto"/>
              <w:right w:val="single" w:sz="4" w:space="0" w:color="auto"/>
            </w:tcBorders>
            <w:vAlign w:val="center"/>
            <w:hideMark/>
          </w:tcPr>
          <w:p w14:paraId="5FB88322"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37.50%</w:t>
            </w:r>
          </w:p>
        </w:tc>
        <w:tc>
          <w:tcPr>
            <w:tcW w:w="0" w:type="auto"/>
            <w:tcBorders>
              <w:top w:val="nil"/>
              <w:left w:val="nil"/>
              <w:bottom w:val="single" w:sz="4" w:space="0" w:color="auto"/>
              <w:right w:val="single" w:sz="4" w:space="0" w:color="auto"/>
            </w:tcBorders>
            <w:vAlign w:val="center"/>
            <w:hideMark/>
          </w:tcPr>
          <w:p w14:paraId="448B9780"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27.80%</w:t>
            </w:r>
          </w:p>
        </w:tc>
        <w:tc>
          <w:tcPr>
            <w:tcW w:w="0" w:type="auto"/>
            <w:tcBorders>
              <w:top w:val="nil"/>
              <w:left w:val="nil"/>
              <w:bottom w:val="single" w:sz="4" w:space="0" w:color="auto"/>
              <w:right w:val="single" w:sz="4" w:space="0" w:color="auto"/>
            </w:tcBorders>
            <w:vAlign w:val="center"/>
            <w:hideMark/>
          </w:tcPr>
          <w:p w14:paraId="3A3FF5C6"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10.50%</w:t>
            </w:r>
          </w:p>
        </w:tc>
        <w:tc>
          <w:tcPr>
            <w:tcW w:w="0" w:type="auto"/>
            <w:tcBorders>
              <w:top w:val="nil"/>
              <w:left w:val="nil"/>
              <w:bottom w:val="single" w:sz="4" w:space="0" w:color="auto"/>
              <w:right w:val="single" w:sz="4" w:space="0" w:color="auto"/>
            </w:tcBorders>
            <w:vAlign w:val="center"/>
            <w:hideMark/>
          </w:tcPr>
          <w:p w14:paraId="42C47277"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8.50%</w:t>
            </w:r>
          </w:p>
        </w:tc>
        <w:tc>
          <w:tcPr>
            <w:tcW w:w="2293" w:type="dxa"/>
            <w:vMerge/>
            <w:tcBorders>
              <w:top w:val="nil"/>
              <w:left w:val="single" w:sz="4" w:space="0" w:color="auto"/>
              <w:bottom w:val="single" w:sz="4" w:space="0" w:color="auto"/>
              <w:right w:val="single" w:sz="4" w:space="0" w:color="auto"/>
            </w:tcBorders>
            <w:vAlign w:val="center"/>
            <w:hideMark/>
          </w:tcPr>
          <w:p w14:paraId="0568084A"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F21B4A" w14:paraId="381F1403"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7FE3DE7F"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63DB9B88"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1.04982</w:t>
            </w:r>
          </w:p>
        </w:tc>
        <w:tc>
          <w:tcPr>
            <w:tcW w:w="0" w:type="auto"/>
            <w:vMerge w:val="restart"/>
            <w:tcBorders>
              <w:top w:val="nil"/>
              <w:left w:val="single" w:sz="4" w:space="0" w:color="auto"/>
              <w:bottom w:val="single" w:sz="4" w:space="0" w:color="auto"/>
              <w:right w:val="single" w:sz="4" w:space="0" w:color="auto"/>
            </w:tcBorders>
            <w:vAlign w:val="center"/>
            <w:hideMark/>
          </w:tcPr>
          <w:p w14:paraId="7AEAA8D0"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3.525</w:t>
            </w:r>
          </w:p>
        </w:tc>
        <w:tc>
          <w:tcPr>
            <w:tcW w:w="0" w:type="auto"/>
            <w:tcBorders>
              <w:top w:val="nil"/>
              <w:left w:val="nil"/>
              <w:bottom w:val="single" w:sz="4" w:space="0" w:color="auto"/>
              <w:right w:val="single" w:sz="4" w:space="0" w:color="auto"/>
            </w:tcBorders>
            <w:vAlign w:val="center"/>
            <w:hideMark/>
          </w:tcPr>
          <w:p w14:paraId="175B2FCC"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66</w:t>
            </w:r>
          </w:p>
        </w:tc>
        <w:tc>
          <w:tcPr>
            <w:tcW w:w="0" w:type="auto"/>
            <w:tcBorders>
              <w:top w:val="nil"/>
              <w:left w:val="nil"/>
              <w:bottom w:val="single" w:sz="4" w:space="0" w:color="auto"/>
              <w:right w:val="single" w:sz="4" w:space="0" w:color="auto"/>
            </w:tcBorders>
            <w:vAlign w:val="center"/>
            <w:hideMark/>
          </w:tcPr>
          <w:p w14:paraId="20455EE2"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164</w:t>
            </w:r>
          </w:p>
        </w:tc>
        <w:tc>
          <w:tcPr>
            <w:tcW w:w="0" w:type="auto"/>
            <w:tcBorders>
              <w:top w:val="nil"/>
              <w:left w:val="nil"/>
              <w:bottom w:val="single" w:sz="4" w:space="0" w:color="auto"/>
              <w:right w:val="single" w:sz="4" w:space="0" w:color="auto"/>
            </w:tcBorders>
            <w:vAlign w:val="center"/>
            <w:hideMark/>
          </w:tcPr>
          <w:p w14:paraId="2055B94E"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102</w:t>
            </w:r>
          </w:p>
        </w:tc>
        <w:tc>
          <w:tcPr>
            <w:tcW w:w="0" w:type="auto"/>
            <w:tcBorders>
              <w:top w:val="nil"/>
              <w:left w:val="nil"/>
              <w:bottom w:val="single" w:sz="4" w:space="0" w:color="auto"/>
              <w:right w:val="single" w:sz="4" w:space="0" w:color="auto"/>
            </w:tcBorders>
            <w:vAlign w:val="center"/>
            <w:hideMark/>
          </w:tcPr>
          <w:p w14:paraId="13B29777"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50</w:t>
            </w:r>
          </w:p>
        </w:tc>
        <w:tc>
          <w:tcPr>
            <w:tcW w:w="0" w:type="auto"/>
            <w:tcBorders>
              <w:top w:val="nil"/>
              <w:left w:val="nil"/>
              <w:bottom w:val="single" w:sz="4" w:space="0" w:color="auto"/>
              <w:right w:val="single" w:sz="4" w:space="0" w:color="auto"/>
            </w:tcBorders>
            <w:vAlign w:val="center"/>
            <w:hideMark/>
          </w:tcPr>
          <w:p w14:paraId="45697790"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18</w:t>
            </w:r>
          </w:p>
        </w:tc>
        <w:tc>
          <w:tcPr>
            <w:tcW w:w="2293" w:type="dxa"/>
            <w:vMerge w:val="restart"/>
            <w:tcBorders>
              <w:top w:val="nil"/>
              <w:left w:val="single" w:sz="4" w:space="0" w:color="auto"/>
              <w:bottom w:val="single" w:sz="4" w:space="0" w:color="auto"/>
              <w:right w:val="single" w:sz="4" w:space="0" w:color="auto"/>
            </w:tcBorders>
            <w:shd w:val="clear" w:color="000000" w:fill="DAF1F3"/>
            <w:vAlign w:val="center"/>
            <w:hideMark/>
          </w:tcPr>
          <w:p w14:paraId="7A1CA627"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rtl/>
                <w14:ligatures w14:val="none"/>
              </w:rPr>
              <w:t>36. أُظهر استعدادًا لتجربة أساليب جديدة في أداء مهامي.</w:t>
            </w:r>
          </w:p>
        </w:tc>
      </w:tr>
      <w:tr w:rsidR="00793DFB" w:rsidRPr="00F21B4A" w14:paraId="67D19F3F"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1B4F9C05"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82138FE"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0D944590"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0C3D5E43" w14:textId="77777777" w:rsidR="00793DFB" w:rsidRPr="00F21B4A" w:rsidRDefault="00793DFB" w:rsidP="009F1C88">
            <w:pPr>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14:ligatures w14:val="none"/>
              </w:rPr>
              <w:t>16.50%</w:t>
            </w:r>
          </w:p>
        </w:tc>
        <w:tc>
          <w:tcPr>
            <w:tcW w:w="0" w:type="auto"/>
            <w:tcBorders>
              <w:top w:val="nil"/>
              <w:left w:val="nil"/>
              <w:bottom w:val="single" w:sz="4" w:space="0" w:color="auto"/>
              <w:right w:val="single" w:sz="4" w:space="0" w:color="auto"/>
            </w:tcBorders>
            <w:vAlign w:val="center"/>
            <w:hideMark/>
          </w:tcPr>
          <w:p w14:paraId="2955E59E"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41.00%</w:t>
            </w:r>
          </w:p>
        </w:tc>
        <w:tc>
          <w:tcPr>
            <w:tcW w:w="0" w:type="auto"/>
            <w:tcBorders>
              <w:top w:val="nil"/>
              <w:left w:val="nil"/>
              <w:bottom w:val="single" w:sz="4" w:space="0" w:color="auto"/>
              <w:right w:val="single" w:sz="4" w:space="0" w:color="auto"/>
            </w:tcBorders>
            <w:vAlign w:val="center"/>
            <w:hideMark/>
          </w:tcPr>
          <w:p w14:paraId="5F56977E"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25.50%</w:t>
            </w:r>
          </w:p>
        </w:tc>
        <w:tc>
          <w:tcPr>
            <w:tcW w:w="0" w:type="auto"/>
            <w:tcBorders>
              <w:top w:val="nil"/>
              <w:left w:val="nil"/>
              <w:bottom w:val="single" w:sz="4" w:space="0" w:color="auto"/>
              <w:right w:val="single" w:sz="4" w:space="0" w:color="auto"/>
            </w:tcBorders>
            <w:vAlign w:val="center"/>
            <w:hideMark/>
          </w:tcPr>
          <w:p w14:paraId="17FEA65A"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12.50%</w:t>
            </w:r>
          </w:p>
        </w:tc>
        <w:tc>
          <w:tcPr>
            <w:tcW w:w="0" w:type="auto"/>
            <w:tcBorders>
              <w:top w:val="nil"/>
              <w:left w:val="nil"/>
              <w:bottom w:val="single" w:sz="4" w:space="0" w:color="auto"/>
              <w:right w:val="single" w:sz="4" w:space="0" w:color="auto"/>
            </w:tcBorders>
            <w:vAlign w:val="center"/>
            <w:hideMark/>
          </w:tcPr>
          <w:p w14:paraId="1F407B8D"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4.50%</w:t>
            </w:r>
          </w:p>
        </w:tc>
        <w:tc>
          <w:tcPr>
            <w:tcW w:w="2293" w:type="dxa"/>
            <w:vMerge/>
            <w:tcBorders>
              <w:top w:val="nil"/>
              <w:left w:val="single" w:sz="4" w:space="0" w:color="auto"/>
              <w:bottom w:val="single" w:sz="4" w:space="0" w:color="auto"/>
              <w:right w:val="single" w:sz="4" w:space="0" w:color="auto"/>
            </w:tcBorders>
            <w:vAlign w:val="center"/>
            <w:hideMark/>
          </w:tcPr>
          <w:p w14:paraId="07D09430"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F21B4A" w14:paraId="4507D705"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6FD71B5C"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2A4192B5"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1.05683</w:t>
            </w:r>
          </w:p>
        </w:tc>
        <w:tc>
          <w:tcPr>
            <w:tcW w:w="0" w:type="auto"/>
            <w:vMerge w:val="restart"/>
            <w:tcBorders>
              <w:top w:val="nil"/>
              <w:left w:val="single" w:sz="4" w:space="0" w:color="auto"/>
              <w:bottom w:val="single" w:sz="4" w:space="0" w:color="auto"/>
              <w:right w:val="single" w:sz="4" w:space="0" w:color="auto"/>
            </w:tcBorders>
            <w:vAlign w:val="center"/>
            <w:hideMark/>
          </w:tcPr>
          <w:p w14:paraId="30A5EE04"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3.47</w:t>
            </w:r>
          </w:p>
        </w:tc>
        <w:tc>
          <w:tcPr>
            <w:tcW w:w="0" w:type="auto"/>
            <w:tcBorders>
              <w:top w:val="nil"/>
              <w:left w:val="nil"/>
              <w:bottom w:val="single" w:sz="4" w:space="0" w:color="auto"/>
              <w:right w:val="single" w:sz="4" w:space="0" w:color="auto"/>
            </w:tcBorders>
            <w:vAlign w:val="center"/>
            <w:hideMark/>
          </w:tcPr>
          <w:p w14:paraId="68A8D522"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53</w:t>
            </w:r>
          </w:p>
        </w:tc>
        <w:tc>
          <w:tcPr>
            <w:tcW w:w="0" w:type="auto"/>
            <w:tcBorders>
              <w:top w:val="nil"/>
              <w:left w:val="nil"/>
              <w:bottom w:val="single" w:sz="4" w:space="0" w:color="auto"/>
              <w:right w:val="single" w:sz="4" w:space="0" w:color="auto"/>
            </w:tcBorders>
            <w:vAlign w:val="center"/>
            <w:hideMark/>
          </w:tcPr>
          <w:p w14:paraId="300576B5"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176</w:t>
            </w:r>
          </w:p>
        </w:tc>
        <w:tc>
          <w:tcPr>
            <w:tcW w:w="0" w:type="auto"/>
            <w:tcBorders>
              <w:top w:val="nil"/>
              <w:left w:val="nil"/>
              <w:bottom w:val="single" w:sz="4" w:space="0" w:color="auto"/>
              <w:right w:val="single" w:sz="4" w:space="0" w:color="auto"/>
            </w:tcBorders>
            <w:vAlign w:val="center"/>
            <w:hideMark/>
          </w:tcPr>
          <w:p w14:paraId="5CA7D32C"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103</w:t>
            </w:r>
          </w:p>
        </w:tc>
        <w:tc>
          <w:tcPr>
            <w:tcW w:w="0" w:type="auto"/>
            <w:tcBorders>
              <w:top w:val="nil"/>
              <w:left w:val="nil"/>
              <w:bottom w:val="single" w:sz="4" w:space="0" w:color="auto"/>
              <w:right w:val="single" w:sz="4" w:space="0" w:color="auto"/>
            </w:tcBorders>
            <w:vAlign w:val="center"/>
            <w:hideMark/>
          </w:tcPr>
          <w:p w14:paraId="2D5D1B86"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42</w:t>
            </w:r>
          </w:p>
        </w:tc>
        <w:tc>
          <w:tcPr>
            <w:tcW w:w="0" w:type="auto"/>
            <w:tcBorders>
              <w:top w:val="nil"/>
              <w:left w:val="nil"/>
              <w:bottom w:val="single" w:sz="4" w:space="0" w:color="auto"/>
              <w:right w:val="single" w:sz="4" w:space="0" w:color="auto"/>
            </w:tcBorders>
            <w:vAlign w:val="center"/>
            <w:hideMark/>
          </w:tcPr>
          <w:p w14:paraId="67F5A3AB"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26</w:t>
            </w:r>
          </w:p>
        </w:tc>
        <w:tc>
          <w:tcPr>
            <w:tcW w:w="2293" w:type="dxa"/>
            <w:vMerge w:val="restart"/>
            <w:tcBorders>
              <w:top w:val="nil"/>
              <w:left w:val="single" w:sz="4" w:space="0" w:color="auto"/>
              <w:bottom w:val="single" w:sz="4" w:space="0" w:color="auto"/>
              <w:right w:val="single" w:sz="4" w:space="0" w:color="auto"/>
            </w:tcBorders>
            <w:shd w:val="clear" w:color="000000" w:fill="DAF1F3"/>
            <w:vAlign w:val="center"/>
            <w:hideMark/>
          </w:tcPr>
          <w:p w14:paraId="5594B59B"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rtl/>
                <w14:ligatures w14:val="none"/>
              </w:rPr>
              <w:t>37. أساهم في تنفيذ الأفكار الجديدة وتحويلها إلى واقع عملي.</w:t>
            </w:r>
          </w:p>
        </w:tc>
      </w:tr>
      <w:tr w:rsidR="00793DFB" w:rsidRPr="00F21B4A" w14:paraId="28C07A94"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58D0C13E"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B924CFA"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69FEA6A"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0FF0A4F3" w14:textId="77777777" w:rsidR="00793DFB" w:rsidRPr="00F21B4A" w:rsidRDefault="00793DFB" w:rsidP="009F1C88">
            <w:pPr>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14:ligatures w14:val="none"/>
              </w:rPr>
              <w:t>13.30%</w:t>
            </w:r>
          </w:p>
        </w:tc>
        <w:tc>
          <w:tcPr>
            <w:tcW w:w="0" w:type="auto"/>
            <w:tcBorders>
              <w:top w:val="nil"/>
              <w:left w:val="nil"/>
              <w:bottom w:val="single" w:sz="4" w:space="0" w:color="auto"/>
              <w:right w:val="single" w:sz="4" w:space="0" w:color="auto"/>
            </w:tcBorders>
            <w:vAlign w:val="center"/>
            <w:hideMark/>
          </w:tcPr>
          <w:p w14:paraId="1DF4B9D9"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44.00%</w:t>
            </w:r>
          </w:p>
        </w:tc>
        <w:tc>
          <w:tcPr>
            <w:tcW w:w="0" w:type="auto"/>
            <w:tcBorders>
              <w:top w:val="nil"/>
              <w:left w:val="nil"/>
              <w:bottom w:val="single" w:sz="4" w:space="0" w:color="auto"/>
              <w:right w:val="single" w:sz="4" w:space="0" w:color="auto"/>
            </w:tcBorders>
            <w:vAlign w:val="center"/>
            <w:hideMark/>
          </w:tcPr>
          <w:p w14:paraId="508A7CD1"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25.80%</w:t>
            </w:r>
          </w:p>
        </w:tc>
        <w:tc>
          <w:tcPr>
            <w:tcW w:w="0" w:type="auto"/>
            <w:tcBorders>
              <w:top w:val="nil"/>
              <w:left w:val="nil"/>
              <w:bottom w:val="single" w:sz="4" w:space="0" w:color="auto"/>
              <w:right w:val="single" w:sz="4" w:space="0" w:color="auto"/>
            </w:tcBorders>
            <w:vAlign w:val="center"/>
            <w:hideMark/>
          </w:tcPr>
          <w:p w14:paraId="6BE34699"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10.50%</w:t>
            </w:r>
          </w:p>
        </w:tc>
        <w:tc>
          <w:tcPr>
            <w:tcW w:w="0" w:type="auto"/>
            <w:tcBorders>
              <w:top w:val="nil"/>
              <w:left w:val="nil"/>
              <w:bottom w:val="single" w:sz="4" w:space="0" w:color="auto"/>
              <w:right w:val="single" w:sz="4" w:space="0" w:color="auto"/>
            </w:tcBorders>
            <w:vAlign w:val="center"/>
            <w:hideMark/>
          </w:tcPr>
          <w:p w14:paraId="09185246"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6.50%</w:t>
            </w:r>
          </w:p>
        </w:tc>
        <w:tc>
          <w:tcPr>
            <w:tcW w:w="2293" w:type="dxa"/>
            <w:vMerge/>
            <w:tcBorders>
              <w:top w:val="nil"/>
              <w:left w:val="single" w:sz="4" w:space="0" w:color="auto"/>
              <w:bottom w:val="single" w:sz="4" w:space="0" w:color="auto"/>
              <w:right w:val="single" w:sz="4" w:space="0" w:color="auto"/>
            </w:tcBorders>
            <w:vAlign w:val="center"/>
            <w:hideMark/>
          </w:tcPr>
          <w:p w14:paraId="0518F01F"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F21B4A" w14:paraId="2FB61146"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7B2B44C5"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45FA44EF"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1.02834</w:t>
            </w:r>
          </w:p>
        </w:tc>
        <w:tc>
          <w:tcPr>
            <w:tcW w:w="0" w:type="auto"/>
            <w:vMerge w:val="restart"/>
            <w:tcBorders>
              <w:top w:val="nil"/>
              <w:left w:val="single" w:sz="4" w:space="0" w:color="auto"/>
              <w:bottom w:val="single" w:sz="4" w:space="0" w:color="auto"/>
              <w:right w:val="single" w:sz="4" w:space="0" w:color="auto"/>
            </w:tcBorders>
            <w:vAlign w:val="center"/>
            <w:hideMark/>
          </w:tcPr>
          <w:p w14:paraId="2D3358F8"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3.5125</w:t>
            </w:r>
          </w:p>
        </w:tc>
        <w:tc>
          <w:tcPr>
            <w:tcW w:w="0" w:type="auto"/>
            <w:tcBorders>
              <w:top w:val="nil"/>
              <w:left w:val="nil"/>
              <w:bottom w:val="single" w:sz="4" w:space="0" w:color="auto"/>
              <w:right w:val="single" w:sz="4" w:space="0" w:color="auto"/>
            </w:tcBorders>
            <w:vAlign w:val="center"/>
            <w:hideMark/>
          </w:tcPr>
          <w:p w14:paraId="25E8FB43"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56</w:t>
            </w:r>
          </w:p>
        </w:tc>
        <w:tc>
          <w:tcPr>
            <w:tcW w:w="0" w:type="auto"/>
            <w:tcBorders>
              <w:top w:val="nil"/>
              <w:left w:val="nil"/>
              <w:bottom w:val="single" w:sz="4" w:space="0" w:color="auto"/>
              <w:right w:val="single" w:sz="4" w:space="0" w:color="auto"/>
            </w:tcBorders>
            <w:vAlign w:val="center"/>
            <w:hideMark/>
          </w:tcPr>
          <w:p w14:paraId="75FBF2A8"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178</w:t>
            </w:r>
          </w:p>
        </w:tc>
        <w:tc>
          <w:tcPr>
            <w:tcW w:w="0" w:type="auto"/>
            <w:tcBorders>
              <w:top w:val="nil"/>
              <w:left w:val="nil"/>
              <w:bottom w:val="single" w:sz="4" w:space="0" w:color="auto"/>
              <w:right w:val="single" w:sz="4" w:space="0" w:color="auto"/>
            </w:tcBorders>
            <w:vAlign w:val="center"/>
            <w:hideMark/>
          </w:tcPr>
          <w:p w14:paraId="5D991582"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101</w:t>
            </w:r>
          </w:p>
        </w:tc>
        <w:tc>
          <w:tcPr>
            <w:tcW w:w="0" w:type="auto"/>
            <w:tcBorders>
              <w:top w:val="nil"/>
              <w:left w:val="nil"/>
              <w:bottom w:val="single" w:sz="4" w:space="0" w:color="auto"/>
              <w:right w:val="single" w:sz="4" w:space="0" w:color="auto"/>
            </w:tcBorders>
            <w:vAlign w:val="center"/>
            <w:hideMark/>
          </w:tcPr>
          <w:p w14:paraId="54DB0D71"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45</w:t>
            </w:r>
          </w:p>
        </w:tc>
        <w:tc>
          <w:tcPr>
            <w:tcW w:w="0" w:type="auto"/>
            <w:tcBorders>
              <w:top w:val="nil"/>
              <w:left w:val="nil"/>
              <w:bottom w:val="single" w:sz="4" w:space="0" w:color="auto"/>
              <w:right w:val="single" w:sz="4" w:space="0" w:color="auto"/>
            </w:tcBorders>
            <w:vAlign w:val="center"/>
            <w:hideMark/>
          </w:tcPr>
          <w:p w14:paraId="729F937F"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20</w:t>
            </w:r>
          </w:p>
        </w:tc>
        <w:tc>
          <w:tcPr>
            <w:tcW w:w="2293" w:type="dxa"/>
            <w:vMerge w:val="restart"/>
            <w:tcBorders>
              <w:top w:val="nil"/>
              <w:left w:val="single" w:sz="4" w:space="0" w:color="auto"/>
              <w:bottom w:val="single" w:sz="4" w:space="0" w:color="auto"/>
              <w:right w:val="single" w:sz="4" w:space="0" w:color="auto"/>
            </w:tcBorders>
            <w:shd w:val="clear" w:color="000000" w:fill="DAF1F3"/>
            <w:vAlign w:val="center"/>
            <w:hideMark/>
          </w:tcPr>
          <w:p w14:paraId="6EEA5B1B"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rtl/>
                <w14:ligatures w14:val="none"/>
              </w:rPr>
              <w:t>38. أعمل على تحسين جودة الخدمات المقدّمة من خلال الابتكار.</w:t>
            </w:r>
          </w:p>
        </w:tc>
      </w:tr>
      <w:tr w:rsidR="00793DFB" w:rsidRPr="00F21B4A" w14:paraId="2F9D91E6"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76C164A5"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43F1350"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2D4CA31"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285D8375" w14:textId="77777777" w:rsidR="00793DFB" w:rsidRPr="00F21B4A" w:rsidRDefault="00793DFB" w:rsidP="009F1C88">
            <w:pPr>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14:ligatures w14:val="none"/>
              </w:rPr>
              <w:t>14.00%</w:t>
            </w:r>
          </w:p>
        </w:tc>
        <w:tc>
          <w:tcPr>
            <w:tcW w:w="0" w:type="auto"/>
            <w:tcBorders>
              <w:top w:val="nil"/>
              <w:left w:val="nil"/>
              <w:bottom w:val="single" w:sz="4" w:space="0" w:color="auto"/>
              <w:right w:val="single" w:sz="4" w:space="0" w:color="auto"/>
            </w:tcBorders>
            <w:vAlign w:val="center"/>
            <w:hideMark/>
          </w:tcPr>
          <w:p w14:paraId="2688E830"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44.50%</w:t>
            </w:r>
          </w:p>
        </w:tc>
        <w:tc>
          <w:tcPr>
            <w:tcW w:w="0" w:type="auto"/>
            <w:tcBorders>
              <w:top w:val="nil"/>
              <w:left w:val="nil"/>
              <w:bottom w:val="single" w:sz="4" w:space="0" w:color="auto"/>
              <w:right w:val="single" w:sz="4" w:space="0" w:color="auto"/>
            </w:tcBorders>
            <w:vAlign w:val="center"/>
            <w:hideMark/>
          </w:tcPr>
          <w:p w14:paraId="6D403441"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25.30%</w:t>
            </w:r>
          </w:p>
        </w:tc>
        <w:tc>
          <w:tcPr>
            <w:tcW w:w="0" w:type="auto"/>
            <w:tcBorders>
              <w:top w:val="nil"/>
              <w:left w:val="nil"/>
              <w:bottom w:val="single" w:sz="4" w:space="0" w:color="auto"/>
              <w:right w:val="single" w:sz="4" w:space="0" w:color="auto"/>
            </w:tcBorders>
            <w:vAlign w:val="center"/>
            <w:hideMark/>
          </w:tcPr>
          <w:p w14:paraId="53219201"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11.30%</w:t>
            </w:r>
          </w:p>
        </w:tc>
        <w:tc>
          <w:tcPr>
            <w:tcW w:w="0" w:type="auto"/>
            <w:tcBorders>
              <w:top w:val="nil"/>
              <w:left w:val="nil"/>
              <w:bottom w:val="single" w:sz="4" w:space="0" w:color="auto"/>
              <w:right w:val="single" w:sz="4" w:space="0" w:color="auto"/>
            </w:tcBorders>
            <w:vAlign w:val="center"/>
            <w:hideMark/>
          </w:tcPr>
          <w:p w14:paraId="49EB1BE3"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5.00%</w:t>
            </w:r>
          </w:p>
        </w:tc>
        <w:tc>
          <w:tcPr>
            <w:tcW w:w="2293" w:type="dxa"/>
            <w:vMerge/>
            <w:tcBorders>
              <w:top w:val="nil"/>
              <w:left w:val="single" w:sz="4" w:space="0" w:color="auto"/>
              <w:bottom w:val="single" w:sz="4" w:space="0" w:color="auto"/>
              <w:right w:val="single" w:sz="4" w:space="0" w:color="auto"/>
            </w:tcBorders>
            <w:vAlign w:val="center"/>
            <w:hideMark/>
          </w:tcPr>
          <w:p w14:paraId="5B99A00A"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F21B4A" w14:paraId="68C35077"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4AF2FE78"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67191A3B"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1.1079</w:t>
            </w:r>
          </w:p>
        </w:tc>
        <w:tc>
          <w:tcPr>
            <w:tcW w:w="0" w:type="auto"/>
            <w:vMerge w:val="restart"/>
            <w:tcBorders>
              <w:top w:val="nil"/>
              <w:left w:val="single" w:sz="4" w:space="0" w:color="auto"/>
              <w:bottom w:val="single" w:sz="4" w:space="0" w:color="auto"/>
              <w:right w:val="single" w:sz="4" w:space="0" w:color="auto"/>
            </w:tcBorders>
            <w:vAlign w:val="center"/>
            <w:hideMark/>
          </w:tcPr>
          <w:p w14:paraId="49104511"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3.125</w:t>
            </w:r>
          </w:p>
        </w:tc>
        <w:tc>
          <w:tcPr>
            <w:tcW w:w="0" w:type="auto"/>
            <w:tcBorders>
              <w:top w:val="nil"/>
              <w:left w:val="nil"/>
              <w:bottom w:val="single" w:sz="4" w:space="0" w:color="auto"/>
              <w:right w:val="single" w:sz="4" w:space="0" w:color="auto"/>
            </w:tcBorders>
            <w:vAlign w:val="center"/>
            <w:hideMark/>
          </w:tcPr>
          <w:p w14:paraId="10366BC7"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35</w:t>
            </w:r>
          </w:p>
        </w:tc>
        <w:tc>
          <w:tcPr>
            <w:tcW w:w="0" w:type="auto"/>
            <w:tcBorders>
              <w:top w:val="nil"/>
              <w:left w:val="nil"/>
              <w:bottom w:val="single" w:sz="4" w:space="0" w:color="auto"/>
              <w:right w:val="single" w:sz="4" w:space="0" w:color="auto"/>
            </w:tcBorders>
            <w:vAlign w:val="center"/>
            <w:hideMark/>
          </w:tcPr>
          <w:p w14:paraId="12D17987"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117</w:t>
            </w:r>
          </w:p>
        </w:tc>
        <w:tc>
          <w:tcPr>
            <w:tcW w:w="0" w:type="auto"/>
            <w:tcBorders>
              <w:top w:val="nil"/>
              <w:left w:val="nil"/>
              <w:bottom w:val="single" w:sz="4" w:space="0" w:color="auto"/>
              <w:right w:val="single" w:sz="4" w:space="0" w:color="auto"/>
            </w:tcBorders>
            <w:vAlign w:val="center"/>
            <w:hideMark/>
          </w:tcPr>
          <w:p w14:paraId="092FE76B"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162</w:t>
            </w:r>
          </w:p>
        </w:tc>
        <w:tc>
          <w:tcPr>
            <w:tcW w:w="0" w:type="auto"/>
            <w:tcBorders>
              <w:top w:val="nil"/>
              <w:left w:val="nil"/>
              <w:bottom w:val="single" w:sz="4" w:space="0" w:color="auto"/>
              <w:right w:val="single" w:sz="4" w:space="0" w:color="auto"/>
            </w:tcBorders>
            <w:vAlign w:val="center"/>
            <w:hideMark/>
          </w:tcPr>
          <w:p w14:paraId="0DCDB044"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35</w:t>
            </w:r>
          </w:p>
        </w:tc>
        <w:tc>
          <w:tcPr>
            <w:tcW w:w="0" w:type="auto"/>
            <w:tcBorders>
              <w:top w:val="nil"/>
              <w:left w:val="nil"/>
              <w:bottom w:val="single" w:sz="4" w:space="0" w:color="auto"/>
              <w:right w:val="single" w:sz="4" w:space="0" w:color="auto"/>
            </w:tcBorders>
            <w:vAlign w:val="center"/>
            <w:hideMark/>
          </w:tcPr>
          <w:p w14:paraId="26EFE39E"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51</w:t>
            </w:r>
          </w:p>
        </w:tc>
        <w:tc>
          <w:tcPr>
            <w:tcW w:w="2293" w:type="dxa"/>
            <w:vMerge w:val="restart"/>
            <w:tcBorders>
              <w:top w:val="nil"/>
              <w:left w:val="single" w:sz="4" w:space="0" w:color="auto"/>
              <w:bottom w:val="single" w:sz="4" w:space="0" w:color="auto"/>
              <w:right w:val="single" w:sz="4" w:space="0" w:color="auto"/>
            </w:tcBorders>
            <w:shd w:val="clear" w:color="000000" w:fill="DAF1F3"/>
            <w:vAlign w:val="center"/>
            <w:hideMark/>
          </w:tcPr>
          <w:p w14:paraId="5BFBDFBE"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rtl/>
                <w14:ligatures w14:val="none"/>
              </w:rPr>
              <w:t>39. أُبادر بطرح أفكار تطويرية حتى دون طلب رسمي.</w:t>
            </w:r>
          </w:p>
        </w:tc>
      </w:tr>
      <w:tr w:rsidR="00793DFB" w:rsidRPr="00F21B4A" w14:paraId="2F0C20E9"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27F2DA45"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AAC5844"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0C30252"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443CC08E" w14:textId="77777777" w:rsidR="00793DFB" w:rsidRPr="00F21B4A" w:rsidRDefault="00793DFB" w:rsidP="009F1C88">
            <w:pPr>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14:ligatures w14:val="none"/>
              </w:rPr>
              <w:t>8.80%</w:t>
            </w:r>
          </w:p>
        </w:tc>
        <w:tc>
          <w:tcPr>
            <w:tcW w:w="0" w:type="auto"/>
            <w:tcBorders>
              <w:top w:val="nil"/>
              <w:left w:val="nil"/>
              <w:bottom w:val="single" w:sz="4" w:space="0" w:color="auto"/>
              <w:right w:val="single" w:sz="4" w:space="0" w:color="auto"/>
            </w:tcBorders>
            <w:vAlign w:val="center"/>
            <w:hideMark/>
          </w:tcPr>
          <w:p w14:paraId="69B3ED56"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29.30%</w:t>
            </w:r>
          </w:p>
        </w:tc>
        <w:tc>
          <w:tcPr>
            <w:tcW w:w="0" w:type="auto"/>
            <w:tcBorders>
              <w:top w:val="nil"/>
              <w:left w:val="nil"/>
              <w:bottom w:val="single" w:sz="4" w:space="0" w:color="auto"/>
              <w:right w:val="single" w:sz="4" w:space="0" w:color="auto"/>
            </w:tcBorders>
            <w:vAlign w:val="center"/>
            <w:hideMark/>
          </w:tcPr>
          <w:p w14:paraId="36A4EFB5"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40.50%</w:t>
            </w:r>
          </w:p>
        </w:tc>
        <w:tc>
          <w:tcPr>
            <w:tcW w:w="0" w:type="auto"/>
            <w:tcBorders>
              <w:top w:val="nil"/>
              <w:left w:val="nil"/>
              <w:bottom w:val="single" w:sz="4" w:space="0" w:color="auto"/>
              <w:right w:val="single" w:sz="4" w:space="0" w:color="auto"/>
            </w:tcBorders>
            <w:vAlign w:val="center"/>
            <w:hideMark/>
          </w:tcPr>
          <w:p w14:paraId="708CC912"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8.80%</w:t>
            </w:r>
          </w:p>
        </w:tc>
        <w:tc>
          <w:tcPr>
            <w:tcW w:w="0" w:type="auto"/>
            <w:tcBorders>
              <w:top w:val="nil"/>
              <w:left w:val="nil"/>
              <w:bottom w:val="single" w:sz="4" w:space="0" w:color="auto"/>
              <w:right w:val="single" w:sz="4" w:space="0" w:color="auto"/>
            </w:tcBorders>
            <w:vAlign w:val="center"/>
            <w:hideMark/>
          </w:tcPr>
          <w:p w14:paraId="640A9AF8"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12.80%</w:t>
            </w:r>
          </w:p>
        </w:tc>
        <w:tc>
          <w:tcPr>
            <w:tcW w:w="2293" w:type="dxa"/>
            <w:vMerge/>
            <w:tcBorders>
              <w:top w:val="nil"/>
              <w:left w:val="single" w:sz="4" w:space="0" w:color="auto"/>
              <w:bottom w:val="single" w:sz="4" w:space="0" w:color="auto"/>
              <w:right w:val="single" w:sz="4" w:space="0" w:color="auto"/>
            </w:tcBorders>
            <w:vAlign w:val="center"/>
            <w:hideMark/>
          </w:tcPr>
          <w:p w14:paraId="05E7F76F"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F21B4A" w14:paraId="0D60863E"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7F575E56"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55CB0553"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0.88984</w:t>
            </w:r>
          </w:p>
        </w:tc>
        <w:tc>
          <w:tcPr>
            <w:tcW w:w="0" w:type="auto"/>
            <w:vMerge w:val="restart"/>
            <w:tcBorders>
              <w:top w:val="nil"/>
              <w:left w:val="single" w:sz="4" w:space="0" w:color="auto"/>
              <w:bottom w:val="single" w:sz="4" w:space="0" w:color="auto"/>
              <w:right w:val="single" w:sz="4" w:space="0" w:color="auto"/>
            </w:tcBorders>
            <w:vAlign w:val="center"/>
            <w:hideMark/>
          </w:tcPr>
          <w:p w14:paraId="68981332"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3.5125</w:t>
            </w:r>
          </w:p>
        </w:tc>
        <w:tc>
          <w:tcPr>
            <w:tcW w:w="0" w:type="auto"/>
            <w:tcBorders>
              <w:top w:val="nil"/>
              <w:left w:val="nil"/>
              <w:bottom w:val="single" w:sz="4" w:space="0" w:color="auto"/>
              <w:right w:val="single" w:sz="4" w:space="0" w:color="auto"/>
            </w:tcBorders>
            <w:vAlign w:val="center"/>
            <w:hideMark/>
          </w:tcPr>
          <w:p w14:paraId="2D256166"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48</w:t>
            </w:r>
          </w:p>
        </w:tc>
        <w:tc>
          <w:tcPr>
            <w:tcW w:w="0" w:type="auto"/>
            <w:tcBorders>
              <w:top w:val="nil"/>
              <w:left w:val="nil"/>
              <w:bottom w:val="single" w:sz="4" w:space="0" w:color="auto"/>
              <w:right w:val="single" w:sz="4" w:space="0" w:color="auto"/>
            </w:tcBorders>
            <w:vAlign w:val="center"/>
            <w:hideMark/>
          </w:tcPr>
          <w:p w14:paraId="0E163FAE"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165</w:t>
            </w:r>
          </w:p>
        </w:tc>
        <w:tc>
          <w:tcPr>
            <w:tcW w:w="0" w:type="auto"/>
            <w:tcBorders>
              <w:top w:val="nil"/>
              <w:left w:val="nil"/>
              <w:bottom w:val="single" w:sz="4" w:space="0" w:color="auto"/>
              <w:right w:val="single" w:sz="4" w:space="0" w:color="auto"/>
            </w:tcBorders>
            <w:vAlign w:val="center"/>
            <w:hideMark/>
          </w:tcPr>
          <w:p w14:paraId="06959D7A"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135</w:t>
            </w:r>
          </w:p>
        </w:tc>
        <w:tc>
          <w:tcPr>
            <w:tcW w:w="0" w:type="auto"/>
            <w:tcBorders>
              <w:top w:val="nil"/>
              <w:left w:val="nil"/>
              <w:bottom w:val="single" w:sz="4" w:space="0" w:color="auto"/>
              <w:right w:val="single" w:sz="4" w:space="0" w:color="auto"/>
            </w:tcBorders>
            <w:vAlign w:val="center"/>
            <w:hideMark/>
          </w:tcPr>
          <w:p w14:paraId="34C70BB1"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48</w:t>
            </w:r>
          </w:p>
        </w:tc>
        <w:tc>
          <w:tcPr>
            <w:tcW w:w="0" w:type="auto"/>
            <w:tcBorders>
              <w:top w:val="nil"/>
              <w:left w:val="nil"/>
              <w:bottom w:val="single" w:sz="4" w:space="0" w:color="auto"/>
              <w:right w:val="single" w:sz="4" w:space="0" w:color="auto"/>
            </w:tcBorders>
            <w:vAlign w:val="center"/>
            <w:hideMark/>
          </w:tcPr>
          <w:p w14:paraId="53184BE2"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w:t>
            </w:r>
          </w:p>
        </w:tc>
        <w:tc>
          <w:tcPr>
            <w:tcW w:w="2293" w:type="dxa"/>
            <w:vMerge w:val="restart"/>
            <w:tcBorders>
              <w:top w:val="nil"/>
              <w:left w:val="single" w:sz="4" w:space="0" w:color="auto"/>
              <w:bottom w:val="single" w:sz="4" w:space="0" w:color="auto"/>
              <w:right w:val="single" w:sz="4" w:space="0" w:color="auto"/>
            </w:tcBorders>
            <w:shd w:val="clear" w:color="000000" w:fill="DAF1F3"/>
            <w:vAlign w:val="center"/>
            <w:hideMark/>
          </w:tcPr>
          <w:p w14:paraId="6623FAFC"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rtl/>
                <w14:ligatures w14:val="none"/>
              </w:rPr>
              <w:t>40. أُشجّع زملائي على التفكير بطرق غير تقليدية.</w:t>
            </w:r>
          </w:p>
        </w:tc>
      </w:tr>
      <w:tr w:rsidR="00793DFB" w:rsidRPr="00F21B4A" w14:paraId="79F5BE77"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4B0AB331"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4894141"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0994E60"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2460AB25" w14:textId="77777777" w:rsidR="00793DFB" w:rsidRPr="00F21B4A" w:rsidRDefault="00793DFB" w:rsidP="009F1C88">
            <w:pPr>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14:ligatures w14:val="none"/>
              </w:rPr>
              <w:t>12.00%</w:t>
            </w:r>
          </w:p>
        </w:tc>
        <w:tc>
          <w:tcPr>
            <w:tcW w:w="0" w:type="auto"/>
            <w:tcBorders>
              <w:top w:val="nil"/>
              <w:left w:val="nil"/>
              <w:bottom w:val="single" w:sz="4" w:space="0" w:color="auto"/>
              <w:right w:val="single" w:sz="4" w:space="0" w:color="auto"/>
            </w:tcBorders>
            <w:vAlign w:val="center"/>
            <w:hideMark/>
          </w:tcPr>
          <w:p w14:paraId="2B925DFE"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41.30%</w:t>
            </w:r>
          </w:p>
        </w:tc>
        <w:tc>
          <w:tcPr>
            <w:tcW w:w="0" w:type="auto"/>
            <w:tcBorders>
              <w:top w:val="nil"/>
              <w:left w:val="nil"/>
              <w:bottom w:val="single" w:sz="4" w:space="0" w:color="auto"/>
              <w:right w:val="single" w:sz="4" w:space="0" w:color="auto"/>
            </w:tcBorders>
            <w:vAlign w:val="center"/>
            <w:hideMark/>
          </w:tcPr>
          <w:p w14:paraId="292CB1EA"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33.80%</w:t>
            </w:r>
          </w:p>
        </w:tc>
        <w:tc>
          <w:tcPr>
            <w:tcW w:w="0" w:type="auto"/>
            <w:tcBorders>
              <w:top w:val="nil"/>
              <w:left w:val="nil"/>
              <w:bottom w:val="single" w:sz="4" w:space="0" w:color="auto"/>
              <w:right w:val="single" w:sz="4" w:space="0" w:color="auto"/>
            </w:tcBorders>
            <w:vAlign w:val="center"/>
            <w:hideMark/>
          </w:tcPr>
          <w:p w14:paraId="32B23347"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12.00%</w:t>
            </w:r>
          </w:p>
        </w:tc>
        <w:tc>
          <w:tcPr>
            <w:tcW w:w="0" w:type="auto"/>
            <w:tcBorders>
              <w:top w:val="nil"/>
              <w:left w:val="nil"/>
              <w:bottom w:val="single" w:sz="4" w:space="0" w:color="auto"/>
              <w:right w:val="single" w:sz="4" w:space="0" w:color="auto"/>
            </w:tcBorders>
            <w:vAlign w:val="center"/>
            <w:hideMark/>
          </w:tcPr>
          <w:p w14:paraId="7965F964"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1.00%</w:t>
            </w:r>
          </w:p>
        </w:tc>
        <w:tc>
          <w:tcPr>
            <w:tcW w:w="2293" w:type="dxa"/>
            <w:vMerge/>
            <w:tcBorders>
              <w:top w:val="nil"/>
              <w:left w:val="single" w:sz="4" w:space="0" w:color="auto"/>
              <w:bottom w:val="single" w:sz="4" w:space="0" w:color="auto"/>
              <w:right w:val="single" w:sz="4" w:space="0" w:color="auto"/>
            </w:tcBorders>
            <w:vAlign w:val="center"/>
            <w:hideMark/>
          </w:tcPr>
          <w:p w14:paraId="581D5FEC"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F21B4A" w14:paraId="1C1FBA5B"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6398E459"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7B7D13C1"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0.94865</w:t>
            </w:r>
          </w:p>
        </w:tc>
        <w:tc>
          <w:tcPr>
            <w:tcW w:w="0" w:type="auto"/>
            <w:vMerge w:val="restart"/>
            <w:tcBorders>
              <w:top w:val="nil"/>
              <w:left w:val="single" w:sz="4" w:space="0" w:color="auto"/>
              <w:bottom w:val="single" w:sz="4" w:space="0" w:color="auto"/>
              <w:right w:val="single" w:sz="4" w:space="0" w:color="auto"/>
            </w:tcBorders>
            <w:vAlign w:val="center"/>
            <w:hideMark/>
          </w:tcPr>
          <w:p w14:paraId="086BC2C3"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3.8425</w:t>
            </w:r>
          </w:p>
        </w:tc>
        <w:tc>
          <w:tcPr>
            <w:tcW w:w="0" w:type="auto"/>
            <w:tcBorders>
              <w:top w:val="nil"/>
              <w:left w:val="nil"/>
              <w:bottom w:val="single" w:sz="4" w:space="0" w:color="auto"/>
              <w:right w:val="single" w:sz="4" w:space="0" w:color="auto"/>
            </w:tcBorders>
            <w:vAlign w:val="center"/>
            <w:hideMark/>
          </w:tcPr>
          <w:p w14:paraId="291B58D5"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106</w:t>
            </w:r>
          </w:p>
        </w:tc>
        <w:tc>
          <w:tcPr>
            <w:tcW w:w="0" w:type="auto"/>
            <w:tcBorders>
              <w:top w:val="nil"/>
              <w:left w:val="nil"/>
              <w:bottom w:val="single" w:sz="4" w:space="0" w:color="auto"/>
              <w:right w:val="single" w:sz="4" w:space="0" w:color="auto"/>
            </w:tcBorders>
            <w:vAlign w:val="center"/>
            <w:hideMark/>
          </w:tcPr>
          <w:p w14:paraId="192B9A61"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162</w:t>
            </w:r>
          </w:p>
        </w:tc>
        <w:tc>
          <w:tcPr>
            <w:tcW w:w="0" w:type="auto"/>
            <w:tcBorders>
              <w:top w:val="nil"/>
              <w:left w:val="nil"/>
              <w:bottom w:val="single" w:sz="4" w:space="0" w:color="auto"/>
              <w:right w:val="single" w:sz="4" w:space="0" w:color="auto"/>
            </w:tcBorders>
            <w:vAlign w:val="center"/>
            <w:hideMark/>
          </w:tcPr>
          <w:p w14:paraId="38CE3B27"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105</w:t>
            </w:r>
          </w:p>
        </w:tc>
        <w:tc>
          <w:tcPr>
            <w:tcW w:w="0" w:type="auto"/>
            <w:tcBorders>
              <w:top w:val="nil"/>
              <w:left w:val="nil"/>
              <w:bottom w:val="single" w:sz="4" w:space="0" w:color="auto"/>
              <w:right w:val="single" w:sz="4" w:space="0" w:color="auto"/>
            </w:tcBorders>
            <w:vAlign w:val="center"/>
            <w:hideMark/>
          </w:tcPr>
          <w:p w14:paraId="5AC01EAF"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17</w:t>
            </w:r>
          </w:p>
        </w:tc>
        <w:tc>
          <w:tcPr>
            <w:tcW w:w="0" w:type="auto"/>
            <w:tcBorders>
              <w:top w:val="nil"/>
              <w:left w:val="nil"/>
              <w:bottom w:val="single" w:sz="4" w:space="0" w:color="auto"/>
              <w:right w:val="single" w:sz="4" w:space="0" w:color="auto"/>
            </w:tcBorders>
            <w:vAlign w:val="center"/>
            <w:hideMark/>
          </w:tcPr>
          <w:p w14:paraId="1765FF69"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10</w:t>
            </w:r>
          </w:p>
        </w:tc>
        <w:tc>
          <w:tcPr>
            <w:tcW w:w="2293" w:type="dxa"/>
            <w:vMerge w:val="restart"/>
            <w:tcBorders>
              <w:top w:val="nil"/>
              <w:left w:val="single" w:sz="4" w:space="0" w:color="auto"/>
              <w:bottom w:val="single" w:sz="4" w:space="0" w:color="auto"/>
              <w:right w:val="single" w:sz="4" w:space="0" w:color="auto"/>
            </w:tcBorders>
            <w:shd w:val="clear" w:color="000000" w:fill="DAF1F3"/>
            <w:vAlign w:val="center"/>
            <w:hideMark/>
          </w:tcPr>
          <w:p w14:paraId="3F041ED5"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rtl/>
                <w14:ligatures w14:val="none"/>
              </w:rPr>
              <w:t>41. أستفيد من خبراتي السابقة لإيجاد حلول مبتكرة للمشكلات.</w:t>
            </w:r>
          </w:p>
        </w:tc>
      </w:tr>
      <w:tr w:rsidR="00793DFB" w:rsidRPr="00F21B4A" w14:paraId="5D512AF3"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083CFAE5"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671E1C2"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9EE9CA6"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51FC8FF4" w14:textId="77777777" w:rsidR="00793DFB" w:rsidRPr="00F21B4A" w:rsidRDefault="00793DFB" w:rsidP="009F1C88">
            <w:pPr>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14:ligatures w14:val="none"/>
              </w:rPr>
              <w:t>26.50%</w:t>
            </w:r>
          </w:p>
        </w:tc>
        <w:tc>
          <w:tcPr>
            <w:tcW w:w="0" w:type="auto"/>
            <w:tcBorders>
              <w:top w:val="nil"/>
              <w:left w:val="nil"/>
              <w:bottom w:val="single" w:sz="4" w:space="0" w:color="auto"/>
              <w:right w:val="single" w:sz="4" w:space="0" w:color="auto"/>
            </w:tcBorders>
            <w:vAlign w:val="center"/>
            <w:hideMark/>
          </w:tcPr>
          <w:p w14:paraId="612B6306"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40.50%</w:t>
            </w:r>
          </w:p>
        </w:tc>
        <w:tc>
          <w:tcPr>
            <w:tcW w:w="0" w:type="auto"/>
            <w:tcBorders>
              <w:top w:val="nil"/>
              <w:left w:val="nil"/>
              <w:bottom w:val="single" w:sz="4" w:space="0" w:color="auto"/>
              <w:right w:val="single" w:sz="4" w:space="0" w:color="auto"/>
            </w:tcBorders>
            <w:vAlign w:val="center"/>
            <w:hideMark/>
          </w:tcPr>
          <w:p w14:paraId="5882BFC9"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26.30%</w:t>
            </w:r>
          </w:p>
        </w:tc>
        <w:tc>
          <w:tcPr>
            <w:tcW w:w="0" w:type="auto"/>
            <w:tcBorders>
              <w:top w:val="nil"/>
              <w:left w:val="nil"/>
              <w:bottom w:val="single" w:sz="4" w:space="0" w:color="auto"/>
              <w:right w:val="single" w:sz="4" w:space="0" w:color="auto"/>
            </w:tcBorders>
            <w:vAlign w:val="center"/>
            <w:hideMark/>
          </w:tcPr>
          <w:p w14:paraId="2B045D5C"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4.30%</w:t>
            </w:r>
          </w:p>
        </w:tc>
        <w:tc>
          <w:tcPr>
            <w:tcW w:w="0" w:type="auto"/>
            <w:tcBorders>
              <w:top w:val="nil"/>
              <w:left w:val="nil"/>
              <w:bottom w:val="single" w:sz="4" w:space="0" w:color="auto"/>
              <w:right w:val="single" w:sz="4" w:space="0" w:color="auto"/>
            </w:tcBorders>
            <w:vAlign w:val="center"/>
            <w:hideMark/>
          </w:tcPr>
          <w:p w14:paraId="617E5601"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2.50%</w:t>
            </w:r>
          </w:p>
        </w:tc>
        <w:tc>
          <w:tcPr>
            <w:tcW w:w="2293" w:type="dxa"/>
            <w:vMerge/>
            <w:tcBorders>
              <w:top w:val="nil"/>
              <w:left w:val="single" w:sz="4" w:space="0" w:color="auto"/>
              <w:bottom w:val="single" w:sz="4" w:space="0" w:color="auto"/>
              <w:right w:val="single" w:sz="4" w:space="0" w:color="auto"/>
            </w:tcBorders>
            <w:vAlign w:val="center"/>
            <w:hideMark/>
          </w:tcPr>
          <w:p w14:paraId="46B65E6C"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F21B4A" w14:paraId="4EDE9A49" w14:textId="77777777" w:rsidTr="009F1C88">
        <w:trPr>
          <w:trHeight w:val="264"/>
        </w:trPr>
        <w:tc>
          <w:tcPr>
            <w:tcW w:w="0" w:type="auto"/>
            <w:vMerge w:val="restart"/>
            <w:tcBorders>
              <w:top w:val="nil"/>
              <w:left w:val="single" w:sz="4" w:space="0" w:color="auto"/>
              <w:bottom w:val="single" w:sz="4" w:space="0" w:color="auto"/>
              <w:right w:val="single" w:sz="4" w:space="0" w:color="auto"/>
            </w:tcBorders>
            <w:vAlign w:val="center"/>
            <w:hideMark/>
          </w:tcPr>
          <w:p w14:paraId="0DE9A4B1"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 </w:t>
            </w:r>
          </w:p>
        </w:tc>
        <w:tc>
          <w:tcPr>
            <w:tcW w:w="0" w:type="auto"/>
            <w:vMerge w:val="restart"/>
            <w:tcBorders>
              <w:top w:val="nil"/>
              <w:left w:val="single" w:sz="4" w:space="0" w:color="auto"/>
              <w:bottom w:val="single" w:sz="4" w:space="0" w:color="auto"/>
              <w:right w:val="single" w:sz="4" w:space="0" w:color="auto"/>
            </w:tcBorders>
            <w:vAlign w:val="center"/>
            <w:hideMark/>
          </w:tcPr>
          <w:p w14:paraId="575FC9CE"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0.90589</w:t>
            </w:r>
          </w:p>
        </w:tc>
        <w:tc>
          <w:tcPr>
            <w:tcW w:w="0" w:type="auto"/>
            <w:vMerge w:val="restart"/>
            <w:tcBorders>
              <w:top w:val="nil"/>
              <w:left w:val="single" w:sz="4" w:space="0" w:color="auto"/>
              <w:bottom w:val="single" w:sz="4" w:space="0" w:color="auto"/>
              <w:right w:val="single" w:sz="4" w:space="0" w:color="auto"/>
            </w:tcBorders>
            <w:vAlign w:val="center"/>
            <w:hideMark/>
          </w:tcPr>
          <w:p w14:paraId="10CDC3D3"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3.6625</w:t>
            </w:r>
          </w:p>
        </w:tc>
        <w:tc>
          <w:tcPr>
            <w:tcW w:w="0" w:type="auto"/>
            <w:tcBorders>
              <w:top w:val="nil"/>
              <w:left w:val="nil"/>
              <w:bottom w:val="single" w:sz="4" w:space="0" w:color="auto"/>
              <w:right w:val="single" w:sz="4" w:space="0" w:color="auto"/>
            </w:tcBorders>
            <w:vAlign w:val="center"/>
            <w:hideMark/>
          </w:tcPr>
          <w:p w14:paraId="40DE1CEA"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71</w:t>
            </w:r>
          </w:p>
        </w:tc>
        <w:tc>
          <w:tcPr>
            <w:tcW w:w="0" w:type="auto"/>
            <w:tcBorders>
              <w:top w:val="nil"/>
              <w:left w:val="nil"/>
              <w:bottom w:val="single" w:sz="4" w:space="0" w:color="auto"/>
              <w:right w:val="single" w:sz="4" w:space="0" w:color="auto"/>
            </w:tcBorders>
            <w:vAlign w:val="center"/>
            <w:hideMark/>
          </w:tcPr>
          <w:p w14:paraId="24081DBE"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168</w:t>
            </w:r>
          </w:p>
        </w:tc>
        <w:tc>
          <w:tcPr>
            <w:tcW w:w="0" w:type="auto"/>
            <w:tcBorders>
              <w:top w:val="nil"/>
              <w:left w:val="nil"/>
              <w:bottom w:val="single" w:sz="4" w:space="0" w:color="auto"/>
              <w:right w:val="single" w:sz="4" w:space="0" w:color="auto"/>
            </w:tcBorders>
            <w:vAlign w:val="center"/>
            <w:hideMark/>
          </w:tcPr>
          <w:p w14:paraId="6669C89B"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119</w:t>
            </w:r>
          </w:p>
        </w:tc>
        <w:tc>
          <w:tcPr>
            <w:tcW w:w="0" w:type="auto"/>
            <w:tcBorders>
              <w:top w:val="nil"/>
              <w:left w:val="nil"/>
              <w:bottom w:val="single" w:sz="4" w:space="0" w:color="auto"/>
              <w:right w:val="single" w:sz="4" w:space="0" w:color="auto"/>
            </w:tcBorders>
            <w:vAlign w:val="center"/>
            <w:hideMark/>
          </w:tcPr>
          <w:p w14:paraId="0341C033"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39</w:t>
            </w:r>
          </w:p>
        </w:tc>
        <w:tc>
          <w:tcPr>
            <w:tcW w:w="0" w:type="auto"/>
            <w:tcBorders>
              <w:top w:val="nil"/>
              <w:left w:val="nil"/>
              <w:bottom w:val="single" w:sz="4" w:space="0" w:color="auto"/>
              <w:right w:val="single" w:sz="4" w:space="0" w:color="auto"/>
            </w:tcBorders>
            <w:vAlign w:val="center"/>
            <w:hideMark/>
          </w:tcPr>
          <w:p w14:paraId="0C77087F"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3</w:t>
            </w:r>
          </w:p>
        </w:tc>
        <w:tc>
          <w:tcPr>
            <w:tcW w:w="2293" w:type="dxa"/>
            <w:vMerge w:val="restart"/>
            <w:tcBorders>
              <w:top w:val="nil"/>
              <w:left w:val="single" w:sz="4" w:space="0" w:color="auto"/>
              <w:bottom w:val="single" w:sz="4" w:space="0" w:color="auto"/>
              <w:right w:val="single" w:sz="4" w:space="0" w:color="auto"/>
            </w:tcBorders>
            <w:shd w:val="clear" w:color="000000" w:fill="DAF1F3"/>
            <w:vAlign w:val="center"/>
            <w:hideMark/>
          </w:tcPr>
          <w:p w14:paraId="4D8DAACF"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rtl/>
                <w14:ligatures w14:val="none"/>
              </w:rPr>
              <w:t>42. أعتبر الإبداع جزءًا أساسيًا من مسؤوليتي المهنية.</w:t>
            </w:r>
          </w:p>
        </w:tc>
      </w:tr>
      <w:tr w:rsidR="00793DFB" w:rsidRPr="00F21B4A" w14:paraId="0259B396" w14:textId="77777777" w:rsidTr="009F1C88">
        <w:trPr>
          <w:trHeight w:val="264"/>
        </w:trPr>
        <w:tc>
          <w:tcPr>
            <w:tcW w:w="0" w:type="auto"/>
            <w:vMerge/>
            <w:tcBorders>
              <w:top w:val="nil"/>
              <w:left w:val="single" w:sz="4" w:space="0" w:color="auto"/>
              <w:bottom w:val="single" w:sz="4" w:space="0" w:color="auto"/>
              <w:right w:val="single" w:sz="4" w:space="0" w:color="auto"/>
            </w:tcBorders>
            <w:vAlign w:val="center"/>
            <w:hideMark/>
          </w:tcPr>
          <w:p w14:paraId="4CD1BDEE"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5704461"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EFC0CD0"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06845DA9" w14:textId="77777777" w:rsidR="00793DFB" w:rsidRPr="00F21B4A" w:rsidRDefault="00793DFB" w:rsidP="009F1C88">
            <w:pPr>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14:ligatures w14:val="none"/>
              </w:rPr>
              <w:t>17.80%</w:t>
            </w:r>
          </w:p>
        </w:tc>
        <w:tc>
          <w:tcPr>
            <w:tcW w:w="0" w:type="auto"/>
            <w:tcBorders>
              <w:top w:val="nil"/>
              <w:left w:val="nil"/>
              <w:bottom w:val="single" w:sz="4" w:space="0" w:color="auto"/>
              <w:right w:val="single" w:sz="4" w:space="0" w:color="auto"/>
            </w:tcBorders>
            <w:vAlign w:val="center"/>
            <w:hideMark/>
          </w:tcPr>
          <w:p w14:paraId="1F09C48F"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42.00%</w:t>
            </w:r>
          </w:p>
        </w:tc>
        <w:tc>
          <w:tcPr>
            <w:tcW w:w="0" w:type="auto"/>
            <w:tcBorders>
              <w:top w:val="nil"/>
              <w:left w:val="nil"/>
              <w:bottom w:val="single" w:sz="4" w:space="0" w:color="auto"/>
              <w:right w:val="single" w:sz="4" w:space="0" w:color="auto"/>
            </w:tcBorders>
            <w:vAlign w:val="center"/>
            <w:hideMark/>
          </w:tcPr>
          <w:p w14:paraId="54C66336"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29.80%</w:t>
            </w:r>
          </w:p>
        </w:tc>
        <w:tc>
          <w:tcPr>
            <w:tcW w:w="0" w:type="auto"/>
            <w:tcBorders>
              <w:top w:val="nil"/>
              <w:left w:val="nil"/>
              <w:bottom w:val="single" w:sz="4" w:space="0" w:color="auto"/>
              <w:right w:val="single" w:sz="4" w:space="0" w:color="auto"/>
            </w:tcBorders>
            <w:vAlign w:val="center"/>
            <w:hideMark/>
          </w:tcPr>
          <w:p w14:paraId="59D8F079"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9.80%</w:t>
            </w:r>
          </w:p>
        </w:tc>
        <w:tc>
          <w:tcPr>
            <w:tcW w:w="0" w:type="auto"/>
            <w:tcBorders>
              <w:top w:val="nil"/>
              <w:left w:val="nil"/>
              <w:bottom w:val="single" w:sz="4" w:space="0" w:color="auto"/>
              <w:right w:val="single" w:sz="4" w:space="0" w:color="auto"/>
            </w:tcBorders>
            <w:vAlign w:val="center"/>
            <w:hideMark/>
          </w:tcPr>
          <w:p w14:paraId="728E3456"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0.80%</w:t>
            </w:r>
          </w:p>
        </w:tc>
        <w:tc>
          <w:tcPr>
            <w:tcW w:w="2293" w:type="dxa"/>
            <w:vMerge/>
            <w:tcBorders>
              <w:top w:val="nil"/>
              <w:left w:val="single" w:sz="4" w:space="0" w:color="auto"/>
              <w:bottom w:val="single" w:sz="4" w:space="0" w:color="auto"/>
              <w:right w:val="single" w:sz="4" w:space="0" w:color="auto"/>
            </w:tcBorders>
            <w:vAlign w:val="center"/>
            <w:hideMark/>
          </w:tcPr>
          <w:p w14:paraId="547AB40A"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r>
      <w:tr w:rsidR="00793DFB" w:rsidRPr="00F21B4A" w14:paraId="02F71914" w14:textId="77777777" w:rsidTr="009F1C88">
        <w:trPr>
          <w:trHeight w:val="264"/>
        </w:trPr>
        <w:tc>
          <w:tcPr>
            <w:tcW w:w="0" w:type="auto"/>
            <w:vMerge w:val="restart"/>
            <w:tcBorders>
              <w:top w:val="nil"/>
              <w:left w:val="single" w:sz="4" w:space="0" w:color="auto"/>
              <w:bottom w:val="single" w:sz="4" w:space="0" w:color="000000"/>
              <w:right w:val="single" w:sz="4" w:space="0" w:color="auto"/>
            </w:tcBorders>
            <w:shd w:val="clear" w:color="000000" w:fill="FF6D01"/>
            <w:vAlign w:val="center"/>
            <w:hideMark/>
          </w:tcPr>
          <w:p w14:paraId="464B2DB3" w14:textId="77777777" w:rsidR="00793DFB" w:rsidRPr="00F21B4A" w:rsidRDefault="00793DFB" w:rsidP="009F1C88">
            <w:pPr>
              <w:bidi/>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rtl/>
                <w14:ligatures w14:val="none"/>
              </w:rPr>
              <w:t>محايد</w:t>
            </w:r>
          </w:p>
        </w:tc>
        <w:tc>
          <w:tcPr>
            <w:tcW w:w="0" w:type="auto"/>
            <w:gridSpan w:val="2"/>
            <w:tcBorders>
              <w:top w:val="single" w:sz="4" w:space="0" w:color="auto"/>
              <w:left w:val="nil"/>
              <w:bottom w:val="single" w:sz="4" w:space="0" w:color="auto"/>
              <w:right w:val="single" w:sz="4" w:space="0" w:color="auto"/>
            </w:tcBorders>
            <w:vAlign w:val="center"/>
            <w:hideMark/>
          </w:tcPr>
          <w:p w14:paraId="4D250C50" w14:textId="77777777" w:rsidR="00793DFB" w:rsidRPr="00F21B4A" w:rsidRDefault="00793DFB" w:rsidP="009F1C88">
            <w:pPr>
              <w:spacing w:after="0" w:line="240" w:lineRule="auto"/>
              <w:jc w:val="center"/>
              <w:rPr>
                <w:rFonts w:ascii="Arial" w:eastAsia="Times New Roman" w:hAnsi="Arial" w:cs="Arial"/>
                <w:color w:val="000000"/>
                <w:kern w:val="0"/>
                <w:sz w:val="20"/>
                <w:szCs w:val="20"/>
                <w:rtl/>
                <w14:ligatures w14:val="none"/>
              </w:rPr>
            </w:pPr>
            <w:r w:rsidRPr="00F21B4A">
              <w:rPr>
                <w:rFonts w:ascii="Arial" w:eastAsia="Times New Roman" w:hAnsi="Arial" w:cs="Arial"/>
                <w:color w:val="000000"/>
                <w:kern w:val="0"/>
                <w:sz w:val="20"/>
                <w:szCs w:val="20"/>
                <w14:ligatures w14:val="none"/>
              </w:rPr>
              <w:t>3.48475</w:t>
            </w:r>
          </w:p>
        </w:tc>
        <w:tc>
          <w:tcPr>
            <w:tcW w:w="6827" w:type="dxa"/>
            <w:gridSpan w:val="6"/>
            <w:tcBorders>
              <w:top w:val="single" w:sz="4" w:space="0" w:color="auto"/>
              <w:left w:val="nil"/>
              <w:bottom w:val="single" w:sz="4" w:space="0" w:color="auto"/>
              <w:right w:val="single" w:sz="4" w:space="0" w:color="auto"/>
            </w:tcBorders>
            <w:shd w:val="clear" w:color="000000" w:fill="FF6D01"/>
            <w:vAlign w:val="center"/>
            <w:hideMark/>
          </w:tcPr>
          <w:p w14:paraId="21563334"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proofErr w:type="spellStart"/>
            <w:r w:rsidRPr="00F21B4A">
              <w:rPr>
                <w:rFonts w:ascii="Arial" w:eastAsia="Times New Roman" w:hAnsi="Arial" w:cs="Arial"/>
                <w:color w:val="000000"/>
                <w:kern w:val="0"/>
                <w:sz w:val="20"/>
                <w:szCs w:val="20"/>
                <w14:ligatures w14:val="none"/>
              </w:rPr>
              <w:t>weightted</w:t>
            </w:r>
            <w:proofErr w:type="spellEnd"/>
            <w:r w:rsidRPr="00F21B4A">
              <w:rPr>
                <w:rFonts w:ascii="Arial" w:eastAsia="Times New Roman" w:hAnsi="Arial" w:cs="Arial"/>
                <w:color w:val="000000"/>
                <w:kern w:val="0"/>
                <w:sz w:val="20"/>
                <w:szCs w:val="20"/>
                <w14:ligatures w14:val="none"/>
              </w:rPr>
              <w:t xml:space="preserve"> mean </w:t>
            </w:r>
          </w:p>
        </w:tc>
      </w:tr>
      <w:tr w:rsidR="00793DFB" w:rsidRPr="00F21B4A" w14:paraId="6C983CC8" w14:textId="77777777" w:rsidTr="009F1C88">
        <w:trPr>
          <w:trHeight w:val="264"/>
        </w:trPr>
        <w:tc>
          <w:tcPr>
            <w:tcW w:w="0" w:type="auto"/>
            <w:vMerge/>
            <w:tcBorders>
              <w:top w:val="nil"/>
              <w:left w:val="single" w:sz="4" w:space="0" w:color="auto"/>
              <w:bottom w:val="single" w:sz="4" w:space="0" w:color="000000"/>
              <w:right w:val="single" w:sz="4" w:space="0" w:color="auto"/>
            </w:tcBorders>
            <w:vAlign w:val="center"/>
            <w:hideMark/>
          </w:tcPr>
          <w:p w14:paraId="5C89B6CE" w14:textId="77777777" w:rsidR="00793DFB" w:rsidRPr="00F21B4A" w:rsidRDefault="00793DFB" w:rsidP="009F1C88">
            <w:pPr>
              <w:spacing w:after="0" w:line="240" w:lineRule="auto"/>
              <w:rPr>
                <w:rFonts w:ascii="Arial" w:eastAsia="Times New Roman" w:hAnsi="Arial" w:cs="Arial"/>
                <w:color w:val="000000"/>
                <w:kern w:val="0"/>
                <w:sz w:val="20"/>
                <w:szCs w:val="20"/>
                <w14:ligatures w14:val="none"/>
              </w:rPr>
            </w:pPr>
          </w:p>
        </w:tc>
        <w:tc>
          <w:tcPr>
            <w:tcW w:w="0" w:type="auto"/>
            <w:tcBorders>
              <w:top w:val="nil"/>
              <w:left w:val="nil"/>
              <w:bottom w:val="single" w:sz="4" w:space="0" w:color="auto"/>
              <w:right w:val="single" w:sz="4" w:space="0" w:color="auto"/>
            </w:tcBorders>
            <w:vAlign w:val="center"/>
            <w:hideMark/>
          </w:tcPr>
          <w:p w14:paraId="2A36F2ED"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0.995057</w:t>
            </w:r>
          </w:p>
        </w:tc>
        <w:tc>
          <w:tcPr>
            <w:tcW w:w="7655" w:type="dxa"/>
            <w:gridSpan w:val="7"/>
            <w:tcBorders>
              <w:top w:val="single" w:sz="4" w:space="0" w:color="auto"/>
              <w:left w:val="nil"/>
              <w:bottom w:val="single" w:sz="4" w:space="0" w:color="auto"/>
              <w:right w:val="single" w:sz="4" w:space="0" w:color="auto"/>
            </w:tcBorders>
            <w:shd w:val="clear" w:color="000000" w:fill="FF6D01"/>
            <w:vAlign w:val="center"/>
            <w:hideMark/>
          </w:tcPr>
          <w:p w14:paraId="191242C5" w14:textId="77777777" w:rsidR="00793DFB" w:rsidRPr="00F21B4A" w:rsidRDefault="00793DFB" w:rsidP="009F1C88">
            <w:pPr>
              <w:spacing w:after="0" w:line="240" w:lineRule="auto"/>
              <w:jc w:val="center"/>
              <w:rPr>
                <w:rFonts w:ascii="Arial" w:eastAsia="Times New Roman" w:hAnsi="Arial" w:cs="Arial"/>
                <w:color w:val="000000"/>
                <w:kern w:val="0"/>
                <w:sz w:val="20"/>
                <w:szCs w:val="20"/>
                <w14:ligatures w14:val="none"/>
              </w:rPr>
            </w:pPr>
            <w:r w:rsidRPr="00F21B4A">
              <w:rPr>
                <w:rFonts w:ascii="Arial" w:eastAsia="Times New Roman" w:hAnsi="Arial" w:cs="Arial"/>
                <w:color w:val="000000"/>
                <w:kern w:val="0"/>
                <w:sz w:val="20"/>
                <w:szCs w:val="20"/>
                <w14:ligatures w14:val="none"/>
              </w:rPr>
              <w:t>std. deviation</w:t>
            </w:r>
          </w:p>
        </w:tc>
      </w:tr>
    </w:tbl>
    <w:p w14:paraId="2760ADDB" w14:textId="77777777" w:rsidR="00793DFB" w:rsidRPr="00B724D5" w:rsidRDefault="00793DFB" w:rsidP="00793DFB">
      <w:pPr>
        <w:bidi/>
      </w:pPr>
    </w:p>
    <w:p w14:paraId="42FA854C" w14:textId="77777777" w:rsidR="00793DFB" w:rsidRPr="00B724D5" w:rsidRDefault="00793DFB" w:rsidP="00793DFB">
      <w:pPr>
        <w:bidi/>
      </w:pPr>
      <w:r w:rsidRPr="00B724D5">
        <w:rPr>
          <w:rtl/>
        </w:rPr>
        <w:t>بلغ المتوسط المرجح الكلي لمحور الأداء الإبداعي (3.485)، بانحراف معياري قدره (0.995)، مما يشير إلى أن مستوى الإبداع الوظيفي يقع ضمن الفئة المتوسطة المائلة إلى الارتفاع، مع درجة تشتت معتدلة في الاستجابات</w:t>
      </w:r>
      <w:r w:rsidRPr="00B724D5">
        <w:t>.</w:t>
      </w:r>
    </w:p>
    <w:p w14:paraId="1FD88D2D" w14:textId="77777777" w:rsidR="00793DFB" w:rsidRPr="00B724D5" w:rsidRDefault="00793DFB" w:rsidP="00793DFB">
      <w:pPr>
        <w:bidi/>
        <w:rPr>
          <w:b/>
          <w:bCs/>
        </w:rPr>
      </w:pPr>
      <w:r w:rsidRPr="00B724D5">
        <w:rPr>
          <w:b/>
          <w:bCs/>
          <w:rtl/>
        </w:rPr>
        <w:t>أولًا: التحليل التفصيلي لبنود الأداء الإبداعي</w:t>
      </w:r>
    </w:p>
    <w:p w14:paraId="51ACC5A6" w14:textId="77777777" w:rsidR="00793DFB" w:rsidRPr="00B724D5" w:rsidRDefault="00793DFB" w:rsidP="00793DFB">
      <w:pPr>
        <w:pStyle w:val="ListParagraph"/>
        <w:numPr>
          <w:ilvl w:val="0"/>
          <w:numId w:val="145"/>
        </w:numPr>
        <w:bidi/>
        <w:rPr>
          <w:b/>
          <w:bCs/>
        </w:rPr>
      </w:pPr>
      <w:r w:rsidRPr="00B724D5">
        <w:rPr>
          <w:b/>
          <w:bCs/>
          <w:rtl/>
        </w:rPr>
        <w:t>توليد الأفكار والمبادرة الإبداعية</w:t>
      </w:r>
    </w:p>
    <w:p w14:paraId="6C274406" w14:textId="77777777" w:rsidR="00793DFB" w:rsidRPr="00B724D5" w:rsidRDefault="00793DFB" w:rsidP="00793DFB">
      <w:pPr>
        <w:numPr>
          <w:ilvl w:val="0"/>
          <w:numId w:val="142"/>
        </w:numPr>
        <w:bidi/>
      </w:pPr>
      <w:r w:rsidRPr="00B724D5">
        <w:rPr>
          <w:rtl/>
        </w:rPr>
        <w:t>بلغ متوسط تقديم أفكار جديدة لتحسين العمل (3.395)، مع نسبة موافقة (52%)، مما يعكس توجهاً إيجابياً نحو توليد الأفكار، وإن كان مصحوبًا بنسبة حياد مرتفعة نسبيًا</w:t>
      </w:r>
      <w:r w:rsidRPr="00B724D5">
        <w:t xml:space="preserve"> (30.8%).</w:t>
      </w:r>
    </w:p>
    <w:p w14:paraId="39698866" w14:textId="77777777" w:rsidR="00793DFB" w:rsidRPr="00B724D5" w:rsidRDefault="00793DFB" w:rsidP="00793DFB">
      <w:pPr>
        <w:numPr>
          <w:ilvl w:val="0"/>
          <w:numId w:val="142"/>
        </w:numPr>
        <w:bidi/>
      </w:pPr>
      <w:r w:rsidRPr="00B724D5">
        <w:rPr>
          <w:rtl/>
        </w:rPr>
        <w:t>سجل بند البحث عن حلول مبتكرة للتحديات اليومية متوسطًا (3.388)، وهو قريب من البند السابق، مما يشير إلى وجود سلوكيات ابتكارية على مستوى حل المشكلات</w:t>
      </w:r>
      <w:r w:rsidRPr="00B724D5">
        <w:t>.</w:t>
      </w:r>
    </w:p>
    <w:p w14:paraId="20A29264" w14:textId="77777777" w:rsidR="00793DFB" w:rsidRPr="00B724D5" w:rsidRDefault="00793DFB" w:rsidP="00793DFB">
      <w:pPr>
        <w:numPr>
          <w:ilvl w:val="0"/>
          <w:numId w:val="142"/>
        </w:numPr>
        <w:bidi/>
      </w:pPr>
      <w:r w:rsidRPr="00B724D5">
        <w:rPr>
          <w:rtl/>
        </w:rPr>
        <w:lastRenderedPageBreak/>
        <w:t>في المقابل، جاء بند المبادرة بطرح أفكار تطويرية دون طلب رسمي بأدنى متوسط (3.125)، مع ارتفاع نسبة الحياد (40.5%)، مما يعكس تحفظًا نسبيًا لدى بعض العاملين في ممارسة المبادرة الذاتية</w:t>
      </w:r>
      <w:r w:rsidRPr="00B724D5">
        <w:t>.</w:t>
      </w:r>
    </w:p>
    <w:p w14:paraId="17D6B7EF" w14:textId="77777777" w:rsidR="00793DFB" w:rsidRPr="00B724D5" w:rsidRDefault="00793DFB" w:rsidP="00793DFB">
      <w:pPr>
        <w:bidi/>
      </w:pPr>
      <w:r w:rsidRPr="00B724D5">
        <w:rPr>
          <w:rtl/>
        </w:rPr>
        <w:t>يدل ذلك على أن الإبداع الموجّه أو المرتبط بطلب إداري أكثر حضورًا من الإبداع الاستباقي</w:t>
      </w:r>
      <w:r w:rsidRPr="00B724D5">
        <w:t>.</w:t>
      </w:r>
    </w:p>
    <w:p w14:paraId="235B08BE" w14:textId="77777777" w:rsidR="00793DFB" w:rsidRPr="00B724D5" w:rsidRDefault="00793DFB" w:rsidP="00793DFB">
      <w:pPr>
        <w:pStyle w:val="ListParagraph"/>
        <w:numPr>
          <w:ilvl w:val="0"/>
          <w:numId w:val="145"/>
        </w:numPr>
        <w:bidi/>
        <w:rPr>
          <w:b/>
          <w:bCs/>
        </w:rPr>
      </w:pPr>
      <w:r w:rsidRPr="00B724D5">
        <w:rPr>
          <w:b/>
          <w:bCs/>
          <w:rtl/>
        </w:rPr>
        <w:t>تطوير العمليات وتنفيذ الابتكار</w:t>
      </w:r>
    </w:p>
    <w:p w14:paraId="766B2E59" w14:textId="77777777" w:rsidR="00793DFB" w:rsidRPr="00B724D5" w:rsidRDefault="00793DFB" w:rsidP="00793DFB">
      <w:pPr>
        <w:numPr>
          <w:ilvl w:val="0"/>
          <w:numId w:val="143"/>
        </w:numPr>
        <w:bidi/>
      </w:pPr>
      <w:r w:rsidRPr="00B724D5">
        <w:rPr>
          <w:rtl/>
        </w:rPr>
        <w:t>سجلت المشاركة في تطوير الخدمات أو العمليات متوسطًا</w:t>
      </w:r>
      <w:r>
        <w:rPr>
          <w:rFonts w:hint="cs"/>
          <w:rtl/>
        </w:rPr>
        <w:t xml:space="preserve"> </w:t>
      </w:r>
      <w:r w:rsidRPr="00B724D5">
        <w:t>(3.415)</w:t>
      </w:r>
      <w:r>
        <w:rPr>
          <w:rFonts w:hint="cs"/>
          <w:rtl/>
        </w:rPr>
        <w:t>.</w:t>
      </w:r>
    </w:p>
    <w:p w14:paraId="08DDF78F" w14:textId="77777777" w:rsidR="00793DFB" w:rsidRPr="00B724D5" w:rsidRDefault="00793DFB" w:rsidP="00793DFB">
      <w:pPr>
        <w:numPr>
          <w:ilvl w:val="0"/>
          <w:numId w:val="143"/>
        </w:numPr>
        <w:bidi/>
      </w:pPr>
      <w:r w:rsidRPr="00B724D5">
        <w:rPr>
          <w:rtl/>
        </w:rPr>
        <w:t>بلغ متوسط الاستعداد لتجربة أساليب جديدة في أداء المهام</w:t>
      </w:r>
      <w:r>
        <w:rPr>
          <w:rFonts w:hint="cs"/>
          <w:rtl/>
        </w:rPr>
        <w:t xml:space="preserve"> </w:t>
      </w:r>
      <w:r w:rsidRPr="00B724D5">
        <w:t>(3.525)</w:t>
      </w:r>
      <w:r>
        <w:rPr>
          <w:rFonts w:hint="cs"/>
          <w:rtl/>
        </w:rPr>
        <w:t>.</w:t>
      </w:r>
    </w:p>
    <w:p w14:paraId="466ED9BA" w14:textId="77777777" w:rsidR="00793DFB" w:rsidRPr="00B724D5" w:rsidRDefault="00793DFB" w:rsidP="00793DFB">
      <w:pPr>
        <w:numPr>
          <w:ilvl w:val="0"/>
          <w:numId w:val="143"/>
        </w:numPr>
        <w:bidi/>
      </w:pPr>
      <w:r w:rsidRPr="00B724D5">
        <w:rPr>
          <w:rtl/>
        </w:rPr>
        <w:t>سجلت المساهمة في تنفيذ الأفكار الجديدة متوسطًا</w:t>
      </w:r>
      <w:r>
        <w:rPr>
          <w:rFonts w:hint="cs"/>
          <w:rtl/>
        </w:rPr>
        <w:t xml:space="preserve"> </w:t>
      </w:r>
      <w:r w:rsidRPr="00B724D5">
        <w:t>(3.470)</w:t>
      </w:r>
      <w:r>
        <w:rPr>
          <w:rFonts w:hint="cs"/>
          <w:rtl/>
        </w:rPr>
        <w:t>.</w:t>
      </w:r>
    </w:p>
    <w:p w14:paraId="25A397ED" w14:textId="77777777" w:rsidR="00793DFB" w:rsidRPr="00B724D5" w:rsidRDefault="00793DFB" w:rsidP="00793DFB">
      <w:pPr>
        <w:numPr>
          <w:ilvl w:val="0"/>
          <w:numId w:val="143"/>
        </w:numPr>
        <w:bidi/>
      </w:pPr>
      <w:r w:rsidRPr="00B724D5">
        <w:rPr>
          <w:rtl/>
        </w:rPr>
        <w:t>كما بلغ متوسط العمل على تحسين جودة الخدمات من خلال الابتكار</w:t>
      </w:r>
      <w:r>
        <w:rPr>
          <w:rFonts w:hint="cs"/>
          <w:rtl/>
        </w:rPr>
        <w:t xml:space="preserve"> </w:t>
      </w:r>
      <w:r w:rsidRPr="00B724D5">
        <w:t>(3.513)</w:t>
      </w:r>
      <w:r>
        <w:rPr>
          <w:rFonts w:hint="cs"/>
          <w:rtl/>
        </w:rPr>
        <w:t>.</w:t>
      </w:r>
    </w:p>
    <w:p w14:paraId="10083365" w14:textId="77777777" w:rsidR="00793DFB" w:rsidRPr="00B724D5" w:rsidRDefault="00793DFB" w:rsidP="00793DFB">
      <w:pPr>
        <w:bidi/>
      </w:pPr>
      <w:r w:rsidRPr="00B724D5">
        <w:rPr>
          <w:rtl/>
        </w:rPr>
        <w:t>تشير هذه النتائج إلى وجود مستوى جيد نسبيًا من الإبداع التطبيقي، أي الانتقال من الفكرة إلى التنفيذ، وهو مؤشر إيجابي على توفر بيئة تنظيمية تسمح بتفعيل بعض الممارسات الابتكارية</w:t>
      </w:r>
      <w:r w:rsidRPr="00B724D5">
        <w:t>.</w:t>
      </w:r>
    </w:p>
    <w:p w14:paraId="25A86A6E" w14:textId="77777777" w:rsidR="00793DFB" w:rsidRPr="00B724D5" w:rsidRDefault="00793DFB" w:rsidP="00793DFB">
      <w:pPr>
        <w:pStyle w:val="ListParagraph"/>
        <w:numPr>
          <w:ilvl w:val="0"/>
          <w:numId w:val="145"/>
        </w:numPr>
        <w:bidi/>
        <w:rPr>
          <w:b/>
          <w:bCs/>
        </w:rPr>
      </w:pPr>
      <w:r w:rsidRPr="00B724D5">
        <w:rPr>
          <w:b/>
          <w:bCs/>
        </w:rPr>
        <w:t xml:space="preserve"> </w:t>
      </w:r>
      <w:r w:rsidRPr="00B724D5">
        <w:rPr>
          <w:b/>
          <w:bCs/>
          <w:rtl/>
        </w:rPr>
        <w:t>دعم الإبداع والتعلم من الخبرة</w:t>
      </w:r>
    </w:p>
    <w:p w14:paraId="4907D567" w14:textId="77777777" w:rsidR="00793DFB" w:rsidRPr="00B724D5" w:rsidRDefault="00793DFB" w:rsidP="00793DFB">
      <w:pPr>
        <w:numPr>
          <w:ilvl w:val="0"/>
          <w:numId w:val="144"/>
        </w:numPr>
        <w:bidi/>
      </w:pPr>
      <w:r w:rsidRPr="00B724D5">
        <w:rPr>
          <w:rtl/>
        </w:rPr>
        <w:t>بلغ متوسط تشجيع الزملاء على التفكير بطرق غير تقليدية</w:t>
      </w:r>
      <w:r>
        <w:rPr>
          <w:rFonts w:hint="cs"/>
          <w:rtl/>
        </w:rPr>
        <w:t xml:space="preserve"> </w:t>
      </w:r>
      <w:r w:rsidRPr="00B724D5">
        <w:t>(3.513)</w:t>
      </w:r>
      <w:r>
        <w:rPr>
          <w:rFonts w:hint="cs"/>
          <w:rtl/>
        </w:rPr>
        <w:t>.</w:t>
      </w:r>
    </w:p>
    <w:p w14:paraId="4C92A948" w14:textId="77777777" w:rsidR="00793DFB" w:rsidRPr="00B724D5" w:rsidRDefault="00793DFB" w:rsidP="00793DFB">
      <w:pPr>
        <w:numPr>
          <w:ilvl w:val="0"/>
          <w:numId w:val="144"/>
        </w:numPr>
        <w:bidi/>
      </w:pPr>
      <w:r w:rsidRPr="00B724D5">
        <w:rPr>
          <w:rtl/>
        </w:rPr>
        <w:t>جاء أعلى متوسط في هذا المحور لبند الاستفادة من الخبرات السابقة لإيجاد حلول مبتكرة (3.843)، مما يدل على أن التعلم التنظيمي يمثل أحد مصادر الإبداع الرئيسية</w:t>
      </w:r>
      <w:r w:rsidRPr="00B724D5">
        <w:t>.</w:t>
      </w:r>
    </w:p>
    <w:p w14:paraId="31751955" w14:textId="77777777" w:rsidR="00793DFB" w:rsidRPr="00B724D5" w:rsidRDefault="00793DFB" w:rsidP="00793DFB">
      <w:pPr>
        <w:numPr>
          <w:ilvl w:val="0"/>
          <w:numId w:val="144"/>
        </w:numPr>
        <w:bidi/>
      </w:pPr>
      <w:r w:rsidRPr="00B724D5">
        <w:rPr>
          <w:rtl/>
        </w:rPr>
        <w:t>كما بلغ متوسط اعتبار الإبداع جزءًا أساسيًا من المسؤولية المهنية (3.663)، وهو مؤشر على وجود وعي مهني بأهمية الإبداع في العمل</w:t>
      </w:r>
      <w:r w:rsidRPr="00B724D5">
        <w:t>.</w:t>
      </w:r>
    </w:p>
    <w:p w14:paraId="7459941D" w14:textId="77777777" w:rsidR="00793DFB" w:rsidRPr="00B724D5" w:rsidRDefault="00793DFB" w:rsidP="00793DFB">
      <w:pPr>
        <w:bidi/>
      </w:pPr>
      <w:r w:rsidRPr="00B724D5">
        <w:rPr>
          <w:rtl/>
        </w:rPr>
        <w:t>تعكس هذه النتائج أن البعد المعرفي والتعلمي للإبداع أقوى من بعد المبادرة الفردية الحرة</w:t>
      </w:r>
      <w:r w:rsidRPr="00B724D5">
        <w:t>.</w:t>
      </w:r>
      <w:r>
        <w:rPr>
          <w:rFonts w:hint="cs"/>
          <w:rtl/>
        </w:rPr>
        <w:t xml:space="preserve"> </w:t>
      </w:r>
      <w:r w:rsidRPr="00B724D5">
        <w:rPr>
          <w:rtl/>
        </w:rPr>
        <w:t>تشير النتائج إلى أن الأداء الإبداعي لدى العاملين يتسم بطابع متوسط يميل إلى الإيجابية، مع قوة واضحة في بعد التعلم من الخبرة وتحمل المسؤولية المهنية تجاه الإبداع، مقابل ضعف نسبي في المبادرة الحرة غير الموجّهة</w:t>
      </w:r>
      <w:r w:rsidRPr="00B724D5">
        <w:t>.</w:t>
      </w:r>
    </w:p>
    <w:p w14:paraId="2B940C41" w14:textId="77777777" w:rsidR="00793DFB" w:rsidRDefault="00793DFB" w:rsidP="00793DFB">
      <w:pPr>
        <w:bidi/>
        <w:rPr>
          <w:rtl/>
        </w:rPr>
      </w:pPr>
      <w:r w:rsidRPr="00B724D5">
        <w:rPr>
          <w:rtl/>
        </w:rPr>
        <w:t>ويمكن تفسير ذلك بأن البيئة التنظيمية تسمح بالإبداع ضمن أطر محددة، لكنها قد لا تشجع بدرجة كافية المبادرات الفردية الاستباقية. وهذه النتيجة ذات دلالة تحليلية مهمة عند اختبار العلاقة بين أنظمة العمل عالية الأداء والثقافة التنظيمية من جهة، والأداء الإبداعي من جهة أخرى في النموذج الهيكلي اللاحق</w:t>
      </w:r>
      <w:r w:rsidRPr="00B724D5">
        <w:t>.</w:t>
      </w:r>
    </w:p>
    <w:p w14:paraId="69A6ECDB" w14:textId="77777777" w:rsidR="00793DFB" w:rsidRDefault="00793DFB" w:rsidP="00793DFB">
      <w:pPr>
        <w:bidi/>
        <w:rPr>
          <w:rtl/>
        </w:rPr>
      </w:pPr>
    </w:p>
    <w:p w14:paraId="43D98631" w14:textId="77777777" w:rsidR="00793DFB" w:rsidRDefault="00793DFB" w:rsidP="00793DFB">
      <w:pPr>
        <w:bidi/>
        <w:rPr>
          <w:rtl/>
        </w:rPr>
      </w:pPr>
    </w:p>
    <w:p w14:paraId="0AFDF094" w14:textId="77777777" w:rsidR="00793DFB" w:rsidRDefault="00793DFB" w:rsidP="00793DFB">
      <w:pPr>
        <w:bidi/>
        <w:rPr>
          <w:rtl/>
        </w:rPr>
      </w:pPr>
    </w:p>
    <w:p w14:paraId="4B030B06" w14:textId="77777777" w:rsidR="00793DFB" w:rsidRDefault="00793DFB" w:rsidP="00793DFB">
      <w:pPr>
        <w:bidi/>
        <w:rPr>
          <w:rtl/>
        </w:rPr>
      </w:pPr>
    </w:p>
    <w:p w14:paraId="4ECAB3EE" w14:textId="77777777" w:rsidR="00793DFB" w:rsidRDefault="00793DFB" w:rsidP="00793DFB">
      <w:pPr>
        <w:bidi/>
        <w:rPr>
          <w:rtl/>
        </w:rPr>
      </w:pPr>
    </w:p>
    <w:p w14:paraId="516587A1" w14:textId="77777777" w:rsidR="00793DFB" w:rsidRDefault="00793DFB" w:rsidP="00793DFB">
      <w:pPr>
        <w:bidi/>
        <w:rPr>
          <w:rtl/>
        </w:rPr>
      </w:pPr>
    </w:p>
    <w:p w14:paraId="3F1100FB" w14:textId="77777777" w:rsidR="00793DFB" w:rsidRDefault="00793DFB" w:rsidP="00793DFB">
      <w:pPr>
        <w:bidi/>
        <w:rPr>
          <w:rtl/>
        </w:rPr>
      </w:pPr>
    </w:p>
    <w:p w14:paraId="0A5F80B1" w14:textId="77777777" w:rsidR="00793DFB" w:rsidRDefault="00793DFB" w:rsidP="00793DFB">
      <w:pPr>
        <w:bidi/>
        <w:rPr>
          <w:rtl/>
        </w:rPr>
      </w:pPr>
      <w:r>
        <w:rPr>
          <w:rFonts w:hint="cs"/>
          <w:rtl/>
        </w:rPr>
        <w:lastRenderedPageBreak/>
        <w:t>جدول (4-6): يوضح تحليل الارتباط بين متغيرات الدراسة</w:t>
      </w:r>
    </w:p>
    <w:tbl>
      <w:tblPr>
        <w:bidiVisual/>
        <w:tblW w:w="11652" w:type="dxa"/>
        <w:tblInd w:w="-988" w:type="dxa"/>
        <w:tblLook w:val="04A0" w:firstRow="1" w:lastRow="0" w:firstColumn="1" w:lastColumn="0" w:noHBand="0" w:noVBand="1"/>
      </w:tblPr>
      <w:tblGrid>
        <w:gridCol w:w="770"/>
        <w:gridCol w:w="1097"/>
        <w:gridCol w:w="694"/>
        <w:gridCol w:w="703"/>
        <w:gridCol w:w="727"/>
        <w:gridCol w:w="851"/>
        <w:gridCol w:w="850"/>
        <w:gridCol w:w="709"/>
        <w:gridCol w:w="802"/>
        <w:gridCol w:w="710"/>
        <w:gridCol w:w="667"/>
        <w:gridCol w:w="667"/>
        <w:gridCol w:w="850"/>
        <w:gridCol w:w="861"/>
        <w:gridCol w:w="694"/>
      </w:tblGrid>
      <w:tr w:rsidR="00793DFB" w:rsidRPr="00046B4A" w14:paraId="630152FF" w14:textId="77777777" w:rsidTr="009F1C88">
        <w:trPr>
          <w:trHeight w:val="696"/>
        </w:trPr>
        <w:tc>
          <w:tcPr>
            <w:tcW w:w="1446" w:type="dxa"/>
            <w:tcBorders>
              <w:top w:val="single" w:sz="4" w:space="0" w:color="auto"/>
              <w:left w:val="single" w:sz="4" w:space="0" w:color="auto"/>
              <w:bottom w:val="single" w:sz="4" w:space="0" w:color="993366"/>
              <w:right w:val="nil"/>
            </w:tcBorders>
            <w:vAlign w:val="bottom"/>
            <w:hideMark/>
          </w:tcPr>
          <w:p w14:paraId="0CD8C22C"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w:t>
            </w:r>
          </w:p>
        </w:tc>
        <w:tc>
          <w:tcPr>
            <w:tcW w:w="421" w:type="dxa"/>
            <w:tcBorders>
              <w:top w:val="single" w:sz="4" w:space="0" w:color="auto"/>
              <w:left w:val="nil"/>
              <w:bottom w:val="single" w:sz="4" w:space="0" w:color="993366"/>
              <w:right w:val="nil"/>
            </w:tcBorders>
            <w:vAlign w:val="bottom"/>
            <w:hideMark/>
          </w:tcPr>
          <w:p w14:paraId="729DCA7A"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w:t>
            </w:r>
          </w:p>
        </w:tc>
        <w:tc>
          <w:tcPr>
            <w:tcW w:w="694" w:type="dxa"/>
            <w:tcBorders>
              <w:top w:val="single" w:sz="4" w:space="0" w:color="auto"/>
              <w:left w:val="nil"/>
              <w:bottom w:val="single" w:sz="4" w:space="0" w:color="993366"/>
              <w:right w:val="single" w:sz="4" w:space="0" w:color="333333"/>
            </w:tcBorders>
            <w:vAlign w:val="bottom"/>
            <w:hideMark/>
          </w:tcPr>
          <w:p w14:paraId="2A6DA8E0" w14:textId="77777777" w:rsidR="00793DFB" w:rsidRPr="00046B4A" w:rsidRDefault="00793DFB" w:rsidP="009F1C88">
            <w:pPr>
              <w:bidi/>
              <w:spacing w:after="0" w:line="240" w:lineRule="auto"/>
              <w:jc w:val="center"/>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rtl/>
                <w:lang w:val="en-GB" w:eastAsia="en-GB"/>
                <w14:ligatures w14:val="none"/>
              </w:rPr>
              <w:t>أنظمة العمل عالية الأداء</w:t>
            </w:r>
          </w:p>
        </w:tc>
        <w:tc>
          <w:tcPr>
            <w:tcW w:w="703" w:type="dxa"/>
            <w:tcBorders>
              <w:top w:val="single" w:sz="4" w:space="0" w:color="auto"/>
              <w:left w:val="single" w:sz="4" w:space="0" w:color="333333"/>
              <w:bottom w:val="single" w:sz="4" w:space="0" w:color="993366"/>
              <w:right w:val="single" w:sz="4" w:space="0" w:color="333333"/>
            </w:tcBorders>
            <w:vAlign w:val="bottom"/>
            <w:hideMark/>
          </w:tcPr>
          <w:p w14:paraId="4BF46B45" w14:textId="77777777" w:rsidR="00793DFB" w:rsidRPr="00046B4A" w:rsidRDefault="00793DFB" w:rsidP="009F1C88">
            <w:pPr>
              <w:bidi/>
              <w:spacing w:after="0" w:line="240" w:lineRule="auto"/>
              <w:jc w:val="center"/>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rtl/>
                <w:lang w:val="en-GB" w:eastAsia="en-GB"/>
                <w14:ligatures w14:val="none"/>
              </w:rPr>
              <w:t>أولاً: التوظيف الانتقائي</w:t>
            </w:r>
          </w:p>
        </w:tc>
        <w:tc>
          <w:tcPr>
            <w:tcW w:w="727" w:type="dxa"/>
            <w:tcBorders>
              <w:top w:val="single" w:sz="4" w:space="0" w:color="auto"/>
              <w:left w:val="single" w:sz="4" w:space="0" w:color="333333"/>
              <w:bottom w:val="single" w:sz="4" w:space="0" w:color="993366"/>
              <w:right w:val="single" w:sz="4" w:space="0" w:color="333333"/>
            </w:tcBorders>
            <w:vAlign w:val="bottom"/>
            <w:hideMark/>
          </w:tcPr>
          <w:p w14:paraId="7AC4245C" w14:textId="77777777" w:rsidR="00793DFB" w:rsidRPr="00046B4A" w:rsidRDefault="00793DFB" w:rsidP="009F1C88">
            <w:pPr>
              <w:bidi/>
              <w:spacing w:after="0" w:line="240" w:lineRule="auto"/>
              <w:jc w:val="center"/>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rtl/>
                <w:lang w:val="en-GB" w:eastAsia="en-GB"/>
                <w14:ligatures w14:val="none"/>
              </w:rPr>
              <w:t>ثانيًا: التدريب والتطوير المستمر</w:t>
            </w:r>
          </w:p>
        </w:tc>
        <w:tc>
          <w:tcPr>
            <w:tcW w:w="851" w:type="dxa"/>
            <w:tcBorders>
              <w:top w:val="single" w:sz="4" w:space="0" w:color="auto"/>
              <w:left w:val="single" w:sz="4" w:space="0" w:color="333333"/>
              <w:bottom w:val="single" w:sz="4" w:space="0" w:color="993366"/>
              <w:right w:val="single" w:sz="4" w:space="0" w:color="333333"/>
            </w:tcBorders>
            <w:vAlign w:val="bottom"/>
            <w:hideMark/>
          </w:tcPr>
          <w:p w14:paraId="51B3C5A5" w14:textId="77777777" w:rsidR="00793DFB" w:rsidRPr="00046B4A" w:rsidRDefault="00793DFB" w:rsidP="009F1C88">
            <w:pPr>
              <w:bidi/>
              <w:spacing w:after="0" w:line="240" w:lineRule="auto"/>
              <w:jc w:val="center"/>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rtl/>
                <w:lang w:val="en-GB" w:eastAsia="en-GB"/>
                <w14:ligatures w14:val="none"/>
              </w:rPr>
              <w:t>ثالثًا: نظم الحوافز والمكافآت</w:t>
            </w:r>
          </w:p>
        </w:tc>
        <w:tc>
          <w:tcPr>
            <w:tcW w:w="850" w:type="dxa"/>
            <w:tcBorders>
              <w:top w:val="single" w:sz="4" w:space="0" w:color="auto"/>
              <w:left w:val="single" w:sz="4" w:space="0" w:color="333333"/>
              <w:bottom w:val="single" w:sz="4" w:space="0" w:color="993366"/>
              <w:right w:val="single" w:sz="4" w:space="0" w:color="333333"/>
            </w:tcBorders>
            <w:vAlign w:val="bottom"/>
            <w:hideMark/>
          </w:tcPr>
          <w:p w14:paraId="78B23E41" w14:textId="77777777" w:rsidR="00793DFB" w:rsidRPr="00046B4A" w:rsidRDefault="00793DFB" w:rsidP="009F1C88">
            <w:pPr>
              <w:bidi/>
              <w:spacing w:after="0" w:line="240" w:lineRule="auto"/>
              <w:jc w:val="center"/>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rtl/>
                <w:lang w:val="en-GB" w:eastAsia="en-GB"/>
                <w14:ligatures w14:val="none"/>
              </w:rPr>
              <w:t>رابعًا: المشاركة في اتخاذ القرار</w:t>
            </w:r>
          </w:p>
        </w:tc>
        <w:tc>
          <w:tcPr>
            <w:tcW w:w="709" w:type="dxa"/>
            <w:tcBorders>
              <w:top w:val="single" w:sz="4" w:space="0" w:color="auto"/>
              <w:left w:val="single" w:sz="4" w:space="0" w:color="333333"/>
              <w:bottom w:val="single" w:sz="4" w:space="0" w:color="993366"/>
              <w:right w:val="single" w:sz="4" w:space="0" w:color="333333"/>
            </w:tcBorders>
            <w:vAlign w:val="bottom"/>
            <w:hideMark/>
          </w:tcPr>
          <w:p w14:paraId="690B325B" w14:textId="77777777" w:rsidR="00793DFB" w:rsidRPr="00046B4A" w:rsidRDefault="00793DFB" w:rsidP="009F1C88">
            <w:pPr>
              <w:bidi/>
              <w:spacing w:after="0" w:line="240" w:lineRule="auto"/>
              <w:jc w:val="center"/>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rtl/>
                <w:lang w:val="en-GB" w:eastAsia="en-GB"/>
                <w14:ligatures w14:val="none"/>
              </w:rPr>
              <w:t>خامسًا: تقييم الأداء العادل</w:t>
            </w:r>
          </w:p>
        </w:tc>
        <w:tc>
          <w:tcPr>
            <w:tcW w:w="802" w:type="dxa"/>
            <w:tcBorders>
              <w:top w:val="single" w:sz="4" w:space="0" w:color="auto"/>
              <w:left w:val="single" w:sz="4" w:space="0" w:color="333333"/>
              <w:bottom w:val="single" w:sz="4" w:space="0" w:color="993366"/>
              <w:right w:val="single" w:sz="4" w:space="0" w:color="333333"/>
            </w:tcBorders>
            <w:vAlign w:val="bottom"/>
            <w:hideMark/>
          </w:tcPr>
          <w:p w14:paraId="6D97B8E1" w14:textId="77777777" w:rsidR="00793DFB" w:rsidRPr="00046B4A" w:rsidRDefault="00793DFB" w:rsidP="009F1C88">
            <w:pPr>
              <w:bidi/>
              <w:spacing w:after="0" w:line="240" w:lineRule="auto"/>
              <w:jc w:val="center"/>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rtl/>
                <w:lang w:val="en-GB" w:eastAsia="en-GB"/>
                <w14:ligatures w14:val="none"/>
              </w:rPr>
              <w:t>سادسًا: تمكين الموظفين</w:t>
            </w:r>
          </w:p>
        </w:tc>
        <w:tc>
          <w:tcPr>
            <w:tcW w:w="710" w:type="dxa"/>
            <w:tcBorders>
              <w:top w:val="single" w:sz="4" w:space="0" w:color="auto"/>
              <w:left w:val="single" w:sz="4" w:space="0" w:color="333333"/>
              <w:bottom w:val="single" w:sz="4" w:space="0" w:color="993366"/>
              <w:right w:val="single" w:sz="4" w:space="0" w:color="333333"/>
            </w:tcBorders>
            <w:vAlign w:val="bottom"/>
            <w:hideMark/>
          </w:tcPr>
          <w:p w14:paraId="709C7830" w14:textId="77777777" w:rsidR="00793DFB" w:rsidRPr="00046B4A" w:rsidRDefault="00793DFB" w:rsidP="009F1C88">
            <w:pPr>
              <w:bidi/>
              <w:spacing w:after="0" w:line="240" w:lineRule="auto"/>
              <w:jc w:val="center"/>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rtl/>
                <w:lang w:val="en-GB" w:eastAsia="en-GB"/>
                <w14:ligatures w14:val="none"/>
              </w:rPr>
              <w:t>الثقافة التنظيمية</w:t>
            </w:r>
          </w:p>
        </w:tc>
        <w:tc>
          <w:tcPr>
            <w:tcW w:w="667" w:type="dxa"/>
            <w:tcBorders>
              <w:top w:val="single" w:sz="4" w:space="0" w:color="auto"/>
              <w:left w:val="single" w:sz="4" w:space="0" w:color="333333"/>
              <w:bottom w:val="single" w:sz="4" w:space="0" w:color="993366"/>
              <w:right w:val="single" w:sz="4" w:space="0" w:color="333333"/>
            </w:tcBorders>
            <w:vAlign w:val="bottom"/>
            <w:hideMark/>
          </w:tcPr>
          <w:p w14:paraId="3DBBAB5F" w14:textId="77777777" w:rsidR="00793DFB" w:rsidRPr="00046B4A" w:rsidRDefault="00793DFB" w:rsidP="009F1C88">
            <w:pPr>
              <w:bidi/>
              <w:spacing w:after="0" w:line="240" w:lineRule="auto"/>
              <w:jc w:val="center"/>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rtl/>
                <w:lang w:val="en-GB" w:eastAsia="en-GB"/>
                <w14:ligatures w14:val="none"/>
              </w:rPr>
              <w:t>أولاً: التكيّف</w:t>
            </w:r>
          </w:p>
        </w:tc>
        <w:tc>
          <w:tcPr>
            <w:tcW w:w="667" w:type="dxa"/>
            <w:tcBorders>
              <w:top w:val="single" w:sz="4" w:space="0" w:color="auto"/>
              <w:left w:val="single" w:sz="4" w:space="0" w:color="333333"/>
              <w:bottom w:val="single" w:sz="4" w:space="0" w:color="993366"/>
              <w:right w:val="single" w:sz="4" w:space="0" w:color="333333"/>
            </w:tcBorders>
            <w:vAlign w:val="bottom"/>
            <w:hideMark/>
          </w:tcPr>
          <w:p w14:paraId="63AA1E92" w14:textId="77777777" w:rsidR="00793DFB" w:rsidRPr="00046B4A" w:rsidRDefault="00793DFB" w:rsidP="009F1C88">
            <w:pPr>
              <w:bidi/>
              <w:spacing w:after="0" w:line="240" w:lineRule="auto"/>
              <w:jc w:val="center"/>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rtl/>
                <w:lang w:val="en-GB" w:eastAsia="en-GB"/>
                <w14:ligatures w14:val="none"/>
              </w:rPr>
              <w:t>ثانيًا: المهمة</w:t>
            </w:r>
          </w:p>
        </w:tc>
        <w:tc>
          <w:tcPr>
            <w:tcW w:w="850" w:type="dxa"/>
            <w:tcBorders>
              <w:top w:val="single" w:sz="4" w:space="0" w:color="auto"/>
              <w:left w:val="single" w:sz="4" w:space="0" w:color="333333"/>
              <w:bottom w:val="single" w:sz="4" w:space="0" w:color="993366"/>
              <w:right w:val="single" w:sz="4" w:space="0" w:color="333333"/>
            </w:tcBorders>
            <w:vAlign w:val="bottom"/>
            <w:hideMark/>
          </w:tcPr>
          <w:p w14:paraId="1063B6AF" w14:textId="77777777" w:rsidR="00793DFB" w:rsidRPr="00046B4A" w:rsidRDefault="00793DFB" w:rsidP="009F1C88">
            <w:pPr>
              <w:bidi/>
              <w:spacing w:after="0" w:line="240" w:lineRule="auto"/>
              <w:jc w:val="center"/>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rtl/>
                <w:lang w:val="en-GB" w:eastAsia="en-GB"/>
                <w14:ligatures w14:val="none"/>
              </w:rPr>
              <w:t>ثالثًا: الاتساق الداخلي</w:t>
            </w:r>
          </w:p>
        </w:tc>
        <w:tc>
          <w:tcPr>
            <w:tcW w:w="861" w:type="dxa"/>
            <w:tcBorders>
              <w:top w:val="single" w:sz="4" w:space="0" w:color="auto"/>
              <w:left w:val="single" w:sz="4" w:space="0" w:color="333333"/>
              <w:bottom w:val="single" w:sz="4" w:space="0" w:color="993366"/>
              <w:right w:val="single" w:sz="4" w:space="0" w:color="333333"/>
            </w:tcBorders>
            <w:vAlign w:val="bottom"/>
            <w:hideMark/>
          </w:tcPr>
          <w:p w14:paraId="5C6423C6" w14:textId="77777777" w:rsidR="00793DFB" w:rsidRPr="00046B4A" w:rsidRDefault="00793DFB" w:rsidP="009F1C88">
            <w:pPr>
              <w:bidi/>
              <w:spacing w:after="0" w:line="240" w:lineRule="auto"/>
              <w:jc w:val="center"/>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rtl/>
                <w:lang w:val="en-GB" w:eastAsia="en-GB"/>
                <w14:ligatures w14:val="none"/>
              </w:rPr>
              <w:t>رابعًا: إشراك الموظفين</w:t>
            </w:r>
          </w:p>
        </w:tc>
        <w:tc>
          <w:tcPr>
            <w:tcW w:w="694" w:type="dxa"/>
            <w:tcBorders>
              <w:top w:val="single" w:sz="4" w:space="0" w:color="auto"/>
              <w:left w:val="single" w:sz="4" w:space="0" w:color="333333"/>
              <w:bottom w:val="single" w:sz="4" w:space="0" w:color="993366"/>
              <w:right w:val="single" w:sz="4" w:space="0" w:color="auto"/>
            </w:tcBorders>
            <w:vAlign w:val="bottom"/>
            <w:hideMark/>
          </w:tcPr>
          <w:p w14:paraId="08BD58B8" w14:textId="77777777" w:rsidR="00793DFB" w:rsidRPr="00046B4A" w:rsidRDefault="00793DFB" w:rsidP="009F1C88">
            <w:pPr>
              <w:bidi/>
              <w:spacing w:after="0" w:line="240" w:lineRule="auto"/>
              <w:jc w:val="center"/>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rtl/>
                <w:lang w:val="en-GB" w:eastAsia="en-GB"/>
                <w14:ligatures w14:val="none"/>
              </w:rPr>
              <w:t>الأداء الإبداعي</w:t>
            </w:r>
          </w:p>
        </w:tc>
      </w:tr>
      <w:tr w:rsidR="00793DFB" w:rsidRPr="00046B4A" w14:paraId="344715C0" w14:textId="77777777" w:rsidTr="009F1C88">
        <w:trPr>
          <w:trHeight w:val="275"/>
        </w:trPr>
        <w:tc>
          <w:tcPr>
            <w:tcW w:w="1446" w:type="dxa"/>
            <w:tcBorders>
              <w:top w:val="nil"/>
              <w:left w:val="single" w:sz="4" w:space="0" w:color="auto"/>
              <w:bottom w:val="nil"/>
              <w:right w:val="nil"/>
            </w:tcBorders>
            <w:shd w:val="clear" w:color="000000" w:fill="CCCCFF"/>
            <w:hideMark/>
          </w:tcPr>
          <w:p w14:paraId="44D9FDC4" w14:textId="77777777" w:rsidR="00793DFB" w:rsidRPr="00046B4A" w:rsidRDefault="00793DFB" w:rsidP="009F1C88">
            <w:pPr>
              <w:bidi/>
              <w:spacing w:after="0" w:line="240" w:lineRule="auto"/>
              <w:jc w:val="right"/>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rtl/>
                <w:lang w:val="en-GB" w:eastAsia="en-GB"/>
                <w14:ligatures w14:val="none"/>
              </w:rPr>
              <w:t>أنظمة العمل عالية الأداء</w:t>
            </w:r>
          </w:p>
        </w:tc>
        <w:tc>
          <w:tcPr>
            <w:tcW w:w="421" w:type="dxa"/>
            <w:tcBorders>
              <w:top w:val="nil"/>
              <w:left w:val="nil"/>
              <w:bottom w:val="single" w:sz="4" w:space="0" w:color="C0C0C0"/>
              <w:right w:val="nil"/>
            </w:tcBorders>
            <w:shd w:val="clear" w:color="000000" w:fill="CCCCFF"/>
            <w:hideMark/>
          </w:tcPr>
          <w:p w14:paraId="79E92F14" w14:textId="77777777" w:rsidR="00793DFB" w:rsidRPr="00046B4A" w:rsidRDefault="00793DFB" w:rsidP="009F1C88">
            <w:pPr>
              <w:spacing w:after="0" w:line="240" w:lineRule="auto"/>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lang w:val="en-GB" w:eastAsia="en-GB"/>
                <w14:ligatures w14:val="none"/>
              </w:rPr>
              <w:t xml:space="preserve">Pearson </w:t>
            </w:r>
          </w:p>
        </w:tc>
        <w:tc>
          <w:tcPr>
            <w:tcW w:w="694" w:type="dxa"/>
            <w:tcBorders>
              <w:top w:val="nil"/>
              <w:left w:val="nil"/>
              <w:bottom w:val="single" w:sz="4" w:space="0" w:color="C0C0C0"/>
              <w:right w:val="single" w:sz="4" w:space="0" w:color="333333"/>
            </w:tcBorders>
            <w:noWrap/>
            <w:hideMark/>
          </w:tcPr>
          <w:p w14:paraId="01BFFB2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1</w:t>
            </w:r>
          </w:p>
        </w:tc>
        <w:tc>
          <w:tcPr>
            <w:tcW w:w="703" w:type="dxa"/>
            <w:tcBorders>
              <w:top w:val="nil"/>
              <w:left w:val="single" w:sz="4" w:space="0" w:color="333333"/>
              <w:bottom w:val="single" w:sz="4" w:space="0" w:color="C0C0C0"/>
              <w:right w:val="single" w:sz="4" w:space="0" w:color="333333"/>
            </w:tcBorders>
            <w:noWrap/>
            <w:hideMark/>
          </w:tcPr>
          <w:p w14:paraId="3D135F7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27" w:type="dxa"/>
            <w:tcBorders>
              <w:top w:val="nil"/>
              <w:left w:val="single" w:sz="4" w:space="0" w:color="333333"/>
              <w:bottom w:val="single" w:sz="4" w:space="0" w:color="C0C0C0"/>
              <w:right w:val="single" w:sz="4" w:space="0" w:color="333333"/>
            </w:tcBorders>
            <w:noWrap/>
            <w:hideMark/>
          </w:tcPr>
          <w:p w14:paraId="2B43011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1" w:type="dxa"/>
            <w:tcBorders>
              <w:top w:val="nil"/>
              <w:left w:val="single" w:sz="4" w:space="0" w:color="333333"/>
              <w:bottom w:val="single" w:sz="4" w:space="0" w:color="C0C0C0"/>
              <w:right w:val="single" w:sz="4" w:space="0" w:color="333333"/>
            </w:tcBorders>
            <w:noWrap/>
            <w:hideMark/>
          </w:tcPr>
          <w:p w14:paraId="448DFFE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169E7F3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09" w:type="dxa"/>
            <w:tcBorders>
              <w:top w:val="nil"/>
              <w:left w:val="single" w:sz="4" w:space="0" w:color="333333"/>
              <w:bottom w:val="single" w:sz="4" w:space="0" w:color="C0C0C0"/>
              <w:right w:val="single" w:sz="4" w:space="0" w:color="333333"/>
            </w:tcBorders>
            <w:noWrap/>
            <w:hideMark/>
          </w:tcPr>
          <w:p w14:paraId="5982E2A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02" w:type="dxa"/>
            <w:tcBorders>
              <w:top w:val="nil"/>
              <w:left w:val="single" w:sz="4" w:space="0" w:color="333333"/>
              <w:bottom w:val="single" w:sz="4" w:space="0" w:color="C0C0C0"/>
              <w:right w:val="single" w:sz="4" w:space="0" w:color="333333"/>
            </w:tcBorders>
            <w:noWrap/>
            <w:hideMark/>
          </w:tcPr>
          <w:p w14:paraId="0D3D142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10" w:type="dxa"/>
            <w:tcBorders>
              <w:top w:val="nil"/>
              <w:left w:val="single" w:sz="4" w:space="0" w:color="333333"/>
              <w:bottom w:val="single" w:sz="4" w:space="0" w:color="C0C0C0"/>
              <w:right w:val="single" w:sz="4" w:space="0" w:color="333333"/>
            </w:tcBorders>
            <w:noWrap/>
            <w:hideMark/>
          </w:tcPr>
          <w:p w14:paraId="7B3BEC7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44EAB30C"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7AE3A0E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09A0E46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7C675AFF"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241AD41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1C95955C" w14:textId="77777777" w:rsidTr="009F1C88">
        <w:trPr>
          <w:trHeight w:val="145"/>
        </w:trPr>
        <w:tc>
          <w:tcPr>
            <w:tcW w:w="1446" w:type="dxa"/>
            <w:tcBorders>
              <w:top w:val="single" w:sz="4" w:space="0" w:color="C0C0C0"/>
              <w:left w:val="single" w:sz="4" w:space="0" w:color="auto"/>
              <w:bottom w:val="single" w:sz="4" w:space="0" w:color="C0C0C0"/>
              <w:right w:val="nil"/>
            </w:tcBorders>
            <w:shd w:val="clear" w:color="000000" w:fill="CCCCFF"/>
            <w:hideMark/>
          </w:tcPr>
          <w:p w14:paraId="261A44B6"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w:t>
            </w:r>
          </w:p>
        </w:tc>
        <w:tc>
          <w:tcPr>
            <w:tcW w:w="421" w:type="dxa"/>
            <w:tcBorders>
              <w:top w:val="nil"/>
              <w:left w:val="nil"/>
              <w:bottom w:val="single" w:sz="4" w:space="0" w:color="C0C0C0"/>
              <w:right w:val="nil"/>
            </w:tcBorders>
            <w:shd w:val="clear" w:color="000000" w:fill="CCCCFF"/>
            <w:hideMark/>
          </w:tcPr>
          <w:p w14:paraId="58CACB6A"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xml:space="preserve">Sig. </w:t>
            </w:r>
          </w:p>
        </w:tc>
        <w:tc>
          <w:tcPr>
            <w:tcW w:w="694" w:type="dxa"/>
            <w:tcBorders>
              <w:top w:val="nil"/>
              <w:left w:val="nil"/>
              <w:bottom w:val="single" w:sz="4" w:space="0" w:color="C0C0C0"/>
              <w:right w:val="single" w:sz="4" w:space="0" w:color="333333"/>
            </w:tcBorders>
            <w:hideMark/>
          </w:tcPr>
          <w:p w14:paraId="76EA7E6A" w14:textId="77777777" w:rsidR="00793DFB" w:rsidRPr="00046B4A" w:rsidRDefault="00793DFB" w:rsidP="009F1C88">
            <w:pPr>
              <w:spacing w:after="0" w:line="240" w:lineRule="auto"/>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03" w:type="dxa"/>
            <w:tcBorders>
              <w:top w:val="nil"/>
              <w:left w:val="single" w:sz="4" w:space="0" w:color="333333"/>
              <w:bottom w:val="single" w:sz="4" w:space="0" w:color="C0C0C0"/>
              <w:right w:val="single" w:sz="4" w:space="0" w:color="333333"/>
            </w:tcBorders>
            <w:noWrap/>
            <w:hideMark/>
          </w:tcPr>
          <w:p w14:paraId="1D00B1B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27" w:type="dxa"/>
            <w:tcBorders>
              <w:top w:val="nil"/>
              <w:left w:val="single" w:sz="4" w:space="0" w:color="333333"/>
              <w:bottom w:val="single" w:sz="4" w:space="0" w:color="C0C0C0"/>
              <w:right w:val="single" w:sz="4" w:space="0" w:color="333333"/>
            </w:tcBorders>
            <w:noWrap/>
            <w:hideMark/>
          </w:tcPr>
          <w:p w14:paraId="3EAE105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1" w:type="dxa"/>
            <w:tcBorders>
              <w:top w:val="nil"/>
              <w:left w:val="single" w:sz="4" w:space="0" w:color="333333"/>
              <w:bottom w:val="single" w:sz="4" w:space="0" w:color="C0C0C0"/>
              <w:right w:val="single" w:sz="4" w:space="0" w:color="333333"/>
            </w:tcBorders>
            <w:noWrap/>
            <w:hideMark/>
          </w:tcPr>
          <w:p w14:paraId="36B5E48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7B0CB960"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09" w:type="dxa"/>
            <w:tcBorders>
              <w:top w:val="nil"/>
              <w:left w:val="single" w:sz="4" w:space="0" w:color="333333"/>
              <w:bottom w:val="single" w:sz="4" w:space="0" w:color="C0C0C0"/>
              <w:right w:val="single" w:sz="4" w:space="0" w:color="333333"/>
            </w:tcBorders>
            <w:noWrap/>
            <w:hideMark/>
          </w:tcPr>
          <w:p w14:paraId="323089C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02" w:type="dxa"/>
            <w:tcBorders>
              <w:top w:val="nil"/>
              <w:left w:val="single" w:sz="4" w:space="0" w:color="333333"/>
              <w:bottom w:val="single" w:sz="4" w:space="0" w:color="C0C0C0"/>
              <w:right w:val="single" w:sz="4" w:space="0" w:color="333333"/>
            </w:tcBorders>
            <w:noWrap/>
            <w:hideMark/>
          </w:tcPr>
          <w:p w14:paraId="0B2201A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10" w:type="dxa"/>
            <w:tcBorders>
              <w:top w:val="nil"/>
              <w:left w:val="single" w:sz="4" w:space="0" w:color="333333"/>
              <w:bottom w:val="single" w:sz="4" w:space="0" w:color="C0C0C0"/>
              <w:right w:val="single" w:sz="4" w:space="0" w:color="333333"/>
            </w:tcBorders>
            <w:noWrap/>
            <w:hideMark/>
          </w:tcPr>
          <w:p w14:paraId="32A5B77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1A7BFD4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21AFD38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7153846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2C0AC4B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3428CEE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0874701A" w14:textId="77777777" w:rsidTr="009F1C88">
        <w:trPr>
          <w:trHeight w:val="456"/>
        </w:trPr>
        <w:tc>
          <w:tcPr>
            <w:tcW w:w="1446" w:type="dxa"/>
            <w:tcBorders>
              <w:top w:val="nil"/>
              <w:left w:val="single" w:sz="4" w:space="0" w:color="auto"/>
              <w:bottom w:val="nil"/>
              <w:right w:val="nil"/>
            </w:tcBorders>
            <w:shd w:val="clear" w:color="000000" w:fill="CCCCFF"/>
            <w:hideMark/>
          </w:tcPr>
          <w:p w14:paraId="318FBB6C" w14:textId="77777777" w:rsidR="00793DFB" w:rsidRPr="00046B4A" w:rsidRDefault="00793DFB" w:rsidP="009F1C88">
            <w:pPr>
              <w:bidi/>
              <w:spacing w:after="0" w:line="240" w:lineRule="auto"/>
              <w:jc w:val="right"/>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rtl/>
                <w:lang w:val="en-GB" w:eastAsia="en-GB"/>
                <w14:ligatures w14:val="none"/>
              </w:rPr>
              <w:t>أولاً: التوظيف الانتقائي</w:t>
            </w:r>
          </w:p>
        </w:tc>
        <w:tc>
          <w:tcPr>
            <w:tcW w:w="421" w:type="dxa"/>
            <w:tcBorders>
              <w:top w:val="nil"/>
              <w:left w:val="nil"/>
              <w:bottom w:val="single" w:sz="4" w:space="0" w:color="C0C0C0"/>
              <w:right w:val="nil"/>
            </w:tcBorders>
            <w:shd w:val="clear" w:color="000000" w:fill="CCCCFF"/>
            <w:hideMark/>
          </w:tcPr>
          <w:p w14:paraId="7215DF45" w14:textId="77777777" w:rsidR="00793DFB" w:rsidRPr="00046B4A" w:rsidRDefault="00793DFB" w:rsidP="009F1C88">
            <w:pPr>
              <w:spacing w:after="0" w:line="240" w:lineRule="auto"/>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lang w:val="en-GB" w:eastAsia="en-GB"/>
                <w14:ligatures w14:val="none"/>
              </w:rPr>
              <w:t>Pearson Correlation</w:t>
            </w:r>
          </w:p>
        </w:tc>
        <w:tc>
          <w:tcPr>
            <w:tcW w:w="694" w:type="dxa"/>
            <w:tcBorders>
              <w:top w:val="nil"/>
              <w:left w:val="nil"/>
              <w:bottom w:val="single" w:sz="4" w:space="0" w:color="C0C0C0"/>
              <w:right w:val="single" w:sz="4" w:space="0" w:color="333333"/>
            </w:tcBorders>
            <w:noWrap/>
            <w:hideMark/>
          </w:tcPr>
          <w:p w14:paraId="4C234D6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.916</w:t>
            </w:r>
            <w:r w:rsidRPr="00046B4A">
              <w:rPr>
                <w:rFonts w:ascii="Arial" w:eastAsia="Times New Roman" w:hAnsi="Arial" w:cs="Arial"/>
                <w:color w:val="993300"/>
                <w:kern w:val="0"/>
                <w:sz w:val="18"/>
                <w:szCs w:val="18"/>
                <w:vertAlign w:val="superscript"/>
                <w:lang w:val="en-GB" w:eastAsia="en-GB"/>
                <w14:ligatures w14:val="none"/>
              </w:rPr>
              <w:t>**</w:t>
            </w:r>
          </w:p>
        </w:tc>
        <w:tc>
          <w:tcPr>
            <w:tcW w:w="703" w:type="dxa"/>
            <w:tcBorders>
              <w:top w:val="nil"/>
              <w:left w:val="single" w:sz="4" w:space="0" w:color="333333"/>
              <w:bottom w:val="single" w:sz="4" w:space="0" w:color="C0C0C0"/>
              <w:right w:val="single" w:sz="4" w:space="0" w:color="333333"/>
            </w:tcBorders>
            <w:noWrap/>
            <w:hideMark/>
          </w:tcPr>
          <w:p w14:paraId="015C7110"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1</w:t>
            </w:r>
          </w:p>
        </w:tc>
        <w:tc>
          <w:tcPr>
            <w:tcW w:w="727" w:type="dxa"/>
            <w:tcBorders>
              <w:top w:val="nil"/>
              <w:left w:val="single" w:sz="4" w:space="0" w:color="333333"/>
              <w:bottom w:val="single" w:sz="4" w:space="0" w:color="C0C0C0"/>
              <w:right w:val="single" w:sz="4" w:space="0" w:color="333333"/>
            </w:tcBorders>
            <w:noWrap/>
            <w:hideMark/>
          </w:tcPr>
          <w:p w14:paraId="526A18B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1" w:type="dxa"/>
            <w:tcBorders>
              <w:top w:val="nil"/>
              <w:left w:val="single" w:sz="4" w:space="0" w:color="333333"/>
              <w:bottom w:val="single" w:sz="4" w:space="0" w:color="C0C0C0"/>
              <w:right w:val="single" w:sz="4" w:space="0" w:color="333333"/>
            </w:tcBorders>
            <w:noWrap/>
            <w:hideMark/>
          </w:tcPr>
          <w:p w14:paraId="4B436DF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74DE6C3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09" w:type="dxa"/>
            <w:tcBorders>
              <w:top w:val="nil"/>
              <w:left w:val="single" w:sz="4" w:space="0" w:color="333333"/>
              <w:bottom w:val="single" w:sz="4" w:space="0" w:color="C0C0C0"/>
              <w:right w:val="single" w:sz="4" w:space="0" w:color="333333"/>
            </w:tcBorders>
            <w:noWrap/>
            <w:hideMark/>
          </w:tcPr>
          <w:p w14:paraId="13EAE290"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02" w:type="dxa"/>
            <w:tcBorders>
              <w:top w:val="nil"/>
              <w:left w:val="single" w:sz="4" w:space="0" w:color="333333"/>
              <w:bottom w:val="single" w:sz="4" w:space="0" w:color="C0C0C0"/>
              <w:right w:val="single" w:sz="4" w:space="0" w:color="333333"/>
            </w:tcBorders>
            <w:noWrap/>
            <w:hideMark/>
          </w:tcPr>
          <w:p w14:paraId="35025A9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10" w:type="dxa"/>
            <w:tcBorders>
              <w:top w:val="nil"/>
              <w:left w:val="single" w:sz="4" w:space="0" w:color="333333"/>
              <w:bottom w:val="single" w:sz="4" w:space="0" w:color="C0C0C0"/>
              <w:right w:val="single" w:sz="4" w:space="0" w:color="333333"/>
            </w:tcBorders>
            <w:noWrap/>
            <w:hideMark/>
          </w:tcPr>
          <w:p w14:paraId="365A607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4433C0F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107EE11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6E8DA730"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4B53BDF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66ACA64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65693749" w14:textId="77777777" w:rsidTr="009F1C88">
        <w:trPr>
          <w:trHeight w:val="158"/>
        </w:trPr>
        <w:tc>
          <w:tcPr>
            <w:tcW w:w="1446" w:type="dxa"/>
            <w:tcBorders>
              <w:top w:val="single" w:sz="4" w:space="0" w:color="C0C0C0"/>
              <w:left w:val="single" w:sz="4" w:space="0" w:color="auto"/>
              <w:bottom w:val="single" w:sz="4" w:space="0" w:color="C0C0C0"/>
              <w:right w:val="nil"/>
            </w:tcBorders>
            <w:shd w:val="clear" w:color="000000" w:fill="CCCCFF"/>
            <w:hideMark/>
          </w:tcPr>
          <w:p w14:paraId="75FD5BA6"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w:t>
            </w:r>
          </w:p>
        </w:tc>
        <w:tc>
          <w:tcPr>
            <w:tcW w:w="421" w:type="dxa"/>
            <w:tcBorders>
              <w:top w:val="nil"/>
              <w:left w:val="nil"/>
              <w:bottom w:val="single" w:sz="4" w:space="0" w:color="C0C0C0"/>
              <w:right w:val="nil"/>
            </w:tcBorders>
            <w:shd w:val="clear" w:color="000000" w:fill="CCCCFF"/>
            <w:hideMark/>
          </w:tcPr>
          <w:p w14:paraId="13B1F714"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xml:space="preserve">Sig. </w:t>
            </w:r>
          </w:p>
        </w:tc>
        <w:tc>
          <w:tcPr>
            <w:tcW w:w="694" w:type="dxa"/>
            <w:tcBorders>
              <w:top w:val="nil"/>
              <w:left w:val="nil"/>
              <w:bottom w:val="single" w:sz="4" w:space="0" w:color="C0C0C0"/>
              <w:right w:val="single" w:sz="4" w:space="0" w:color="333333"/>
            </w:tcBorders>
            <w:noWrap/>
            <w:hideMark/>
          </w:tcPr>
          <w:p w14:paraId="2D6072D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3" w:type="dxa"/>
            <w:tcBorders>
              <w:top w:val="nil"/>
              <w:left w:val="single" w:sz="4" w:space="0" w:color="333333"/>
              <w:bottom w:val="single" w:sz="4" w:space="0" w:color="C0C0C0"/>
              <w:right w:val="single" w:sz="4" w:space="0" w:color="333333"/>
            </w:tcBorders>
            <w:hideMark/>
          </w:tcPr>
          <w:p w14:paraId="68225AE6" w14:textId="77777777" w:rsidR="00793DFB" w:rsidRPr="00046B4A" w:rsidRDefault="00793DFB" w:rsidP="009F1C88">
            <w:pPr>
              <w:spacing w:after="0" w:line="240" w:lineRule="auto"/>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27" w:type="dxa"/>
            <w:tcBorders>
              <w:top w:val="nil"/>
              <w:left w:val="single" w:sz="4" w:space="0" w:color="333333"/>
              <w:bottom w:val="single" w:sz="4" w:space="0" w:color="C0C0C0"/>
              <w:right w:val="single" w:sz="4" w:space="0" w:color="333333"/>
            </w:tcBorders>
            <w:noWrap/>
            <w:hideMark/>
          </w:tcPr>
          <w:p w14:paraId="09061D9F"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1" w:type="dxa"/>
            <w:tcBorders>
              <w:top w:val="nil"/>
              <w:left w:val="single" w:sz="4" w:space="0" w:color="333333"/>
              <w:bottom w:val="single" w:sz="4" w:space="0" w:color="C0C0C0"/>
              <w:right w:val="single" w:sz="4" w:space="0" w:color="333333"/>
            </w:tcBorders>
            <w:noWrap/>
            <w:hideMark/>
          </w:tcPr>
          <w:p w14:paraId="4AAB1E1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21AE8DE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09" w:type="dxa"/>
            <w:tcBorders>
              <w:top w:val="nil"/>
              <w:left w:val="single" w:sz="4" w:space="0" w:color="333333"/>
              <w:bottom w:val="single" w:sz="4" w:space="0" w:color="C0C0C0"/>
              <w:right w:val="single" w:sz="4" w:space="0" w:color="333333"/>
            </w:tcBorders>
            <w:noWrap/>
            <w:hideMark/>
          </w:tcPr>
          <w:p w14:paraId="4086DB8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02" w:type="dxa"/>
            <w:tcBorders>
              <w:top w:val="nil"/>
              <w:left w:val="single" w:sz="4" w:space="0" w:color="333333"/>
              <w:bottom w:val="single" w:sz="4" w:space="0" w:color="C0C0C0"/>
              <w:right w:val="single" w:sz="4" w:space="0" w:color="333333"/>
            </w:tcBorders>
            <w:noWrap/>
            <w:hideMark/>
          </w:tcPr>
          <w:p w14:paraId="10A12A4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10" w:type="dxa"/>
            <w:tcBorders>
              <w:top w:val="nil"/>
              <w:left w:val="single" w:sz="4" w:space="0" w:color="333333"/>
              <w:bottom w:val="single" w:sz="4" w:space="0" w:color="C0C0C0"/>
              <w:right w:val="single" w:sz="4" w:space="0" w:color="333333"/>
            </w:tcBorders>
            <w:noWrap/>
            <w:hideMark/>
          </w:tcPr>
          <w:p w14:paraId="11E0BEC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7603232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71690AC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65CF4C5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5CB0433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710EF210"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7C0B6FD1" w14:textId="77777777" w:rsidTr="009F1C88">
        <w:trPr>
          <w:trHeight w:val="557"/>
        </w:trPr>
        <w:tc>
          <w:tcPr>
            <w:tcW w:w="1446" w:type="dxa"/>
            <w:tcBorders>
              <w:top w:val="nil"/>
              <w:left w:val="single" w:sz="4" w:space="0" w:color="auto"/>
              <w:bottom w:val="nil"/>
              <w:right w:val="nil"/>
            </w:tcBorders>
            <w:shd w:val="clear" w:color="000000" w:fill="CCCCFF"/>
            <w:hideMark/>
          </w:tcPr>
          <w:p w14:paraId="107AE5E1" w14:textId="77777777" w:rsidR="00793DFB" w:rsidRPr="00046B4A" w:rsidRDefault="00793DFB" w:rsidP="009F1C88">
            <w:pPr>
              <w:bidi/>
              <w:spacing w:after="0" w:line="240" w:lineRule="auto"/>
              <w:jc w:val="right"/>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rtl/>
                <w:lang w:val="en-GB" w:eastAsia="en-GB"/>
                <w14:ligatures w14:val="none"/>
              </w:rPr>
              <w:t>ثانيًا: التدريب والتطوير المستمر</w:t>
            </w:r>
          </w:p>
        </w:tc>
        <w:tc>
          <w:tcPr>
            <w:tcW w:w="421" w:type="dxa"/>
            <w:tcBorders>
              <w:top w:val="nil"/>
              <w:left w:val="nil"/>
              <w:bottom w:val="single" w:sz="4" w:space="0" w:color="C0C0C0"/>
              <w:right w:val="nil"/>
            </w:tcBorders>
            <w:shd w:val="clear" w:color="000000" w:fill="CCCCFF"/>
            <w:hideMark/>
          </w:tcPr>
          <w:p w14:paraId="55D1B3F7" w14:textId="77777777" w:rsidR="00793DFB" w:rsidRPr="00046B4A" w:rsidRDefault="00793DFB" w:rsidP="009F1C88">
            <w:pPr>
              <w:spacing w:after="0" w:line="240" w:lineRule="auto"/>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lang w:val="en-GB" w:eastAsia="en-GB"/>
                <w14:ligatures w14:val="none"/>
              </w:rPr>
              <w:t>Pearson Correlation</w:t>
            </w:r>
          </w:p>
        </w:tc>
        <w:tc>
          <w:tcPr>
            <w:tcW w:w="694" w:type="dxa"/>
            <w:tcBorders>
              <w:top w:val="nil"/>
              <w:left w:val="nil"/>
              <w:bottom w:val="single" w:sz="4" w:space="0" w:color="C0C0C0"/>
              <w:right w:val="single" w:sz="4" w:space="0" w:color="333333"/>
            </w:tcBorders>
            <w:noWrap/>
            <w:hideMark/>
          </w:tcPr>
          <w:p w14:paraId="68F1F2A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.926</w:t>
            </w:r>
            <w:r w:rsidRPr="00046B4A">
              <w:rPr>
                <w:rFonts w:ascii="Arial" w:eastAsia="Times New Roman" w:hAnsi="Arial" w:cs="Arial"/>
                <w:color w:val="993300"/>
                <w:kern w:val="0"/>
                <w:sz w:val="18"/>
                <w:szCs w:val="18"/>
                <w:vertAlign w:val="superscript"/>
                <w:lang w:val="en-GB" w:eastAsia="en-GB"/>
                <w14:ligatures w14:val="none"/>
              </w:rPr>
              <w:t>**</w:t>
            </w:r>
          </w:p>
        </w:tc>
        <w:tc>
          <w:tcPr>
            <w:tcW w:w="703" w:type="dxa"/>
            <w:tcBorders>
              <w:top w:val="nil"/>
              <w:left w:val="single" w:sz="4" w:space="0" w:color="333333"/>
              <w:bottom w:val="single" w:sz="4" w:space="0" w:color="C0C0C0"/>
              <w:right w:val="single" w:sz="4" w:space="0" w:color="333333"/>
            </w:tcBorders>
            <w:noWrap/>
            <w:hideMark/>
          </w:tcPr>
          <w:p w14:paraId="24F6EE6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.842</w:t>
            </w:r>
            <w:r w:rsidRPr="00046B4A">
              <w:rPr>
                <w:rFonts w:ascii="Arial" w:eastAsia="Times New Roman" w:hAnsi="Arial" w:cs="Arial"/>
                <w:color w:val="993300"/>
                <w:kern w:val="0"/>
                <w:sz w:val="18"/>
                <w:szCs w:val="18"/>
                <w:vertAlign w:val="superscript"/>
                <w:lang w:val="en-GB" w:eastAsia="en-GB"/>
                <w14:ligatures w14:val="none"/>
              </w:rPr>
              <w:t>**</w:t>
            </w:r>
          </w:p>
        </w:tc>
        <w:tc>
          <w:tcPr>
            <w:tcW w:w="727" w:type="dxa"/>
            <w:tcBorders>
              <w:top w:val="nil"/>
              <w:left w:val="single" w:sz="4" w:space="0" w:color="333333"/>
              <w:bottom w:val="single" w:sz="4" w:space="0" w:color="C0C0C0"/>
              <w:right w:val="single" w:sz="4" w:space="0" w:color="333333"/>
            </w:tcBorders>
            <w:noWrap/>
            <w:hideMark/>
          </w:tcPr>
          <w:p w14:paraId="302490F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1</w:t>
            </w:r>
          </w:p>
        </w:tc>
        <w:tc>
          <w:tcPr>
            <w:tcW w:w="851" w:type="dxa"/>
            <w:tcBorders>
              <w:top w:val="nil"/>
              <w:left w:val="single" w:sz="4" w:space="0" w:color="333333"/>
              <w:bottom w:val="single" w:sz="4" w:space="0" w:color="C0C0C0"/>
              <w:right w:val="single" w:sz="4" w:space="0" w:color="333333"/>
            </w:tcBorders>
            <w:noWrap/>
            <w:hideMark/>
          </w:tcPr>
          <w:p w14:paraId="05D9A89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0A24D14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09" w:type="dxa"/>
            <w:tcBorders>
              <w:top w:val="nil"/>
              <w:left w:val="single" w:sz="4" w:space="0" w:color="333333"/>
              <w:bottom w:val="single" w:sz="4" w:space="0" w:color="C0C0C0"/>
              <w:right w:val="single" w:sz="4" w:space="0" w:color="333333"/>
            </w:tcBorders>
            <w:noWrap/>
            <w:hideMark/>
          </w:tcPr>
          <w:p w14:paraId="417CEA9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02" w:type="dxa"/>
            <w:tcBorders>
              <w:top w:val="nil"/>
              <w:left w:val="single" w:sz="4" w:space="0" w:color="333333"/>
              <w:bottom w:val="single" w:sz="4" w:space="0" w:color="C0C0C0"/>
              <w:right w:val="single" w:sz="4" w:space="0" w:color="333333"/>
            </w:tcBorders>
            <w:noWrap/>
            <w:hideMark/>
          </w:tcPr>
          <w:p w14:paraId="7040178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10" w:type="dxa"/>
            <w:tcBorders>
              <w:top w:val="nil"/>
              <w:left w:val="single" w:sz="4" w:space="0" w:color="333333"/>
              <w:bottom w:val="single" w:sz="4" w:space="0" w:color="C0C0C0"/>
              <w:right w:val="single" w:sz="4" w:space="0" w:color="333333"/>
            </w:tcBorders>
            <w:noWrap/>
            <w:hideMark/>
          </w:tcPr>
          <w:p w14:paraId="65D3F8E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1001763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2321C95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6235FDDF"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4C594A1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187C851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1DAAD49E" w14:textId="77777777" w:rsidTr="009F1C88">
        <w:trPr>
          <w:trHeight w:val="158"/>
        </w:trPr>
        <w:tc>
          <w:tcPr>
            <w:tcW w:w="1446" w:type="dxa"/>
            <w:tcBorders>
              <w:top w:val="single" w:sz="4" w:space="0" w:color="C0C0C0"/>
              <w:left w:val="single" w:sz="4" w:space="0" w:color="auto"/>
              <w:bottom w:val="single" w:sz="4" w:space="0" w:color="C0C0C0"/>
              <w:right w:val="nil"/>
            </w:tcBorders>
            <w:shd w:val="clear" w:color="000000" w:fill="CCCCFF"/>
            <w:hideMark/>
          </w:tcPr>
          <w:p w14:paraId="5DCD8D4D"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w:t>
            </w:r>
          </w:p>
        </w:tc>
        <w:tc>
          <w:tcPr>
            <w:tcW w:w="421" w:type="dxa"/>
            <w:tcBorders>
              <w:top w:val="nil"/>
              <w:left w:val="nil"/>
              <w:bottom w:val="single" w:sz="4" w:space="0" w:color="C0C0C0"/>
              <w:right w:val="nil"/>
            </w:tcBorders>
            <w:shd w:val="clear" w:color="000000" w:fill="CCCCFF"/>
            <w:hideMark/>
          </w:tcPr>
          <w:p w14:paraId="31B29DDD"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xml:space="preserve">Sig. </w:t>
            </w:r>
          </w:p>
        </w:tc>
        <w:tc>
          <w:tcPr>
            <w:tcW w:w="694" w:type="dxa"/>
            <w:tcBorders>
              <w:top w:val="nil"/>
              <w:left w:val="nil"/>
              <w:bottom w:val="single" w:sz="4" w:space="0" w:color="C0C0C0"/>
              <w:right w:val="single" w:sz="4" w:space="0" w:color="333333"/>
            </w:tcBorders>
            <w:noWrap/>
            <w:hideMark/>
          </w:tcPr>
          <w:p w14:paraId="2C5EE76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3" w:type="dxa"/>
            <w:tcBorders>
              <w:top w:val="nil"/>
              <w:left w:val="single" w:sz="4" w:space="0" w:color="333333"/>
              <w:bottom w:val="single" w:sz="4" w:space="0" w:color="C0C0C0"/>
              <w:right w:val="single" w:sz="4" w:space="0" w:color="333333"/>
            </w:tcBorders>
            <w:noWrap/>
            <w:hideMark/>
          </w:tcPr>
          <w:p w14:paraId="4FE106A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27" w:type="dxa"/>
            <w:tcBorders>
              <w:top w:val="nil"/>
              <w:left w:val="single" w:sz="4" w:space="0" w:color="333333"/>
              <w:bottom w:val="single" w:sz="4" w:space="0" w:color="C0C0C0"/>
              <w:right w:val="single" w:sz="4" w:space="0" w:color="333333"/>
            </w:tcBorders>
            <w:hideMark/>
          </w:tcPr>
          <w:p w14:paraId="06C92E81" w14:textId="77777777" w:rsidR="00793DFB" w:rsidRPr="00046B4A" w:rsidRDefault="00793DFB" w:rsidP="009F1C88">
            <w:pPr>
              <w:spacing w:after="0" w:line="240" w:lineRule="auto"/>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1" w:type="dxa"/>
            <w:tcBorders>
              <w:top w:val="nil"/>
              <w:left w:val="single" w:sz="4" w:space="0" w:color="333333"/>
              <w:bottom w:val="single" w:sz="4" w:space="0" w:color="C0C0C0"/>
              <w:right w:val="single" w:sz="4" w:space="0" w:color="333333"/>
            </w:tcBorders>
            <w:noWrap/>
            <w:hideMark/>
          </w:tcPr>
          <w:p w14:paraId="6F09CBAC"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65D78A4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09" w:type="dxa"/>
            <w:tcBorders>
              <w:top w:val="nil"/>
              <w:left w:val="single" w:sz="4" w:space="0" w:color="333333"/>
              <w:bottom w:val="single" w:sz="4" w:space="0" w:color="C0C0C0"/>
              <w:right w:val="single" w:sz="4" w:space="0" w:color="333333"/>
            </w:tcBorders>
            <w:noWrap/>
            <w:hideMark/>
          </w:tcPr>
          <w:p w14:paraId="18DFDAB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02" w:type="dxa"/>
            <w:tcBorders>
              <w:top w:val="nil"/>
              <w:left w:val="single" w:sz="4" w:space="0" w:color="333333"/>
              <w:bottom w:val="single" w:sz="4" w:space="0" w:color="C0C0C0"/>
              <w:right w:val="single" w:sz="4" w:space="0" w:color="333333"/>
            </w:tcBorders>
            <w:noWrap/>
            <w:hideMark/>
          </w:tcPr>
          <w:p w14:paraId="5ED6AF6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10" w:type="dxa"/>
            <w:tcBorders>
              <w:top w:val="nil"/>
              <w:left w:val="single" w:sz="4" w:space="0" w:color="333333"/>
              <w:bottom w:val="single" w:sz="4" w:space="0" w:color="C0C0C0"/>
              <w:right w:val="single" w:sz="4" w:space="0" w:color="333333"/>
            </w:tcBorders>
            <w:noWrap/>
            <w:hideMark/>
          </w:tcPr>
          <w:p w14:paraId="6D13746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1E6594E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3A0DEA3C"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42DFDFD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219BA92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6BB519C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53476F42" w14:textId="77777777" w:rsidTr="009F1C88">
        <w:trPr>
          <w:trHeight w:val="684"/>
        </w:trPr>
        <w:tc>
          <w:tcPr>
            <w:tcW w:w="1446" w:type="dxa"/>
            <w:tcBorders>
              <w:top w:val="nil"/>
              <w:left w:val="single" w:sz="4" w:space="0" w:color="auto"/>
              <w:bottom w:val="nil"/>
              <w:right w:val="nil"/>
            </w:tcBorders>
            <w:shd w:val="clear" w:color="000000" w:fill="CCCCFF"/>
            <w:hideMark/>
          </w:tcPr>
          <w:p w14:paraId="3DAB6579" w14:textId="77777777" w:rsidR="00793DFB" w:rsidRPr="00046B4A" w:rsidRDefault="00793DFB" w:rsidP="009F1C88">
            <w:pPr>
              <w:bidi/>
              <w:spacing w:after="0" w:line="240" w:lineRule="auto"/>
              <w:jc w:val="right"/>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rtl/>
                <w:lang w:val="en-GB" w:eastAsia="en-GB"/>
                <w14:ligatures w14:val="none"/>
              </w:rPr>
              <w:t>ثالثًا: نظم الحوافز والمكافآت</w:t>
            </w:r>
          </w:p>
        </w:tc>
        <w:tc>
          <w:tcPr>
            <w:tcW w:w="421" w:type="dxa"/>
            <w:tcBorders>
              <w:top w:val="nil"/>
              <w:left w:val="nil"/>
              <w:bottom w:val="single" w:sz="4" w:space="0" w:color="C0C0C0"/>
              <w:right w:val="nil"/>
            </w:tcBorders>
            <w:shd w:val="clear" w:color="000000" w:fill="CCCCFF"/>
            <w:hideMark/>
          </w:tcPr>
          <w:p w14:paraId="7360B602" w14:textId="77777777" w:rsidR="00793DFB" w:rsidRPr="00046B4A" w:rsidRDefault="00793DFB" w:rsidP="009F1C88">
            <w:pPr>
              <w:spacing w:after="0" w:line="240" w:lineRule="auto"/>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lang w:val="en-GB" w:eastAsia="en-GB"/>
                <w14:ligatures w14:val="none"/>
              </w:rPr>
              <w:t>Pearson Correlation</w:t>
            </w:r>
          </w:p>
        </w:tc>
        <w:tc>
          <w:tcPr>
            <w:tcW w:w="694" w:type="dxa"/>
            <w:tcBorders>
              <w:top w:val="nil"/>
              <w:left w:val="nil"/>
              <w:bottom w:val="single" w:sz="4" w:space="0" w:color="C0C0C0"/>
              <w:right w:val="single" w:sz="4" w:space="0" w:color="333333"/>
            </w:tcBorders>
            <w:noWrap/>
            <w:hideMark/>
          </w:tcPr>
          <w:p w14:paraId="60336FDF"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.917</w:t>
            </w:r>
            <w:r w:rsidRPr="00046B4A">
              <w:rPr>
                <w:rFonts w:ascii="Arial" w:eastAsia="Times New Roman" w:hAnsi="Arial" w:cs="Arial"/>
                <w:color w:val="993300"/>
                <w:kern w:val="0"/>
                <w:sz w:val="18"/>
                <w:szCs w:val="18"/>
                <w:vertAlign w:val="superscript"/>
                <w:lang w:val="en-GB" w:eastAsia="en-GB"/>
                <w14:ligatures w14:val="none"/>
              </w:rPr>
              <w:t>**</w:t>
            </w:r>
          </w:p>
        </w:tc>
        <w:tc>
          <w:tcPr>
            <w:tcW w:w="703" w:type="dxa"/>
            <w:tcBorders>
              <w:top w:val="nil"/>
              <w:left w:val="single" w:sz="4" w:space="0" w:color="333333"/>
              <w:bottom w:val="single" w:sz="4" w:space="0" w:color="C0C0C0"/>
              <w:right w:val="single" w:sz="4" w:space="0" w:color="333333"/>
            </w:tcBorders>
            <w:noWrap/>
            <w:hideMark/>
          </w:tcPr>
          <w:p w14:paraId="3057B5AC"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.814</w:t>
            </w:r>
            <w:r w:rsidRPr="00046B4A">
              <w:rPr>
                <w:rFonts w:ascii="Arial" w:eastAsia="Times New Roman" w:hAnsi="Arial" w:cs="Arial"/>
                <w:color w:val="993300"/>
                <w:kern w:val="0"/>
                <w:sz w:val="18"/>
                <w:szCs w:val="18"/>
                <w:vertAlign w:val="superscript"/>
                <w:lang w:val="en-GB" w:eastAsia="en-GB"/>
                <w14:ligatures w14:val="none"/>
              </w:rPr>
              <w:t>**</w:t>
            </w:r>
          </w:p>
        </w:tc>
        <w:tc>
          <w:tcPr>
            <w:tcW w:w="727" w:type="dxa"/>
            <w:tcBorders>
              <w:top w:val="nil"/>
              <w:left w:val="single" w:sz="4" w:space="0" w:color="333333"/>
              <w:bottom w:val="single" w:sz="4" w:space="0" w:color="C0C0C0"/>
              <w:right w:val="single" w:sz="4" w:space="0" w:color="333333"/>
            </w:tcBorders>
            <w:noWrap/>
            <w:hideMark/>
          </w:tcPr>
          <w:p w14:paraId="2FE1646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.820</w:t>
            </w:r>
            <w:r w:rsidRPr="00046B4A">
              <w:rPr>
                <w:rFonts w:ascii="Arial" w:eastAsia="Times New Roman" w:hAnsi="Arial" w:cs="Arial"/>
                <w:color w:val="993300"/>
                <w:kern w:val="0"/>
                <w:sz w:val="18"/>
                <w:szCs w:val="18"/>
                <w:vertAlign w:val="superscript"/>
                <w:lang w:val="en-GB" w:eastAsia="en-GB"/>
                <w14:ligatures w14:val="none"/>
              </w:rPr>
              <w:t>**</w:t>
            </w:r>
          </w:p>
        </w:tc>
        <w:tc>
          <w:tcPr>
            <w:tcW w:w="851" w:type="dxa"/>
            <w:tcBorders>
              <w:top w:val="nil"/>
              <w:left w:val="single" w:sz="4" w:space="0" w:color="333333"/>
              <w:bottom w:val="single" w:sz="4" w:space="0" w:color="C0C0C0"/>
              <w:right w:val="single" w:sz="4" w:space="0" w:color="333333"/>
            </w:tcBorders>
            <w:noWrap/>
            <w:hideMark/>
          </w:tcPr>
          <w:p w14:paraId="74D5598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1</w:t>
            </w:r>
          </w:p>
        </w:tc>
        <w:tc>
          <w:tcPr>
            <w:tcW w:w="850" w:type="dxa"/>
            <w:tcBorders>
              <w:top w:val="nil"/>
              <w:left w:val="single" w:sz="4" w:space="0" w:color="333333"/>
              <w:bottom w:val="single" w:sz="4" w:space="0" w:color="C0C0C0"/>
              <w:right w:val="single" w:sz="4" w:space="0" w:color="333333"/>
            </w:tcBorders>
            <w:noWrap/>
            <w:hideMark/>
          </w:tcPr>
          <w:p w14:paraId="37D8338F"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09" w:type="dxa"/>
            <w:tcBorders>
              <w:top w:val="nil"/>
              <w:left w:val="single" w:sz="4" w:space="0" w:color="333333"/>
              <w:bottom w:val="single" w:sz="4" w:space="0" w:color="C0C0C0"/>
              <w:right w:val="single" w:sz="4" w:space="0" w:color="333333"/>
            </w:tcBorders>
            <w:noWrap/>
            <w:hideMark/>
          </w:tcPr>
          <w:p w14:paraId="7C3ED2A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02" w:type="dxa"/>
            <w:tcBorders>
              <w:top w:val="nil"/>
              <w:left w:val="single" w:sz="4" w:space="0" w:color="333333"/>
              <w:bottom w:val="single" w:sz="4" w:space="0" w:color="C0C0C0"/>
              <w:right w:val="single" w:sz="4" w:space="0" w:color="333333"/>
            </w:tcBorders>
            <w:noWrap/>
            <w:hideMark/>
          </w:tcPr>
          <w:p w14:paraId="1125665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10" w:type="dxa"/>
            <w:tcBorders>
              <w:top w:val="nil"/>
              <w:left w:val="single" w:sz="4" w:space="0" w:color="333333"/>
              <w:bottom w:val="single" w:sz="4" w:space="0" w:color="C0C0C0"/>
              <w:right w:val="single" w:sz="4" w:space="0" w:color="333333"/>
            </w:tcBorders>
            <w:noWrap/>
            <w:hideMark/>
          </w:tcPr>
          <w:p w14:paraId="62D38DF0"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68F91FD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3846FA9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1607F58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4A6410B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7BE31FC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644437D8" w14:textId="77777777" w:rsidTr="009F1C88">
        <w:trPr>
          <w:trHeight w:val="99"/>
        </w:trPr>
        <w:tc>
          <w:tcPr>
            <w:tcW w:w="1446" w:type="dxa"/>
            <w:tcBorders>
              <w:top w:val="single" w:sz="4" w:space="0" w:color="C0C0C0"/>
              <w:left w:val="single" w:sz="4" w:space="0" w:color="auto"/>
              <w:bottom w:val="single" w:sz="4" w:space="0" w:color="C0C0C0"/>
              <w:right w:val="nil"/>
            </w:tcBorders>
            <w:shd w:val="clear" w:color="000000" w:fill="CCCCFF"/>
            <w:hideMark/>
          </w:tcPr>
          <w:p w14:paraId="76841FF3"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w:t>
            </w:r>
          </w:p>
        </w:tc>
        <w:tc>
          <w:tcPr>
            <w:tcW w:w="421" w:type="dxa"/>
            <w:tcBorders>
              <w:top w:val="nil"/>
              <w:left w:val="nil"/>
              <w:bottom w:val="single" w:sz="4" w:space="0" w:color="C0C0C0"/>
              <w:right w:val="nil"/>
            </w:tcBorders>
            <w:shd w:val="clear" w:color="000000" w:fill="CCCCFF"/>
            <w:hideMark/>
          </w:tcPr>
          <w:p w14:paraId="45CA9979"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xml:space="preserve">Sig. </w:t>
            </w:r>
          </w:p>
        </w:tc>
        <w:tc>
          <w:tcPr>
            <w:tcW w:w="694" w:type="dxa"/>
            <w:tcBorders>
              <w:top w:val="nil"/>
              <w:left w:val="nil"/>
              <w:bottom w:val="single" w:sz="4" w:space="0" w:color="C0C0C0"/>
              <w:right w:val="single" w:sz="4" w:space="0" w:color="333333"/>
            </w:tcBorders>
            <w:noWrap/>
            <w:hideMark/>
          </w:tcPr>
          <w:p w14:paraId="086E9BE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3" w:type="dxa"/>
            <w:tcBorders>
              <w:top w:val="nil"/>
              <w:left w:val="single" w:sz="4" w:space="0" w:color="333333"/>
              <w:bottom w:val="single" w:sz="4" w:space="0" w:color="C0C0C0"/>
              <w:right w:val="single" w:sz="4" w:space="0" w:color="333333"/>
            </w:tcBorders>
            <w:noWrap/>
            <w:hideMark/>
          </w:tcPr>
          <w:p w14:paraId="165F20A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27" w:type="dxa"/>
            <w:tcBorders>
              <w:top w:val="nil"/>
              <w:left w:val="single" w:sz="4" w:space="0" w:color="333333"/>
              <w:bottom w:val="single" w:sz="4" w:space="0" w:color="C0C0C0"/>
              <w:right w:val="single" w:sz="4" w:space="0" w:color="333333"/>
            </w:tcBorders>
            <w:noWrap/>
            <w:hideMark/>
          </w:tcPr>
          <w:p w14:paraId="5A7410D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1" w:type="dxa"/>
            <w:tcBorders>
              <w:top w:val="nil"/>
              <w:left w:val="single" w:sz="4" w:space="0" w:color="333333"/>
              <w:bottom w:val="single" w:sz="4" w:space="0" w:color="C0C0C0"/>
              <w:right w:val="single" w:sz="4" w:space="0" w:color="333333"/>
            </w:tcBorders>
            <w:hideMark/>
          </w:tcPr>
          <w:p w14:paraId="31B7CD98" w14:textId="77777777" w:rsidR="00793DFB" w:rsidRPr="00046B4A" w:rsidRDefault="00793DFB" w:rsidP="009F1C88">
            <w:pPr>
              <w:spacing w:after="0" w:line="240" w:lineRule="auto"/>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73571BD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09" w:type="dxa"/>
            <w:tcBorders>
              <w:top w:val="nil"/>
              <w:left w:val="single" w:sz="4" w:space="0" w:color="333333"/>
              <w:bottom w:val="single" w:sz="4" w:space="0" w:color="C0C0C0"/>
              <w:right w:val="single" w:sz="4" w:space="0" w:color="333333"/>
            </w:tcBorders>
            <w:noWrap/>
            <w:hideMark/>
          </w:tcPr>
          <w:p w14:paraId="6FD4800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02" w:type="dxa"/>
            <w:tcBorders>
              <w:top w:val="nil"/>
              <w:left w:val="single" w:sz="4" w:space="0" w:color="333333"/>
              <w:bottom w:val="single" w:sz="4" w:space="0" w:color="C0C0C0"/>
              <w:right w:val="single" w:sz="4" w:space="0" w:color="333333"/>
            </w:tcBorders>
            <w:noWrap/>
            <w:hideMark/>
          </w:tcPr>
          <w:p w14:paraId="4640032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10" w:type="dxa"/>
            <w:tcBorders>
              <w:top w:val="nil"/>
              <w:left w:val="single" w:sz="4" w:space="0" w:color="333333"/>
              <w:bottom w:val="single" w:sz="4" w:space="0" w:color="C0C0C0"/>
              <w:right w:val="single" w:sz="4" w:space="0" w:color="333333"/>
            </w:tcBorders>
            <w:noWrap/>
            <w:hideMark/>
          </w:tcPr>
          <w:p w14:paraId="20C6BA9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02F0827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5FC968F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4CCBC65C"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40859BF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60BD968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7E0CA5CE" w14:textId="77777777" w:rsidTr="009F1C88">
        <w:trPr>
          <w:trHeight w:val="584"/>
        </w:trPr>
        <w:tc>
          <w:tcPr>
            <w:tcW w:w="1446" w:type="dxa"/>
            <w:tcBorders>
              <w:top w:val="nil"/>
              <w:left w:val="single" w:sz="4" w:space="0" w:color="auto"/>
              <w:bottom w:val="nil"/>
              <w:right w:val="nil"/>
            </w:tcBorders>
            <w:shd w:val="clear" w:color="000000" w:fill="CCCCFF"/>
            <w:hideMark/>
          </w:tcPr>
          <w:p w14:paraId="281F36E8" w14:textId="77777777" w:rsidR="00793DFB" w:rsidRPr="00046B4A" w:rsidRDefault="00793DFB" w:rsidP="009F1C88">
            <w:pPr>
              <w:bidi/>
              <w:spacing w:after="0" w:line="240" w:lineRule="auto"/>
              <w:jc w:val="right"/>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rtl/>
                <w:lang w:val="en-GB" w:eastAsia="en-GB"/>
                <w14:ligatures w14:val="none"/>
              </w:rPr>
              <w:t>رابعًا: المشاركة في اتخاذ القرار</w:t>
            </w:r>
          </w:p>
        </w:tc>
        <w:tc>
          <w:tcPr>
            <w:tcW w:w="421" w:type="dxa"/>
            <w:tcBorders>
              <w:top w:val="nil"/>
              <w:left w:val="nil"/>
              <w:bottom w:val="single" w:sz="4" w:space="0" w:color="C0C0C0"/>
              <w:right w:val="nil"/>
            </w:tcBorders>
            <w:shd w:val="clear" w:color="000000" w:fill="CCCCFF"/>
            <w:hideMark/>
          </w:tcPr>
          <w:p w14:paraId="508A292A" w14:textId="77777777" w:rsidR="00793DFB" w:rsidRPr="00046B4A" w:rsidRDefault="00793DFB" w:rsidP="009F1C88">
            <w:pPr>
              <w:spacing w:after="0" w:line="240" w:lineRule="auto"/>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lang w:val="en-GB" w:eastAsia="en-GB"/>
                <w14:ligatures w14:val="none"/>
              </w:rPr>
              <w:t>Pearson Correlation</w:t>
            </w:r>
          </w:p>
        </w:tc>
        <w:tc>
          <w:tcPr>
            <w:tcW w:w="694" w:type="dxa"/>
            <w:tcBorders>
              <w:top w:val="nil"/>
              <w:left w:val="nil"/>
              <w:bottom w:val="single" w:sz="4" w:space="0" w:color="C0C0C0"/>
              <w:right w:val="single" w:sz="4" w:space="0" w:color="333333"/>
            </w:tcBorders>
            <w:noWrap/>
            <w:hideMark/>
          </w:tcPr>
          <w:p w14:paraId="5F5A03A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.885</w:t>
            </w:r>
            <w:r w:rsidRPr="00046B4A">
              <w:rPr>
                <w:rFonts w:ascii="Arial" w:eastAsia="Times New Roman" w:hAnsi="Arial" w:cs="Arial"/>
                <w:color w:val="993300"/>
                <w:kern w:val="0"/>
                <w:sz w:val="18"/>
                <w:szCs w:val="18"/>
                <w:vertAlign w:val="superscript"/>
                <w:lang w:val="en-GB" w:eastAsia="en-GB"/>
                <w14:ligatures w14:val="none"/>
              </w:rPr>
              <w:t>**</w:t>
            </w:r>
          </w:p>
        </w:tc>
        <w:tc>
          <w:tcPr>
            <w:tcW w:w="703" w:type="dxa"/>
            <w:tcBorders>
              <w:top w:val="nil"/>
              <w:left w:val="single" w:sz="4" w:space="0" w:color="333333"/>
              <w:bottom w:val="single" w:sz="4" w:space="0" w:color="C0C0C0"/>
              <w:right w:val="single" w:sz="4" w:space="0" w:color="333333"/>
            </w:tcBorders>
            <w:noWrap/>
            <w:hideMark/>
          </w:tcPr>
          <w:p w14:paraId="1B4AFDE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.780</w:t>
            </w:r>
            <w:r w:rsidRPr="00046B4A">
              <w:rPr>
                <w:rFonts w:ascii="Arial" w:eastAsia="Times New Roman" w:hAnsi="Arial" w:cs="Arial"/>
                <w:color w:val="993300"/>
                <w:kern w:val="0"/>
                <w:sz w:val="18"/>
                <w:szCs w:val="18"/>
                <w:vertAlign w:val="superscript"/>
                <w:lang w:val="en-GB" w:eastAsia="en-GB"/>
                <w14:ligatures w14:val="none"/>
              </w:rPr>
              <w:t>**</w:t>
            </w:r>
          </w:p>
        </w:tc>
        <w:tc>
          <w:tcPr>
            <w:tcW w:w="727" w:type="dxa"/>
            <w:tcBorders>
              <w:top w:val="nil"/>
              <w:left w:val="single" w:sz="4" w:space="0" w:color="333333"/>
              <w:bottom w:val="single" w:sz="4" w:space="0" w:color="C0C0C0"/>
              <w:right w:val="single" w:sz="4" w:space="0" w:color="333333"/>
            </w:tcBorders>
            <w:noWrap/>
            <w:hideMark/>
          </w:tcPr>
          <w:p w14:paraId="26FA5CE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.777</w:t>
            </w:r>
            <w:r w:rsidRPr="00046B4A">
              <w:rPr>
                <w:rFonts w:ascii="Arial" w:eastAsia="Times New Roman" w:hAnsi="Arial" w:cs="Arial"/>
                <w:color w:val="993300"/>
                <w:kern w:val="0"/>
                <w:sz w:val="18"/>
                <w:szCs w:val="18"/>
                <w:vertAlign w:val="superscript"/>
                <w:lang w:val="en-GB" w:eastAsia="en-GB"/>
                <w14:ligatures w14:val="none"/>
              </w:rPr>
              <w:t>**</w:t>
            </w:r>
          </w:p>
        </w:tc>
        <w:tc>
          <w:tcPr>
            <w:tcW w:w="851" w:type="dxa"/>
            <w:tcBorders>
              <w:top w:val="nil"/>
              <w:left w:val="single" w:sz="4" w:space="0" w:color="333333"/>
              <w:bottom w:val="single" w:sz="4" w:space="0" w:color="C0C0C0"/>
              <w:right w:val="single" w:sz="4" w:space="0" w:color="333333"/>
            </w:tcBorders>
            <w:noWrap/>
            <w:hideMark/>
          </w:tcPr>
          <w:p w14:paraId="6DCB04A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.758</w:t>
            </w:r>
            <w:r w:rsidRPr="00046B4A">
              <w:rPr>
                <w:rFonts w:ascii="Arial" w:eastAsia="Times New Roman" w:hAnsi="Arial" w:cs="Arial"/>
                <w:color w:val="993300"/>
                <w:kern w:val="0"/>
                <w:sz w:val="18"/>
                <w:szCs w:val="18"/>
                <w:vertAlign w:val="superscript"/>
                <w:lang w:val="en-GB" w:eastAsia="en-GB"/>
                <w14:ligatures w14:val="none"/>
              </w:rPr>
              <w:t>**</w:t>
            </w:r>
          </w:p>
        </w:tc>
        <w:tc>
          <w:tcPr>
            <w:tcW w:w="850" w:type="dxa"/>
            <w:tcBorders>
              <w:top w:val="nil"/>
              <w:left w:val="single" w:sz="4" w:space="0" w:color="333333"/>
              <w:bottom w:val="single" w:sz="4" w:space="0" w:color="C0C0C0"/>
              <w:right w:val="single" w:sz="4" w:space="0" w:color="333333"/>
            </w:tcBorders>
            <w:noWrap/>
            <w:hideMark/>
          </w:tcPr>
          <w:p w14:paraId="207E4260"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1</w:t>
            </w:r>
          </w:p>
        </w:tc>
        <w:tc>
          <w:tcPr>
            <w:tcW w:w="709" w:type="dxa"/>
            <w:tcBorders>
              <w:top w:val="nil"/>
              <w:left w:val="single" w:sz="4" w:space="0" w:color="333333"/>
              <w:bottom w:val="single" w:sz="4" w:space="0" w:color="C0C0C0"/>
              <w:right w:val="single" w:sz="4" w:space="0" w:color="333333"/>
            </w:tcBorders>
            <w:noWrap/>
            <w:hideMark/>
          </w:tcPr>
          <w:p w14:paraId="26C5304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02" w:type="dxa"/>
            <w:tcBorders>
              <w:top w:val="nil"/>
              <w:left w:val="single" w:sz="4" w:space="0" w:color="333333"/>
              <w:bottom w:val="single" w:sz="4" w:space="0" w:color="C0C0C0"/>
              <w:right w:val="single" w:sz="4" w:space="0" w:color="333333"/>
            </w:tcBorders>
            <w:noWrap/>
            <w:hideMark/>
          </w:tcPr>
          <w:p w14:paraId="75D9A74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10" w:type="dxa"/>
            <w:tcBorders>
              <w:top w:val="nil"/>
              <w:left w:val="single" w:sz="4" w:space="0" w:color="333333"/>
              <w:bottom w:val="single" w:sz="4" w:space="0" w:color="C0C0C0"/>
              <w:right w:val="single" w:sz="4" w:space="0" w:color="333333"/>
            </w:tcBorders>
            <w:noWrap/>
            <w:hideMark/>
          </w:tcPr>
          <w:p w14:paraId="39F30AF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3BF853D0"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40B4213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596BF05C"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1CF0D30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5DDCE36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2F92B533" w14:textId="77777777" w:rsidTr="009F1C88">
        <w:trPr>
          <w:trHeight w:val="171"/>
        </w:trPr>
        <w:tc>
          <w:tcPr>
            <w:tcW w:w="1446" w:type="dxa"/>
            <w:tcBorders>
              <w:top w:val="single" w:sz="4" w:space="0" w:color="C0C0C0"/>
              <w:left w:val="single" w:sz="4" w:space="0" w:color="auto"/>
              <w:bottom w:val="single" w:sz="4" w:space="0" w:color="C0C0C0"/>
              <w:right w:val="nil"/>
            </w:tcBorders>
            <w:shd w:val="clear" w:color="000000" w:fill="CCCCFF"/>
            <w:hideMark/>
          </w:tcPr>
          <w:p w14:paraId="4641C34D"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Pr>
                <w:rFonts w:ascii="Arial" w:eastAsia="Times New Roman" w:hAnsi="Arial" w:cs="Arial" w:hint="cs"/>
                <w:color w:val="333399"/>
                <w:kern w:val="0"/>
                <w:sz w:val="18"/>
                <w:szCs w:val="18"/>
                <w:rtl/>
                <w:lang w:val="en-GB" w:eastAsia="en-GB"/>
                <w14:ligatures w14:val="none"/>
              </w:rPr>
              <w:t>-</w:t>
            </w:r>
          </w:p>
        </w:tc>
        <w:tc>
          <w:tcPr>
            <w:tcW w:w="421" w:type="dxa"/>
            <w:tcBorders>
              <w:top w:val="nil"/>
              <w:left w:val="nil"/>
              <w:bottom w:val="single" w:sz="4" w:space="0" w:color="C0C0C0"/>
              <w:right w:val="nil"/>
            </w:tcBorders>
            <w:shd w:val="clear" w:color="000000" w:fill="CCCCFF"/>
            <w:hideMark/>
          </w:tcPr>
          <w:p w14:paraId="63EE375D"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xml:space="preserve">Sig. </w:t>
            </w:r>
          </w:p>
        </w:tc>
        <w:tc>
          <w:tcPr>
            <w:tcW w:w="694" w:type="dxa"/>
            <w:tcBorders>
              <w:top w:val="nil"/>
              <w:left w:val="nil"/>
              <w:bottom w:val="single" w:sz="4" w:space="0" w:color="C0C0C0"/>
              <w:right w:val="single" w:sz="4" w:space="0" w:color="333333"/>
            </w:tcBorders>
            <w:noWrap/>
            <w:hideMark/>
          </w:tcPr>
          <w:p w14:paraId="44CED52F"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3" w:type="dxa"/>
            <w:tcBorders>
              <w:top w:val="nil"/>
              <w:left w:val="single" w:sz="4" w:space="0" w:color="333333"/>
              <w:bottom w:val="single" w:sz="4" w:space="0" w:color="C0C0C0"/>
              <w:right w:val="single" w:sz="4" w:space="0" w:color="333333"/>
            </w:tcBorders>
            <w:noWrap/>
            <w:hideMark/>
          </w:tcPr>
          <w:p w14:paraId="4DD5433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27" w:type="dxa"/>
            <w:tcBorders>
              <w:top w:val="nil"/>
              <w:left w:val="single" w:sz="4" w:space="0" w:color="333333"/>
              <w:bottom w:val="single" w:sz="4" w:space="0" w:color="C0C0C0"/>
              <w:right w:val="single" w:sz="4" w:space="0" w:color="333333"/>
            </w:tcBorders>
            <w:noWrap/>
            <w:hideMark/>
          </w:tcPr>
          <w:p w14:paraId="0980785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1" w:type="dxa"/>
            <w:tcBorders>
              <w:top w:val="nil"/>
              <w:left w:val="single" w:sz="4" w:space="0" w:color="333333"/>
              <w:bottom w:val="single" w:sz="4" w:space="0" w:color="C0C0C0"/>
              <w:right w:val="single" w:sz="4" w:space="0" w:color="333333"/>
            </w:tcBorders>
            <w:noWrap/>
            <w:hideMark/>
          </w:tcPr>
          <w:p w14:paraId="20954F8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0" w:type="dxa"/>
            <w:tcBorders>
              <w:top w:val="nil"/>
              <w:left w:val="single" w:sz="4" w:space="0" w:color="333333"/>
              <w:bottom w:val="single" w:sz="4" w:space="0" w:color="C0C0C0"/>
              <w:right w:val="single" w:sz="4" w:space="0" w:color="333333"/>
            </w:tcBorders>
            <w:hideMark/>
          </w:tcPr>
          <w:p w14:paraId="1B1921E0" w14:textId="77777777" w:rsidR="00793DFB" w:rsidRPr="00046B4A" w:rsidRDefault="00793DFB" w:rsidP="009F1C88">
            <w:pPr>
              <w:spacing w:after="0" w:line="240" w:lineRule="auto"/>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09" w:type="dxa"/>
            <w:tcBorders>
              <w:top w:val="nil"/>
              <w:left w:val="single" w:sz="4" w:space="0" w:color="333333"/>
              <w:bottom w:val="single" w:sz="4" w:space="0" w:color="C0C0C0"/>
              <w:right w:val="single" w:sz="4" w:space="0" w:color="333333"/>
            </w:tcBorders>
            <w:noWrap/>
            <w:hideMark/>
          </w:tcPr>
          <w:p w14:paraId="2E353F7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02" w:type="dxa"/>
            <w:tcBorders>
              <w:top w:val="nil"/>
              <w:left w:val="single" w:sz="4" w:space="0" w:color="333333"/>
              <w:bottom w:val="single" w:sz="4" w:space="0" w:color="C0C0C0"/>
              <w:right w:val="single" w:sz="4" w:space="0" w:color="333333"/>
            </w:tcBorders>
            <w:noWrap/>
            <w:hideMark/>
          </w:tcPr>
          <w:p w14:paraId="4BD01E0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10" w:type="dxa"/>
            <w:tcBorders>
              <w:top w:val="nil"/>
              <w:left w:val="single" w:sz="4" w:space="0" w:color="333333"/>
              <w:bottom w:val="single" w:sz="4" w:space="0" w:color="C0C0C0"/>
              <w:right w:val="single" w:sz="4" w:space="0" w:color="333333"/>
            </w:tcBorders>
            <w:noWrap/>
            <w:hideMark/>
          </w:tcPr>
          <w:p w14:paraId="0A1BF68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6DCDCE5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0B72DBDF"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5069A6E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0034717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76F1A6A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057E9D0D" w14:textId="77777777" w:rsidTr="009F1C88">
        <w:trPr>
          <w:trHeight w:val="456"/>
        </w:trPr>
        <w:tc>
          <w:tcPr>
            <w:tcW w:w="1446" w:type="dxa"/>
            <w:tcBorders>
              <w:top w:val="nil"/>
              <w:left w:val="single" w:sz="4" w:space="0" w:color="auto"/>
              <w:bottom w:val="nil"/>
              <w:right w:val="nil"/>
            </w:tcBorders>
            <w:shd w:val="clear" w:color="000000" w:fill="CCCCFF"/>
            <w:hideMark/>
          </w:tcPr>
          <w:p w14:paraId="2A3E42AA" w14:textId="77777777" w:rsidR="00793DFB" w:rsidRPr="00046B4A" w:rsidRDefault="00793DFB" w:rsidP="009F1C88">
            <w:pPr>
              <w:bidi/>
              <w:spacing w:after="0" w:line="240" w:lineRule="auto"/>
              <w:jc w:val="right"/>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rtl/>
                <w:lang w:val="en-GB" w:eastAsia="en-GB"/>
                <w14:ligatures w14:val="none"/>
              </w:rPr>
              <w:t>خامسًا: تقييم الأداء العادل</w:t>
            </w:r>
          </w:p>
        </w:tc>
        <w:tc>
          <w:tcPr>
            <w:tcW w:w="421" w:type="dxa"/>
            <w:tcBorders>
              <w:top w:val="nil"/>
              <w:left w:val="nil"/>
              <w:bottom w:val="single" w:sz="4" w:space="0" w:color="C0C0C0"/>
              <w:right w:val="nil"/>
            </w:tcBorders>
            <w:shd w:val="clear" w:color="000000" w:fill="CCCCFF"/>
            <w:hideMark/>
          </w:tcPr>
          <w:p w14:paraId="31904522" w14:textId="77777777" w:rsidR="00793DFB" w:rsidRPr="00046B4A" w:rsidRDefault="00793DFB" w:rsidP="009F1C88">
            <w:pPr>
              <w:spacing w:after="0" w:line="240" w:lineRule="auto"/>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lang w:val="en-GB" w:eastAsia="en-GB"/>
                <w14:ligatures w14:val="none"/>
              </w:rPr>
              <w:t>Pearson Correlation</w:t>
            </w:r>
          </w:p>
        </w:tc>
        <w:tc>
          <w:tcPr>
            <w:tcW w:w="694" w:type="dxa"/>
            <w:tcBorders>
              <w:top w:val="nil"/>
              <w:left w:val="nil"/>
              <w:bottom w:val="single" w:sz="4" w:space="0" w:color="C0C0C0"/>
              <w:right w:val="single" w:sz="4" w:space="0" w:color="333333"/>
            </w:tcBorders>
            <w:noWrap/>
            <w:hideMark/>
          </w:tcPr>
          <w:p w14:paraId="06B8E6DF"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.866</w:t>
            </w:r>
            <w:r w:rsidRPr="00046B4A">
              <w:rPr>
                <w:rFonts w:ascii="Arial" w:eastAsia="Times New Roman" w:hAnsi="Arial" w:cs="Arial"/>
                <w:color w:val="993300"/>
                <w:kern w:val="0"/>
                <w:sz w:val="18"/>
                <w:szCs w:val="18"/>
                <w:vertAlign w:val="superscript"/>
                <w:lang w:val="en-GB" w:eastAsia="en-GB"/>
                <w14:ligatures w14:val="none"/>
              </w:rPr>
              <w:t>**</w:t>
            </w:r>
          </w:p>
        </w:tc>
        <w:tc>
          <w:tcPr>
            <w:tcW w:w="703" w:type="dxa"/>
            <w:tcBorders>
              <w:top w:val="nil"/>
              <w:left w:val="single" w:sz="4" w:space="0" w:color="333333"/>
              <w:bottom w:val="single" w:sz="4" w:space="0" w:color="C0C0C0"/>
              <w:right w:val="single" w:sz="4" w:space="0" w:color="333333"/>
            </w:tcBorders>
            <w:noWrap/>
            <w:hideMark/>
          </w:tcPr>
          <w:p w14:paraId="7E7DB15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.761</w:t>
            </w:r>
            <w:r w:rsidRPr="00046B4A">
              <w:rPr>
                <w:rFonts w:ascii="Arial" w:eastAsia="Times New Roman" w:hAnsi="Arial" w:cs="Arial"/>
                <w:color w:val="993300"/>
                <w:kern w:val="0"/>
                <w:sz w:val="18"/>
                <w:szCs w:val="18"/>
                <w:vertAlign w:val="superscript"/>
                <w:lang w:val="en-GB" w:eastAsia="en-GB"/>
                <w14:ligatures w14:val="none"/>
              </w:rPr>
              <w:t>**</w:t>
            </w:r>
          </w:p>
        </w:tc>
        <w:tc>
          <w:tcPr>
            <w:tcW w:w="727" w:type="dxa"/>
            <w:tcBorders>
              <w:top w:val="nil"/>
              <w:left w:val="single" w:sz="4" w:space="0" w:color="333333"/>
              <w:bottom w:val="single" w:sz="4" w:space="0" w:color="C0C0C0"/>
              <w:right w:val="single" w:sz="4" w:space="0" w:color="333333"/>
            </w:tcBorders>
            <w:noWrap/>
            <w:hideMark/>
          </w:tcPr>
          <w:p w14:paraId="3709E0A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.767</w:t>
            </w:r>
            <w:r w:rsidRPr="00046B4A">
              <w:rPr>
                <w:rFonts w:ascii="Arial" w:eastAsia="Times New Roman" w:hAnsi="Arial" w:cs="Arial"/>
                <w:color w:val="993300"/>
                <w:kern w:val="0"/>
                <w:sz w:val="18"/>
                <w:szCs w:val="18"/>
                <w:vertAlign w:val="superscript"/>
                <w:lang w:val="en-GB" w:eastAsia="en-GB"/>
                <w14:ligatures w14:val="none"/>
              </w:rPr>
              <w:t>**</w:t>
            </w:r>
          </w:p>
        </w:tc>
        <w:tc>
          <w:tcPr>
            <w:tcW w:w="851" w:type="dxa"/>
            <w:tcBorders>
              <w:top w:val="nil"/>
              <w:left w:val="single" w:sz="4" w:space="0" w:color="333333"/>
              <w:bottom w:val="single" w:sz="4" w:space="0" w:color="C0C0C0"/>
              <w:right w:val="single" w:sz="4" w:space="0" w:color="333333"/>
            </w:tcBorders>
            <w:noWrap/>
            <w:hideMark/>
          </w:tcPr>
          <w:p w14:paraId="10FD26F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.751</w:t>
            </w:r>
            <w:r w:rsidRPr="00046B4A">
              <w:rPr>
                <w:rFonts w:ascii="Arial" w:eastAsia="Times New Roman" w:hAnsi="Arial" w:cs="Arial"/>
                <w:color w:val="993300"/>
                <w:kern w:val="0"/>
                <w:sz w:val="18"/>
                <w:szCs w:val="18"/>
                <w:vertAlign w:val="superscript"/>
                <w:lang w:val="en-GB" w:eastAsia="en-GB"/>
                <w14:ligatures w14:val="none"/>
              </w:rPr>
              <w:t>**</w:t>
            </w:r>
          </w:p>
        </w:tc>
        <w:tc>
          <w:tcPr>
            <w:tcW w:w="850" w:type="dxa"/>
            <w:tcBorders>
              <w:top w:val="nil"/>
              <w:left w:val="single" w:sz="4" w:space="0" w:color="333333"/>
              <w:bottom w:val="single" w:sz="4" w:space="0" w:color="C0C0C0"/>
              <w:right w:val="single" w:sz="4" w:space="0" w:color="333333"/>
            </w:tcBorders>
            <w:noWrap/>
            <w:hideMark/>
          </w:tcPr>
          <w:p w14:paraId="5ACD7F1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.721</w:t>
            </w:r>
            <w:r w:rsidRPr="00046B4A">
              <w:rPr>
                <w:rFonts w:ascii="Arial" w:eastAsia="Times New Roman" w:hAnsi="Arial" w:cs="Arial"/>
                <w:color w:val="993300"/>
                <w:kern w:val="0"/>
                <w:sz w:val="18"/>
                <w:szCs w:val="18"/>
                <w:vertAlign w:val="superscript"/>
                <w:lang w:val="en-GB" w:eastAsia="en-GB"/>
                <w14:ligatures w14:val="none"/>
              </w:rPr>
              <w:t>**</w:t>
            </w:r>
          </w:p>
        </w:tc>
        <w:tc>
          <w:tcPr>
            <w:tcW w:w="709" w:type="dxa"/>
            <w:tcBorders>
              <w:top w:val="nil"/>
              <w:left w:val="single" w:sz="4" w:space="0" w:color="333333"/>
              <w:bottom w:val="single" w:sz="4" w:space="0" w:color="C0C0C0"/>
              <w:right w:val="single" w:sz="4" w:space="0" w:color="333333"/>
            </w:tcBorders>
            <w:noWrap/>
            <w:hideMark/>
          </w:tcPr>
          <w:p w14:paraId="189184A0"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1</w:t>
            </w:r>
          </w:p>
        </w:tc>
        <w:tc>
          <w:tcPr>
            <w:tcW w:w="802" w:type="dxa"/>
            <w:tcBorders>
              <w:top w:val="nil"/>
              <w:left w:val="single" w:sz="4" w:space="0" w:color="333333"/>
              <w:bottom w:val="single" w:sz="4" w:space="0" w:color="C0C0C0"/>
              <w:right w:val="single" w:sz="4" w:space="0" w:color="333333"/>
            </w:tcBorders>
            <w:noWrap/>
            <w:hideMark/>
          </w:tcPr>
          <w:p w14:paraId="2199BDD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10" w:type="dxa"/>
            <w:tcBorders>
              <w:top w:val="nil"/>
              <w:left w:val="single" w:sz="4" w:space="0" w:color="333333"/>
              <w:bottom w:val="single" w:sz="4" w:space="0" w:color="C0C0C0"/>
              <w:right w:val="single" w:sz="4" w:space="0" w:color="333333"/>
            </w:tcBorders>
            <w:noWrap/>
            <w:hideMark/>
          </w:tcPr>
          <w:p w14:paraId="221511D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1D5B119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49BDD00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11E35D8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5A88304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35B1EA8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6DCBCBCD" w14:textId="77777777" w:rsidTr="009F1C88">
        <w:trPr>
          <w:trHeight w:val="243"/>
        </w:trPr>
        <w:tc>
          <w:tcPr>
            <w:tcW w:w="1446" w:type="dxa"/>
            <w:tcBorders>
              <w:top w:val="single" w:sz="4" w:space="0" w:color="C0C0C0"/>
              <w:left w:val="single" w:sz="4" w:space="0" w:color="auto"/>
              <w:bottom w:val="single" w:sz="4" w:space="0" w:color="C0C0C0"/>
              <w:right w:val="nil"/>
            </w:tcBorders>
            <w:shd w:val="clear" w:color="000000" w:fill="CCCCFF"/>
            <w:hideMark/>
          </w:tcPr>
          <w:p w14:paraId="655BC00E"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w:t>
            </w:r>
          </w:p>
        </w:tc>
        <w:tc>
          <w:tcPr>
            <w:tcW w:w="421" w:type="dxa"/>
            <w:tcBorders>
              <w:top w:val="nil"/>
              <w:left w:val="nil"/>
              <w:bottom w:val="single" w:sz="4" w:space="0" w:color="C0C0C0"/>
              <w:right w:val="nil"/>
            </w:tcBorders>
            <w:shd w:val="clear" w:color="000000" w:fill="CCCCFF"/>
            <w:hideMark/>
          </w:tcPr>
          <w:p w14:paraId="0BE3CC1B"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xml:space="preserve">Sig. </w:t>
            </w:r>
          </w:p>
        </w:tc>
        <w:tc>
          <w:tcPr>
            <w:tcW w:w="694" w:type="dxa"/>
            <w:tcBorders>
              <w:top w:val="nil"/>
              <w:left w:val="nil"/>
              <w:bottom w:val="single" w:sz="4" w:space="0" w:color="C0C0C0"/>
              <w:right w:val="single" w:sz="4" w:space="0" w:color="333333"/>
            </w:tcBorders>
            <w:noWrap/>
            <w:hideMark/>
          </w:tcPr>
          <w:p w14:paraId="3D19D45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3" w:type="dxa"/>
            <w:tcBorders>
              <w:top w:val="nil"/>
              <w:left w:val="single" w:sz="4" w:space="0" w:color="333333"/>
              <w:bottom w:val="single" w:sz="4" w:space="0" w:color="C0C0C0"/>
              <w:right w:val="single" w:sz="4" w:space="0" w:color="333333"/>
            </w:tcBorders>
            <w:noWrap/>
            <w:hideMark/>
          </w:tcPr>
          <w:p w14:paraId="22F2FD3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27" w:type="dxa"/>
            <w:tcBorders>
              <w:top w:val="nil"/>
              <w:left w:val="single" w:sz="4" w:space="0" w:color="333333"/>
              <w:bottom w:val="single" w:sz="4" w:space="0" w:color="C0C0C0"/>
              <w:right w:val="single" w:sz="4" w:space="0" w:color="333333"/>
            </w:tcBorders>
            <w:noWrap/>
            <w:hideMark/>
          </w:tcPr>
          <w:p w14:paraId="5EE9265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1" w:type="dxa"/>
            <w:tcBorders>
              <w:top w:val="nil"/>
              <w:left w:val="single" w:sz="4" w:space="0" w:color="333333"/>
              <w:bottom w:val="single" w:sz="4" w:space="0" w:color="C0C0C0"/>
              <w:right w:val="single" w:sz="4" w:space="0" w:color="333333"/>
            </w:tcBorders>
            <w:noWrap/>
            <w:hideMark/>
          </w:tcPr>
          <w:p w14:paraId="3171692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0" w:type="dxa"/>
            <w:tcBorders>
              <w:top w:val="nil"/>
              <w:left w:val="single" w:sz="4" w:space="0" w:color="333333"/>
              <w:bottom w:val="single" w:sz="4" w:space="0" w:color="C0C0C0"/>
              <w:right w:val="single" w:sz="4" w:space="0" w:color="333333"/>
            </w:tcBorders>
            <w:noWrap/>
            <w:hideMark/>
          </w:tcPr>
          <w:p w14:paraId="66DC76F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9" w:type="dxa"/>
            <w:tcBorders>
              <w:top w:val="nil"/>
              <w:left w:val="single" w:sz="4" w:space="0" w:color="333333"/>
              <w:bottom w:val="single" w:sz="4" w:space="0" w:color="C0C0C0"/>
              <w:right w:val="single" w:sz="4" w:space="0" w:color="333333"/>
            </w:tcBorders>
            <w:hideMark/>
          </w:tcPr>
          <w:p w14:paraId="32CD454A" w14:textId="77777777" w:rsidR="00793DFB" w:rsidRPr="00046B4A" w:rsidRDefault="00793DFB" w:rsidP="009F1C88">
            <w:pPr>
              <w:spacing w:after="0" w:line="240" w:lineRule="auto"/>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02" w:type="dxa"/>
            <w:tcBorders>
              <w:top w:val="nil"/>
              <w:left w:val="single" w:sz="4" w:space="0" w:color="333333"/>
              <w:bottom w:val="single" w:sz="4" w:space="0" w:color="C0C0C0"/>
              <w:right w:val="single" w:sz="4" w:space="0" w:color="333333"/>
            </w:tcBorders>
            <w:noWrap/>
            <w:hideMark/>
          </w:tcPr>
          <w:p w14:paraId="07E7F40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10" w:type="dxa"/>
            <w:tcBorders>
              <w:top w:val="nil"/>
              <w:left w:val="single" w:sz="4" w:space="0" w:color="333333"/>
              <w:bottom w:val="single" w:sz="4" w:space="0" w:color="C0C0C0"/>
              <w:right w:val="single" w:sz="4" w:space="0" w:color="333333"/>
            </w:tcBorders>
            <w:noWrap/>
            <w:hideMark/>
          </w:tcPr>
          <w:p w14:paraId="6888DF8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65F4CA2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7AFB771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1C15313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740D956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4829270C"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5DD3314C" w14:textId="77777777" w:rsidTr="009F1C88">
        <w:trPr>
          <w:trHeight w:val="456"/>
        </w:trPr>
        <w:tc>
          <w:tcPr>
            <w:tcW w:w="1446" w:type="dxa"/>
            <w:tcBorders>
              <w:top w:val="nil"/>
              <w:left w:val="single" w:sz="4" w:space="0" w:color="auto"/>
              <w:bottom w:val="nil"/>
              <w:right w:val="nil"/>
            </w:tcBorders>
            <w:shd w:val="clear" w:color="000000" w:fill="CCCCFF"/>
            <w:hideMark/>
          </w:tcPr>
          <w:p w14:paraId="3E566C83" w14:textId="77777777" w:rsidR="00793DFB" w:rsidRPr="00046B4A" w:rsidRDefault="00793DFB" w:rsidP="009F1C88">
            <w:pPr>
              <w:bidi/>
              <w:spacing w:after="0" w:line="240" w:lineRule="auto"/>
              <w:jc w:val="right"/>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rtl/>
                <w:lang w:val="en-GB" w:eastAsia="en-GB"/>
                <w14:ligatures w14:val="none"/>
              </w:rPr>
              <w:t>سادسًا: تمكين الموظفين</w:t>
            </w:r>
          </w:p>
        </w:tc>
        <w:tc>
          <w:tcPr>
            <w:tcW w:w="421" w:type="dxa"/>
            <w:tcBorders>
              <w:top w:val="nil"/>
              <w:left w:val="nil"/>
              <w:bottom w:val="single" w:sz="4" w:space="0" w:color="C0C0C0"/>
              <w:right w:val="nil"/>
            </w:tcBorders>
            <w:shd w:val="clear" w:color="000000" w:fill="CCCCFF"/>
            <w:hideMark/>
          </w:tcPr>
          <w:p w14:paraId="148DACF1" w14:textId="77777777" w:rsidR="00793DFB" w:rsidRPr="00046B4A" w:rsidRDefault="00793DFB" w:rsidP="009F1C88">
            <w:pPr>
              <w:spacing w:after="0" w:line="240" w:lineRule="auto"/>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lang w:val="en-GB" w:eastAsia="en-GB"/>
                <w14:ligatures w14:val="none"/>
              </w:rPr>
              <w:t>Pearson Correlation</w:t>
            </w:r>
          </w:p>
        </w:tc>
        <w:tc>
          <w:tcPr>
            <w:tcW w:w="694" w:type="dxa"/>
            <w:tcBorders>
              <w:top w:val="nil"/>
              <w:left w:val="nil"/>
              <w:bottom w:val="single" w:sz="4" w:space="0" w:color="C0C0C0"/>
              <w:right w:val="single" w:sz="4" w:space="0" w:color="333333"/>
            </w:tcBorders>
            <w:noWrap/>
            <w:hideMark/>
          </w:tcPr>
          <w:p w14:paraId="1A305AB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.937</w:t>
            </w:r>
            <w:r w:rsidRPr="00046B4A">
              <w:rPr>
                <w:rFonts w:ascii="Arial" w:eastAsia="Times New Roman" w:hAnsi="Arial" w:cs="Arial"/>
                <w:color w:val="993300"/>
                <w:kern w:val="0"/>
                <w:sz w:val="18"/>
                <w:szCs w:val="18"/>
                <w:vertAlign w:val="superscript"/>
                <w:lang w:val="en-GB" w:eastAsia="en-GB"/>
                <w14:ligatures w14:val="none"/>
              </w:rPr>
              <w:t>**</w:t>
            </w:r>
          </w:p>
        </w:tc>
        <w:tc>
          <w:tcPr>
            <w:tcW w:w="703" w:type="dxa"/>
            <w:tcBorders>
              <w:top w:val="nil"/>
              <w:left w:val="single" w:sz="4" w:space="0" w:color="333333"/>
              <w:bottom w:val="single" w:sz="4" w:space="0" w:color="C0C0C0"/>
              <w:right w:val="single" w:sz="4" w:space="0" w:color="333333"/>
            </w:tcBorders>
            <w:noWrap/>
            <w:hideMark/>
          </w:tcPr>
          <w:p w14:paraId="4C15DF8C"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.813</w:t>
            </w:r>
            <w:r w:rsidRPr="00046B4A">
              <w:rPr>
                <w:rFonts w:ascii="Arial" w:eastAsia="Times New Roman" w:hAnsi="Arial" w:cs="Arial"/>
                <w:color w:val="993300"/>
                <w:kern w:val="0"/>
                <w:sz w:val="18"/>
                <w:szCs w:val="18"/>
                <w:vertAlign w:val="superscript"/>
                <w:lang w:val="en-GB" w:eastAsia="en-GB"/>
                <w14:ligatures w14:val="none"/>
              </w:rPr>
              <w:t>**</w:t>
            </w:r>
          </w:p>
        </w:tc>
        <w:tc>
          <w:tcPr>
            <w:tcW w:w="727" w:type="dxa"/>
            <w:tcBorders>
              <w:top w:val="nil"/>
              <w:left w:val="single" w:sz="4" w:space="0" w:color="333333"/>
              <w:bottom w:val="single" w:sz="4" w:space="0" w:color="C0C0C0"/>
              <w:right w:val="single" w:sz="4" w:space="0" w:color="333333"/>
            </w:tcBorders>
            <w:noWrap/>
            <w:hideMark/>
          </w:tcPr>
          <w:p w14:paraId="7E2DE45C"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.829</w:t>
            </w:r>
            <w:r w:rsidRPr="00046B4A">
              <w:rPr>
                <w:rFonts w:ascii="Arial" w:eastAsia="Times New Roman" w:hAnsi="Arial" w:cs="Arial"/>
                <w:color w:val="993300"/>
                <w:kern w:val="0"/>
                <w:sz w:val="18"/>
                <w:szCs w:val="18"/>
                <w:vertAlign w:val="superscript"/>
                <w:lang w:val="en-GB" w:eastAsia="en-GB"/>
                <w14:ligatures w14:val="none"/>
              </w:rPr>
              <w:t>**</w:t>
            </w:r>
          </w:p>
        </w:tc>
        <w:tc>
          <w:tcPr>
            <w:tcW w:w="851" w:type="dxa"/>
            <w:tcBorders>
              <w:top w:val="nil"/>
              <w:left w:val="single" w:sz="4" w:space="0" w:color="333333"/>
              <w:bottom w:val="single" w:sz="4" w:space="0" w:color="C0C0C0"/>
              <w:right w:val="single" w:sz="4" w:space="0" w:color="333333"/>
            </w:tcBorders>
            <w:noWrap/>
            <w:hideMark/>
          </w:tcPr>
          <w:p w14:paraId="419E89D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.829</w:t>
            </w:r>
            <w:r w:rsidRPr="00046B4A">
              <w:rPr>
                <w:rFonts w:ascii="Arial" w:eastAsia="Times New Roman" w:hAnsi="Arial" w:cs="Arial"/>
                <w:color w:val="993300"/>
                <w:kern w:val="0"/>
                <w:sz w:val="18"/>
                <w:szCs w:val="18"/>
                <w:vertAlign w:val="superscript"/>
                <w:lang w:val="en-GB" w:eastAsia="en-GB"/>
                <w14:ligatures w14:val="none"/>
              </w:rPr>
              <w:t>**</w:t>
            </w:r>
          </w:p>
        </w:tc>
        <w:tc>
          <w:tcPr>
            <w:tcW w:w="850" w:type="dxa"/>
            <w:tcBorders>
              <w:top w:val="nil"/>
              <w:left w:val="single" w:sz="4" w:space="0" w:color="333333"/>
              <w:bottom w:val="single" w:sz="4" w:space="0" w:color="C0C0C0"/>
              <w:right w:val="single" w:sz="4" w:space="0" w:color="333333"/>
            </w:tcBorders>
            <w:noWrap/>
            <w:hideMark/>
          </w:tcPr>
          <w:p w14:paraId="7A1AF70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.820</w:t>
            </w:r>
            <w:r w:rsidRPr="00046B4A">
              <w:rPr>
                <w:rFonts w:ascii="Arial" w:eastAsia="Times New Roman" w:hAnsi="Arial" w:cs="Arial"/>
                <w:color w:val="993300"/>
                <w:kern w:val="0"/>
                <w:sz w:val="18"/>
                <w:szCs w:val="18"/>
                <w:vertAlign w:val="superscript"/>
                <w:lang w:val="en-GB" w:eastAsia="en-GB"/>
                <w14:ligatures w14:val="none"/>
              </w:rPr>
              <w:t>**</w:t>
            </w:r>
          </w:p>
        </w:tc>
        <w:tc>
          <w:tcPr>
            <w:tcW w:w="709" w:type="dxa"/>
            <w:tcBorders>
              <w:top w:val="nil"/>
              <w:left w:val="single" w:sz="4" w:space="0" w:color="333333"/>
              <w:bottom w:val="single" w:sz="4" w:space="0" w:color="C0C0C0"/>
              <w:right w:val="single" w:sz="4" w:space="0" w:color="333333"/>
            </w:tcBorders>
            <w:noWrap/>
            <w:hideMark/>
          </w:tcPr>
          <w:p w14:paraId="77831C3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.784</w:t>
            </w:r>
            <w:r w:rsidRPr="00046B4A">
              <w:rPr>
                <w:rFonts w:ascii="Arial" w:eastAsia="Times New Roman" w:hAnsi="Arial" w:cs="Arial"/>
                <w:color w:val="993300"/>
                <w:kern w:val="0"/>
                <w:sz w:val="18"/>
                <w:szCs w:val="18"/>
                <w:vertAlign w:val="superscript"/>
                <w:lang w:val="en-GB" w:eastAsia="en-GB"/>
                <w14:ligatures w14:val="none"/>
              </w:rPr>
              <w:t>**</w:t>
            </w:r>
          </w:p>
        </w:tc>
        <w:tc>
          <w:tcPr>
            <w:tcW w:w="802" w:type="dxa"/>
            <w:tcBorders>
              <w:top w:val="nil"/>
              <w:left w:val="single" w:sz="4" w:space="0" w:color="333333"/>
              <w:bottom w:val="single" w:sz="4" w:space="0" w:color="C0C0C0"/>
              <w:right w:val="single" w:sz="4" w:space="0" w:color="333333"/>
            </w:tcBorders>
            <w:noWrap/>
            <w:hideMark/>
          </w:tcPr>
          <w:p w14:paraId="7BDF043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1</w:t>
            </w:r>
          </w:p>
        </w:tc>
        <w:tc>
          <w:tcPr>
            <w:tcW w:w="710" w:type="dxa"/>
            <w:tcBorders>
              <w:top w:val="nil"/>
              <w:left w:val="single" w:sz="4" w:space="0" w:color="333333"/>
              <w:bottom w:val="single" w:sz="4" w:space="0" w:color="C0C0C0"/>
              <w:right w:val="single" w:sz="4" w:space="0" w:color="333333"/>
            </w:tcBorders>
            <w:noWrap/>
            <w:hideMark/>
          </w:tcPr>
          <w:p w14:paraId="35B254E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1570EDE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2864712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305650D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7A6745B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66EAEEAC"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5D7B6AFD" w14:textId="77777777" w:rsidTr="009F1C88">
        <w:trPr>
          <w:trHeight w:val="227"/>
        </w:trPr>
        <w:tc>
          <w:tcPr>
            <w:tcW w:w="1446" w:type="dxa"/>
            <w:tcBorders>
              <w:top w:val="single" w:sz="4" w:space="0" w:color="C0C0C0"/>
              <w:left w:val="single" w:sz="4" w:space="0" w:color="auto"/>
              <w:bottom w:val="single" w:sz="4" w:space="0" w:color="C0C0C0"/>
              <w:right w:val="nil"/>
            </w:tcBorders>
            <w:shd w:val="clear" w:color="000000" w:fill="CCCCFF"/>
            <w:hideMark/>
          </w:tcPr>
          <w:p w14:paraId="0A171145"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w:t>
            </w:r>
          </w:p>
        </w:tc>
        <w:tc>
          <w:tcPr>
            <w:tcW w:w="421" w:type="dxa"/>
            <w:tcBorders>
              <w:top w:val="nil"/>
              <w:left w:val="nil"/>
              <w:bottom w:val="single" w:sz="4" w:space="0" w:color="C0C0C0"/>
              <w:right w:val="nil"/>
            </w:tcBorders>
            <w:shd w:val="clear" w:color="000000" w:fill="CCCCFF"/>
            <w:hideMark/>
          </w:tcPr>
          <w:p w14:paraId="31FE43AF"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xml:space="preserve">Sig. </w:t>
            </w:r>
          </w:p>
        </w:tc>
        <w:tc>
          <w:tcPr>
            <w:tcW w:w="694" w:type="dxa"/>
            <w:tcBorders>
              <w:top w:val="nil"/>
              <w:left w:val="nil"/>
              <w:bottom w:val="single" w:sz="4" w:space="0" w:color="C0C0C0"/>
              <w:right w:val="single" w:sz="4" w:space="0" w:color="333333"/>
            </w:tcBorders>
            <w:noWrap/>
            <w:hideMark/>
          </w:tcPr>
          <w:p w14:paraId="02774C3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3" w:type="dxa"/>
            <w:tcBorders>
              <w:top w:val="nil"/>
              <w:left w:val="single" w:sz="4" w:space="0" w:color="333333"/>
              <w:bottom w:val="single" w:sz="4" w:space="0" w:color="C0C0C0"/>
              <w:right w:val="single" w:sz="4" w:space="0" w:color="333333"/>
            </w:tcBorders>
            <w:noWrap/>
            <w:hideMark/>
          </w:tcPr>
          <w:p w14:paraId="35B3CA4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27" w:type="dxa"/>
            <w:tcBorders>
              <w:top w:val="nil"/>
              <w:left w:val="single" w:sz="4" w:space="0" w:color="333333"/>
              <w:bottom w:val="single" w:sz="4" w:space="0" w:color="C0C0C0"/>
              <w:right w:val="single" w:sz="4" w:space="0" w:color="333333"/>
            </w:tcBorders>
            <w:noWrap/>
            <w:hideMark/>
          </w:tcPr>
          <w:p w14:paraId="4D64AA2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1" w:type="dxa"/>
            <w:tcBorders>
              <w:top w:val="nil"/>
              <w:left w:val="single" w:sz="4" w:space="0" w:color="333333"/>
              <w:bottom w:val="single" w:sz="4" w:space="0" w:color="C0C0C0"/>
              <w:right w:val="single" w:sz="4" w:space="0" w:color="333333"/>
            </w:tcBorders>
            <w:noWrap/>
            <w:hideMark/>
          </w:tcPr>
          <w:p w14:paraId="29E0F4F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0" w:type="dxa"/>
            <w:tcBorders>
              <w:top w:val="nil"/>
              <w:left w:val="single" w:sz="4" w:space="0" w:color="333333"/>
              <w:bottom w:val="single" w:sz="4" w:space="0" w:color="C0C0C0"/>
              <w:right w:val="single" w:sz="4" w:space="0" w:color="333333"/>
            </w:tcBorders>
            <w:noWrap/>
            <w:hideMark/>
          </w:tcPr>
          <w:p w14:paraId="362243D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9" w:type="dxa"/>
            <w:tcBorders>
              <w:top w:val="nil"/>
              <w:left w:val="single" w:sz="4" w:space="0" w:color="333333"/>
              <w:bottom w:val="single" w:sz="4" w:space="0" w:color="C0C0C0"/>
              <w:right w:val="single" w:sz="4" w:space="0" w:color="333333"/>
            </w:tcBorders>
            <w:noWrap/>
            <w:hideMark/>
          </w:tcPr>
          <w:p w14:paraId="5B90FA4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02" w:type="dxa"/>
            <w:tcBorders>
              <w:top w:val="nil"/>
              <w:left w:val="single" w:sz="4" w:space="0" w:color="333333"/>
              <w:bottom w:val="single" w:sz="4" w:space="0" w:color="C0C0C0"/>
              <w:right w:val="single" w:sz="4" w:space="0" w:color="333333"/>
            </w:tcBorders>
            <w:hideMark/>
          </w:tcPr>
          <w:p w14:paraId="63DE3C99" w14:textId="77777777" w:rsidR="00793DFB" w:rsidRPr="00046B4A" w:rsidRDefault="00793DFB" w:rsidP="009F1C88">
            <w:pPr>
              <w:spacing w:after="0" w:line="240" w:lineRule="auto"/>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710" w:type="dxa"/>
            <w:tcBorders>
              <w:top w:val="nil"/>
              <w:left w:val="single" w:sz="4" w:space="0" w:color="333333"/>
              <w:bottom w:val="single" w:sz="4" w:space="0" w:color="C0C0C0"/>
              <w:right w:val="single" w:sz="4" w:space="0" w:color="333333"/>
            </w:tcBorders>
            <w:noWrap/>
            <w:hideMark/>
          </w:tcPr>
          <w:p w14:paraId="5FC7AC5F"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0A2C9CD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6C89C64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7C87D03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014C43D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65D2A7C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245C6633" w14:textId="77777777" w:rsidTr="009F1C88">
        <w:trPr>
          <w:trHeight w:val="456"/>
        </w:trPr>
        <w:tc>
          <w:tcPr>
            <w:tcW w:w="1446" w:type="dxa"/>
            <w:tcBorders>
              <w:top w:val="nil"/>
              <w:left w:val="single" w:sz="4" w:space="0" w:color="auto"/>
              <w:bottom w:val="nil"/>
              <w:right w:val="nil"/>
            </w:tcBorders>
            <w:shd w:val="clear" w:color="000000" w:fill="CCCCFF"/>
            <w:hideMark/>
          </w:tcPr>
          <w:p w14:paraId="62C44E37" w14:textId="77777777" w:rsidR="00793DFB" w:rsidRPr="00046B4A" w:rsidRDefault="00793DFB" w:rsidP="009F1C88">
            <w:pPr>
              <w:bidi/>
              <w:spacing w:after="0" w:line="240" w:lineRule="auto"/>
              <w:jc w:val="right"/>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rtl/>
                <w:lang w:val="en-GB" w:eastAsia="en-GB"/>
                <w14:ligatures w14:val="none"/>
              </w:rPr>
              <w:t>الثقافة التنظيمية</w:t>
            </w:r>
          </w:p>
        </w:tc>
        <w:tc>
          <w:tcPr>
            <w:tcW w:w="421" w:type="dxa"/>
            <w:tcBorders>
              <w:top w:val="nil"/>
              <w:left w:val="nil"/>
              <w:bottom w:val="single" w:sz="4" w:space="0" w:color="C0C0C0"/>
              <w:right w:val="nil"/>
            </w:tcBorders>
            <w:shd w:val="clear" w:color="000000" w:fill="CCCCFF"/>
            <w:hideMark/>
          </w:tcPr>
          <w:p w14:paraId="1FF979CF" w14:textId="77777777" w:rsidR="00793DFB" w:rsidRPr="00046B4A" w:rsidRDefault="00793DFB" w:rsidP="009F1C88">
            <w:pPr>
              <w:spacing w:after="0" w:line="240" w:lineRule="auto"/>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lang w:val="en-GB" w:eastAsia="en-GB"/>
                <w14:ligatures w14:val="none"/>
              </w:rPr>
              <w:t>Pearson Correlation</w:t>
            </w:r>
          </w:p>
        </w:tc>
        <w:tc>
          <w:tcPr>
            <w:tcW w:w="694" w:type="dxa"/>
            <w:tcBorders>
              <w:top w:val="nil"/>
              <w:left w:val="nil"/>
              <w:bottom w:val="single" w:sz="4" w:space="0" w:color="C0C0C0"/>
              <w:right w:val="single" w:sz="4" w:space="0" w:color="333333"/>
            </w:tcBorders>
            <w:noWrap/>
            <w:hideMark/>
          </w:tcPr>
          <w:p w14:paraId="40C2CE4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.925</w:t>
            </w:r>
            <w:r w:rsidRPr="00046B4A">
              <w:rPr>
                <w:rFonts w:ascii="Arial" w:eastAsia="Times New Roman" w:hAnsi="Arial" w:cs="Arial"/>
                <w:color w:val="993300"/>
                <w:kern w:val="0"/>
                <w:sz w:val="18"/>
                <w:szCs w:val="18"/>
                <w:vertAlign w:val="superscript"/>
                <w:lang w:val="en-GB" w:eastAsia="en-GB"/>
                <w14:ligatures w14:val="none"/>
              </w:rPr>
              <w:t>**</w:t>
            </w:r>
          </w:p>
        </w:tc>
        <w:tc>
          <w:tcPr>
            <w:tcW w:w="703" w:type="dxa"/>
            <w:tcBorders>
              <w:top w:val="nil"/>
              <w:left w:val="single" w:sz="4" w:space="0" w:color="333333"/>
              <w:bottom w:val="single" w:sz="4" w:space="0" w:color="C0C0C0"/>
              <w:right w:val="single" w:sz="4" w:space="0" w:color="333333"/>
            </w:tcBorders>
            <w:noWrap/>
            <w:hideMark/>
          </w:tcPr>
          <w:p w14:paraId="0C6FFF4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.839</w:t>
            </w:r>
            <w:r w:rsidRPr="00046B4A">
              <w:rPr>
                <w:rFonts w:ascii="Arial" w:eastAsia="Times New Roman" w:hAnsi="Arial" w:cs="Arial"/>
                <w:color w:val="993300"/>
                <w:kern w:val="0"/>
                <w:sz w:val="18"/>
                <w:szCs w:val="18"/>
                <w:vertAlign w:val="superscript"/>
                <w:lang w:val="en-GB" w:eastAsia="en-GB"/>
                <w14:ligatures w14:val="none"/>
              </w:rPr>
              <w:t>**</w:t>
            </w:r>
          </w:p>
        </w:tc>
        <w:tc>
          <w:tcPr>
            <w:tcW w:w="727" w:type="dxa"/>
            <w:tcBorders>
              <w:top w:val="nil"/>
              <w:left w:val="single" w:sz="4" w:space="0" w:color="333333"/>
              <w:bottom w:val="single" w:sz="4" w:space="0" w:color="C0C0C0"/>
              <w:right w:val="single" w:sz="4" w:space="0" w:color="333333"/>
            </w:tcBorders>
            <w:noWrap/>
            <w:hideMark/>
          </w:tcPr>
          <w:p w14:paraId="3FA0912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.839</w:t>
            </w:r>
            <w:r w:rsidRPr="00046B4A">
              <w:rPr>
                <w:rFonts w:ascii="Arial" w:eastAsia="Times New Roman" w:hAnsi="Arial" w:cs="Arial"/>
                <w:color w:val="993300"/>
                <w:kern w:val="0"/>
                <w:sz w:val="18"/>
                <w:szCs w:val="18"/>
                <w:vertAlign w:val="superscript"/>
                <w:lang w:val="en-GB" w:eastAsia="en-GB"/>
                <w14:ligatures w14:val="none"/>
              </w:rPr>
              <w:t>**</w:t>
            </w:r>
          </w:p>
        </w:tc>
        <w:tc>
          <w:tcPr>
            <w:tcW w:w="851" w:type="dxa"/>
            <w:tcBorders>
              <w:top w:val="nil"/>
              <w:left w:val="single" w:sz="4" w:space="0" w:color="333333"/>
              <w:bottom w:val="single" w:sz="4" w:space="0" w:color="C0C0C0"/>
              <w:right w:val="single" w:sz="4" w:space="0" w:color="333333"/>
            </w:tcBorders>
            <w:noWrap/>
            <w:hideMark/>
          </w:tcPr>
          <w:p w14:paraId="0DED1030"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.847</w:t>
            </w:r>
            <w:r w:rsidRPr="00046B4A">
              <w:rPr>
                <w:rFonts w:ascii="Arial" w:eastAsia="Times New Roman" w:hAnsi="Arial" w:cs="Arial"/>
                <w:color w:val="993300"/>
                <w:kern w:val="0"/>
                <w:sz w:val="18"/>
                <w:szCs w:val="18"/>
                <w:vertAlign w:val="superscript"/>
                <w:lang w:val="en-GB" w:eastAsia="en-GB"/>
                <w14:ligatures w14:val="none"/>
              </w:rPr>
              <w:t>**</w:t>
            </w:r>
          </w:p>
        </w:tc>
        <w:tc>
          <w:tcPr>
            <w:tcW w:w="850" w:type="dxa"/>
            <w:tcBorders>
              <w:top w:val="nil"/>
              <w:left w:val="single" w:sz="4" w:space="0" w:color="333333"/>
              <w:bottom w:val="single" w:sz="4" w:space="0" w:color="C0C0C0"/>
              <w:right w:val="single" w:sz="4" w:space="0" w:color="333333"/>
            </w:tcBorders>
            <w:noWrap/>
            <w:hideMark/>
          </w:tcPr>
          <w:p w14:paraId="5A92A97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.826</w:t>
            </w:r>
            <w:r w:rsidRPr="00046B4A">
              <w:rPr>
                <w:rFonts w:ascii="Arial" w:eastAsia="Times New Roman" w:hAnsi="Arial" w:cs="Arial"/>
                <w:color w:val="993300"/>
                <w:kern w:val="0"/>
                <w:sz w:val="18"/>
                <w:szCs w:val="18"/>
                <w:vertAlign w:val="superscript"/>
                <w:lang w:val="en-GB" w:eastAsia="en-GB"/>
                <w14:ligatures w14:val="none"/>
              </w:rPr>
              <w:t>**</w:t>
            </w:r>
          </w:p>
        </w:tc>
        <w:tc>
          <w:tcPr>
            <w:tcW w:w="709" w:type="dxa"/>
            <w:tcBorders>
              <w:top w:val="nil"/>
              <w:left w:val="single" w:sz="4" w:space="0" w:color="333333"/>
              <w:bottom w:val="single" w:sz="4" w:space="0" w:color="C0C0C0"/>
              <w:right w:val="single" w:sz="4" w:space="0" w:color="333333"/>
            </w:tcBorders>
            <w:noWrap/>
            <w:hideMark/>
          </w:tcPr>
          <w:p w14:paraId="477B7A7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.797</w:t>
            </w:r>
            <w:r w:rsidRPr="00046B4A">
              <w:rPr>
                <w:rFonts w:ascii="Arial" w:eastAsia="Times New Roman" w:hAnsi="Arial" w:cs="Arial"/>
                <w:color w:val="993300"/>
                <w:kern w:val="0"/>
                <w:sz w:val="18"/>
                <w:szCs w:val="18"/>
                <w:vertAlign w:val="superscript"/>
                <w:lang w:val="en-GB" w:eastAsia="en-GB"/>
                <w14:ligatures w14:val="none"/>
              </w:rPr>
              <w:t>**</w:t>
            </w:r>
          </w:p>
        </w:tc>
        <w:tc>
          <w:tcPr>
            <w:tcW w:w="802" w:type="dxa"/>
            <w:tcBorders>
              <w:top w:val="nil"/>
              <w:left w:val="single" w:sz="4" w:space="0" w:color="333333"/>
              <w:bottom w:val="single" w:sz="4" w:space="0" w:color="C0C0C0"/>
              <w:right w:val="single" w:sz="4" w:space="0" w:color="333333"/>
            </w:tcBorders>
            <w:noWrap/>
            <w:hideMark/>
          </w:tcPr>
          <w:p w14:paraId="6716115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.889</w:t>
            </w:r>
            <w:r w:rsidRPr="00046B4A">
              <w:rPr>
                <w:rFonts w:ascii="Arial" w:eastAsia="Times New Roman" w:hAnsi="Arial" w:cs="Arial"/>
                <w:color w:val="993300"/>
                <w:kern w:val="0"/>
                <w:sz w:val="18"/>
                <w:szCs w:val="18"/>
                <w:vertAlign w:val="superscript"/>
                <w:lang w:val="en-GB" w:eastAsia="en-GB"/>
                <w14:ligatures w14:val="none"/>
              </w:rPr>
              <w:t>**</w:t>
            </w:r>
          </w:p>
        </w:tc>
        <w:tc>
          <w:tcPr>
            <w:tcW w:w="710" w:type="dxa"/>
            <w:tcBorders>
              <w:top w:val="nil"/>
              <w:left w:val="single" w:sz="4" w:space="0" w:color="333333"/>
              <w:bottom w:val="single" w:sz="4" w:space="0" w:color="C0C0C0"/>
              <w:right w:val="single" w:sz="4" w:space="0" w:color="333333"/>
            </w:tcBorders>
            <w:noWrap/>
            <w:hideMark/>
          </w:tcPr>
          <w:p w14:paraId="54A3A52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1</w:t>
            </w:r>
          </w:p>
        </w:tc>
        <w:tc>
          <w:tcPr>
            <w:tcW w:w="667" w:type="dxa"/>
            <w:tcBorders>
              <w:top w:val="nil"/>
              <w:left w:val="single" w:sz="4" w:space="0" w:color="333333"/>
              <w:bottom w:val="single" w:sz="4" w:space="0" w:color="C0C0C0"/>
              <w:right w:val="single" w:sz="4" w:space="0" w:color="333333"/>
            </w:tcBorders>
            <w:noWrap/>
            <w:hideMark/>
          </w:tcPr>
          <w:p w14:paraId="2503704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0FF74CF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1D4FFB7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206EE15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58C8A48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070FDB5A" w14:textId="77777777" w:rsidTr="009F1C88">
        <w:trPr>
          <w:trHeight w:val="224"/>
        </w:trPr>
        <w:tc>
          <w:tcPr>
            <w:tcW w:w="1446" w:type="dxa"/>
            <w:tcBorders>
              <w:top w:val="single" w:sz="4" w:space="0" w:color="C0C0C0"/>
              <w:left w:val="single" w:sz="4" w:space="0" w:color="auto"/>
              <w:bottom w:val="single" w:sz="4" w:space="0" w:color="C0C0C0"/>
              <w:right w:val="nil"/>
            </w:tcBorders>
            <w:shd w:val="clear" w:color="000000" w:fill="CCCCFF"/>
            <w:hideMark/>
          </w:tcPr>
          <w:p w14:paraId="07C96AE1"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w:t>
            </w:r>
          </w:p>
        </w:tc>
        <w:tc>
          <w:tcPr>
            <w:tcW w:w="421" w:type="dxa"/>
            <w:tcBorders>
              <w:top w:val="nil"/>
              <w:left w:val="nil"/>
              <w:bottom w:val="single" w:sz="4" w:space="0" w:color="C0C0C0"/>
              <w:right w:val="nil"/>
            </w:tcBorders>
            <w:shd w:val="clear" w:color="000000" w:fill="CCCCFF"/>
            <w:hideMark/>
          </w:tcPr>
          <w:p w14:paraId="5515DDA1"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xml:space="preserve">Sig. </w:t>
            </w:r>
          </w:p>
        </w:tc>
        <w:tc>
          <w:tcPr>
            <w:tcW w:w="694" w:type="dxa"/>
            <w:tcBorders>
              <w:top w:val="nil"/>
              <w:left w:val="nil"/>
              <w:bottom w:val="single" w:sz="4" w:space="0" w:color="C0C0C0"/>
              <w:right w:val="single" w:sz="4" w:space="0" w:color="333333"/>
            </w:tcBorders>
            <w:noWrap/>
            <w:hideMark/>
          </w:tcPr>
          <w:p w14:paraId="42E4438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3" w:type="dxa"/>
            <w:tcBorders>
              <w:top w:val="nil"/>
              <w:left w:val="single" w:sz="4" w:space="0" w:color="333333"/>
              <w:bottom w:val="single" w:sz="4" w:space="0" w:color="C0C0C0"/>
              <w:right w:val="single" w:sz="4" w:space="0" w:color="333333"/>
            </w:tcBorders>
            <w:noWrap/>
            <w:hideMark/>
          </w:tcPr>
          <w:p w14:paraId="4A005EC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27" w:type="dxa"/>
            <w:tcBorders>
              <w:top w:val="nil"/>
              <w:left w:val="single" w:sz="4" w:space="0" w:color="333333"/>
              <w:bottom w:val="single" w:sz="4" w:space="0" w:color="C0C0C0"/>
              <w:right w:val="single" w:sz="4" w:space="0" w:color="333333"/>
            </w:tcBorders>
            <w:noWrap/>
            <w:hideMark/>
          </w:tcPr>
          <w:p w14:paraId="0B41AB8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1" w:type="dxa"/>
            <w:tcBorders>
              <w:top w:val="nil"/>
              <w:left w:val="single" w:sz="4" w:space="0" w:color="333333"/>
              <w:bottom w:val="single" w:sz="4" w:space="0" w:color="C0C0C0"/>
              <w:right w:val="single" w:sz="4" w:space="0" w:color="333333"/>
            </w:tcBorders>
            <w:noWrap/>
            <w:hideMark/>
          </w:tcPr>
          <w:p w14:paraId="715D1CD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0" w:type="dxa"/>
            <w:tcBorders>
              <w:top w:val="nil"/>
              <w:left w:val="single" w:sz="4" w:space="0" w:color="333333"/>
              <w:bottom w:val="single" w:sz="4" w:space="0" w:color="C0C0C0"/>
              <w:right w:val="single" w:sz="4" w:space="0" w:color="333333"/>
            </w:tcBorders>
            <w:noWrap/>
            <w:hideMark/>
          </w:tcPr>
          <w:p w14:paraId="1C28986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9" w:type="dxa"/>
            <w:tcBorders>
              <w:top w:val="nil"/>
              <w:left w:val="single" w:sz="4" w:space="0" w:color="333333"/>
              <w:bottom w:val="single" w:sz="4" w:space="0" w:color="C0C0C0"/>
              <w:right w:val="single" w:sz="4" w:space="0" w:color="333333"/>
            </w:tcBorders>
            <w:noWrap/>
            <w:hideMark/>
          </w:tcPr>
          <w:p w14:paraId="5C6AC2A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02" w:type="dxa"/>
            <w:tcBorders>
              <w:top w:val="nil"/>
              <w:left w:val="single" w:sz="4" w:space="0" w:color="333333"/>
              <w:bottom w:val="single" w:sz="4" w:space="0" w:color="C0C0C0"/>
              <w:right w:val="single" w:sz="4" w:space="0" w:color="333333"/>
            </w:tcBorders>
            <w:noWrap/>
            <w:hideMark/>
          </w:tcPr>
          <w:p w14:paraId="06B9DBA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10" w:type="dxa"/>
            <w:tcBorders>
              <w:top w:val="nil"/>
              <w:left w:val="single" w:sz="4" w:space="0" w:color="333333"/>
              <w:bottom w:val="single" w:sz="4" w:space="0" w:color="C0C0C0"/>
              <w:right w:val="single" w:sz="4" w:space="0" w:color="333333"/>
            </w:tcBorders>
            <w:hideMark/>
          </w:tcPr>
          <w:p w14:paraId="232C79D9" w14:textId="77777777" w:rsidR="00793DFB" w:rsidRPr="00046B4A" w:rsidRDefault="00793DFB" w:rsidP="009F1C88">
            <w:pPr>
              <w:spacing w:after="0" w:line="240" w:lineRule="auto"/>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7C4B4E0C"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6FFE28D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0472353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2C6F9EB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5128033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37B5BBBD" w14:textId="77777777" w:rsidTr="009F1C88">
        <w:trPr>
          <w:trHeight w:val="456"/>
        </w:trPr>
        <w:tc>
          <w:tcPr>
            <w:tcW w:w="1446" w:type="dxa"/>
            <w:tcBorders>
              <w:top w:val="nil"/>
              <w:left w:val="single" w:sz="4" w:space="0" w:color="auto"/>
              <w:bottom w:val="nil"/>
              <w:right w:val="nil"/>
            </w:tcBorders>
            <w:shd w:val="clear" w:color="000000" w:fill="CCCCFF"/>
            <w:hideMark/>
          </w:tcPr>
          <w:p w14:paraId="065ED009" w14:textId="77777777" w:rsidR="00793DFB" w:rsidRPr="00046B4A" w:rsidRDefault="00793DFB" w:rsidP="009F1C88">
            <w:pPr>
              <w:bidi/>
              <w:spacing w:after="0" w:line="240" w:lineRule="auto"/>
              <w:jc w:val="right"/>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rtl/>
                <w:lang w:val="en-GB" w:eastAsia="en-GB"/>
                <w14:ligatures w14:val="none"/>
              </w:rPr>
              <w:t>أولاً: التكيّف</w:t>
            </w:r>
          </w:p>
        </w:tc>
        <w:tc>
          <w:tcPr>
            <w:tcW w:w="421" w:type="dxa"/>
            <w:tcBorders>
              <w:top w:val="nil"/>
              <w:left w:val="nil"/>
              <w:bottom w:val="single" w:sz="4" w:space="0" w:color="C0C0C0"/>
              <w:right w:val="nil"/>
            </w:tcBorders>
            <w:shd w:val="clear" w:color="000000" w:fill="CCCCFF"/>
            <w:hideMark/>
          </w:tcPr>
          <w:p w14:paraId="7E5F8F8E" w14:textId="77777777" w:rsidR="00793DFB" w:rsidRPr="00046B4A" w:rsidRDefault="00793DFB" w:rsidP="009F1C88">
            <w:pPr>
              <w:spacing w:after="0" w:line="240" w:lineRule="auto"/>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lang w:val="en-GB" w:eastAsia="en-GB"/>
                <w14:ligatures w14:val="none"/>
              </w:rPr>
              <w:t>Pearson Correlation</w:t>
            </w:r>
          </w:p>
        </w:tc>
        <w:tc>
          <w:tcPr>
            <w:tcW w:w="694" w:type="dxa"/>
            <w:tcBorders>
              <w:top w:val="nil"/>
              <w:left w:val="nil"/>
              <w:bottom w:val="single" w:sz="4" w:space="0" w:color="C0C0C0"/>
              <w:right w:val="single" w:sz="4" w:space="0" w:color="333333"/>
            </w:tcBorders>
            <w:noWrap/>
            <w:hideMark/>
          </w:tcPr>
          <w:p w14:paraId="331333D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.777</w:t>
            </w:r>
            <w:r w:rsidRPr="00046B4A">
              <w:rPr>
                <w:rFonts w:ascii="Arial" w:eastAsia="Times New Roman" w:hAnsi="Arial" w:cs="Arial"/>
                <w:color w:val="993300"/>
                <w:kern w:val="0"/>
                <w:sz w:val="18"/>
                <w:szCs w:val="18"/>
                <w:vertAlign w:val="superscript"/>
                <w:lang w:val="en-GB" w:eastAsia="en-GB"/>
                <w14:ligatures w14:val="none"/>
              </w:rPr>
              <w:t>**</w:t>
            </w:r>
          </w:p>
        </w:tc>
        <w:tc>
          <w:tcPr>
            <w:tcW w:w="703" w:type="dxa"/>
            <w:tcBorders>
              <w:top w:val="nil"/>
              <w:left w:val="single" w:sz="4" w:space="0" w:color="333333"/>
              <w:bottom w:val="single" w:sz="4" w:space="0" w:color="C0C0C0"/>
              <w:right w:val="single" w:sz="4" w:space="0" w:color="333333"/>
            </w:tcBorders>
            <w:noWrap/>
            <w:hideMark/>
          </w:tcPr>
          <w:p w14:paraId="02B7D53C"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.729</w:t>
            </w:r>
            <w:r w:rsidRPr="00046B4A">
              <w:rPr>
                <w:rFonts w:ascii="Arial" w:eastAsia="Times New Roman" w:hAnsi="Arial" w:cs="Arial"/>
                <w:color w:val="993300"/>
                <w:kern w:val="0"/>
                <w:sz w:val="18"/>
                <w:szCs w:val="18"/>
                <w:vertAlign w:val="superscript"/>
                <w:lang w:val="en-GB" w:eastAsia="en-GB"/>
                <w14:ligatures w14:val="none"/>
              </w:rPr>
              <w:t>**</w:t>
            </w:r>
          </w:p>
        </w:tc>
        <w:tc>
          <w:tcPr>
            <w:tcW w:w="727" w:type="dxa"/>
            <w:tcBorders>
              <w:top w:val="nil"/>
              <w:left w:val="single" w:sz="4" w:space="0" w:color="333333"/>
              <w:bottom w:val="single" w:sz="4" w:space="0" w:color="C0C0C0"/>
              <w:right w:val="single" w:sz="4" w:space="0" w:color="333333"/>
            </w:tcBorders>
            <w:noWrap/>
            <w:hideMark/>
          </w:tcPr>
          <w:p w14:paraId="617C1F6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.708</w:t>
            </w:r>
            <w:r w:rsidRPr="00046B4A">
              <w:rPr>
                <w:rFonts w:ascii="Arial" w:eastAsia="Times New Roman" w:hAnsi="Arial" w:cs="Arial"/>
                <w:color w:val="993300"/>
                <w:kern w:val="0"/>
                <w:sz w:val="18"/>
                <w:szCs w:val="18"/>
                <w:vertAlign w:val="superscript"/>
                <w:lang w:val="en-GB" w:eastAsia="en-GB"/>
                <w14:ligatures w14:val="none"/>
              </w:rPr>
              <w:t>**</w:t>
            </w:r>
          </w:p>
        </w:tc>
        <w:tc>
          <w:tcPr>
            <w:tcW w:w="851" w:type="dxa"/>
            <w:tcBorders>
              <w:top w:val="nil"/>
              <w:left w:val="single" w:sz="4" w:space="0" w:color="333333"/>
              <w:bottom w:val="single" w:sz="4" w:space="0" w:color="C0C0C0"/>
              <w:right w:val="single" w:sz="4" w:space="0" w:color="333333"/>
            </w:tcBorders>
            <w:noWrap/>
            <w:hideMark/>
          </w:tcPr>
          <w:p w14:paraId="71CCE27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.712</w:t>
            </w:r>
            <w:r w:rsidRPr="00046B4A">
              <w:rPr>
                <w:rFonts w:ascii="Arial" w:eastAsia="Times New Roman" w:hAnsi="Arial" w:cs="Arial"/>
                <w:color w:val="993300"/>
                <w:kern w:val="0"/>
                <w:sz w:val="18"/>
                <w:szCs w:val="18"/>
                <w:vertAlign w:val="superscript"/>
                <w:lang w:val="en-GB" w:eastAsia="en-GB"/>
                <w14:ligatures w14:val="none"/>
              </w:rPr>
              <w:t>**</w:t>
            </w:r>
          </w:p>
        </w:tc>
        <w:tc>
          <w:tcPr>
            <w:tcW w:w="850" w:type="dxa"/>
            <w:tcBorders>
              <w:top w:val="nil"/>
              <w:left w:val="single" w:sz="4" w:space="0" w:color="333333"/>
              <w:bottom w:val="single" w:sz="4" w:space="0" w:color="C0C0C0"/>
              <w:right w:val="single" w:sz="4" w:space="0" w:color="333333"/>
            </w:tcBorders>
            <w:noWrap/>
            <w:hideMark/>
          </w:tcPr>
          <w:p w14:paraId="5C190DB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.688</w:t>
            </w:r>
            <w:r w:rsidRPr="00046B4A">
              <w:rPr>
                <w:rFonts w:ascii="Arial" w:eastAsia="Times New Roman" w:hAnsi="Arial" w:cs="Arial"/>
                <w:color w:val="993300"/>
                <w:kern w:val="0"/>
                <w:sz w:val="18"/>
                <w:szCs w:val="18"/>
                <w:vertAlign w:val="superscript"/>
                <w:lang w:val="en-GB" w:eastAsia="en-GB"/>
                <w14:ligatures w14:val="none"/>
              </w:rPr>
              <w:t>**</w:t>
            </w:r>
          </w:p>
        </w:tc>
        <w:tc>
          <w:tcPr>
            <w:tcW w:w="709" w:type="dxa"/>
            <w:tcBorders>
              <w:top w:val="nil"/>
              <w:left w:val="single" w:sz="4" w:space="0" w:color="333333"/>
              <w:bottom w:val="single" w:sz="4" w:space="0" w:color="C0C0C0"/>
              <w:right w:val="single" w:sz="4" w:space="0" w:color="333333"/>
            </w:tcBorders>
            <w:noWrap/>
            <w:hideMark/>
          </w:tcPr>
          <w:p w14:paraId="482F92D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.671</w:t>
            </w:r>
            <w:r w:rsidRPr="00046B4A">
              <w:rPr>
                <w:rFonts w:ascii="Arial" w:eastAsia="Times New Roman" w:hAnsi="Arial" w:cs="Arial"/>
                <w:color w:val="993300"/>
                <w:kern w:val="0"/>
                <w:sz w:val="18"/>
                <w:szCs w:val="18"/>
                <w:vertAlign w:val="superscript"/>
                <w:lang w:val="en-GB" w:eastAsia="en-GB"/>
                <w14:ligatures w14:val="none"/>
              </w:rPr>
              <w:t>**</w:t>
            </w:r>
          </w:p>
        </w:tc>
        <w:tc>
          <w:tcPr>
            <w:tcW w:w="802" w:type="dxa"/>
            <w:tcBorders>
              <w:top w:val="nil"/>
              <w:left w:val="single" w:sz="4" w:space="0" w:color="333333"/>
              <w:bottom w:val="single" w:sz="4" w:space="0" w:color="C0C0C0"/>
              <w:right w:val="single" w:sz="4" w:space="0" w:color="333333"/>
            </w:tcBorders>
            <w:noWrap/>
            <w:hideMark/>
          </w:tcPr>
          <w:p w14:paraId="642079B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.735</w:t>
            </w:r>
            <w:r w:rsidRPr="00046B4A">
              <w:rPr>
                <w:rFonts w:ascii="Arial" w:eastAsia="Times New Roman" w:hAnsi="Arial" w:cs="Arial"/>
                <w:color w:val="993300"/>
                <w:kern w:val="0"/>
                <w:sz w:val="18"/>
                <w:szCs w:val="18"/>
                <w:vertAlign w:val="superscript"/>
                <w:lang w:val="en-GB" w:eastAsia="en-GB"/>
                <w14:ligatures w14:val="none"/>
              </w:rPr>
              <w:t>**</w:t>
            </w:r>
          </w:p>
        </w:tc>
        <w:tc>
          <w:tcPr>
            <w:tcW w:w="710" w:type="dxa"/>
            <w:tcBorders>
              <w:top w:val="nil"/>
              <w:left w:val="single" w:sz="4" w:space="0" w:color="333333"/>
              <w:bottom w:val="single" w:sz="4" w:space="0" w:color="C0C0C0"/>
              <w:right w:val="single" w:sz="4" w:space="0" w:color="333333"/>
            </w:tcBorders>
            <w:noWrap/>
            <w:hideMark/>
          </w:tcPr>
          <w:p w14:paraId="4CEA9C9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.846</w:t>
            </w:r>
            <w:r w:rsidRPr="00046B4A">
              <w:rPr>
                <w:rFonts w:ascii="Arial" w:eastAsia="Times New Roman" w:hAnsi="Arial" w:cs="Arial"/>
                <w:color w:val="993300"/>
                <w:kern w:val="0"/>
                <w:sz w:val="18"/>
                <w:szCs w:val="18"/>
                <w:vertAlign w:val="superscript"/>
                <w:lang w:val="en-GB" w:eastAsia="en-GB"/>
                <w14:ligatures w14:val="none"/>
              </w:rPr>
              <w:t>**</w:t>
            </w:r>
          </w:p>
        </w:tc>
        <w:tc>
          <w:tcPr>
            <w:tcW w:w="667" w:type="dxa"/>
            <w:tcBorders>
              <w:top w:val="nil"/>
              <w:left w:val="single" w:sz="4" w:space="0" w:color="333333"/>
              <w:bottom w:val="single" w:sz="4" w:space="0" w:color="C0C0C0"/>
              <w:right w:val="single" w:sz="4" w:space="0" w:color="333333"/>
            </w:tcBorders>
            <w:noWrap/>
            <w:hideMark/>
          </w:tcPr>
          <w:p w14:paraId="5F85A29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1</w:t>
            </w:r>
          </w:p>
        </w:tc>
        <w:tc>
          <w:tcPr>
            <w:tcW w:w="667" w:type="dxa"/>
            <w:tcBorders>
              <w:top w:val="nil"/>
              <w:left w:val="single" w:sz="4" w:space="0" w:color="333333"/>
              <w:bottom w:val="single" w:sz="4" w:space="0" w:color="C0C0C0"/>
              <w:right w:val="single" w:sz="4" w:space="0" w:color="333333"/>
            </w:tcBorders>
            <w:noWrap/>
            <w:hideMark/>
          </w:tcPr>
          <w:p w14:paraId="24BB905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4A9D1B6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0830B79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5000547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3B7C8306" w14:textId="77777777" w:rsidTr="009F1C88">
        <w:trPr>
          <w:trHeight w:val="233"/>
        </w:trPr>
        <w:tc>
          <w:tcPr>
            <w:tcW w:w="1446" w:type="dxa"/>
            <w:tcBorders>
              <w:top w:val="single" w:sz="4" w:space="0" w:color="C0C0C0"/>
              <w:left w:val="single" w:sz="4" w:space="0" w:color="auto"/>
              <w:bottom w:val="single" w:sz="4" w:space="0" w:color="C0C0C0"/>
              <w:right w:val="nil"/>
            </w:tcBorders>
            <w:shd w:val="clear" w:color="000000" w:fill="CCCCFF"/>
            <w:hideMark/>
          </w:tcPr>
          <w:p w14:paraId="51F01F52"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w:t>
            </w:r>
          </w:p>
        </w:tc>
        <w:tc>
          <w:tcPr>
            <w:tcW w:w="421" w:type="dxa"/>
            <w:tcBorders>
              <w:top w:val="nil"/>
              <w:left w:val="nil"/>
              <w:bottom w:val="single" w:sz="4" w:space="0" w:color="C0C0C0"/>
              <w:right w:val="nil"/>
            </w:tcBorders>
            <w:shd w:val="clear" w:color="000000" w:fill="CCCCFF"/>
            <w:hideMark/>
          </w:tcPr>
          <w:p w14:paraId="03EE6895"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xml:space="preserve">Sig. </w:t>
            </w:r>
          </w:p>
        </w:tc>
        <w:tc>
          <w:tcPr>
            <w:tcW w:w="694" w:type="dxa"/>
            <w:tcBorders>
              <w:top w:val="nil"/>
              <w:left w:val="nil"/>
              <w:bottom w:val="single" w:sz="4" w:space="0" w:color="C0C0C0"/>
              <w:right w:val="single" w:sz="4" w:space="0" w:color="333333"/>
            </w:tcBorders>
            <w:noWrap/>
            <w:hideMark/>
          </w:tcPr>
          <w:p w14:paraId="6C2EBCCC"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3" w:type="dxa"/>
            <w:tcBorders>
              <w:top w:val="nil"/>
              <w:left w:val="single" w:sz="4" w:space="0" w:color="333333"/>
              <w:bottom w:val="single" w:sz="4" w:space="0" w:color="C0C0C0"/>
              <w:right w:val="single" w:sz="4" w:space="0" w:color="333333"/>
            </w:tcBorders>
            <w:noWrap/>
            <w:hideMark/>
          </w:tcPr>
          <w:p w14:paraId="580DBF7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27" w:type="dxa"/>
            <w:tcBorders>
              <w:top w:val="nil"/>
              <w:left w:val="single" w:sz="4" w:space="0" w:color="333333"/>
              <w:bottom w:val="single" w:sz="4" w:space="0" w:color="C0C0C0"/>
              <w:right w:val="single" w:sz="4" w:space="0" w:color="333333"/>
            </w:tcBorders>
            <w:noWrap/>
            <w:hideMark/>
          </w:tcPr>
          <w:p w14:paraId="22762A1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1" w:type="dxa"/>
            <w:tcBorders>
              <w:top w:val="nil"/>
              <w:left w:val="single" w:sz="4" w:space="0" w:color="333333"/>
              <w:bottom w:val="single" w:sz="4" w:space="0" w:color="C0C0C0"/>
              <w:right w:val="single" w:sz="4" w:space="0" w:color="333333"/>
            </w:tcBorders>
            <w:noWrap/>
            <w:hideMark/>
          </w:tcPr>
          <w:p w14:paraId="2A399E9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0" w:type="dxa"/>
            <w:tcBorders>
              <w:top w:val="nil"/>
              <w:left w:val="single" w:sz="4" w:space="0" w:color="333333"/>
              <w:bottom w:val="single" w:sz="4" w:space="0" w:color="C0C0C0"/>
              <w:right w:val="single" w:sz="4" w:space="0" w:color="333333"/>
            </w:tcBorders>
            <w:noWrap/>
            <w:hideMark/>
          </w:tcPr>
          <w:p w14:paraId="7F86698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9" w:type="dxa"/>
            <w:tcBorders>
              <w:top w:val="nil"/>
              <w:left w:val="single" w:sz="4" w:space="0" w:color="333333"/>
              <w:bottom w:val="single" w:sz="4" w:space="0" w:color="C0C0C0"/>
              <w:right w:val="single" w:sz="4" w:space="0" w:color="333333"/>
            </w:tcBorders>
            <w:noWrap/>
            <w:hideMark/>
          </w:tcPr>
          <w:p w14:paraId="628AB22F"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02" w:type="dxa"/>
            <w:tcBorders>
              <w:top w:val="nil"/>
              <w:left w:val="single" w:sz="4" w:space="0" w:color="333333"/>
              <w:bottom w:val="single" w:sz="4" w:space="0" w:color="C0C0C0"/>
              <w:right w:val="single" w:sz="4" w:space="0" w:color="333333"/>
            </w:tcBorders>
            <w:noWrap/>
            <w:hideMark/>
          </w:tcPr>
          <w:p w14:paraId="7DE2AEF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10" w:type="dxa"/>
            <w:tcBorders>
              <w:top w:val="nil"/>
              <w:left w:val="single" w:sz="4" w:space="0" w:color="333333"/>
              <w:bottom w:val="single" w:sz="4" w:space="0" w:color="C0C0C0"/>
              <w:right w:val="single" w:sz="4" w:space="0" w:color="333333"/>
            </w:tcBorders>
            <w:noWrap/>
            <w:hideMark/>
          </w:tcPr>
          <w:p w14:paraId="7C5FC15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667" w:type="dxa"/>
            <w:tcBorders>
              <w:top w:val="nil"/>
              <w:left w:val="single" w:sz="4" w:space="0" w:color="333333"/>
              <w:bottom w:val="single" w:sz="4" w:space="0" w:color="C0C0C0"/>
              <w:right w:val="single" w:sz="4" w:space="0" w:color="333333"/>
            </w:tcBorders>
            <w:hideMark/>
          </w:tcPr>
          <w:p w14:paraId="00888DF5" w14:textId="77777777" w:rsidR="00793DFB" w:rsidRPr="00046B4A" w:rsidRDefault="00793DFB" w:rsidP="009F1C88">
            <w:pPr>
              <w:spacing w:after="0" w:line="240" w:lineRule="auto"/>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67" w:type="dxa"/>
            <w:tcBorders>
              <w:top w:val="nil"/>
              <w:left w:val="single" w:sz="4" w:space="0" w:color="333333"/>
              <w:bottom w:val="single" w:sz="4" w:space="0" w:color="C0C0C0"/>
              <w:right w:val="single" w:sz="4" w:space="0" w:color="333333"/>
            </w:tcBorders>
            <w:noWrap/>
            <w:hideMark/>
          </w:tcPr>
          <w:p w14:paraId="11BAACC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4182E75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55F10D64"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1B9B9A5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6BC6FEB9" w14:textId="77777777" w:rsidTr="009F1C88">
        <w:trPr>
          <w:trHeight w:val="456"/>
        </w:trPr>
        <w:tc>
          <w:tcPr>
            <w:tcW w:w="1446" w:type="dxa"/>
            <w:tcBorders>
              <w:top w:val="nil"/>
              <w:left w:val="single" w:sz="4" w:space="0" w:color="auto"/>
              <w:bottom w:val="nil"/>
              <w:right w:val="nil"/>
            </w:tcBorders>
            <w:shd w:val="clear" w:color="000000" w:fill="CCCCFF"/>
            <w:hideMark/>
          </w:tcPr>
          <w:p w14:paraId="32BB5658" w14:textId="77777777" w:rsidR="00793DFB" w:rsidRPr="00046B4A" w:rsidRDefault="00793DFB" w:rsidP="009F1C88">
            <w:pPr>
              <w:bidi/>
              <w:spacing w:after="0" w:line="240" w:lineRule="auto"/>
              <w:jc w:val="right"/>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rtl/>
                <w:lang w:val="en-GB" w:eastAsia="en-GB"/>
                <w14:ligatures w14:val="none"/>
              </w:rPr>
              <w:t>ثانيًا: المهمة</w:t>
            </w:r>
          </w:p>
        </w:tc>
        <w:tc>
          <w:tcPr>
            <w:tcW w:w="421" w:type="dxa"/>
            <w:tcBorders>
              <w:top w:val="nil"/>
              <w:left w:val="nil"/>
              <w:bottom w:val="single" w:sz="4" w:space="0" w:color="C0C0C0"/>
              <w:right w:val="nil"/>
            </w:tcBorders>
            <w:shd w:val="clear" w:color="000000" w:fill="CCCCFF"/>
            <w:hideMark/>
          </w:tcPr>
          <w:p w14:paraId="57EC4DA7" w14:textId="77777777" w:rsidR="00793DFB" w:rsidRPr="00046B4A" w:rsidRDefault="00793DFB" w:rsidP="009F1C88">
            <w:pPr>
              <w:spacing w:after="0" w:line="240" w:lineRule="auto"/>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lang w:val="en-GB" w:eastAsia="en-GB"/>
                <w14:ligatures w14:val="none"/>
              </w:rPr>
              <w:t>Pearson Correlation</w:t>
            </w:r>
          </w:p>
        </w:tc>
        <w:tc>
          <w:tcPr>
            <w:tcW w:w="694" w:type="dxa"/>
            <w:tcBorders>
              <w:top w:val="nil"/>
              <w:left w:val="nil"/>
              <w:bottom w:val="single" w:sz="4" w:space="0" w:color="C0C0C0"/>
              <w:right w:val="single" w:sz="4" w:space="0" w:color="333333"/>
            </w:tcBorders>
            <w:noWrap/>
            <w:hideMark/>
          </w:tcPr>
          <w:p w14:paraId="1F6BD7C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.771</w:t>
            </w:r>
            <w:r w:rsidRPr="00046B4A">
              <w:rPr>
                <w:rFonts w:ascii="Arial" w:eastAsia="Times New Roman" w:hAnsi="Arial" w:cs="Arial"/>
                <w:color w:val="993300"/>
                <w:kern w:val="0"/>
                <w:sz w:val="18"/>
                <w:szCs w:val="18"/>
                <w:vertAlign w:val="superscript"/>
                <w:lang w:val="en-GB" w:eastAsia="en-GB"/>
                <w14:ligatures w14:val="none"/>
              </w:rPr>
              <w:t>**</w:t>
            </w:r>
          </w:p>
        </w:tc>
        <w:tc>
          <w:tcPr>
            <w:tcW w:w="703" w:type="dxa"/>
            <w:tcBorders>
              <w:top w:val="nil"/>
              <w:left w:val="single" w:sz="4" w:space="0" w:color="333333"/>
              <w:bottom w:val="single" w:sz="4" w:space="0" w:color="C0C0C0"/>
              <w:right w:val="single" w:sz="4" w:space="0" w:color="333333"/>
            </w:tcBorders>
            <w:noWrap/>
            <w:hideMark/>
          </w:tcPr>
          <w:p w14:paraId="074204E0"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.684</w:t>
            </w:r>
            <w:r w:rsidRPr="00046B4A">
              <w:rPr>
                <w:rFonts w:ascii="Arial" w:eastAsia="Times New Roman" w:hAnsi="Arial" w:cs="Arial"/>
                <w:color w:val="993300"/>
                <w:kern w:val="0"/>
                <w:sz w:val="18"/>
                <w:szCs w:val="18"/>
                <w:vertAlign w:val="superscript"/>
                <w:lang w:val="en-GB" w:eastAsia="en-GB"/>
                <w14:ligatures w14:val="none"/>
              </w:rPr>
              <w:t>**</w:t>
            </w:r>
          </w:p>
        </w:tc>
        <w:tc>
          <w:tcPr>
            <w:tcW w:w="727" w:type="dxa"/>
            <w:tcBorders>
              <w:top w:val="nil"/>
              <w:left w:val="single" w:sz="4" w:space="0" w:color="333333"/>
              <w:bottom w:val="single" w:sz="4" w:space="0" w:color="C0C0C0"/>
              <w:right w:val="single" w:sz="4" w:space="0" w:color="333333"/>
            </w:tcBorders>
            <w:noWrap/>
            <w:hideMark/>
          </w:tcPr>
          <w:p w14:paraId="0AC1CA7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.702</w:t>
            </w:r>
            <w:r w:rsidRPr="00046B4A">
              <w:rPr>
                <w:rFonts w:ascii="Arial" w:eastAsia="Times New Roman" w:hAnsi="Arial" w:cs="Arial"/>
                <w:color w:val="993300"/>
                <w:kern w:val="0"/>
                <w:sz w:val="18"/>
                <w:szCs w:val="18"/>
                <w:vertAlign w:val="superscript"/>
                <w:lang w:val="en-GB" w:eastAsia="en-GB"/>
                <w14:ligatures w14:val="none"/>
              </w:rPr>
              <w:t>**</w:t>
            </w:r>
          </w:p>
        </w:tc>
        <w:tc>
          <w:tcPr>
            <w:tcW w:w="851" w:type="dxa"/>
            <w:tcBorders>
              <w:top w:val="nil"/>
              <w:left w:val="single" w:sz="4" w:space="0" w:color="333333"/>
              <w:bottom w:val="single" w:sz="4" w:space="0" w:color="C0C0C0"/>
              <w:right w:val="single" w:sz="4" w:space="0" w:color="333333"/>
            </w:tcBorders>
            <w:noWrap/>
            <w:hideMark/>
          </w:tcPr>
          <w:p w14:paraId="4780D67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.717</w:t>
            </w:r>
            <w:r w:rsidRPr="00046B4A">
              <w:rPr>
                <w:rFonts w:ascii="Arial" w:eastAsia="Times New Roman" w:hAnsi="Arial" w:cs="Arial"/>
                <w:color w:val="993300"/>
                <w:kern w:val="0"/>
                <w:sz w:val="18"/>
                <w:szCs w:val="18"/>
                <w:vertAlign w:val="superscript"/>
                <w:lang w:val="en-GB" w:eastAsia="en-GB"/>
                <w14:ligatures w14:val="none"/>
              </w:rPr>
              <w:t>**</w:t>
            </w:r>
          </w:p>
        </w:tc>
        <w:tc>
          <w:tcPr>
            <w:tcW w:w="850" w:type="dxa"/>
            <w:tcBorders>
              <w:top w:val="nil"/>
              <w:left w:val="single" w:sz="4" w:space="0" w:color="333333"/>
              <w:bottom w:val="single" w:sz="4" w:space="0" w:color="C0C0C0"/>
              <w:right w:val="single" w:sz="4" w:space="0" w:color="333333"/>
            </w:tcBorders>
            <w:noWrap/>
            <w:hideMark/>
          </w:tcPr>
          <w:p w14:paraId="34B0D65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.685</w:t>
            </w:r>
            <w:r w:rsidRPr="00046B4A">
              <w:rPr>
                <w:rFonts w:ascii="Arial" w:eastAsia="Times New Roman" w:hAnsi="Arial" w:cs="Arial"/>
                <w:color w:val="993300"/>
                <w:kern w:val="0"/>
                <w:sz w:val="18"/>
                <w:szCs w:val="18"/>
                <w:vertAlign w:val="superscript"/>
                <w:lang w:val="en-GB" w:eastAsia="en-GB"/>
                <w14:ligatures w14:val="none"/>
              </w:rPr>
              <w:t>**</w:t>
            </w:r>
          </w:p>
        </w:tc>
        <w:tc>
          <w:tcPr>
            <w:tcW w:w="709" w:type="dxa"/>
            <w:tcBorders>
              <w:top w:val="nil"/>
              <w:left w:val="single" w:sz="4" w:space="0" w:color="333333"/>
              <w:bottom w:val="single" w:sz="4" w:space="0" w:color="C0C0C0"/>
              <w:right w:val="single" w:sz="4" w:space="0" w:color="333333"/>
            </w:tcBorders>
            <w:noWrap/>
            <w:hideMark/>
          </w:tcPr>
          <w:p w14:paraId="7F1BC78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.667</w:t>
            </w:r>
            <w:r w:rsidRPr="00046B4A">
              <w:rPr>
                <w:rFonts w:ascii="Arial" w:eastAsia="Times New Roman" w:hAnsi="Arial" w:cs="Arial"/>
                <w:color w:val="993300"/>
                <w:kern w:val="0"/>
                <w:sz w:val="18"/>
                <w:szCs w:val="18"/>
                <w:vertAlign w:val="superscript"/>
                <w:lang w:val="en-GB" w:eastAsia="en-GB"/>
                <w14:ligatures w14:val="none"/>
              </w:rPr>
              <w:t>**</w:t>
            </w:r>
          </w:p>
        </w:tc>
        <w:tc>
          <w:tcPr>
            <w:tcW w:w="802" w:type="dxa"/>
            <w:tcBorders>
              <w:top w:val="nil"/>
              <w:left w:val="single" w:sz="4" w:space="0" w:color="333333"/>
              <w:bottom w:val="single" w:sz="4" w:space="0" w:color="C0C0C0"/>
              <w:right w:val="single" w:sz="4" w:space="0" w:color="333333"/>
            </w:tcBorders>
            <w:noWrap/>
            <w:hideMark/>
          </w:tcPr>
          <w:p w14:paraId="67C1A26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.740</w:t>
            </w:r>
            <w:r w:rsidRPr="00046B4A">
              <w:rPr>
                <w:rFonts w:ascii="Arial" w:eastAsia="Times New Roman" w:hAnsi="Arial" w:cs="Arial"/>
                <w:color w:val="993300"/>
                <w:kern w:val="0"/>
                <w:sz w:val="18"/>
                <w:szCs w:val="18"/>
                <w:vertAlign w:val="superscript"/>
                <w:lang w:val="en-GB" w:eastAsia="en-GB"/>
                <w14:ligatures w14:val="none"/>
              </w:rPr>
              <w:t>**</w:t>
            </w:r>
          </w:p>
        </w:tc>
        <w:tc>
          <w:tcPr>
            <w:tcW w:w="710" w:type="dxa"/>
            <w:tcBorders>
              <w:top w:val="nil"/>
              <w:left w:val="single" w:sz="4" w:space="0" w:color="333333"/>
              <w:bottom w:val="single" w:sz="4" w:space="0" w:color="C0C0C0"/>
              <w:right w:val="single" w:sz="4" w:space="0" w:color="333333"/>
            </w:tcBorders>
            <w:noWrap/>
            <w:hideMark/>
          </w:tcPr>
          <w:p w14:paraId="0A7F99F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.853</w:t>
            </w:r>
            <w:r w:rsidRPr="00046B4A">
              <w:rPr>
                <w:rFonts w:ascii="Arial" w:eastAsia="Times New Roman" w:hAnsi="Arial" w:cs="Arial"/>
                <w:color w:val="993300"/>
                <w:kern w:val="0"/>
                <w:sz w:val="18"/>
                <w:szCs w:val="18"/>
                <w:vertAlign w:val="superscript"/>
                <w:lang w:val="en-GB" w:eastAsia="en-GB"/>
                <w14:ligatures w14:val="none"/>
              </w:rPr>
              <w:t>**</w:t>
            </w:r>
          </w:p>
        </w:tc>
        <w:tc>
          <w:tcPr>
            <w:tcW w:w="667" w:type="dxa"/>
            <w:tcBorders>
              <w:top w:val="nil"/>
              <w:left w:val="single" w:sz="4" w:space="0" w:color="333333"/>
              <w:bottom w:val="single" w:sz="4" w:space="0" w:color="C0C0C0"/>
              <w:right w:val="single" w:sz="4" w:space="0" w:color="333333"/>
            </w:tcBorders>
            <w:noWrap/>
            <w:hideMark/>
          </w:tcPr>
          <w:p w14:paraId="5C43599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.625</w:t>
            </w:r>
            <w:r w:rsidRPr="00046B4A">
              <w:rPr>
                <w:rFonts w:ascii="Arial" w:eastAsia="Times New Roman" w:hAnsi="Arial" w:cs="Arial"/>
                <w:color w:val="993300"/>
                <w:kern w:val="0"/>
                <w:sz w:val="18"/>
                <w:szCs w:val="18"/>
                <w:vertAlign w:val="superscript"/>
                <w:lang w:val="en-GB" w:eastAsia="en-GB"/>
                <w14:ligatures w14:val="none"/>
              </w:rPr>
              <w:t>**</w:t>
            </w:r>
          </w:p>
        </w:tc>
        <w:tc>
          <w:tcPr>
            <w:tcW w:w="667" w:type="dxa"/>
            <w:tcBorders>
              <w:top w:val="nil"/>
              <w:left w:val="single" w:sz="4" w:space="0" w:color="333333"/>
              <w:bottom w:val="single" w:sz="4" w:space="0" w:color="C0C0C0"/>
              <w:right w:val="single" w:sz="4" w:space="0" w:color="333333"/>
            </w:tcBorders>
            <w:noWrap/>
            <w:hideMark/>
          </w:tcPr>
          <w:p w14:paraId="1ED02E00"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1</w:t>
            </w:r>
          </w:p>
        </w:tc>
        <w:tc>
          <w:tcPr>
            <w:tcW w:w="850" w:type="dxa"/>
            <w:tcBorders>
              <w:top w:val="nil"/>
              <w:left w:val="single" w:sz="4" w:space="0" w:color="333333"/>
              <w:bottom w:val="single" w:sz="4" w:space="0" w:color="C0C0C0"/>
              <w:right w:val="single" w:sz="4" w:space="0" w:color="333333"/>
            </w:tcBorders>
            <w:noWrap/>
            <w:hideMark/>
          </w:tcPr>
          <w:p w14:paraId="3381886C"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0B5B699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4CEE448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02A1F0E1" w14:textId="77777777" w:rsidTr="009F1C88">
        <w:trPr>
          <w:trHeight w:val="243"/>
        </w:trPr>
        <w:tc>
          <w:tcPr>
            <w:tcW w:w="1446" w:type="dxa"/>
            <w:tcBorders>
              <w:top w:val="single" w:sz="4" w:space="0" w:color="C0C0C0"/>
              <w:left w:val="single" w:sz="4" w:space="0" w:color="auto"/>
              <w:bottom w:val="single" w:sz="4" w:space="0" w:color="C0C0C0"/>
              <w:right w:val="nil"/>
            </w:tcBorders>
            <w:shd w:val="clear" w:color="000000" w:fill="CCCCFF"/>
            <w:hideMark/>
          </w:tcPr>
          <w:p w14:paraId="4C26F4B2"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w:t>
            </w:r>
          </w:p>
        </w:tc>
        <w:tc>
          <w:tcPr>
            <w:tcW w:w="421" w:type="dxa"/>
            <w:tcBorders>
              <w:top w:val="nil"/>
              <w:left w:val="nil"/>
              <w:bottom w:val="single" w:sz="4" w:space="0" w:color="C0C0C0"/>
              <w:right w:val="nil"/>
            </w:tcBorders>
            <w:shd w:val="clear" w:color="000000" w:fill="CCCCFF"/>
            <w:hideMark/>
          </w:tcPr>
          <w:p w14:paraId="0D862350"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Sig.</w:t>
            </w:r>
          </w:p>
        </w:tc>
        <w:tc>
          <w:tcPr>
            <w:tcW w:w="694" w:type="dxa"/>
            <w:tcBorders>
              <w:top w:val="nil"/>
              <w:left w:val="nil"/>
              <w:bottom w:val="single" w:sz="4" w:space="0" w:color="C0C0C0"/>
              <w:right w:val="single" w:sz="4" w:space="0" w:color="333333"/>
            </w:tcBorders>
            <w:noWrap/>
            <w:hideMark/>
          </w:tcPr>
          <w:p w14:paraId="6E0574F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3" w:type="dxa"/>
            <w:tcBorders>
              <w:top w:val="nil"/>
              <w:left w:val="single" w:sz="4" w:space="0" w:color="333333"/>
              <w:bottom w:val="single" w:sz="4" w:space="0" w:color="C0C0C0"/>
              <w:right w:val="single" w:sz="4" w:space="0" w:color="333333"/>
            </w:tcBorders>
            <w:noWrap/>
            <w:hideMark/>
          </w:tcPr>
          <w:p w14:paraId="626473A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27" w:type="dxa"/>
            <w:tcBorders>
              <w:top w:val="nil"/>
              <w:left w:val="single" w:sz="4" w:space="0" w:color="333333"/>
              <w:bottom w:val="single" w:sz="4" w:space="0" w:color="C0C0C0"/>
              <w:right w:val="single" w:sz="4" w:space="0" w:color="333333"/>
            </w:tcBorders>
            <w:noWrap/>
            <w:hideMark/>
          </w:tcPr>
          <w:p w14:paraId="42B5C4B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1" w:type="dxa"/>
            <w:tcBorders>
              <w:top w:val="nil"/>
              <w:left w:val="single" w:sz="4" w:space="0" w:color="333333"/>
              <w:bottom w:val="single" w:sz="4" w:space="0" w:color="C0C0C0"/>
              <w:right w:val="single" w:sz="4" w:space="0" w:color="333333"/>
            </w:tcBorders>
            <w:noWrap/>
            <w:hideMark/>
          </w:tcPr>
          <w:p w14:paraId="5249057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0" w:type="dxa"/>
            <w:tcBorders>
              <w:top w:val="nil"/>
              <w:left w:val="single" w:sz="4" w:space="0" w:color="333333"/>
              <w:bottom w:val="single" w:sz="4" w:space="0" w:color="C0C0C0"/>
              <w:right w:val="single" w:sz="4" w:space="0" w:color="333333"/>
            </w:tcBorders>
            <w:noWrap/>
            <w:hideMark/>
          </w:tcPr>
          <w:p w14:paraId="56635D4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9" w:type="dxa"/>
            <w:tcBorders>
              <w:top w:val="nil"/>
              <w:left w:val="single" w:sz="4" w:space="0" w:color="333333"/>
              <w:bottom w:val="single" w:sz="4" w:space="0" w:color="C0C0C0"/>
              <w:right w:val="single" w:sz="4" w:space="0" w:color="333333"/>
            </w:tcBorders>
            <w:noWrap/>
            <w:hideMark/>
          </w:tcPr>
          <w:p w14:paraId="3CFF403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02" w:type="dxa"/>
            <w:tcBorders>
              <w:top w:val="nil"/>
              <w:left w:val="single" w:sz="4" w:space="0" w:color="333333"/>
              <w:bottom w:val="single" w:sz="4" w:space="0" w:color="C0C0C0"/>
              <w:right w:val="single" w:sz="4" w:space="0" w:color="333333"/>
            </w:tcBorders>
            <w:noWrap/>
            <w:hideMark/>
          </w:tcPr>
          <w:p w14:paraId="274F77B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10" w:type="dxa"/>
            <w:tcBorders>
              <w:top w:val="nil"/>
              <w:left w:val="single" w:sz="4" w:space="0" w:color="333333"/>
              <w:bottom w:val="single" w:sz="4" w:space="0" w:color="C0C0C0"/>
              <w:right w:val="single" w:sz="4" w:space="0" w:color="333333"/>
            </w:tcBorders>
            <w:noWrap/>
            <w:hideMark/>
          </w:tcPr>
          <w:p w14:paraId="2EB16DDF"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667" w:type="dxa"/>
            <w:tcBorders>
              <w:top w:val="nil"/>
              <w:left w:val="single" w:sz="4" w:space="0" w:color="333333"/>
              <w:bottom w:val="single" w:sz="4" w:space="0" w:color="C0C0C0"/>
              <w:right w:val="single" w:sz="4" w:space="0" w:color="333333"/>
            </w:tcBorders>
            <w:noWrap/>
            <w:hideMark/>
          </w:tcPr>
          <w:p w14:paraId="67D0C02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667" w:type="dxa"/>
            <w:tcBorders>
              <w:top w:val="nil"/>
              <w:left w:val="single" w:sz="4" w:space="0" w:color="333333"/>
              <w:bottom w:val="single" w:sz="4" w:space="0" w:color="C0C0C0"/>
              <w:right w:val="single" w:sz="4" w:space="0" w:color="333333"/>
            </w:tcBorders>
            <w:hideMark/>
          </w:tcPr>
          <w:p w14:paraId="4E697914" w14:textId="77777777" w:rsidR="00793DFB" w:rsidRPr="00046B4A" w:rsidRDefault="00793DFB" w:rsidP="009F1C88">
            <w:pPr>
              <w:spacing w:after="0" w:line="240" w:lineRule="auto"/>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50" w:type="dxa"/>
            <w:tcBorders>
              <w:top w:val="nil"/>
              <w:left w:val="single" w:sz="4" w:space="0" w:color="333333"/>
              <w:bottom w:val="single" w:sz="4" w:space="0" w:color="C0C0C0"/>
              <w:right w:val="single" w:sz="4" w:space="0" w:color="333333"/>
            </w:tcBorders>
            <w:noWrap/>
            <w:hideMark/>
          </w:tcPr>
          <w:p w14:paraId="3F56E25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0335D09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428EFD8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623B6CAF" w14:textId="77777777" w:rsidTr="009F1C88">
        <w:trPr>
          <w:trHeight w:val="456"/>
        </w:trPr>
        <w:tc>
          <w:tcPr>
            <w:tcW w:w="1446" w:type="dxa"/>
            <w:tcBorders>
              <w:top w:val="nil"/>
              <w:left w:val="single" w:sz="4" w:space="0" w:color="auto"/>
              <w:bottom w:val="nil"/>
              <w:right w:val="nil"/>
            </w:tcBorders>
            <w:shd w:val="clear" w:color="000000" w:fill="CCCCFF"/>
            <w:hideMark/>
          </w:tcPr>
          <w:p w14:paraId="19A2AC60" w14:textId="77777777" w:rsidR="00793DFB" w:rsidRPr="00046B4A" w:rsidRDefault="00793DFB" w:rsidP="009F1C88">
            <w:pPr>
              <w:bidi/>
              <w:spacing w:after="0" w:line="240" w:lineRule="auto"/>
              <w:jc w:val="right"/>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rtl/>
                <w:lang w:val="en-GB" w:eastAsia="en-GB"/>
                <w14:ligatures w14:val="none"/>
              </w:rPr>
              <w:t>ثالثًا: الاتساق الداخلي</w:t>
            </w:r>
          </w:p>
        </w:tc>
        <w:tc>
          <w:tcPr>
            <w:tcW w:w="421" w:type="dxa"/>
            <w:tcBorders>
              <w:top w:val="nil"/>
              <w:left w:val="nil"/>
              <w:bottom w:val="single" w:sz="4" w:space="0" w:color="C0C0C0"/>
              <w:right w:val="nil"/>
            </w:tcBorders>
            <w:shd w:val="clear" w:color="000000" w:fill="CCCCFF"/>
            <w:hideMark/>
          </w:tcPr>
          <w:p w14:paraId="10BBA10B" w14:textId="77777777" w:rsidR="00793DFB" w:rsidRPr="00046B4A" w:rsidRDefault="00793DFB" w:rsidP="009F1C88">
            <w:pPr>
              <w:spacing w:after="0" w:line="240" w:lineRule="auto"/>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lang w:val="en-GB" w:eastAsia="en-GB"/>
                <w14:ligatures w14:val="none"/>
              </w:rPr>
              <w:t>Pearson Correlation</w:t>
            </w:r>
          </w:p>
        </w:tc>
        <w:tc>
          <w:tcPr>
            <w:tcW w:w="694" w:type="dxa"/>
            <w:tcBorders>
              <w:top w:val="nil"/>
              <w:left w:val="nil"/>
              <w:bottom w:val="single" w:sz="4" w:space="0" w:color="C0C0C0"/>
              <w:right w:val="single" w:sz="4" w:space="0" w:color="333333"/>
            </w:tcBorders>
            <w:noWrap/>
            <w:hideMark/>
          </w:tcPr>
          <w:p w14:paraId="091DD60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.843</w:t>
            </w:r>
            <w:r w:rsidRPr="00046B4A">
              <w:rPr>
                <w:rFonts w:ascii="Arial" w:eastAsia="Times New Roman" w:hAnsi="Arial" w:cs="Arial"/>
                <w:color w:val="993300"/>
                <w:kern w:val="0"/>
                <w:sz w:val="18"/>
                <w:szCs w:val="18"/>
                <w:vertAlign w:val="superscript"/>
                <w:lang w:val="en-GB" w:eastAsia="en-GB"/>
                <w14:ligatures w14:val="none"/>
              </w:rPr>
              <w:t>**</w:t>
            </w:r>
          </w:p>
        </w:tc>
        <w:tc>
          <w:tcPr>
            <w:tcW w:w="703" w:type="dxa"/>
            <w:tcBorders>
              <w:top w:val="nil"/>
              <w:left w:val="single" w:sz="4" w:space="0" w:color="333333"/>
              <w:bottom w:val="single" w:sz="4" w:space="0" w:color="C0C0C0"/>
              <w:right w:val="single" w:sz="4" w:space="0" w:color="333333"/>
            </w:tcBorders>
            <w:noWrap/>
            <w:hideMark/>
          </w:tcPr>
          <w:p w14:paraId="58A8726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.763</w:t>
            </w:r>
            <w:r w:rsidRPr="00046B4A">
              <w:rPr>
                <w:rFonts w:ascii="Arial" w:eastAsia="Times New Roman" w:hAnsi="Arial" w:cs="Arial"/>
                <w:color w:val="993300"/>
                <w:kern w:val="0"/>
                <w:sz w:val="18"/>
                <w:szCs w:val="18"/>
                <w:vertAlign w:val="superscript"/>
                <w:lang w:val="en-GB" w:eastAsia="en-GB"/>
                <w14:ligatures w14:val="none"/>
              </w:rPr>
              <w:t>**</w:t>
            </w:r>
          </w:p>
        </w:tc>
        <w:tc>
          <w:tcPr>
            <w:tcW w:w="727" w:type="dxa"/>
            <w:tcBorders>
              <w:top w:val="nil"/>
              <w:left w:val="single" w:sz="4" w:space="0" w:color="333333"/>
              <w:bottom w:val="single" w:sz="4" w:space="0" w:color="C0C0C0"/>
              <w:right w:val="single" w:sz="4" w:space="0" w:color="333333"/>
            </w:tcBorders>
            <w:noWrap/>
            <w:hideMark/>
          </w:tcPr>
          <w:p w14:paraId="5139CB8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.756</w:t>
            </w:r>
            <w:r w:rsidRPr="00046B4A">
              <w:rPr>
                <w:rFonts w:ascii="Arial" w:eastAsia="Times New Roman" w:hAnsi="Arial" w:cs="Arial"/>
                <w:color w:val="993300"/>
                <w:kern w:val="0"/>
                <w:sz w:val="18"/>
                <w:szCs w:val="18"/>
                <w:vertAlign w:val="superscript"/>
                <w:lang w:val="en-GB" w:eastAsia="en-GB"/>
                <w14:ligatures w14:val="none"/>
              </w:rPr>
              <w:t>**</w:t>
            </w:r>
          </w:p>
        </w:tc>
        <w:tc>
          <w:tcPr>
            <w:tcW w:w="851" w:type="dxa"/>
            <w:tcBorders>
              <w:top w:val="nil"/>
              <w:left w:val="single" w:sz="4" w:space="0" w:color="333333"/>
              <w:bottom w:val="single" w:sz="4" w:space="0" w:color="C0C0C0"/>
              <w:right w:val="single" w:sz="4" w:space="0" w:color="333333"/>
            </w:tcBorders>
            <w:noWrap/>
            <w:hideMark/>
          </w:tcPr>
          <w:p w14:paraId="314212BF"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.765</w:t>
            </w:r>
            <w:r w:rsidRPr="00046B4A">
              <w:rPr>
                <w:rFonts w:ascii="Arial" w:eastAsia="Times New Roman" w:hAnsi="Arial" w:cs="Arial"/>
                <w:color w:val="993300"/>
                <w:kern w:val="0"/>
                <w:sz w:val="18"/>
                <w:szCs w:val="18"/>
                <w:vertAlign w:val="superscript"/>
                <w:lang w:val="en-GB" w:eastAsia="en-GB"/>
                <w14:ligatures w14:val="none"/>
              </w:rPr>
              <w:t>**</w:t>
            </w:r>
          </w:p>
        </w:tc>
        <w:tc>
          <w:tcPr>
            <w:tcW w:w="850" w:type="dxa"/>
            <w:tcBorders>
              <w:top w:val="nil"/>
              <w:left w:val="single" w:sz="4" w:space="0" w:color="333333"/>
              <w:bottom w:val="single" w:sz="4" w:space="0" w:color="C0C0C0"/>
              <w:right w:val="single" w:sz="4" w:space="0" w:color="333333"/>
            </w:tcBorders>
            <w:noWrap/>
            <w:hideMark/>
          </w:tcPr>
          <w:p w14:paraId="4ED60A4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.756</w:t>
            </w:r>
            <w:r w:rsidRPr="00046B4A">
              <w:rPr>
                <w:rFonts w:ascii="Arial" w:eastAsia="Times New Roman" w:hAnsi="Arial" w:cs="Arial"/>
                <w:color w:val="993300"/>
                <w:kern w:val="0"/>
                <w:sz w:val="18"/>
                <w:szCs w:val="18"/>
                <w:vertAlign w:val="superscript"/>
                <w:lang w:val="en-GB" w:eastAsia="en-GB"/>
                <w14:ligatures w14:val="none"/>
              </w:rPr>
              <w:t>**</w:t>
            </w:r>
          </w:p>
        </w:tc>
        <w:tc>
          <w:tcPr>
            <w:tcW w:w="709" w:type="dxa"/>
            <w:tcBorders>
              <w:top w:val="nil"/>
              <w:left w:val="single" w:sz="4" w:space="0" w:color="333333"/>
              <w:bottom w:val="single" w:sz="4" w:space="0" w:color="C0C0C0"/>
              <w:right w:val="single" w:sz="4" w:space="0" w:color="333333"/>
            </w:tcBorders>
            <w:noWrap/>
            <w:hideMark/>
          </w:tcPr>
          <w:p w14:paraId="0454CD9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.742</w:t>
            </w:r>
            <w:r w:rsidRPr="00046B4A">
              <w:rPr>
                <w:rFonts w:ascii="Arial" w:eastAsia="Times New Roman" w:hAnsi="Arial" w:cs="Arial"/>
                <w:color w:val="993300"/>
                <w:kern w:val="0"/>
                <w:sz w:val="18"/>
                <w:szCs w:val="18"/>
                <w:vertAlign w:val="superscript"/>
                <w:lang w:val="en-GB" w:eastAsia="en-GB"/>
                <w14:ligatures w14:val="none"/>
              </w:rPr>
              <w:t>**</w:t>
            </w:r>
          </w:p>
        </w:tc>
        <w:tc>
          <w:tcPr>
            <w:tcW w:w="802" w:type="dxa"/>
            <w:tcBorders>
              <w:top w:val="nil"/>
              <w:left w:val="single" w:sz="4" w:space="0" w:color="333333"/>
              <w:bottom w:val="single" w:sz="4" w:space="0" w:color="C0C0C0"/>
              <w:right w:val="single" w:sz="4" w:space="0" w:color="333333"/>
            </w:tcBorders>
            <w:noWrap/>
            <w:hideMark/>
          </w:tcPr>
          <w:p w14:paraId="445FC92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.811</w:t>
            </w:r>
            <w:r w:rsidRPr="00046B4A">
              <w:rPr>
                <w:rFonts w:ascii="Arial" w:eastAsia="Times New Roman" w:hAnsi="Arial" w:cs="Arial"/>
                <w:color w:val="993300"/>
                <w:kern w:val="0"/>
                <w:sz w:val="18"/>
                <w:szCs w:val="18"/>
                <w:vertAlign w:val="superscript"/>
                <w:lang w:val="en-GB" w:eastAsia="en-GB"/>
                <w14:ligatures w14:val="none"/>
              </w:rPr>
              <w:t>**</w:t>
            </w:r>
          </w:p>
        </w:tc>
        <w:tc>
          <w:tcPr>
            <w:tcW w:w="710" w:type="dxa"/>
            <w:tcBorders>
              <w:top w:val="nil"/>
              <w:left w:val="single" w:sz="4" w:space="0" w:color="333333"/>
              <w:bottom w:val="single" w:sz="4" w:space="0" w:color="C0C0C0"/>
              <w:right w:val="single" w:sz="4" w:space="0" w:color="333333"/>
            </w:tcBorders>
            <w:noWrap/>
            <w:hideMark/>
          </w:tcPr>
          <w:p w14:paraId="29B40EC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.905</w:t>
            </w:r>
            <w:r w:rsidRPr="00046B4A">
              <w:rPr>
                <w:rFonts w:ascii="Arial" w:eastAsia="Times New Roman" w:hAnsi="Arial" w:cs="Arial"/>
                <w:color w:val="993300"/>
                <w:kern w:val="0"/>
                <w:sz w:val="18"/>
                <w:szCs w:val="18"/>
                <w:vertAlign w:val="superscript"/>
                <w:lang w:val="en-GB" w:eastAsia="en-GB"/>
                <w14:ligatures w14:val="none"/>
              </w:rPr>
              <w:t>**</w:t>
            </w:r>
          </w:p>
        </w:tc>
        <w:tc>
          <w:tcPr>
            <w:tcW w:w="667" w:type="dxa"/>
            <w:tcBorders>
              <w:top w:val="nil"/>
              <w:left w:val="single" w:sz="4" w:space="0" w:color="333333"/>
              <w:bottom w:val="single" w:sz="4" w:space="0" w:color="C0C0C0"/>
              <w:right w:val="single" w:sz="4" w:space="0" w:color="333333"/>
            </w:tcBorders>
            <w:noWrap/>
            <w:hideMark/>
          </w:tcPr>
          <w:p w14:paraId="7BA85BB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.702</w:t>
            </w:r>
            <w:r w:rsidRPr="00046B4A">
              <w:rPr>
                <w:rFonts w:ascii="Arial" w:eastAsia="Times New Roman" w:hAnsi="Arial" w:cs="Arial"/>
                <w:color w:val="993300"/>
                <w:kern w:val="0"/>
                <w:sz w:val="18"/>
                <w:szCs w:val="18"/>
                <w:vertAlign w:val="superscript"/>
                <w:lang w:val="en-GB" w:eastAsia="en-GB"/>
                <w14:ligatures w14:val="none"/>
              </w:rPr>
              <w:t>**</w:t>
            </w:r>
          </w:p>
        </w:tc>
        <w:tc>
          <w:tcPr>
            <w:tcW w:w="667" w:type="dxa"/>
            <w:tcBorders>
              <w:top w:val="nil"/>
              <w:left w:val="single" w:sz="4" w:space="0" w:color="333333"/>
              <w:bottom w:val="single" w:sz="4" w:space="0" w:color="C0C0C0"/>
              <w:right w:val="single" w:sz="4" w:space="0" w:color="333333"/>
            </w:tcBorders>
            <w:noWrap/>
            <w:hideMark/>
          </w:tcPr>
          <w:p w14:paraId="04D41AE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.711</w:t>
            </w:r>
            <w:r w:rsidRPr="00046B4A">
              <w:rPr>
                <w:rFonts w:ascii="Arial" w:eastAsia="Times New Roman" w:hAnsi="Arial" w:cs="Arial"/>
                <w:color w:val="993300"/>
                <w:kern w:val="0"/>
                <w:sz w:val="18"/>
                <w:szCs w:val="18"/>
                <w:vertAlign w:val="superscript"/>
                <w:lang w:val="en-GB" w:eastAsia="en-GB"/>
                <w14:ligatures w14:val="none"/>
              </w:rPr>
              <w:t>**</w:t>
            </w:r>
          </w:p>
        </w:tc>
        <w:tc>
          <w:tcPr>
            <w:tcW w:w="850" w:type="dxa"/>
            <w:tcBorders>
              <w:top w:val="nil"/>
              <w:left w:val="single" w:sz="4" w:space="0" w:color="333333"/>
              <w:bottom w:val="single" w:sz="4" w:space="0" w:color="C0C0C0"/>
              <w:right w:val="single" w:sz="4" w:space="0" w:color="333333"/>
            </w:tcBorders>
            <w:noWrap/>
            <w:hideMark/>
          </w:tcPr>
          <w:p w14:paraId="5819076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1</w:t>
            </w:r>
          </w:p>
        </w:tc>
        <w:tc>
          <w:tcPr>
            <w:tcW w:w="861" w:type="dxa"/>
            <w:tcBorders>
              <w:top w:val="nil"/>
              <w:left w:val="single" w:sz="4" w:space="0" w:color="333333"/>
              <w:bottom w:val="single" w:sz="4" w:space="0" w:color="C0C0C0"/>
              <w:right w:val="single" w:sz="4" w:space="0" w:color="333333"/>
            </w:tcBorders>
            <w:noWrap/>
            <w:hideMark/>
          </w:tcPr>
          <w:p w14:paraId="533ED5EF"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2CA21CE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2DC534EB" w14:textId="77777777" w:rsidTr="009F1C88">
        <w:trPr>
          <w:trHeight w:val="200"/>
        </w:trPr>
        <w:tc>
          <w:tcPr>
            <w:tcW w:w="1446" w:type="dxa"/>
            <w:tcBorders>
              <w:top w:val="single" w:sz="4" w:space="0" w:color="C0C0C0"/>
              <w:left w:val="single" w:sz="4" w:space="0" w:color="auto"/>
              <w:bottom w:val="single" w:sz="4" w:space="0" w:color="C0C0C0"/>
              <w:right w:val="nil"/>
            </w:tcBorders>
            <w:shd w:val="clear" w:color="000000" w:fill="CCCCFF"/>
            <w:hideMark/>
          </w:tcPr>
          <w:p w14:paraId="1CC55A35"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w:t>
            </w:r>
          </w:p>
        </w:tc>
        <w:tc>
          <w:tcPr>
            <w:tcW w:w="421" w:type="dxa"/>
            <w:tcBorders>
              <w:top w:val="nil"/>
              <w:left w:val="nil"/>
              <w:bottom w:val="single" w:sz="4" w:space="0" w:color="C0C0C0"/>
              <w:right w:val="nil"/>
            </w:tcBorders>
            <w:shd w:val="clear" w:color="000000" w:fill="CCCCFF"/>
            <w:hideMark/>
          </w:tcPr>
          <w:p w14:paraId="5A22548E"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xml:space="preserve">Sig. </w:t>
            </w:r>
          </w:p>
        </w:tc>
        <w:tc>
          <w:tcPr>
            <w:tcW w:w="694" w:type="dxa"/>
            <w:tcBorders>
              <w:top w:val="nil"/>
              <w:left w:val="nil"/>
              <w:bottom w:val="single" w:sz="4" w:space="0" w:color="C0C0C0"/>
              <w:right w:val="single" w:sz="4" w:space="0" w:color="333333"/>
            </w:tcBorders>
            <w:noWrap/>
            <w:hideMark/>
          </w:tcPr>
          <w:p w14:paraId="7212B95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3" w:type="dxa"/>
            <w:tcBorders>
              <w:top w:val="nil"/>
              <w:left w:val="single" w:sz="4" w:space="0" w:color="333333"/>
              <w:bottom w:val="single" w:sz="4" w:space="0" w:color="C0C0C0"/>
              <w:right w:val="single" w:sz="4" w:space="0" w:color="333333"/>
            </w:tcBorders>
            <w:noWrap/>
            <w:hideMark/>
          </w:tcPr>
          <w:p w14:paraId="535DB5D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27" w:type="dxa"/>
            <w:tcBorders>
              <w:top w:val="nil"/>
              <w:left w:val="single" w:sz="4" w:space="0" w:color="333333"/>
              <w:bottom w:val="single" w:sz="4" w:space="0" w:color="C0C0C0"/>
              <w:right w:val="single" w:sz="4" w:space="0" w:color="333333"/>
            </w:tcBorders>
            <w:noWrap/>
            <w:hideMark/>
          </w:tcPr>
          <w:p w14:paraId="4D16EF5F"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1" w:type="dxa"/>
            <w:tcBorders>
              <w:top w:val="nil"/>
              <w:left w:val="single" w:sz="4" w:space="0" w:color="333333"/>
              <w:bottom w:val="single" w:sz="4" w:space="0" w:color="C0C0C0"/>
              <w:right w:val="single" w:sz="4" w:space="0" w:color="333333"/>
            </w:tcBorders>
            <w:noWrap/>
            <w:hideMark/>
          </w:tcPr>
          <w:p w14:paraId="03E9F4A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0" w:type="dxa"/>
            <w:tcBorders>
              <w:top w:val="nil"/>
              <w:left w:val="single" w:sz="4" w:space="0" w:color="333333"/>
              <w:bottom w:val="single" w:sz="4" w:space="0" w:color="C0C0C0"/>
              <w:right w:val="single" w:sz="4" w:space="0" w:color="333333"/>
            </w:tcBorders>
            <w:noWrap/>
            <w:hideMark/>
          </w:tcPr>
          <w:p w14:paraId="415BFFD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9" w:type="dxa"/>
            <w:tcBorders>
              <w:top w:val="nil"/>
              <w:left w:val="single" w:sz="4" w:space="0" w:color="333333"/>
              <w:bottom w:val="single" w:sz="4" w:space="0" w:color="C0C0C0"/>
              <w:right w:val="single" w:sz="4" w:space="0" w:color="333333"/>
            </w:tcBorders>
            <w:noWrap/>
            <w:hideMark/>
          </w:tcPr>
          <w:p w14:paraId="0172AC0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02" w:type="dxa"/>
            <w:tcBorders>
              <w:top w:val="nil"/>
              <w:left w:val="single" w:sz="4" w:space="0" w:color="333333"/>
              <w:bottom w:val="single" w:sz="4" w:space="0" w:color="C0C0C0"/>
              <w:right w:val="single" w:sz="4" w:space="0" w:color="333333"/>
            </w:tcBorders>
            <w:noWrap/>
            <w:hideMark/>
          </w:tcPr>
          <w:p w14:paraId="273E68F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10" w:type="dxa"/>
            <w:tcBorders>
              <w:top w:val="nil"/>
              <w:left w:val="single" w:sz="4" w:space="0" w:color="333333"/>
              <w:bottom w:val="single" w:sz="4" w:space="0" w:color="C0C0C0"/>
              <w:right w:val="single" w:sz="4" w:space="0" w:color="333333"/>
            </w:tcBorders>
            <w:noWrap/>
            <w:hideMark/>
          </w:tcPr>
          <w:p w14:paraId="204E0FE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667" w:type="dxa"/>
            <w:tcBorders>
              <w:top w:val="nil"/>
              <w:left w:val="single" w:sz="4" w:space="0" w:color="333333"/>
              <w:bottom w:val="single" w:sz="4" w:space="0" w:color="C0C0C0"/>
              <w:right w:val="single" w:sz="4" w:space="0" w:color="333333"/>
            </w:tcBorders>
            <w:noWrap/>
            <w:hideMark/>
          </w:tcPr>
          <w:p w14:paraId="6DC497B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667" w:type="dxa"/>
            <w:tcBorders>
              <w:top w:val="nil"/>
              <w:left w:val="single" w:sz="4" w:space="0" w:color="333333"/>
              <w:bottom w:val="single" w:sz="4" w:space="0" w:color="C0C0C0"/>
              <w:right w:val="single" w:sz="4" w:space="0" w:color="333333"/>
            </w:tcBorders>
            <w:noWrap/>
            <w:hideMark/>
          </w:tcPr>
          <w:p w14:paraId="29FC858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0" w:type="dxa"/>
            <w:tcBorders>
              <w:top w:val="nil"/>
              <w:left w:val="single" w:sz="4" w:space="0" w:color="333333"/>
              <w:bottom w:val="single" w:sz="4" w:space="0" w:color="C0C0C0"/>
              <w:right w:val="single" w:sz="4" w:space="0" w:color="333333"/>
            </w:tcBorders>
            <w:hideMark/>
          </w:tcPr>
          <w:p w14:paraId="579A956E" w14:textId="77777777" w:rsidR="00793DFB" w:rsidRPr="00046B4A" w:rsidRDefault="00793DFB" w:rsidP="009F1C88">
            <w:pPr>
              <w:spacing w:after="0" w:line="240" w:lineRule="auto"/>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861" w:type="dxa"/>
            <w:tcBorders>
              <w:top w:val="nil"/>
              <w:left w:val="single" w:sz="4" w:space="0" w:color="333333"/>
              <w:bottom w:val="single" w:sz="4" w:space="0" w:color="C0C0C0"/>
              <w:right w:val="single" w:sz="4" w:space="0" w:color="333333"/>
            </w:tcBorders>
            <w:noWrap/>
            <w:hideMark/>
          </w:tcPr>
          <w:p w14:paraId="6063888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657AA97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495D1EDF" w14:textId="77777777" w:rsidTr="009F1C88">
        <w:trPr>
          <w:trHeight w:val="456"/>
        </w:trPr>
        <w:tc>
          <w:tcPr>
            <w:tcW w:w="1446" w:type="dxa"/>
            <w:tcBorders>
              <w:top w:val="nil"/>
              <w:left w:val="single" w:sz="4" w:space="0" w:color="auto"/>
              <w:bottom w:val="nil"/>
              <w:right w:val="nil"/>
            </w:tcBorders>
            <w:shd w:val="clear" w:color="000000" w:fill="CCCCFF"/>
            <w:hideMark/>
          </w:tcPr>
          <w:p w14:paraId="018BF5AA" w14:textId="77777777" w:rsidR="00793DFB" w:rsidRPr="00046B4A" w:rsidRDefault="00793DFB" w:rsidP="009F1C88">
            <w:pPr>
              <w:bidi/>
              <w:spacing w:after="0" w:line="240" w:lineRule="auto"/>
              <w:jc w:val="right"/>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rtl/>
                <w:lang w:val="en-GB" w:eastAsia="en-GB"/>
                <w14:ligatures w14:val="none"/>
              </w:rPr>
              <w:t>رابعًا: إشراك الموظفين</w:t>
            </w:r>
          </w:p>
        </w:tc>
        <w:tc>
          <w:tcPr>
            <w:tcW w:w="421" w:type="dxa"/>
            <w:tcBorders>
              <w:top w:val="nil"/>
              <w:left w:val="nil"/>
              <w:bottom w:val="single" w:sz="4" w:space="0" w:color="C0C0C0"/>
              <w:right w:val="nil"/>
            </w:tcBorders>
            <w:shd w:val="clear" w:color="000000" w:fill="CCCCFF"/>
            <w:hideMark/>
          </w:tcPr>
          <w:p w14:paraId="715C2983" w14:textId="77777777" w:rsidR="00793DFB" w:rsidRPr="00046B4A" w:rsidRDefault="00793DFB" w:rsidP="009F1C88">
            <w:pPr>
              <w:spacing w:after="0" w:line="240" w:lineRule="auto"/>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lang w:val="en-GB" w:eastAsia="en-GB"/>
                <w14:ligatures w14:val="none"/>
              </w:rPr>
              <w:t>Pearson Correlation</w:t>
            </w:r>
          </w:p>
        </w:tc>
        <w:tc>
          <w:tcPr>
            <w:tcW w:w="694" w:type="dxa"/>
            <w:tcBorders>
              <w:top w:val="nil"/>
              <w:left w:val="nil"/>
              <w:bottom w:val="single" w:sz="4" w:space="0" w:color="C0C0C0"/>
              <w:right w:val="single" w:sz="4" w:space="0" w:color="333333"/>
            </w:tcBorders>
            <w:noWrap/>
            <w:hideMark/>
          </w:tcPr>
          <w:p w14:paraId="77B16D9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.877</w:t>
            </w:r>
            <w:r w:rsidRPr="00046B4A">
              <w:rPr>
                <w:rFonts w:ascii="Arial" w:eastAsia="Times New Roman" w:hAnsi="Arial" w:cs="Arial"/>
                <w:color w:val="993300"/>
                <w:kern w:val="0"/>
                <w:sz w:val="18"/>
                <w:szCs w:val="18"/>
                <w:vertAlign w:val="superscript"/>
                <w:lang w:val="en-GB" w:eastAsia="en-GB"/>
                <w14:ligatures w14:val="none"/>
              </w:rPr>
              <w:t>**</w:t>
            </w:r>
          </w:p>
        </w:tc>
        <w:tc>
          <w:tcPr>
            <w:tcW w:w="703" w:type="dxa"/>
            <w:tcBorders>
              <w:top w:val="nil"/>
              <w:left w:val="single" w:sz="4" w:space="0" w:color="333333"/>
              <w:bottom w:val="single" w:sz="4" w:space="0" w:color="C0C0C0"/>
              <w:right w:val="single" w:sz="4" w:space="0" w:color="333333"/>
            </w:tcBorders>
            <w:noWrap/>
            <w:hideMark/>
          </w:tcPr>
          <w:p w14:paraId="6CC7227C"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.792</w:t>
            </w:r>
            <w:r w:rsidRPr="00046B4A">
              <w:rPr>
                <w:rFonts w:ascii="Arial" w:eastAsia="Times New Roman" w:hAnsi="Arial" w:cs="Arial"/>
                <w:color w:val="993300"/>
                <w:kern w:val="0"/>
                <w:sz w:val="18"/>
                <w:szCs w:val="18"/>
                <w:vertAlign w:val="superscript"/>
                <w:lang w:val="en-GB" w:eastAsia="en-GB"/>
                <w14:ligatures w14:val="none"/>
              </w:rPr>
              <w:t>**</w:t>
            </w:r>
          </w:p>
        </w:tc>
        <w:tc>
          <w:tcPr>
            <w:tcW w:w="727" w:type="dxa"/>
            <w:tcBorders>
              <w:top w:val="nil"/>
              <w:left w:val="single" w:sz="4" w:space="0" w:color="333333"/>
              <w:bottom w:val="single" w:sz="4" w:space="0" w:color="C0C0C0"/>
              <w:right w:val="single" w:sz="4" w:space="0" w:color="333333"/>
            </w:tcBorders>
            <w:noWrap/>
            <w:hideMark/>
          </w:tcPr>
          <w:p w14:paraId="2E82D20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.797</w:t>
            </w:r>
            <w:r w:rsidRPr="00046B4A">
              <w:rPr>
                <w:rFonts w:ascii="Arial" w:eastAsia="Times New Roman" w:hAnsi="Arial" w:cs="Arial"/>
                <w:color w:val="993300"/>
                <w:kern w:val="0"/>
                <w:sz w:val="18"/>
                <w:szCs w:val="18"/>
                <w:vertAlign w:val="superscript"/>
                <w:lang w:val="en-GB" w:eastAsia="en-GB"/>
                <w14:ligatures w14:val="none"/>
              </w:rPr>
              <w:t>**</w:t>
            </w:r>
          </w:p>
        </w:tc>
        <w:tc>
          <w:tcPr>
            <w:tcW w:w="851" w:type="dxa"/>
            <w:tcBorders>
              <w:top w:val="nil"/>
              <w:left w:val="single" w:sz="4" w:space="0" w:color="333333"/>
              <w:bottom w:val="single" w:sz="4" w:space="0" w:color="C0C0C0"/>
              <w:right w:val="single" w:sz="4" w:space="0" w:color="333333"/>
            </w:tcBorders>
            <w:noWrap/>
            <w:hideMark/>
          </w:tcPr>
          <w:p w14:paraId="6BC02E6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.800</w:t>
            </w:r>
            <w:r w:rsidRPr="00046B4A">
              <w:rPr>
                <w:rFonts w:ascii="Arial" w:eastAsia="Times New Roman" w:hAnsi="Arial" w:cs="Arial"/>
                <w:color w:val="993300"/>
                <w:kern w:val="0"/>
                <w:sz w:val="18"/>
                <w:szCs w:val="18"/>
                <w:vertAlign w:val="superscript"/>
                <w:lang w:val="en-GB" w:eastAsia="en-GB"/>
                <w14:ligatures w14:val="none"/>
              </w:rPr>
              <w:t>**</w:t>
            </w:r>
          </w:p>
        </w:tc>
        <w:tc>
          <w:tcPr>
            <w:tcW w:w="850" w:type="dxa"/>
            <w:tcBorders>
              <w:top w:val="nil"/>
              <w:left w:val="single" w:sz="4" w:space="0" w:color="333333"/>
              <w:bottom w:val="single" w:sz="4" w:space="0" w:color="C0C0C0"/>
              <w:right w:val="single" w:sz="4" w:space="0" w:color="333333"/>
            </w:tcBorders>
            <w:noWrap/>
            <w:hideMark/>
          </w:tcPr>
          <w:p w14:paraId="46C234A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.788</w:t>
            </w:r>
            <w:r w:rsidRPr="00046B4A">
              <w:rPr>
                <w:rFonts w:ascii="Arial" w:eastAsia="Times New Roman" w:hAnsi="Arial" w:cs="Arial"/>
                <w:color w:val="993300"/>
                <w:kern w:val="0"/>
                <w:sz w:val="18"/>
                <w:szCs w:val="18"/>
                <w:vertAlign w:val="superscript"/>
                <w:lang w:val="en-GB" w:eastAsia="en-GB"/>
                <w14:ligatures w14:val="none"/>
              </w:rPr>
              <w:t>**</w:t>
            </w:r>
          </w:p>
        </w:tc>
        <w:tc>
          <w:tcPr>
            <w:tcW w:w="709" w:type="dxa"/>
            <w:tcBorders>
              <w:top w:val="nil"/>
              <w:left w:val="single" w:sz="4" w:space="0" w:color="333333"/>
              <w:bottom w:val="single" w:sz="4" w:space="0" w:color="C0C0C0"/>
              <w:right w:val="single" w:sz="4" w:space="0" w:color="333333"/>
            </w:tcBorders>
            <w:noWrap/>
            <w:hideMark/>
          </w:tcPr>
          <w:p w14:paraId="236A22A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.743</w:t>
            </w:r>
            <w:r w:rsidRPr="00046B4A">
              <w:rPr>
                <w:rFonts w:ascii="Arial" w:eastAsia="Times New Roman" w:hAnsi="Arial" w:cs="Arial"/>
                <w:color w:val="993300"/>
                <w:kern w:val="0"/>
                <w:sz w:val="18"/>
                <w:szCs w:val="18"/>
                <w:vertAlign w:val="superscript"/>
                <w:lang w:val="en-GB" w:eastAsia="en-GB"/>
                <w14:ligatures w14:val="none"/>
              </w:rPr>
              <w:t>**</w:t>
            </w:r>
          </w:p>
        </w:tc>
        <w:tc>
          <w:tcPr>
            <w:tcW w:w="802" w:type="dxa"/>
            <w:tcBorders>
              <w:top w:val="nil"/>
              <w:left w:val="single" w:sz="4" w:space="0" w:color="333333"/>
              <w:bottom w:val="single" w:sz="4" w:space="0" w:color="C0C0C0"/>
              <w:right w:val="single" w:sz="4" w:space="0" w:color="333333"/>
            </w:tcBorders>
            <w:noWrap/>
            <w:hideMark/>
          </w:tcPr>
          <w:p w14:paraId="39C0983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.851</w:t>
            </w:r>
            <w:r w:rsidRPr="00046B4A">
              <w:rPr>
                <w:rFonts w:ascii="Arial" w:eastAsia="Times New Roman" w:hAnsi="Arial" w:cs="Arial"/>
                <w:color w:val="993300"/>
                <w:kern w:val="0"/>
                <w:sz w:val="18"/>
                <w:szCs w:val="18"/>
                <w:vertAlign w:val="superscript"/>
                <w:lang w:val="en-GB" w:eastAsia="en-GB"/>
                <w14:ligatures w14:val="none"/>
              </w:rPr>
              <w:t>**</w:t>
            </w:r>
          </w:p>
        </w:tc>
        <w:tc>
          <w:tcPr>
            <w:tcW w:w="710" w:type="dxa"/>
            <w:tcBorders>
              <w:top w:val="nil"/>
              <w:left w:val="single" w:sz="4" w:space="0" w:color="333333"/>
              <w:bottom w:val="single" w:sz="4" w:space="0" w:color="C0C0C0"/>
              <w:right w:val="single" w:sz="4" w:space="0" w:color="333333"/>
            </w:tcBorders>
            <w:noWrap/>
            <w:hideMark/>
          </w:tcPr>
          <w:p w14:paraId="2C9D5D1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.938</w:t>
            </w:r>
            <w:r w:rsidRPr="00046B4A">
              <w:rPr>
                <w:rFonts w:ascii="Arial" w:eastAsia="Times New Roman" w:hAnsi="Arial" w:cs="Arial"/>
                <w:color w:val="993300"/>
                <w:kern w:val="0"/>
                <w:sz w:val="18"/>
                <w:szCs w:val="18"/>
                <w:vertAlign w:val="superscript"/>
                <w:lang w:val="en-GB" w:eastAsia="en-GB"/>
                <w14:ligatures w14:val="none"/>
              </w:rPr>
              <w:t>**</w:t>
            </w:r>
          </w:p>
        </w:tc>
        <w:tc>
          <w:tcPr>
            <w:tcW w:w="667" w:type="dxa"/>
            <w:tcBorders>
              <w:top w:val="nil"/>
              <w:left w:val="single" w:sz="4" w:space="0" w:color="333333"/>
              <w:bottom w:val="single" w:sz="4" w:space="0" w:color="C0C0C0"/>
              <w:right w:val="single" w:sz="4" w:space="0" w:color="333333"/>
            </w:tcBorders>
            <w:noWrap/>
            <w:hideMark/>
          </w:tcPr>
          <w:p w14:paraId="2C09EC2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.726</w:t>
            </w:r>
            <w:r w:rsidRPr="00046B4A">
              <w:rPr>
                <w:rFonts w:ascii="Arial" w:eastAsia="Times New Roman" w:hAnsi="Arial" w:cs="Arial"/>
                <w:color w:val="993300"/>
                <w:kern w:val="0"/>
                <w:sz w:val="18"/>
                <w:szCs w:val="18"/>
                <w:vertAlign w:val="superscript"/>
                <w:lang w:val="en-GB" w:eastAsia="en-GB"/>
                <w14:ligatures w14:val="none"/>
              </w:rPr>
              <w:t>**</w:t>
            </w:r>
          </w:p>
        </w:tc>
        <w:tc>
          <w:tcPr>
            <w:tcW w:w="667" w:type="dxa"/>
            <w:tcBorders>
              <w:top w:val="nil"/>
              <w:left w:val="single" w:sz="4" w:space="0" w:color="333333"/>
              <w:bottom w:val="single" w:sz="4" w:space="0" w:color="C0C0C0"/>
              <w:right w:val="single" w:sz="4" w:space="0" w:color="333333"/>
            </w:tcBorders>
            <w:noWrap/>
            <w:hideMark/>
          </w:tcPr>
          <w:p w14:paraId="13B5DDC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.728</w:t>
            </w:r>
            <w:r w:rsidRPr="00046B4A">
              <w:rPr>
                <w:rFonts w:ascii="Arial" w:eastAsia="Times New Roman" w:hAnsi="Arial" w:cs="Arial"/>
                <w:color w:val="993300"/>
                <w:kern w:val="0"/>
                <w:sz w:val="18"/>
                <w:szCs w:val="18"/>
                <w:vertAlign w:val="superscript"/>
                <w:lang w:val="en-GB" w:eastAsia="en-GB"/>
                <w14:ligatures w14:val="none"/>
              </w:rPr>
              <w:t>**</w:t>
            </w:r>
          </w:p>
        </w:tc>
        <w:tc>
          <w:tcPr>
            <w:tcW w:w="850" w:type="dxa"/>
            <w:tcBorders>
              <w:top w:val="nil"/>
              <w:left w:val="single" w:sz="4" w:space="0" w:color="333333"/>
              <w:bottom w:val="single" w:sz="4" w:space="0" w:color="C0C0C0"/>
              <w:right w:val="single" w:sz="4" w:space="0" w:color="333333"/>
            </w:tcBorders>
            <w:noWrap/>
            <w:hideMark/>
          </w:tcPr>
          <w:p w14:paraId="430AD37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.798</w:t>
            </w:r>
            <w:r w:rsidRPr="00046B4A">
              <w:rPr>
                <w:rFonts w:ascii="Arial" w:eastAsia="Times New Roman" w:hAnsi="Arial" w:cs="Arial"/>
                <w:color w:val="993300"/>
                <w:kern w:val="0"/>
                <w:sz w:val="18"/>
                <w:szCs w:val="18"/>
                <w:vertAlign w:val="superscript"/>
                <w:lang w:val="en-GB" w:eastAsia="en-GB"/>
                <w14:ligatures w14:val="none"/>
              </w:rPr>
              <w:t>**</w:t>
            </w:r>
          </w:p>
        </w:tc>
        <w:tc>
          <w:tcPr>
            <w:tcW w:w="861" w:type="dxa"/>
            <w:tcBorders>
              <w:top w:val="nil"/>
              <w:left w:val="single" w:sz="4" w:space="0" w:color="333333"/>
              <w:bottom w:val="single" w:sz="4" w:space="0" w:color="C0C0C0"/>
              <w:right w:val="single" w:sz="4" w:space="0" w:color="333333"/>
            </w:tcBorders>
            <w:noWrap/>
            <w:hideMark/>
          </w:tcPr>
          <w:p w14:paraId="115E8B5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1</w:t>
            </w:r>
          </w:p>
        </w:tc>
        <w:tc>
          <w:tcPr>
            <w:tcW w:w="694" w:type="dxa"/>
            <w:tcBorders>
              <w:top w:val="nil"/>
              <w:left w:val="single" w:sz="4" w:space="0" w:color="333333"/>
              <w:bottom w:val="single" w:sz="4" w:space="0" w:color="C0C0C0"/>
              <w:right w:val="single" w:sz="4" w:space="0" w:color="auto"/>
            </w:tcBorders>
            <w:noWrap/>
            <w:hideMark/>
          </w:tcPr>
          <w:p w14:paraId="7313602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06534FF1" w14:textId="77777777" w:rsidTr="009F1C88">
        <w:trPr>
          <w:trHeight w:val="197"/>
        </w:trPr>
        <w:tc>
          <w:tcPr>
            <w:tcW w:w="1446" w:type="dxa"/>
            <w:tcBorders>
              <w:top w:val="single" w:sz="4" w:space="0" w:color="C0C0C0"/>
              <w:left w:val="single" w:sz="4" w:space="0" w:color="auto"/>
              <w:bottom w:val="single" w:sz="4" w:space="0" w:color="C0C0C0"/>
              <w:right w:val="nil"/>
            </w:tcBorders>
            <w:shd w:val="clear" w:color="000000" w:fill="CCCCFF"/>
            <w:hideMark/>
          </w:tcPr>
          <w:p w14:paraId="14763558"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w:t>
            </w:r>
          </w:p>
        </w:tc>
        <w:tc>
          <w:tcPr>
            <w:tcW w:w="421" w:type="dxa"/>
            <w:tcBorders>
              <w:top w:val="nil"/>
              <w:left w:val="nil"/>
              <w:bottom w:val="single" w:sz="4" w:space="0" w:color="C0C0C0"/>
              <w:right w:val="nil"/>
            </w:tcBorders>
            <w:shd w:val="clear" w:color="000000" w:fill="CCCCFF"/>
            <w:hideMark/>
          </w:tcPr>
          <w:p w14:paraId="15E92CC4"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xml:space="preserve">Sig. </w:t>
            </w:r>
          </w:p>
        </w:tc>
        <w:tc>
          <w:tcPr>
            <w:tcW w:w="694" w:type="dxa"/>
            <w:tcBorders>
              <w:top w:val="nil"/>
              <w:left w:val="nil"/>
              <w:bottom w:val="single" w:sz="4" w:space="0" w:color="C0C0C0"/>
              <w:right w:val="single" w:sz="4" w:space="0" w:color="333333"/>
            </w:tcBorders>
            <w:noWrap/>
            <w:hideMark/>
          </w:tcPr>
          <w:p w14:paraId="2D670CBB"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3" w:type="dxa"/>
            <w:tcBorders>
              <w:top w:val="nil"/>
              <w:left w:val="single" w:sz="4" w:space="0" w:color="333333"/>
              <w:bottom w:val="single" w:sz="4" w:space="0" w:color="C0C0C0"/>
              <w:right w:val="single" w:sz="4" w:space="0" w:color="333333"/>
            </w:tcBorders>
            <w:noWrap/>
            <w:hideMark/>
          </w:tcPr>
          <w:p w14:paraId="65603E3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27" w:type="dxa"/>
            <w:tcBorders>
              <w:top w:val="nil"/>
              <w:left w:val="single" w:sz="4" w:space="0" w:color="333333"/>
              <w:bottom w:val="single" w:sz="4" w:space="0" w:color="C0C0C0"/>
              <w:right w:val="single" w:sz="4" w:space="0" w:color="333333"/>
            </w:tcBorders>
            <w:noWrap/>
            <w:hideMark/>
          </w:tcPr>
          <w:p w14:paraId="3840C85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1" w:type="dxa"/>
            <w:tcBorders>
              <w:top w:val="nil"/>
              <w:left w:val="single" w:sz="4" w:space="0" w:color="333333"/>
              <w:bottom w:val="single" w:sz="4" w:space="0" w:color="C0C0C0"/>
              <w:right w:val="single" w:sz="4" w:space="0" w:color="333333"/>
            </w:tcBorders>
            <w:noWrap/>
            <w:hideMark/>
          </w:tcPr>
          <w:p w14:paraId="28524FB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0" w:type="dxa"/>
            <w:tcBorders>
              <w:top w:val="nil"/>
              <w:left w:val="single" w:sz="4" w:space="0" w:color="333333"/>
              <w:bottom w:val="single" w:sz="4" w:space="0" w:color="C0C0C0"/>
              <w:right w:val="single" w:sz="4" w:space="0" w:color="333333"/>
            </w:tcBorders>
            <w:noWrap/>
            <w:hideMark/>
          </w:tcPr>
          <w:p w14:paraId="78C96D28"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9" w:type="dxa"/>
            <w:tcBorders>
              <w:top w:val="nil"/>
              <w:left w:val="single" w:sz="4" w:space="0" w:color="333333"/>
              <w:bottom w:val="single" w:sz="4" w:space="0" w:color="C0C0C0"/>
              <w:right w:val="single" w:sz="4" w:space="0" w:color="333333"/>
            </w:tcBorders>
            <w:noWrap/>
            <w:hideMark/>
          </w:tcPr>
          <w:p w14:paraId="626D888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02" w:type="dxa"/>
            <w:tcBorders>
              <w:top w:val="nil"/>
              <w:left w:val="single" w:sz="4" w:space="0" w:color="333333"/>
              <w:bottom w:val="single" w:sz="4" w:space="0" w:color="C0C0C0"/>
              <w:right w:val="single" w:sz="4" w:space="0" w:color="333333"/>
            </w:tcBorders>
            <w:noWrap/>
            <w:hideMark/>
          </w:tcPr>
          <w:p w14:paraId="1F1B533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10" w:type="dxa"/>
            <w:tcBorders>
              <w:top w:val="nil"/>
              <w:left w:val="single" w:sz="4" w:space="0" w:color="333333"/>
              <w:bottom w:val="single" w:sz="4" w:space="0" w:color="C0C0C0"/>
              <w:right w:val="single" w:sz="4" w:space="0" w:color="333333"/>
            </w:tcBorders>
            <w:noWrap/>
            <w:hideMark/>
          </w:tcPr>
          <w:p w14:paraId="765483A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667" w:type="dxa"/>
            <w:tcBorders>
              <w:top w:val="nil"/>
              <w:left w:val="single" w:sz="4" w:space="0" w:color="333333"/>
              <w:bottom w:val="single" w:sz="4" w:space="0" w:color="C0C0C0"/>
              <w:right w:val="single" w:sz="4" w:space="0" w:color="333333"/>
            </w:tcBorders>
            <w:noWrap/>
            <w:hideMark/>
          </w:tcPr>
          <w:p w14:paraId="234C791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667" w:type="dxa"/>
            <w:tcBorders>
              <w:top w:val="nil"/>
              <w:left w:val="single" w:sz="4" w:space="0" w:color="333333"/>
              <w:bottom w:val="single" w:sz="4" w:space="0" w:color="C0C0C0"/>
              <w:right w:val="single" w:sz="4" w:space="0" w:color="333333"/>
            </w:tcBorders>
            <w:noWrap/>
            <w:hideMark/>
          </w:tcPr>
          <w:p w14:paraId="47CF0B5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0" w:type="dxa"/>
            <w:tcBorders>
              <w:top w:val="nil"/>
              <w:left w:val="single" w:sz="4" w:space="0" w:color="333333"/>
              <w:bottom w:val="single" w:sz="4" w:space="0" w:color="C0C0C0"/>
              <w:right w:val="single" w:sz="4" w:space="0" w:color="333333"/>
            </w:tcBorders>
            <w:noWrap/>
            <w:hideMark/>
          </w:tcPr>
          <w:p w14:paraId="6CF34FE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61" w:type="dxa"/>
            <w:tcBorders>
              <w:top w:val="nil"/>
              <w:left w:val="single" w:sz="4" w:space="0" w:color="333333"/>
              <w:bottom w:val="single" w:sz="4" w:space="0" w:color="C0C0C0"/>
              <w:right w:val="single" w:sz="4" w:space="0" w:color="333333"/>
            </w:tcBorders>
            <w:hideMark/>
          </w:tcPr>
          <w:p w14:paraId="4D4DA424" w14:textId="77777777" w:rsidR="00793DFB" w:rsidRPr="00046B4A" w:rsidRDefault="00793DFB" w:rsidP="009F1C88">
            <w:pPr>
              <w:spacing w:after="0" w:line="240" w:lineRule="auto"/>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c>
          <w:tcPr>
            <w:tcW w:w="694" w:type="dxa"/>
            <w:tcBorders>
              <w:top w:val="nil"/>
              <w:left w:val="single" w:sz="4" w:space="0" w:color="333333"/>
              <w:bottom w:val="single" w:sz="4" w:space="0" w:color="C0C0C0"/>
              <w:right w:val="single" w:sz="4" w:space="0" w:color="auto"/>
            </w:tcBorders>
            <w:noWrap/>
            <w:hideMark/>
          </w:tcPr>
          <w:p w14:paraId="369ED4B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r w:rsidR="00793DFB" w:rsidRPr="00046B4A" w14:paraId="4505A4A0" w14:textId="77777777" w:rsidTr="009F1C88">
        <w:trPr>
          <w:trHeight w:val="456"/>
        </w:trPr>
        <w:tc>
          <w:tcPr>
            <w:tcW w:w="1446" w:type="dxa"/>
            <w:tcBorders>
              <w:top w:val="nil"/>
              <w:left w:val="single" w:sz="4" w:space="0" w:color="auto"/>
              <w:bottom w:val="nil"/>
              <w:right w:val="nil"/>
            </w:tcBorders>
            <w:shd w:val="clear" w:color="000000" w:fill="CCCCFF"/>
            <w:hideMark/>
          </w:tcPr>
          <w:p w14:paraId="452E93C3" w14:textId="77777777" w:rsidR="00793DFB" w:rsidRPr="00046B4A" w:rsidRDefault="00793DFB" w:rsidP="009F1C88">
            <w:pPr>
              <w:bidi/>
              <w:spacing w:after="0" w:line="240" w:lineRule="auto"/>
              <w:jc w:val="right"/>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rtl/>
                <w:lang w:val="en-GB" w:eastAsia="en-GB"/>
                <w14:ligatures w14:val="none"/>
              </w:rPr>
              <w:t>الأداء الإبداعي</w:t>
            </w:r>
          </w:p>
        </w:tc>
        <w:tc>
          <w:tcPr>
            <w:tcW w:w="421" w:type="dxa"/>
            <w:tcBorders>
              <w:top w:val="nil"/>
              <w:left w:val="nil"/>
              <w:bottom w:val="single" w:sz="4" w:space="0" w:color="C0C0C0"/>
              <w:right w:val="nil"/>
            </w:tcBorders>
            <w:shd w:val="clear" w:color="000000" w:fill="CCCCFF"/>
            <w:hideMark/>
          </w:tcPr>
          <w:p w14:paraId="26E7770F" w14:textId="77777777" w:rsidR="00793DFB" w:rsidRPr="00046B4A" w:rsidRDefault="00793DFB" w:rsidP="009F1C88">
            <w:pPr>
              <w:spacing w:after="0" w:line="240" w:lineRule="auto"/>
              <w:rPr>
                <w:rFonts w:ascii="Arial" w:eastAsia="Times New Roman" w:hAnsi="Arial" w:cs="Arial"/>
                <w:color w:val="333399"/>
                <w:kern w:val="0"/>
                <w:sz w:val="18"/>
                <w:szCs w:val="18"/>
                <w:rtl/>
                <w:lang w:val="en-GB" w:eastAsia="en-GB"/>
                <w14:ligatures w14:val="none"/>
              </w:rPr>
            </w:pPr>
            <w:r w:rsidRPr="00046B4A">
              <w:rPr>
                <w:rFonts w:ascii="Arial" w:eastAsia="Times New Roman" w:hAnsi="Arial" w:cs="Arial"/>
                <w:color w:val="333399"/>
                <w:kern w:val="0"/>
                <w:sz w:val="18"/>
                <w:szCs w:val="18"/>
                <w:lang w:val="en-GB" w:eastAsia="en-GB"/>
                <w14:ligatures w14:val="none"/>
              </w:rPr>
              <w:t>Pearson Correlation</w:t>
            </w:r>
          </w:p>
        </w:tc>
        <w:tc>
          <w:tcPr>
            <w:tcW w:w="694" w:type="dxa"/>
            <w:tcBorders>
              <w:top w:val="nil"/>
              <w:left w:val="nil"/>
              <w:bottom w:val="single" w:sz="4" w:space="0" w:color="C0C0C0"/>
              <w:right w:val="single" w:sz="4" w:space="0" w:color="333333"/>
            </w:tcBorders>
            <w:noWrap/>
            <w:hideMark/>
          </w:tcPr>
          <w:p w14:paraId="18CF3E6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.884</w:t>
            </w:r>
            <w:r w:rsidRPr="00046B4A">
              <w:rPr>
                <w:rFonts w:ascii="Arial" w:eastAsia="Times New Roman" w:hAnsi="Arial" w:cs="Arial"/>
                <w:color w:val="993300"/>
                <w:kern w:val="0"/>
                <w:sz w:val="18"/>
                <w:szCs w:val="18"/>
                <w:vertAlign w:val="superscript"/>
                <w:lang w:val="en-GB" w:eastAsia="en-GB"/>
                <w14:ligatures w14:val="none"/>
              </w:rPr>
              <w:t>**</w:t>
            </w:r>
          </w:p>
        </w:tc>
        <w:tc>
          <w:tcPr>
            <w:tcW w:w="703" w:type="dxa"/>
            <w:tcBorders>
              <w:top w:val="nil"/>
              <w:left w:val="single" w:sz="4" w:space="0" w:color="333333"/>
              <w:bottom w:val="single" w:sz="4" w:space="0" w:color="C0C0C0"/>
              <w:right w:val="single" w:sz="4" w:space="0" w:color="333333"/>
            </w:tcBorders>
            <w:noWrap/>
            <w:hideMark/>
          </w:tcPr>
          <w:p w14:paraId="619A125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.782</w:t>
            </w:r>
            <w:r w:rsidRPr="00046B4A">
              <w:rPr>
                <w:rFonts w:ascii="Arial" w:eastAsia="Times New Roman" w:hAnsi="Arial" w:cs="Arial"/>
                <w:color w:val="993300"/>
                <w:kern w:val="0"/>
                <w:sz w:val="18"/>
                <w:szCs w:val="18"/>
                <w:vertAlign w:val="superscript"/>
                <w:lang w:val="en-GB" w:eastAsia="en-GB"/>
                <w14:ligatures w14:val="none"/>
              </w:rPr>
              <w:t>**</w:t>
            </w:r>
          </w:p>
        </w:tc>
        <w:tc>
          <w:tcPr>
            <w:tcW w:w="727" w:type="dxa"/>
            <w:tcBorders>
              <w:top w:val="nil"/>
              <w:left w:val="single" w:sz="4" w:space="0" w:color="333333"/>
              <w:bottom w:val="single" w:sz="4" w:space="0" w:color="C0C0C0"/>
              <w:right w:val="single" w:sz="4" w:space="0" w:color="333333"/>
            </w:tcBorders>
            <w:noWrap/>
            <w:hideMark/>
          </w:tcPr>
          <w:p w14:paraId="6EBD94E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.798</w:t>
            </w:r>
            <w:r w:rsidRPr="00046B4A">
              <w:rPr>
                <w:rFonts w:ascii="Arial" w:eastAsia="Times New Roman" w:hAnsi="Arial" w:cs="Arial"/>
                <w:color w:val="993300"/>
                <w:kern w:val="0"/>
                <w:sz w:val="18"/>
                <w:szCs w:val="18"/>
                <w:vertAlign w:val="superscript"/>
                <w:lang w:val="en-GB" w:eastAsia="en-GB"/>
                <w14:ligatures w14:val="none"/>
              </w:rPr>
              <w:t>**</w:t>
            </w:r>
          </w:p>
        </w:tc>
        <w:tc>
          <w:tcPr>
            <w:tcW w:w="851" w:type="dxa"/>
            <w:tcBorders>
              <w:top w:val="nil"/>
              <w:left w:val="single" w:sz="4" w:space="0" w:color="333333"/>
              <w:bottom w:val="single" w:sz="4" w:space="0" w:color="C0C0C0"/>
              <w:right w:val="single" w:sz="4" w:space="0" w:color="333333"/>
            </w:tcBorders>
            <w:noWrap/>
            <w:hideMark/>
          </w:tcPr>
          <w:p w14:paraId="7A0635D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.818</w:t>
            </w:r>
            <w:r w:rsidRPr="00046B4A">
              <w:rPr>
                <w:rFonts w:ascii="Arial" w:eastAsia="Times New Roman" w:hAnsi="Arial" w:cs="Arial"/>
                <w:color w:val="993300"/>
                <w:kern w:val="0"/>
                <w:sz w:val="18"/>
                <w:szCs w:val="18"/>
                <w:vertAlign w:val="superscript"/>
                <w:lang w:val="en-GB" w:eastAsia="en-GB"/>
                <w14:ligatures w14:val="none"/>
              </w:rPr>
              <w:t>**</w:t>
            </w:r>
          </w:p>
        </w:tc>
        <w:tc>
          <w:tcPr>
            <w:tcW w:w="850" w:type="dxa"/>
            <w:tcBorders>
              <w:top w:val="nil"/>
              <w:left w:val="single" w:sz="4" w:space="0" w:color="333333"/>
              <w:bottom w:val="single" w:sz="4" w:space="0" w:color="C0C0C0"/>
              <w:right w:val="single" w:sz="4" w:space="0" w:color="333333"/>
            </w:tcBorders>
            <w:noWrap/>
            <w:hideMark/>
          </w:tcPr>
          <w:p w14:paraId="5B4C3D5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.791</w:t>
            </w:r>
            <w:r w:rsidRPr="00046B4A">
              <w:rPr>
                <w:rFonts w:ascii="Arial" w:eastAsia="Times New Roman" w:hAnsi="Arial" w:cs="Arial"/>
                <w:color w:val="993300"/>
                <w:kern w:val="0"/>
                <w:sz w:val="18"/>
                <w:szCs w:val="18"/>
                <w:vertAlign w:val="superscript"/>
                <w:lang w:val="en-GB" w:eastAsia="en-GB"/>
                <w14:ligatures w14:val="none"/>
              </w:rPr>
              <w:t>**</w:t>
            </w:r>
          </w:p>
        </w:tc>
        <w:tc>
          <w:tcPr>
            <w:tcW w:w="709" w:type="dxa"/>
            <w:tcBorders>
              <w:top w:val="nil"/>
              <w:left w:val="single" w:sz="4" w:space="0" w:color="333333"/>
              <w:bottom w:val="single" w:sz="4" w:space="0" w:color="C0C0C0"/>
              <w:right w:val="single" w:sz="4" w:space="0" w:color="333333"/>
            </w:tcBorders>
            <w:noWrap/>
            <w:hideMark/>
          </w:tcPr>
          <w:p w14:paraId="16DB04E9"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.765</w:t>
            </w:r>
            <w:r w:rsidRPr="00046B4A">
              <w:rPr>
                <w:rFonts w:ascii="Arial" w:eastAsia="Times New Roman" w:hAnsi="Arial" w:cs="Arial"/>
                <w:color w:val="993300"/>
                <w:kern w:val="0"/>
                <w:sz w:val="18"/>
                <w:szCs w:val="18"/>
                <w:vertAlign w:val="superscript"/>
                <w:lang w:val="en-GB" w:eastAsia="en-GB"/>
                <w14:ligatures w14:val="none"/>
              </w:rPr>
              <w:t>**</w:t>
            </w:r>
          </w:p>
        </w:tc>
        <w:tc>
          <w:tcPr>
            <w:tcW w:w="802" w:type="dxa"/>
            <w:tcBorders>
              <w:top w:val="nil"/>
              <w:left w:val="single" w:sz="4" w:space="0" w:color="333333"/>
              <w:bottom w:val="single" w:sz="4" w:space="0" w:color="C0C0C0"/>
              <w:right w:val="single" w:sz="4" w:space="0" w:color="333333"/>
            </w:tcBorders>
            <w:noWrap/>
            <w:hideMark/>
          </w:tcPr>
          <w:p w14:paraId="6B58163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.859</w:t>
            </w:r>
            <w:r w:rsidRPr="00046B4A">
              <w:rPr>
                <w:rFonts w:ascii="Arial" w:eastAsia="Times New Roman" w:hAnsi="Arial" w:cs="Arial"/>
                <w:color w:val="993300"/>
                <w:kern w:val="0"/>
                <w:sz w:val="18"/>
                <w:szCs w:val="18"/>
                <w:vertAlign w:val="superscript"/>
                <w:lang w:val="en-GB" w:eastAsia="en-GB"/>
                <w14:ligatures w14:val="none"/>
              </w:rPr>
              <w:t>**</w:t>
            </w:r>
          </w:p>
        </w:tc>
        <w:tc>
          <w:tcPr>
            <w:tcW w:w="710" w:type="dxa"/>
            <w:tcBorders>
              <w:top w:val="nil"/>
              <w:left w:val="single" w:sz="4" w:space="0" w:color="333333"/>
              <w:bottom w:val="single" w:sz="4" w:space="0" w:color="C0C0C0"/>
              <w:right w:val="single" w:sz="4" w:space="0" w:color="333333"/>
            </w:tcBorders>
            <w:noWrap/>
            <w:hideMark/>
          </w:tcPr>
          <w:p w14:paraId="2D5A19D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.880</w:t>
            </w:r>
            <w:r w:rsidRPr="00046B4A">
              <w:rPr>
                <w:rFonts w:ascii="Arial" w:eastAsia="Times New Roman" w:hAnsi="Arial" w:cs="Arial"/>
                <w:color w:val="993300"/>
                <w:kern w:val="0"/>
                <w:sz w:val="18"/>
                <w:szCs w:val="18"/>
                <w:vertAlign w:val="superscript"/>
                <w:lang w:val="en-GB" w:eastAsia="en-GB"/>
                <w14:ligatures w14:val="none"/>
              </w:rPr>
              <w:t>**</w:t>
            </w:r>
          </w:p>
        </w:tc>
        <w:tc>
          <w:tcPr>
            <w:tcW w:w="667" w:type="dxa"/>
            <w:tcBorders>
              <w:top w:val="nil"/>
              <w:left w:val="single" w:sz="4" w:space="0" w:color="333333"/>
              <w:bottom w:val="single" w:sz="4" w:space="0" w:color="C0C0C0"/>
              <w:right w:val="single" w:sz="4" w:space="0" w:color="333333"/>
            </w:tcBorders>
            <w:noWrap/>
            <w:hideMark/>
          </w:tcPr>
          <w:p w14:paraId="749D6A46"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.747</w:t>
            </w:r>
            <w:r w:rsidRPr="00046B4A">
              <w:rPr>
                <w:rFonts w:ascii="Arial" w:eastAsia="Times New Roman" w:hAnsi="Arial" w:cs="Arial"/>
                <w:color w:val="993300"/>
                <w:kern w:val="0"/>
                <w:sz w:val="18"/>
                <w:szCs w:val="18"/>
                <w:vertAlign w:val="superscript"/>
                <w:lang w:val="en-GB" w:eastAsia="en-GB"/>
                <w14:ligatures w14:val="none"/>
              </w:rPr>
              <w:t>**</w:t>
            </w:r>
          </w:p>
        </w:tc>
        <w:tc>
          <w:tcPr>
            <w:tcW w:w="667" w:type="dxa"/>
            <w:tcBorders>
              <w:top w:val="nil"/>
              <w:left w:val="single" w:sz="4" w:space="0" w:color="333333"/>
              <w:bottom w:val="single" w:sz="4" w:space="0" w:color="C0C0C0"/>
              <w:right w:val="single" w:sz="4" w:space="0" w:color="333333"/>
            </w:tcBorders>
            <w:noWrap/>
            <w:hideMark/>
          </w:tcPr>
          <w:p w14:paraId="5602E93A"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.722</w:t>
            </w:r>
            <w:r w:rsidRPr="00046B4A">
              <w:rPr>
                <w:rFonts w:ascii="Arial" w:eastAsia="Times New Roman" w:hAnsi="Arial" w:cs="Arial"/>
                <w:color w:val="993300"/>
                <w:kern w:val="0"/>
                <w:sz w:val="18"/>
                <w:szCs w:val="18"/>
                <w:vertAlign w:val="superscript"/>
                <w:lang w:val="en-GB" w:eastAsia="en-GB"/>
                <w14:ligatures w14:val="none"/>
              </w:rPr>
              <w:t>**</w:t>
            </w:r>
          </w:p>
        </w:tc>
        <w:tc>
          <w:tcPr>
            <w:tcW w:w="850" w:type="dxa"/>
            <w:tcBorders>
              <w:top w:val="nil"/>
              <w:left w:val="single" w:sz="4" w:space="0" w:color="333333"/>
              <w:bottom w:val="single" w:sz="4" w:space="0" w:color="C0C0C0"/>
              <w:right w:val="single" w:sz="4" w:space="0" w:color="333333"/>
            </w:tcBorders>
            <w:noWrap/>
            <w:hideMark/>
          </w:tcPr>
          <w:p w14:paraId="48BA423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.806</w:t>
            </w:r>
            <w:r w:rsidRPr="00046B4A">
              <w:rPr>
                <w:rFonts w:ascii="Arial" w:eastAsia="Times New Roman" w:hAnsi="Arial" w:cs="Arial"/>
                <w:color w:val="993300"/>
                <w:kern w:val="0"/>
                <w:sz w:val="18"/>
                <w:szCs w:val="18"/>
                <w:vertAlign w:val="superscript"/>
                <w:lang w:val="en-GB" w:eastAsia="en-GB"/>
                <w14:ligatures w14:val="none"/>
              </w:rPr>
              <w:t>**</w:t>
            </w:r>
          </w:p>
        </w:tc>
        <w:tc>
          <w:tcPr>
            <w:tcW w:w="861" w:type="dxa"/>
            <w:tcBorders>
              <w:top w:val="nil"/>
              <w:left w:val="single" w:sz="4" w:space="0" w:color="333333"/>
              <w:bottom w:val="single" w:sz="4" w:space="0" w:color="C0C0C0"/>
              <w:right w:val="single" w:sz="4" w:space="0" w:color="333333"/>
            </w:tcBorders>
            <w:noWrap/>
            <w:hideMark/>
          </w:tcPr>
          <w:p w14:paraId="2C8A2FC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.833</w:t>
            </w:r>
            <w:r w:rsidRPr="00046B4A">
              <w:rPr>
                <w:rFonts w:ascii="Arial" w:eastAsia="Times New Roman" w:hAnsi="Arial" w:cs="Arial"/>
                <w:color w:val="993300"/>
                <w:kern w:val="0"/>
                <w:sz w:val="18"/>
                <w:szCs w:val="18"/>
                <w:vertAlign w:val="superscript"/>
                <w:lang w:val="en-GB" w:eastAsia="en-GB"/>
                <w14:ligatures w14:val="none"/>
              </w:rPr>
              <w:t>**</w:t>
            </w:r>
          </w:p>
        </w:tc>
        <w:tc>
          <w:tcPr>
            <w:tcW w:w="694" w:type="dxa"/>
            <w:tcBorders>
              <w:top w:val="nil"/>
              <w:left w:val="single" w:sz="4" w:space="0" w:color="333333"/>
              <w:bottom w:val="single" w:sz="4" w:space="0" w:color="C0C0C0"/>
              <w:right w:val="single" w:sz="4" w:space="0" w:color="auto"/>
            </w:tcBorders>
            <w:noWrap/>
            <w:hideMark/>
          </w:tcPr>
          <w:p w14:paraId="4C571D23"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1</w:t>
            </w:r>
          </w:p>
        </w:tc>
      </w:tr>
      <w:tr w:rsidR="00793DFB" w:rsidRPr="00046B4A" w14:paraId="062638EB" w14:textId="77777777" w:rsidTr="009F1C88">
        <w:trPr>
          <w:trHeight w:val="221"/>
        </w:trPr>
        <w:tc>
          <w:tcPr>
            <w:tcW w:w="1446" w:type="dxa"/>
            <w:tcBorders>
              <w:top w:val="single" w:sz="4" w:space="0" w:color="C0C0C0"/>
              <w:left w:val="single" w:sz="4" w:space="0" w:color="auto"/>
              <w:bottom w:val="single" w:sz="4" w:space="0" w:color="auto"/>
              <w:right w:val="nil"/>
            </w:tcBorders>
            <w:shd w:val="clear" w:color="000000" w:fill="CCCCFF"/>
            <w:hideMark/>
          </w:tcPr>
          <w:p w14:paraId="048970F6"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 </w:t>
            </w:r>
          </w:p>
        </w:tc>
        <w:tc>
          <w:tcPr>
            <w:tcW w:w="421" w:type="dxa"/>
            <w:tcBorders>
              <w:top w:val="nil"/>
              <w:left w:val="nil"/>
              <w:bottom w:val="single" w:sz="4" w:space="0" w:color="auto"/>
              <w:right w:val="nil"/>
            </w:tcBorders>
            <w:shd w:val="clear" w:color="000000" w:fill="CCCCFF"/>
            <w:hideMark/>
          </w:tcPr>
          <w:p w14:paraId="27BF30E3" w14:textId="77777777" w:rsidR="00793DFB" w:rsidRPr="00046B4A" w:rsidRDefault="00793DFB" w:rsidP="009F1C88">
            <w:pPr>
              <w:spacing w:after="0" w:line="240" w:lineRule="auto"/>
              <w:rPr>
                <w:rFonts w:ascii="Arial" w:eastAsia="Times New Roman" w:hAnsi="Arial" w:cs="Arial"/>
                <w:color w:val="333399"/>
                <w:kern w:val="0"/>
                <w:sz w:val="18"/>
                <w:szCs w:val="18"/>
                <w:lang w:val="en-GB" w:eastAsia="en-GB"/>
                <w14:ligatures w14:val="none"/>
              </w:rPr>
            </w:pPr>
            <w:r w:rsidRPr="00046B4A">
              <w:rPr>
                <w:rFonts w:ascii="Arial" w:eastAsia="Times New Roman" w:hAnsi="Arial" w:cs="Arial"/>
                <w:color w:val="333399"/>
                <w:kern w:val="0"/>
                <w:sz w:val="18"/>
                <w:szCs w:val="18"/>
                <w:lang w:val="en-GB" w:eastAsia="en-GB"/>
                <w14:ligatures w14:val="none"/>
              </w:rPr>
              <w:t>Sig.</w:t>
            </w:r>
          </w:p>
        </w:tc>
        <w:tc>
          <w:tcPr>
            <w:tcW w:w="694" w:type="dxa"/>
            <w:tcBorders>
              <w:top w:val="nil"/>
              <w:left w:val="nil"/>
              <w:bottom w:val="single" w:sz="4" w:space="0" w:color="auto"/>
              <w:right w:val="single" w:sz="4" w:space="0" w:color="333333"/>
            </w:tcBorders>
            <w:noWrap/>
            <w:hideMark/>
          </w:tcPr>
          <w:p w14:paraId="6CC32BAF"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3" w:type="dxa"/>
            <w:tcBorders>
              <w:top w:val="nil"/>
              <w:left w:val="single" w:sz="4" w:space="0" w:color="333333"/>
              <w:bottom w:val="single" w:sz="4" w:space="0" w:color="auto"/>
              <w:right w:val="single" w:sz="4" w:space="0" w:color="333333"/>
            </w:tcBorders>
            <w:noWrap/>
            <w:hideMark/>
          </w:tcPr>
          <w:p w14:paraId="166FD3C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27" w:type="dxa"/>
            <w:tcBorders>
              <w:top w:val="nil"/>
              <w:left w:val="single" w:sz="4" w:space="0" w:color="333333"/>
              <w:bottom w:val="single" w:sz="4" w:space="0" w:color="auto"/>
              <w:right w:val="single" w:sz="4" w:space="0" w:color="333333"/>
            </w:tcBorders>
            <w:noWrap/>
            <w:hideMark/>
          </w:tcPr>
          <w:p w14:paraId="5B1B84A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1" w:type="dxa"/>
            <w:tcBorders>
              <w:top w:val="nil"/>
              <w:left w:val="single" w:sz="4" w:space="0" w:color="333333"/>
              <w:bottom w:val="single" w:sz="4" w:space="0" w:color="auto"/>
              <w:right w:val="single" w:sz="4" w:space="0" w:color="333333"/>
            </w:tcBorders>
            <w:noWrap/>
            <w:hideMark/>
          </w:tcPr>
          <w:p w14:paraId="49BBF57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0" w:type="dxa"/>
            <w:tcBorders>
              <w:top w:val="nil"/>
              <w:left w:val="single" w:sz="4" w:space="0" w:color="333333"/>
              <w:bottom w:val="single" w:sz="4" w:space="0" w:color="auto"/>
              <w:right w:val="single" w:sz="4" w:space="0" w:color="333333"/>
            </w:tcBorders>
            <w:noWrap/>
            <w:hideMark/>
          </w:tcPr>
          <w:p w14:paraId="4AC3F1E7"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09" w:type="dxa"/>
            <w:tcBorders>
              <w:top w:val="nil"/>
              <w:left w:val="single" w:sz="4" w:space="0" w:color="333333"/>
              <w:bottom w:val="single" w:sz="4" w:space="0" w:color="auto"/>
              <w:right w:val="single" w:sz="4" w:space="0" w:color="333333"/>
            </w:tcBorders>
            <w:noWrap/>
            <w:hideMark/>
          </w:tcPr>
          <w:p w14:paraId="5A23FC70"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02" w:type="dxa"/>
            <w:tcBorders>
              <w:top w:val="nil"/>
              <w:left w:val="single" w:sz="4" w:space="0" w:color="333333"/>
              <w:bottom w:val="single" w:sz="4" w:space="0" w:color="auto"/>
              <w:right w:val="single" w:sz="4" w:space="0" w:color="333333"/>
            </w:tcBorders>
            <w:noWrap/>
            <w:hideMark/>
          </w:tcPr>
          <w:p w14:paraId="31984681"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710" w:type="dxa"/>
            <w:tcBorders>
              <w:top w:val="nil"/>
              <w:left w:val="single" w:sz="4" w:space="0" w:color="333333"/>
              <w:bottom w:val="single" w:sz="4" w:space="0" w:color="auto"/>
              <w:right w:val="single" w:sz="4" w:space="0" w:color="333333"/>
            </w:tcBorders>
            <w:noWrap/>
            <w:hideMark/>
          </w:tcPr>
          <w:p w14:paraId="39D59955"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667" w:type="dxa"/>
            <w:tcBorders>
              <w:top w:val="nil"/>
              <w:left w:val="single" w:sz="4" w:space="0" w:color="333333"/>
              <w:bottom w:val="single" w:sz="4" w:space="0" w:color="auto"/>
              <w:right w:val="single" w:sz="4" w:space="0" w:color="333333"/>
            </w:tcBorders>
            <w:noWrap/>
            <w:hideMark/>
          </w:tcPr>
          <w:p w14:paraId="52681CE2"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667" w:type="dxa"/>
            <w:tcBorders>
              <w:top w:val="nil"/>
              <w:left w:val="single" w:sz="4" w:space="0" w:color="333333"/>
              <w:bottom w:val="single" w:sz="4" w:space="0" w:color="auto"/>
              <w:right w:val="single" w:sz="4" w:space="0" w:color="333333"/>
            </w:tcBorders>
            <w:noWrap/>
            <w:hideMark/>
          </w:tcPr>
          <w:p w14:paraId="7F28DD1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50" w:type="dxa"/>
            <w:tcBorders>
              <w:top w:val="nil"/>
              <w:left w:val="single" w:sz="4" w:space="0" w:color="333333"/>
              <w:bottom w:val="single" w:sz="4" w:space="0" w:color="auto"/>
              <w:right w:val="single" w:sz="4" w:space="0" w:color="333333"/>
            </w:tcBorders>
            <w:noWrap/>
            <w:hideMark/>
          </w:tcPr>
          <w:p w14:paraId="5DB7D1FD"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861" w:type="dxa"/>
            <w:tcBorders>
              <w:top w:val="nil"/>
              <w:left w:val="single" w:sz="4" w:space="0" w:color="333333"/>
              <w:bottom w:val="single" w:sz="4" w:space="0" w:color="auto"/>
              <w:right w:val="single" w:sz="4" w:space="0" w:color="333333"/>
            </w:tcBorders>
            <w:noWrap/>
            <w:hideMark/>
          </w:tcPr>
          <w:p w14:paraId="6FFFCE1E" w14:textId="77777777" w:rsidR="00793DFB" w:rsidRPr="00046B4A" w:rsidRDefault="00793DFB" w:rsidP="009F1C88">
            <w:pPr>
              <w:spacing w:after="0" w:line="240" w:lineRule="auto"/>
              <w:jc w:val="right"/>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0.000</w:t>
            </w:r>
          </w:p>
        </w:tc>
        <w:tc>
          <w:tcPr>
            <w:tcW w:w="694" w:type="dxa"/>
            <w:tcBorders>
              <w:top w:val="nil"/>
              <w:left w:val="single" w:sz="4" w:space="0" w:color="333333"/>
              <w:bottom w:val="single" w:sz="4" w:space="0" w:color="auto"/>
              <w:right w:val="single" w:sz="4" w:space="0" w:color="auto"/>
            </w:tcBorders>
            <w:hideMark/>
          </w:tcPr>
          <w:p w14:paraId="439354BA" w14:textId="77777777" w:rsidR="00793DFB" w:rsidRPr="00046B4A" w:rsidRDefault="00793DFB" w:rsidP="009F1C88">
            <w:pPr>
              <w:spacing w:after="0" w:line="240" w:lineRule="auto"/>
              <w:rPr>
                <w:rFonts w:ascii="Arial" w:eastAsia="Times New Roman" w:hAnsi="Arial" w:cs="Arial"/>
                <w:color w:val="993300"/>
                <w:kern w:val="0"/>
                <w:sz w:val="18"/>
                <w:szCs w:val="18"/>
                <w:lang w:val="en-GB" w:eastAsia="en-GB"/>
                <w14:ligatures w14:val="none"/>
              </w:rPr>
            </w:pPr>
            <w:r w:rsidRPr="00046B4A">
              <w:rPr>
                <w:rFonts w:ascii="Arial" w:eastAsia="Times New Roman" w:hAnsi="Arial" w:cs="Arial"/>
                <w:color w:val="993300"/>
                <w:kern w:val="0"/>
                <w:sz w:val="18"/>
                <w:szCs w:val="18"/>
                <w:lang w:val="en-GB" w:eastAsia="en-GB"/>
                <w14:ligatures w14:val="none"/>
              </w:rPr>
              <w:t> </w:t>
            </w:r>
          </w:p>
        </w:tc>
      </w:tr>
    </w:tbl>
    <w:p w14:paraId="03623E94" w14:textId="77777777" w:rsidR="00793DFB" w:rsidRPr="00A47989" w:rsidRDefault="00793DFB" w:rsidP="00793DFB">
      <w:pPr>
        <w:bidi/>
        <w:rPr>
          <w:b/>
          <w:bCs/>
        </w:rPr>
      </w:pPr>
      <w:r>
        <w:rPr>
          <w:rFonts w:hint="cs"/>
          <w:b/>
          <w:bCs/>
          <w:rtl/>
        </w:rPr>
        <w:lastRenderedPageBreak/>
        <w:t xml:space="preserve">4.7. </w:t>
      </w:r>
      <w:r w:rsidRPr="00A47989">
        <w:rPr>
          <w:b/>
          <w:bCs/>
          <w:rtl/>
        </w:rPr>
        <w:t>اختبار الفرضية الرئيسية</w:t>
      </w:r>
      <w:r>
        <w:rPr>
          <w:rFonts w:hint="cs"/>
          <w:b/>
          <w:bCs/>
          <w:rtl/>
        </w:rPr>
        <w:t xml:space="preserve"> </w:t>
      </w:r>
      <w:r w:rsidRPr="00A47989">
        <w:rPr>
          <w:b/>
          <w:bCs/>
        </w:rPr>
        <w:t>(H₁)</w:t>
      </w:r>
    </w:p>
    <w:p w14:paraId="6B0777E0" w14:textId="77777777" w:rsidR="00793DFB" w:rsidRPr="00BE7FFB" w:rsidRDefault="00793DFB" w:rsidP="00793DFB">
      <w:pPr>
        <w:bidi/>
      </w:pPr>
      <w:r w:rsidRPr="00BE7FFB">
        <w:rPr>
          <w:b/>
          <w:bCs/>
        </w:rPr>
        <w:t>H₁</w:t>
      </w:r>
      <w:r>
        <w:rPr>
          <w:rFonts w:hint="cs"/>
          <w:b/>
          <w:bCs/>
          <w:rtl/>
        </w:rPr>
        <w:t>:</w:t>
      </w:r>
      <w:r w:rsidRPr="00BE7FFB">
        <w:t xml:space="preserve"> </w:t>
      </w:r>
      <w:r w:rsidRPr="00BE7FFB">
        <w:rPr>
          <w:rtl/>
        </w:rPr>
        <w:t>توجد علاقة ذات دلالة إحصائية بين أنظمة العمل عالية الأداء والإبداع الوظيفي</w:t>
      </w:r>
      <w:r w:rsidRPr="00BE7FFB">
        <w:t>.</w:t>
      </w:r>
    </w:p>
    <w:p w14:paraId="188EAA7D" w14:textId="77777777" w:rsidR="00793DFB" w:rsidRDefault="00793DFB" w:rsidP="00793DFB">
      <w:pPr>
        <w:bidi/>
        <w:rPr>
          <w:b/>
          <w:bCs/>
          <w:rtl/>
        </w:rPr>
      </w:pPr>
      <w:r>
        <w:rPr>
          <w:rFonts w:hint="cs"/>
          <w:b/>
          <w:bCs/>
          <w:rtl/>
        </w:rPr>
        <w:t xml:space="preserve">جدول (4-7): </w:t>
      </w:r>
      <w:r w:rsidRPr="00BE7FFB">
        <w:rPr>
          <w:b/>
          <w:bCs/>
          <w:rtl/>
        </w:rPr>
        <w:t>نتائج الملخّص الإحصائي</w:t>
      </w:r>
      <w:r w:rsidRPr="00BE7FFB">
        <w:rPr>
          <w:b/>
          <w:bCs/>
        </w:rPr>
        <w:t xml:space="preserve"> </w:t>
      </w:r>
      <w:r>
        <w:rPr>
          <w:rFonts w:hint="cs"/>
          <w:b/>
          <w:bCs/>
          <w:rtl/>
        </w:rPr>
        <w:t>(</w:t>
      </w:r>
      <w:r w:rsidRPr="00BE7FFB">
        <w:rPr>
          <w:b/>
          <w:bCs/>
          <w:rtl/>
        </w:rPr>
        <w:t>انحدار متعدد حيث تُمثِّل أبعاد</w:t>
      </w:r>
      <w:r w:rsidRPr="00BE7FFB">
        <w:rPr>
          <w:b/>
          <w:bCs/>
        </w:rPr>
        <w:t xml:space="preserve"> HPWS </w:t>
      </w:r>
      <w:r w:rsidRPr="00BE7FFB">
        <w:rPr>
          <w:b/>
          <w:bCs/>
          <w:rtl/>
        </w:rPr>
        <w:t>مدخلات والمخرَج هو الأداء الإبداعي</w:t>
      </w:r>
      <w:r>
        <w:rPr>
          <w:rFonts w:hint="cs"/>
          <w:b/>
          <w:bCs/>
          <w:rtl/>
        </w:rPr>
        <w:t>)</w:t>
      </w:r>
    </w:p>
    <w:tbl>
      <w:tblPr>
        <w:tblW w:w="7420" w:type="dxa"/>
        <w:jc w:val="center"/>
        <w:tblLook w:val="04A0" w:firstRow="1" w:lastRow="0" w:firstColumn="1" w:lastColumn="0" w:noHBand="0" w:noVBand="1"/>
      </w:tblPr>
      <w:tblGrid>
        <w:gridCol w:w="1060"/>
        <w:gridCol w:w="1060"/>
        <w:gridCol w:w="1060"/>
        <w:gridCol w:w="1060"/>
        <w:gridCol w:w="1060"/>
        <w:gridCol w:w="1067"/>
        <w:gridCol w:w="1060"/>
      </w:tblGrid>
      <w:tr w:rsidR="00793DFB" w:rsidRPr="00B91738" w14:paraId="1ACDDF7E" w14:textId="77777777" w:rsidTr="009F1C88">
        <w:trPr>
          <w:trHeight w:val="720"/>
          <w:jc w:val="center"/>
        </w:trPr>
        <w:tc>
          <w:tcPr>
            <w:tcW w:w="1060" w:type="dxa"/>
            <w:tcBorders>
              <w:top w:val="single" w:sz="12" w:space="0" w:color="000000"/>
              <w:left w:val="single" w:sz="12" w:space="0" w:color="000000"/>
              <w:bottom w:val="single" w:sz="12" w:space="0" w:color="000000"/>
              <w:right w:val="single" w:sz="12" w:space="0" w:color="000000"/>
            </w:tcBorders>
            <w:vAlign w:val="bottom"/>
            <w:hideMark/>
          </w:tcPr>
          <w:p w14:paraId="342F3648" w14:textId="77777777" w:rsidR="00793DFB" w:rsidRPr="00B91738" w:rsidRDefault="00793DFB" w:rsidP="009F1C88">
            <w:pPr>
              <w:spacing w:after="0" w:line="240" w:lineRule="auto"/>
              <w:rPr>
                <w:rFonts w:ascii="Arial" w:eastAsia="Times New Roman" w:hAnsi="Arial" w:cs="Arial"/>
                <w:color w:val="000000"/>
                <w:kern w:val="0"/>
                <w:sz w:val="18"/>
                <w:szCs w:val="18"/>
                <w:lang w:val="en-GB" w:eastAsia="en-GB"/>
                <w14:ligatures w14:val="none"/>
              </w:rPr>
            </w:pPr>
            <w:r w:rsidRPr="00B91738">
              <w:rPr>
                <w:rFonts w:ascii="Arial" w:eastAsia="Times New Roman" w:hAnsi="Arial" w:cs="Arial"/>
                <w:color w:val="000000"/>
                <w:kern w:val="0"/>
                <w:sz w:val="18"/>
                <w:szCs w:val="18"/>
                <w:lang w:val="en-GB" w:eastAsia="en-GB"/>
                <w14:ligatures w14:val="none"/>
              </w:rPr>
              <w:t>Model</w:t>
            </w:r>
          </w:p>
        </w:tc>
        <w:tc>
          <w:tcPr>
            <w:tcW w:w="1060" w:type="dxa"/>
            <w:tcBorders>
              <w:top w:val="single" w:sz="12" w:space="0" w:color="000000"/>
              <w:left w:val="nil"/>
              <w:bottom w:val="single" w:sz="12" w:space="0" w:color="000000"/>
              <w:right w:val="single" w:sz="4" w:space="0" w:color="000000"/>
            </w:tcBorders>
            <w:vAlign w:val="bottom"/>
            <w:hideMark/>
          </w:tcPr>
          <w:p w14:paraId="12423CD4" w14:textId="77777777" w:rsidR="00793DFB" w:rsidRPr="00B91738"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B91738">
              <w:rPr>
                <w:rFonts w:ascii="Arial" w:eastAsia="Times New Roman" w:hAnsi="Arial" w:cs="Arial"/>
                <w:color w:val="000000"/>
                <w:kern w:val="0"/>
                <w:sz w:val="18"/>
                <w:szCs w:val="18"/>
                <w:lang w:val="en-GB" w:eastAsia="en-GB"/>
                <w14:ligatures w14:val="none"/>
              </w:rPr>
              <w:t>R</w:t>
            </w:r>
          </w:p>
        </w:tc>
        <w:tc>
          <w:tcPr>
            <w:tcW w:w="1060" w:type="dxa"/>
            <w:tcBorders>
              <w:top w:val="single" w:sz="12" w:space="0" w:color="000000"/>
              <w:left w:val="nil"/>
              <w:bottom w:val="single" w:sz="12" w:space="0" w:color="000000"/>
              <w:right w:val="single" w:sz="4" w:space="0" w:color="000000"/>
            </w:tcBorders>
            <w:vAlign w:val="bottom"/>
            <w:hideMark/>
          </w:tcPr>
          <w:p w14:paraId="12244E3C" w14:textId="77777777" w:rsidR="00793DFB" w:rsidRPr="00B91738"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B91738">
              <w:rPr>
                <w:rFonts w:ascii="Arial" w:eastAsia="Times New Roman" w:hAnsi="Arial" w:cs="Arial"/>
                <w:color w:val="000000"/>
                <w:kern w:val="0"/>
                <w:sz w:val="18"/>
                <w:szCs w:val="18"/>
                <w:lang w:val="en-GB" w:eastAsia="en-GB"/>
                <w14:ligatures w14:val="none"/>
              </w:rPr>
              <w:t>R Square</w:t>
            </w:r>
          </w:p>
        </w:tc>
        <w:tc>
          <w:tcPr>
            <w:tcW w:w="1060" w:type="dxa"/>
            <w:tcBorders>
              <w:top w:val="single" w:sz="12" w:space="0" w:color="000000"/>
              <w:left w:val="nil"/>
              <w:bottom w:val="single" w:sz="12" w:space="0" w:color="000000"/>
              <w:right w:val="single" w:sz="4" w:space="0" w:color="000000"/>
            </w:tcBorders>
            <w:vAlign w:val="bottom"/>
            <w:hideMark/>
          </w:tcPr>
          <w:p w14:paraId="15DA16A3" w14:textId="77777777" w:rsidR="00793DFB" w:rsidRPr="00B91738"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B91738">
              <w:rPr>
                <w:rFonts w:ascii="Arial" w:eastAsia="Times New Roman" w:hAnsi="Arial" w:cs="Arial"/>
                <w:color w:val="000000"/>
                <w:kern w:val="0"/>
                <w:sz w:val="18"/>
                <w:szCs w:val="18"/>
                <w:lang w:val="en-GB" w:eastAsia="en-GB"/>
                <w14:ligatures w14:val="none"/>
              </w:rPr>
              <w:t>Adjusted R Square</w:t>
            </w:r>
          </w:p>
        </w:tc>
        <w:tc>
          <w:tcPr>
            <w:tcW w:w="1060" w:type="dxa"/>
            <w:tcBorders>
              <w:top w:val="single" w:sz="12" w:space="0" w:color="000000"/>
              <w:left w:val="nil"/>
              <w:bottom w:val="single" w:sz="12" w:space="0" w:color="000000"/>
              <w:right w:val="single" w:sz="12" w:space="0" w:color="000000"/>
            </w:tcBorders>
            <w:vAlign w:val="bottom"/>
            <w:hideMark/>
          </w:tcPr>
          <w:p w14:paraId="6AA31F96" w14:textId="77777777" w:rsidR="00793DFB" w:rsidRPr="00B91738"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B91738">
              <w:rPr>
                <w:rFonts w:ascii="Arial" w:eastAsia="Times New Roman" w:hAnsi="Arial" w:cs="Arial"/>
                <w:color w:val="000000"/>
                <w:kern w:val="0"/>
                <w:sz w:val="18"/>
                <w:szCs w:val="18"/>
                <w:lang w:val="en-GB" w:eastAsia="en-GB"/>
                <w14:ligatures w14:val="none"/>
              </w:rPr>
              <w:t>Std. Error of the Estimate</w:t>
            </w:r>
          </w:p>
        </w:tc>
        <w:tc>
          <w:tcPr>
            <w:tcW w:w="1060" w:type="dxa"/>
            <w:tcBorders>
              <w:top w:val="single" w:sz="12" w:space="0" w:color="000000"/>
              <w:left w:val="single" w:sz="4" w:space="0" w:color="000000"/>
              <w:bottom w:val="single" w:sz="12" w:space="0" w:color="000000"/>
              <w:right w:val="single" w:sz="4" w:space="0" w:color="000000"/>
            </w:tcBorders>
            <w:vAlign w:val="bottom"/>
            <w:hideMark/>
          </w:tcPr>
          <w:p w14:paraId="0EFFBC6D" w14:textId="77777777" w:rsidR="00793DFB" w:rsidRPr="00B91738"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B91738">
              <w:rPr>
                <w:rFonts w:ascii="Arial" w:eastAsia="Times New Roman" w:hAnsi="Arial" w:cs="Arial"/>
                <w:color w:val="000000"/>
                <w:kern w:val="0"/>
                <w:sz w:val="18"/>
                <w:szCs w:val="18"/>
                <w:lang w:val="en-GB" w:eastAsia="en-GB"/>
                <w14:ligatures w14:val="none"/>
              </w:rPr>
              <w:t>F</w:t>
            </w:r>
          </w:p>
        </w:tc>
        <w:tc>
          <w:tcPr>
            <w:tcW w:w="1060" w:type="dxa"/>
            <w:tcBorders>
              <w:top w:val="single" w:sz="12" w:space="0" w:color="000000"/>
              <w:left w:val="nil"/>
              <w:bottom w:val="single" w:sz="12" w:space="0" w:color="000000"/>
              <w:right w:val="single" w:sz="12" w:space="0" w:color="000000"/>
            </w:tcBorders>
            <w:vAlign w:val="bottom"/>
            <w:hideMark/>
          </w:tcPr>
          <w:p w14:paraId="03EC498A" w14:textId="77777777" w:rsidR="00793DFB" w:rsidRPr="00B91738" w:rsidRDefault="00793DFB" w:rsidP="009F1C88">
            <w:pPr>
              <w:spacing w:after="0" w:line="240" w:lineRule="auto"/>
              <w:jc w:val="center"/>
              <w:rPr>
                <w:rFonts w:ascii="Arial" w:eastAsia="Times New Roman" w:hAnsi="Arial" w:cs="Arial"/>
                <w:color w:val="000000"/>
                <w:kern w:val="0"/>
                <w:sz w:val="18"/>
                <w:szCs w:val="18"/>
                <w:lang w:val="en-GB" w:eastAsia="en-GB"/>
                <w14:ligatures w14:val="none"/>
              </w:rPr>
            </w:pPr>
            <w:r w:rsidRPr="00B91738">
              <w:rPr>
                <w:rFonts w:ascii="Arial" w:eastAsia="Times New Roman" w:hAnsi="Arial" w:cs="Arial"/>
                <w:color w:val="000000"/>
                <w:kern w:val="0"/>
                <w:sz w:val="18"/>
                <w:szCs w:val="18"/>
                <w:lang w:val="en-GB" w:eastAsia="en-GB"/>
                <w14:ligatures w14:val="none"/>
              </w:rPr>
              <w:t>Sig.</w:t>
            </w:r>
          </w:p>
        </w:tc>
      </w:tr>
      <w:tr w:rsidR="00793DFB" w:rsidRPr="00B91738" w14:paraId="09DF25BE" w14:textId="77777777" w:rsidTr="009F1C88">
        <w:trPr>
          <w:trHeight w:val="300"/>
          <w:jc w:val="center"/>
        </w:trPr>
        <w:tc>
          <w:tcPr>
            <w:tcW w:w="1060" w:type="dxa"/>
            <w:tcBorders>
              <w:top w:val="nil"/>
              <w:left w:val="single" w:sz="12" w:space="0" w:color="000000"/>
              <w:bottom w:val="single" w:sz="12" w:space="0" w:color="000000"/>
              <w:right w:val="single" w:sz="12" w:space="0" w:color="000000"/>
            </w:tcBorders>
            <w:noWrap/>
            <w:hideMark/>
          </w:tcPr>
          <w:p w14:paraId="6703ACA1" w14:textId="77777777" w:rsidR="00793DFB" w:rsidRPr="00B91738" w:rsidRDefault="00793DFB" w:rsidP="009F1C88">
            <w:pPr>
              <w:spacing w:after="0" w:line="240" w:lineRule="auto"/>
              <w:rPr>
                <w:rFonts w:ascii="Arial" w:eastAsia="Times New Roman" w:hAnsi="Arial" w:cs="Arial"/>
                <w:color w:val="000000"/>
                <w:kern w:val="0"/>
                <w:sz w:val="18"/>
                <w:szCs w:val="18"/>
                <w:lang w:val="en-GB" w:eastAsia="en-GB"/>
                <w14:ligatures w14:val="none"/>
              </w:rPr>
            </w:pPr>
            <w:r w:rsidRPr="00B91738">
              <w:rPr>
                <w:rFonts w:ascii="Arial" w:eastAsia="Times New Roman" w:hAnsi="Arial" w:cs="Arial"/>
                <w:color w:val="000000"/>
                <w:kern w:val="0"/>
                <w:sz w:val="18"/>
                <w:szCs w:val="18"/>
                <w:lang w:val="en-GB" w:eastAsia="en-GB"/>
                <w14:ligatures w14:val="none"/>
              </w:rPr>
              <w:t>1</w:t>
            </w:r>
          </w:p>
        </w:tc>
        <w:tc>
          <w:tcPr>
            <w:tcW w:w="1060" w:type="dxa"/>
            <w:tcBorders>
              <w:top w:val="nil"/>
              <w:left w:val="nil"/>
              <w:bottom w:val="single" w:sz="12" w:space="0" w:color="000000"/>
              <w:right w:val="single" w:sz="4" w:space="0" w:color="000000"/>
            </w:tcBorders>
            <w:noWrap/>
            <w:vAlign w:val="center"/>
            <w:hideMark/>
          </w:tcPr>
          <w:p w14:paraId="13027DC0" w14:textId="77777777" w:rsidR="00793DFB" w:rsidRPr="00B91738" w:rsidRDefault="00793DFB" w:rsidP="009F1C88">
            <w:pPr>
              <w:spacing w:after="0" w:line="240" w:lineRule="auto"/>
              <w:jc w:val="right"/>
              <w:rPr>
                <w:rFonts w:ascii="Arial" w:eastAsia="Times New Roman" w:hAnsi="Arial" w:cs="Arial"/>
                <w:color w:val="000000"/>
                <w:kern w:val="0"/>
                <w:sz w:val="18"/>
                <w:szCs w:val="18"/>
                <w:lang w:val="en-GB" w:eastAsia="en-GB"/>
                <w14:ligatures w14:val="none"/>
              </w:rPr>
            </w:pPr>
            <w:r w:rsidRPr="00B91738">
              <w:rPr>
                <w:rFonts w:ascii="Arial" w:eastAsia="Times New Roman" w:hAnsi="Arial" w:cs="Arial"/>
                <w:color w:val="000000"/>
                <w:kern w:val="0"/>
                <w:sz w:val="18"/>
                <w:szCs w:val="18"/>
                <w:lang w:val="en-GB" w:eastAsia="en-GB"/>
                <w14:ligatures w14:val="none"/>
              </w:rPr>
              <w:t>.891</w:t>
            </w:r>
            <w:r w:rsidRPr="00B91738">
              <w:rPr>
                <w:rFonts w:ascii="Arial" w:eastAsia="Times New Roman" w:hAnsi="Arial" w:cs="Arial"/>
                <w:color w:val="000000"/>
                <w:kern w:val="0"/>
                <w:sz w:val="18"/>
                <w:szCs w:val="18"/>
                <w:vertAlign w:val="superscript"/>
                <w:lang w:val="en-GB" w:eastAsia="en-GB"/>
                <w14:ligatures w14:val="none"/>
              </w:rPr>
              <w:t>a</w:t>
            </w:r>
          </w:p>
        </w:tc>
        <w:tc>
          <w:tcPr>
            <w:tcW w:w="1060" w:type="dxa"/>
            <w:tcBorders>
              <w:top w:val="nil"/>
              <w:left w:val="nil"/>
              <w:bottom w:val="single" w:sz="12" w:space="0" w:color="000000"/>
              <w:right w:val="single" w:sz="4" w:space="0" w:color="000000"/>
            </w:tcBorders>
            <w:noWrap/>
            <w:vAlign w:val="center"/>
            <w:hideMark/>
          </w:tcPr>
          <w:p w14:paraId="619ED962" w14:textId="77777777" w:rsidR="00793DFB" w:rsidRPr="00B91738" w:rsidRDefault="00793DFB" w:rsidP="009F1C88">
            <w:pPr>
              <w:spacing w:after="0" w:line="240" w:lineRule="auto"/>
              <w:jc w:val="right"/>
              <w:rPr>
                <w:rFonts w:ascii="Arial" w:eastAsia="Times New Roman" w:hAnsi="Arial" w:cs="Arial"/>
                <w:color w:val="000000"/>
                <w:kern w:val="0"/>
                <w:sz w:val="18"/>
                <w:szCs w:val="18"/>
                <w:lang w:val="en-GB" w:eastAsia="en-GB"/>
                <w14:ligatures w14:val="none"/>
              </w:rPr>
            </w:pPr>
            <w:r w:rsidRPr="00B91738">
              <w:rPr>
                <w:rFonts w:ascii="Arial" w:eastAsia="Times New Roman" w:hAnsi="Arial" w:cs="Arial"/>
                <w:color w:val="000000"/>
                <w:kern w:val="0"/>
                <w:sz w:val="18"/>
                <w:szCs w:val="18"/>
                <w:lang w:val="en-GB" w:eastAsia="en-GB"/>
                <w14:ligatures w14:val="none"/>
              </w:rPr>
              <w:t>0.794</w:t>
            </w:r>
          </w:p>
        </w:tc>
        <w:tc>
          <w:tcPr>
            <w:tcW w:w="1060" w:type="dxa"/>
            <w:tcBorders>
              <w:top w:val="nil"/>
              <w:left w:val="nil"/>
              <w:bottom w:val="single" w:sz="12" w:space="0" w:color="000000"/>
              <w:right w:val="single" w:sz="4" w:space="0" w:color="000000"/>
            </w:tcBorders>
            <w:noWrap/>
            <w:vAlign w:val="center"/>
            <w:hideMark/>
          </w:tcPr>
          <w:p w14:paraId="26066C01" w14:textId="77777777" w:rsidR="00793DFB" w:rsidRPr="00B91738" w:rsidRDefault="00793DFB" w:rsidP="009F1C88">
            <w:pPr>
              <w:spacing w:after="0" w:line="240" w:lineRule="auto"/>
              <w:jc w:val="right"/>
              <w:rPr>
                <w:rFonts w:ascii="Arial" w:eastAsia="Times New Roman" w:hAnsi="Arial" w:cs="Arial"/>
                <w:color w:val="000000"/>
                <w:kern w:val="0"/>
                <w:sz w:val="18"/>
                <w:szCs w:val="18"/>
                <w:lang w:val="en-GB" w:eastAsia="en-GB"/>
                <w14:ligatures w14:val="none"/>
              </w:rPr>
            </w:pPr>
            <w:r w:rsidRPr="00B91738">
              <w:rPr>
                <w:rFonts w:ascii="Arial" w:eastAsia="Times New Roman" w:hAnsi="Arial" w:cs="Arial"/>
                <w:color w:val="000000"/>
                <w:kern w:val="0"/>
                <w:sz w:val="18"/>
                <w:szCs w:val="18"/>
                <w:lang w:val="en-GB" w:eastAsia="en-GB"/>
                <w14:ligatures w14:val="none"/>
              </w:rPr>
              <w:t>0.790</w:t>
            </w:r>
          </w:p>
        </w:tc>
        <w:tc>
          <w:tcPr>
            <w:tcW w:w="1060" w:type="dxa"/>
            <w:tcBorders>
              <w:top w:val="nil"/>
              <w:left w:val="nil"/>
              <w:bottom w:val="single" w:sz="12" w:space="0" w:color="000000"/>
              <w:right w:val="single" w:sz="12" w:space="0" w:color="000000"/>
            </w:tcBorders>
            <w:noWrap/>
            <w:vAlign w:val="center"/>
            <w:hideMark/>
          </w:tcPr>
          <w:p w14:paraId="5F6A2F50" w14:textId="77777777" w:rsidR="00793DFB" w:rsidRPr="00B91738" w:rsidRDefault="00793DFB" w:rsidP="009F1C88">
            <w:pPr>
              <w:spacing w:after="0" w:line="240" w:lineRule="auto"/>
              <w:jc w:val="right"/>
              <w:rPr>
                <w:rFonts w:ascii="Arial" w:eastAsia="Times New Roman" w:hAnsi="Arial" w:cs="Arial"/>
                <w:color w:val="000000"/>
                <w:kern w:val="0"/>
                <w:sz w:val="18"/>
                <w:szCs w:val="18"/>
                <w:lang w:val="en-GB" w:eastAsia="en-GB"/>
                <w14:ligatures w14:val="none"/>
              </w:rPr>
            </w:pPr>
            <w:r w:rsidRPr="00B91738">
              <w:rPr>
                <w:rFonts w:ascii="Arial" w:eastAsia="Times New Roman" w:hAnsi="Arial" w:cs="Arial"/>
                <w:color w:val="000000"/>
                <w:kern w:val="0"/>
                <w:sz w:val="18"/>
                <w:szCs w:val="18"/>
                <w:lang w:val="en-GB" w:eastAsia="en-GB"/>
                <w14:ligatures w14:val="none"/>
              </w:rPr>
              <w:t>0.35066</w:t>
            </w:r>
          </w:p>
        </w:tc>
        <w:tc>
          <w:tcPr>
            <w:tcW w:w="1060" w:type="dxa"/>
            <w:tcBorders>
              <w:top w:val="nil"/>
              <w:left w:val="single" w:sz="4" w:space="0" w:color="000000"/>
              <w:bottom w:val="single" w:sz="12" w:space="0" w:color="000000"/>
              <w:right w:val="single" w:sz="12" w:space="0" w:color="000000"/>
            </w:tcBorders>
            <w:noWrap/>
            <w:vAlign w:val="center"/>
            <w:hideMark/>
          </w:tcPr>
          <w:p w14:paraId="07A5FECF" w14:textId="77777777" w:rsidR="00793DFB" w:rsidRPr="00B91738" w:rsidRDefault="00793DFB" w:rsidP="009F1C88">
            <w:pPr>
              <w:spacing w:after="0" w:line="240" w:lineRule="auto"/>
              <w:jc w:val="right"/>
              <w:rPr>
                <w:rFonts w:ascii="Arial" w:eastAsia="Times New Roman" w:hAnsi="Arial" w:cs="Arial"/>
                <w:color w:val="000000"/>
                <w:kern w:val="0"/>
                <w:sz w:val="18"/>
                <w:szCs w:val="18"/>
                <w:lang w:val="en-GB" w:eastAsia="en-GB"/>
                <w14:ligatures w14:val="none"/>
              </w:rPr>
            </w:pPr>
            <w:r w:rsidRPr="00B91738">
              <w:rPr>
                <w:rFonts w:ascii="Arial" w:eastAsia="Times New Roman" w:hAnsi="Arial" w:cs="Arial"/>
                <w:color w:val="000000"/>
                <w:kern w:val="0"/>
                <w:sz w:val="18"/>
                <w:szCs w:val="18"/>
                <w:lang w:val="en-GB" w:eastAsia="en-GB"/>
                <w14:ligatures w14:val="none"/>
              </w:rPr>
              <w:t>215.25414</w:t>
            </w:r>
          </w:p>
        </w:tc>
        <w:tc>
          <w:tcPr>
            <w:tcW w:w="1060" w:type="dxa"/>
            <w:tcBorders>
              <w:top w:val="nil"/>
              <w:left w:val="single" w:sz="4" w:space="0" w:color="000000"/>
              <w:bottom w:val="single" w:sz="12" w:space="0" w:color="000000"/>
              <w:right w:val="single" w:sz="12" w:space="0" w:color="000000"/>
            </w:tcBorders>
            <w:noWrap/>
            <w:vAlign w:val="center"/>
            <w:hideMark/>
          </w:tcPr>
          <w:p w14:paraId="062D1083" w14:textId="77777777" w:rsidR="00793DFB" w:rsidRPr="00B91738" w:rsidRDefault="00793DFB" w:rsidP="009F1C88">
            <w:pPr>
              <w:spacing w:after="0" w:line="240" w:lineRule="auto"/>
              <w:jc w:val="right"/>
              <w:rPr>
                <w:rFonts w:ascii="Arial" w:eastAsia="Times New Roman" w:hAnsi="Arial" w:cs="Arial"/>
                <w:color w:val="000000"/>
                <w:kern w:val="0"/>
                <w:sz w:val="18"/>
                <w:szCs w:val="18"/>
                <w:lang w:val="en-GB" w:eastAsia="en-GB"/>
                <w14:ligatures w14:val="none"/>
              </w:rPr>
            </w:pPr>
            <w:r w:rsidRPr="00B91738">
              <w:rPr>
                <w:rFonts w:ascii="Arial" w:eastAsia="Times New Roman" w:hAnsi="Arial" w:cs="Arial"/>
                <w:color w:val="000000"/>
                <w:kern w:val="0"/>
                <w:sz w:val="18"/>
                <w:szCs w:val="18"/>
                <w:lang w:val="en-GB" w:eastAsia="en-GB"/>
                <w14:ligatures w14:val="none"/>
              </w:rPr>
              <w:t>.000</w:t>
            </w:r>
            <w:r w:rsidRPr="00B91738">
              <w:rPr>
                <w:rFonts w:ascii="Arial" w:eastAsia="Times New Roman" w:hAnsi="Arial" w:cs="Arial"/>
                <w:color w:val="000000"/>
                <w:kern w:val="0"/>
                <w:sz w:val="18"/>
                <w:szCs w:val="18"/>
                <w:vertAlign w:val="superscript"/>
                <w:lang w:val="en-GB" w:eastAsia="en-GB"/>
                <w14:ligatures w14:val="none"/>
              </w:rPr>
              <w:t>b</w:t>
            </w:r>
          </w:p>
        </w:tc>
      </w:tr>
      <w:tr w:rsidR="00793DFB" w:rsidRPr="00B91738" w14:paraId="318EED3D" w14:textId="77777777" w:rsidTr="009F1C88">
        <w:trPr>
          <w:trHeight w:val="744"/>
          <w:jc w:val="center"/>
        </w:trPr>
        <w:tc>
          <w:tcPr>
            <w:tcW w:w="7420" w:type="dxa"/>
            <w:gridSpan w:val="7"/>
            <w:tcBorders>
              <w:top w:val="nil"/>
              <w:left w:val="nil"/>
              <w:bottom w:val="nil"/>
              <w:right w:val="nil"/>
            </w:tcBorders>
            <w:vAlign w:val="center"/>
            <w:hideMark/>
          </w:tcPr>
          <w:p w14:paraId="50B7ADAF" w14:textId="77777777" w:rsidR="00793DFB" w:rsidRPr="00B91738" w:rsidRDefault="00793DFB" w:rsidP="009F1C88">
            <w:pPr>
              <w:spacing w:after="0" w:line="240" w:lineRule="auto"/>
              <w:jc w:val="center"/>
              <w:rPr>
                <w:rFonts w:ascii="Arial Bold" w:eastAsia="Times New Roman" w:hAnsi="Arial Bold" w:cs="Times New Roman"/>
                <w:b/>
                <w:bCs/>
                <w:color w:val="000000"/>
                <w:kern w:val="0"/>
                <w:sz w:val="18"/>
                <w:szCs w:val="18"/>
                <w:lang w:val="en-GB" w:eastAsia="en-GB"/>
                <w14:ligatures w14:val="none"/>
              </w:rPr>
            </w:pPr>
            <w:r w:rsidRPr="00B91738">
              <w:rPr>
                <w:rFonts w:ascii="Arial Bold" w:eastAsia="Times New Roman" w:hAnsi="Arial Bold" w:cs="Times New Roman"/>
                <w:b/>
                <w:bCs/>
                <w:color w:val="000000"/>
                <w:kern w:val="0"/>
                <w:sz w:val="18"/>
                <w:szCs w:val="18"/>
                <w:lang w:val="en-GB" w:eastAsia="en-GB"/>
                <w14:ligatures w14:val="none"/>
              </w:rPr>
              <w:t xml:space="preserve">a. Predictors: (Constant), </w:t>
            </w:r>
            <w:r w:rsidRPr="00B91738">
              <w:rPr>
                <w:rFonts w:ascii="Arial Bold" w:eastAsia="Times New Roman" w:hAnsi="Arial Bold" w:cs="Times New Roman"/>
                <w:b/>
                <w:bCs/>
                <w:color w:val="000000"/>
                <w:kern w:val="0"/>
                <w:sz w:val="18"/>
                <w:szCs w:val="18"/>
                <w:rtl/>
                <w:lang w:val="en-GB" w:eastAsia="en-GB"/>
                <w14:ligatures w14:val="none"/>
              </w:rPr>
              <w:t>أنظمة العمل عالية الأداء, خامسًا: تقييم الأداء العادل, رابعًا: المشاركة في اتخاذ القرار, أولاً: التوظيف الانتقائي, ثانيًا</w:t>
            </w:r>
            <w:r w:rsidRPr="00B91738">
              <w:rPr>
                <w:rFonts w:ascii="Arial Bold" w:eastAsia="Times New Roman" w:hAnsi="Arial Bold" w:cs="Times New Roman"/>
                <w:b/>
                <w:bCs/>
                <w:color w:val="000000"/>
                <w:kern w:val="0"/>
                <w:sz w:val="18"/>
                <w:szCs w:val="18"/>
                <w:lang w:val="en-GB" w:eastAsia="en-GB"/>
                <w14:ligatures w14:val="none"/>
              </w:rPr>
              <w:t xml:space="preserve">: </w:t>
            </w:r>
            <w:r w:rsidRPr="00B91738">
              <w:rPr>
                <w:rFonts w:ascii="Arial Bold" w:eastAsia="Times New Roman" w:hAnsi="Arial Bold" w:cs="Times New Roman"/>
                <w:b/>
                <w:bCs/>
                <w:color w:val="000000"/>
                <w:kern w:val="0"/>
                <w:sz w:val="18"/>
                <w:szCs w:val="18"/>
                <w:rtl/>
                <w:lang w:val="en-GB" w:eastAsia="en-GB"/>
                <w14:ligatures w14:val="none"/>
              </w:rPr>
              <w:t xml:space="preserve">التدريب والتطوير المستمر, ثالثًا: نظم الحوافز والمكافآت, سادسًا: تمكين الموظفين </w:t>
            </w:r>
            <w:r w:rsidRPr="00B91738">
              <w:rPr>
                <w:rFonts w:ascii="Arial Bold" w:eastAsia="Times New Roman" w:hAnsi="Arial Bold" w:cs="Times New Roman"/>
                <w:b/>
                <w:bCs/>
                <w:color w:val="000000"/>
                <w:kern w:val="0"/>
                <w:sz w:val="18"/>
                <w:szCs w:val="18"/>
                <w:lang w:val="en-GB" w:eastAsia="en-GB"/>
                <w14:ligatures w14:val="none"/>
              </w:rPr>
              <w:br/>
              <w:t xml:space="preserve">b. Dependent Variable: </w:t>
            </w:r>
            <w:r w:rsidRPr="00B91738">
              <w:rPr>
                <w:rFonts w:ascii="Arial Bold" w:eastAsia="Times New Roman" w:hAnsi="Arial Bold" w:cs="Times New Roman"/>
                <w:b/>
                <w:bCs/>
                <w:color w:val="000000"/>
                <w:kern w:val="0"/>
                <w:sz w:val="18"/>
                <w:szCs w:val="18"/>
                <w:rtl/>
                <w:lang w:val="en-GB" w:eastAsia="en-GB"/>
                <w14:ligatures w14:val="none"/>
              </w:rPr>
              <w:t xml:space="preserve">الأداء الإبداعي </w:t>
            </w:r>
          </w:p>
        </w:tc>
      </w:tr>
    </w:tbl>
    <w:p w14:paraId="53300EC2" w14:textId="77777777" w:rsidR="00793DFB" w:rsidRPr="00BE7FFB" w:rsidRDefault="00793DFB" w:rsidP="00793DFB">
      <w:pPr>
        <w:bidi/>
      </w:pPr>
      <w:r w:rsidRPr="00BE7FFB">
        <w:rPr>
          <w:rtl/>
        </w:rPr>
        <w:t xml:space="preserve">يبيّن نموذج الانحدار أن نحو </w:t>
      </w:r>
      <w:r w:rsidRPr="00BE7FFB">
        <w:rPr>
          <w:b/>
          <w:bCs/>
        </w:rPr>
        <w:t>79.4%</w:t>
      </w:r>
      <w:r>
        <w:rPr>
          <w:rFonts w:hint="cs"/>
          <w:rtl/>
        </w:rPr>
        <w:t xml:space="preserve"> </w:t>
      </w:r>
      <w:r w:rsidRPr="00BE7FFB">
        <w:rPr>
          <w:rtl/>
        </w:rPr>
        <w:t>من التباين في الأداء الإبداعي يمكن تفسيره بواسطة أبعاد أنظمة العمل عالية الأداء المأخوذة معًا (التوظيف الانتقائي، التدريب، نظم الحوافز، المشاركة، تقييم الأداء، التمكين). قيمة</w:t>
      </w:r>
      <w:r w:rsidRPr="00BE7FFB">
        <w:t xml:space="preserve"> F </w:t>
      </w:r>
      <w:r w:rsidRPr="00BE7FFB">
        <w:rPr>
          <w:rtl/>
        </w:rPr>
        <w:t>ودلالة النموذج</w:t>
      </w:r>
      <w:r w:rsidRPr="00BE7FFB">
        <w:t xml:space="preserve"> </w:t>
      </w:r>
      <w:r>
        <w:rPr>
          <w:rFonts w:hint="cs"/>
          <w:rtl/>
        </w:rPr>
        <w:t>(</w:t>
      </w:r>
      <w:r w:rsidRPr="00BE7FFB">
        <w:t xml:space="preserve">p &lt; </w:t>
      </w:r>
      <w:r>
        <w:t>0</w:t>
      </w:r>
      <w:r w:rsidRPr="00BE7FFB">
        <w:t>.001</w:t>
      </w:r>
      <w:r>
        <w:rPr>
          <w:rFonts w:hint="cs"/>
          <w:rtl/>
          <w:lang w:bidi="ar-EG"/>
        </w:rPr>
        <w:t>)</w:t>
      </w:r>
      <w:r w:rsidRPr="00BE7FFB">
        <w:t xml:space="preserve"> </w:t>
      </w:r>
      <w:r w:rsidRPr="00BE7FFB">
        <w:rPr>
          <w:rtl/>
        </w:rPr>
        <w:t>تؤكد صلاحية النموذج كليًا</w:t>
      </w:r>
      <w:r w:rsidRPr="00BE7FFB">
        <w:t>.</w:t>
      </w:r>
    </w:p>
    <w:p w14:paraId="75B2FAE5" w14:textId="77777777" w:rsidR="00793DFB" w:rsidRPr="00BE7FFB" w:rsidRDefault="00793DFB" w:rsidP="00793DFB">
      <w:pPr>
        <w:bidi/>
        <w:rPr>
          <w:b/>
          <w:bCs/>
        </w:rPr>
      </w:pPr>
      <w:r w:rsidRPr="00BE7FFB">
        <w:rPr>
          <w:b/>
          <w:bCs/>
          <w:rtl/>
        </w:rPr>
        <w:t>الارتباط الأحادي</w:t>
      </w:r>
      <w:r>
        <w:rPr>
          <w:rFonts w:hint="cs"/>
          <w:b/>
          <w:bCs/>
          <w:rtl/>
        </w:rPr>
        <w:t xml:space="preserve"> </w:t>
      </w:r>
      <w:r w:rsidRPr="00BE7FFB">
        <w:rPr>
          <w:b/>
          <w:bCs/>
        </w:rPr>
        <w:t>(Pearson)</w:t>
      </w:r>
    </w:p>
    <w:p w14:paraId="6E501BE6" w14:textId="77777777" w:rsidR="00793DFB" w:rsidRPr="00BE7FFB" w:rsidRDefault="00793DFB" w:rsidP="00793DFB">
      <w:pPr>
        <w:pStyle w:val="ListParagraph"/>
        <w:numPr>
          <w:ilvl w:val="0"/>
          <w:numId w:val="179"/>
        </w:numPr>
        <w:bidi/>
      </w:pPr>
      <w:r w:rsidRPr="00BE7FFB">
        <w:t>r</w:t>
      </w:r>
      <w:r w:rsidRPr="00BE7FFB">
        <w:rPr>
          <w:rFonts w:cs="Arial"/>
          <w:rtl/>
        </w:rPr>
        <w:t xml:space="preserve"> (</w:t>
      </w:r>
      <w:r w:rsidRPr="00BE7FFB">
        <w:t>HPWS</w:t>
      </w:r>
      <w:r w:rsidRPr="00BE7FFB">
        <w:rPr>
          <w:rFonts w:cs="Arial"/>
          <w:rtl/>
        </w:rPr>
        <w:t xml:space="preserve">, </w:t>
      </w:r>
      <w:r w:rsidRPr="00BE7FFB">
        <w:rPr>
          <w:rFonts w:cs="Arial" w:hint="cs"/>
          <w:rtl/>
        </w:rPr>
        <w:t>الإبداع</w:t>
      </w:r>
      <w:r w:rsidRPr="00BE7FFB">
        <w:rPr>
          <w:rFonts w:cs="Arial"/>
          <w:rtl/>
        </w:rPr>
        <w:t xml:space="preserve">) = 0.884, </w:t>
      </w:r>
      <w:r w:rsidRPr="00BE7FFB">
        <w:t>p &lt; .001</w:t>
      </w:r>
      <w:r w:rsidRPr="00BE7FFB">
        <w:rPr>
          <w:rFonts w:cs="Arial"/>
          <w:rtl/>
        </w:rPr>
        <w:t xml:space="preserve"> — </w:t>
      </w:r>
      <w:r w:rsidRPr="00BE7FFB">
        <w:rPr>
          <w:rFonts w:cs="Arial" w:hint="cs"/>
          <w:rtl/>
        </w:rPr>
        <w:t>علاقة</w:t>
      </w:r>
      <w:r w:rsidRPr="00BE7FFB">
        <w:rPr>
          <w:rFonts w:cs="Arial"/>
          <w:rtl/>
        </w:rPr>
        <w:t xml:space="preserve"> </w:t>
      </w:r>
      <w:r w:rsidRPr="00BE7FFB">
        <w:rPr>
          <w:rFonts w:cs="Arial" w:hint="cs"/>
          <w:rtl/>
        </w:rPr>
        <w:t>موجبة</w:t>
      </w:r>
      <w:r w:rsidRPr="00BE7FFB">
        <w:rPr>
          <w:rFonts w:cs="Arial"/>
          <w:rtl/>
        </w:rPr>
        <w:t xml:space="preserve"> </w:t>
      </w:r>
      <w:r w:rsidRPr="00BE7FFB">
        <w:rPr>
          <w:rFonts w:cs="Arial" w:hint="cs"/>
          <w:rtl/>
        </w:rPr>
        <w:t>قوية</w:t>
      </w:r>
      <w:r w:rsidRPr="00BE7FFB">
        <w:rPr>
          <w:rFonts w:cs="Arial"/>
          <w:rtl/>
        </w:rPr>
        <w:t>.</w:t>
      </w:r>
    </w:p>
    <w:p w14:paraId="124B3860" w14:textId="77777777" w:rsidR="00793DFB" w:rsidRDefault="00793DFB" w:rsidP="00793DFB">
      <w:pPr>
        <w:bidi/>
      </w:pPr>
      <w:r w:rsidRPr="00BE7FFB">
        <w:rPr>
          <w:rtl/>
        </w:rPr>
        <w:t>بناءً على الارتباط القوي</w:t>
      </w:r>
      <w:r w:rsidRPr="00BE7FFB">
        <w:t xml:space="preserve"> </w:t>
      </w:r>
      <w:r>
        <w:rPr>
          <w:rFonts w:hint="cs"/>
          <w:rtl/>
        </w:rPr>
        <w:t>(</w:t>
      </w:r>
      <w:r w:rsidRPr="00BE7FFB">
        <w:t xml:space="preserve">r = </w:t>
      </w:r>
      <w:r>
        <w:rPr>
          <w:lang w:bidi="ar-EG"/>
        </w:rPr>
        <w:t>0</w:t>
      </w:r>
      <w:r w:rsidRPr="00BE7FFB">
        <w:t>.884</w:t>
      </w:r>
      <w:r w:rsidRPr="00BE7FFB">
        <w:rPr>
          <w:rtl/>
        </w:rPr>
        <w:t xml:space="preserve">، </w:t>
      </w:r>
      <w:r w:rsidRPr="00BE7FFB">
        <w:t>p &lt; .001</w:t>
      </w:r>
      <w:r>
        <w:rPr>
          <w:rFonts w:hint="cs"/>
          <w:rtl/>
        </w:rPr>
        <w:t>)</w:t>
      </w:r>
      <w:r w:rsidRPr="00BE7FFB">
        <w:t xml:space="preserve"> </w:t>
      </w:r>
      <w:r w:rsidRPr="00BE7FFB">
        <w:rPr>
          <w:rtl/>
        </w:rPr>
        <w:t>ونتائج الانحدار الجماعي</w:t>
      </w:r>
      <w:r>
        <w:rPr>
          <w:rFonts w:hint="cs"/>
          <w:rtl/>
        </w:rPr>
        <w:t xml:space="preserve"> </w:t>
      </w:r>
      <w:r w:rsidRPr="00BE7FFB">
        <w:t>(R² = .794, p &lt; .001)</w:t>
      </w:r>
      <w:r w:rsidRPr="00BE7FFB">
        <w:rPr>
          <w:rtl/>
        </w:rPr>
        <w:t xml:space="preserve">، يمكن </w:t>
      </w:r>
      <w:r w:rsidRPr="00BE7FFB">
        <w:rPr>
          <w:b/>
          <w:bCs/>
          <w:rtl/>
        </w:rPr>
        <w:t>قبول الفرضية</w:t>
      </w:r>
      <w:r>
        <w:rPr>
          <w:rFonts w:hint="cs"/>
          <w:b/>
          <w:bCs/>
          <w:rtl/>
        </w:rPr>
        <w:t xml:space="preserve"> </w:t>
      </w:r>
      <w:r w:rsidRPr="00BE7FFB">
        <w:rPr>
          <w:b/>
          <w:bCs/>
        </w:rPr>
        <w:t>H₁</w:t>
      </w:r>
      <w:r>
        <w:rPr>
          <w:rFonts w:hint="cs"/>
          <w:rtl/>
        </w:rPr>
        <w:t>:</w:t>
      </w:r>
      <w:r w:rsidRPr="00BE7FFB">
        <w:t xml:space="preserve"> </w:t>
      </w:r>
      <w:r w:rsidRPr="00BE7FFB">
        <w:rPr>
          <w:rtl/>
        </w:rPr>
        <w:t>توجد علاقة موجبة ومعنوية إحصائيًا بين أنظمة العمل عالية الأداء والإبداع الوظيفي؛ كما أن هذه الأنظمة تُفسّر جزءًا كبيرًا من تفاوت الأداء الإبداعي بين العاملين في العيّنة</w:t>
      </w:r>
      <w:r w:rsidRPr="00BE7FFB">
        <w:t>.</w:t>
      </w:r>
    </w:p>
    <w:p w14:paraId="6ABE6B0D" w14:textId="77777777" w:rsidR="00793DFB" w:rsidRPr="00B219A4" w:rsidRDefault="00793DFB" w:rsidP="00793DFB">
      <w:pPr>
        <w:bidi/>
        <w:rPr>
          <w:b/>
          <w:bCs/>
          <w:rtl/>
          <w:lang w:bidi="ar-EG"/>
        </w:rPr>
      </w:pPr>
      <w:r w:rsidRPr="00B219A4">
        <w:rPr>
          <w:rFonts w:hint="cs"/>
          <w:b/>
          <w:bCs/>
          <w:rtl/>
          <w:lang w:bidi="ar-EG"/>
        </w:rPr>
        <w:t>جدول (4-</w:t>
      </w:r>
      <w:r>
        <w:rPr>
          <w:rFonts w:hint="cs"/>
          <w:b/>
          <w:bCs/>
          <w:rtl/>
          <w:lang w:bidi="ar-EG"/>
        </w:rPr>
        <w:t>8</w:t>
      </w:r>
      <w:r w:rsidRPr="00B219A4">
        <w:rPr>
          <w:rFonts w:hint="cs"/>
          <w:b/>
          <w:bCs/>
          <w:rtl/>
          <w:lang w:bidi="ar-EG"/>
        </w:rPr>
        <w:t xml:space="preserve">) تأثير عوامل الانحدار الخاصة بابعاد </w:t>
      </w:r>
      <w:r w:rsidRPr="00B219A4">
        <w:rPr>
          <w:b/>
          <w:bCs/>
          <w:lang w:bidi="ar-EG"/>
        </w:rPr>
        <w:t>HPWS</w:t>
      </w:r>
      <w:r w:rsidRPr="00B219A4">
        <w:rPr>
          <w:rFonts w:hint="cs"/>
          <w:b/>
          <w:bCs/>
          <w:rtl/>
          <w:lang w:bidi="ar-EG"/>
        </w:rPr>
        <w:t xml:space="preserve"> عل الأداء الإبداعي </w:t>
      </w:r>
    </w:p>
    <w:tbl>
      <w:tblPr>
        <w:bidiVisual/>
        <w:tblW w:w="7680" w:type="dxa"/>
        <w:jc w:val="center"/>
        <w:tblLook w:val="04A0" w:firstRow="1" w:lastRow="0" w:firstColumn="1" w:lastColumn="0" w:noHBand="0" w:noVBand="1"/>
      </w:tblPr>
      <w:tblGrid>
        <w:gridCol w:w="943"/>
        <w:gridCol w:w="930"/>
        <w:gridCol w:w="930"/>
        <w:gridCol w:w="929"/>
        <w:gridCol w:w="929"/>
        <w:gridCol w:w="929"/>
        <w:gridCol w:w="1161"/>
        <w:gridCol w:w="929"/>
      </w:tblGrid>
      <w:tr w:rsidR="00793DFB" w:rsidRPr="00B219A4" w14:paraId="2E7CEB98" w14:textId="77777777" w:rsidTr="009F1C88">
        <w:trPr>
          <w:trHeight w:val="528"/>
          <w:jc w:val="center"/>
        </w:trPr>
        <w:tc>
          <w:tcPr>
            <w:tcW w:w="957" w:type="dxa"/>
            <w:tcBorders>
              <w:top w:val="single" w:sz="8" w:space="0" w:color="auto"/>
              <w:left w:val="single" w:sz="8" w:space="0" w:color="auto"/>
              <w:bottom w:val="single" w:sz="4" w:space="0" w:color="auto"/>
              <w:right w:val="single" w:sz="4" w:space="0" w:color="auto"/>
            </w:tcBorders>
            <w:vAlign w:val="center"/>
            <w:hideMark/>
          </w:tcPr>
          <w:p w14:paraId="261DCA0F" w14:textId="77777777" w:rsidR="00793DFB" w:rsidRPr="00B219A4"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B219A4">
              <w:rPr>
                <w:rFonts w:ascii="Arial" w:eastAsia="Times New Roman" w:hAnsi="Arial" w:cs="Arial"/>
                <w:b/>
                <w:bCs/>
                <w:color w:val="000000"/>
                <w:kern w:val="0"/>
                <w:sz w:val="20"/>
                <w:szCs w:val="20"/>
                <w:rtl/>
                <w14:ligatures w14:val="none"/>
              </w:rPr>
              <w:t>المتنبِّئ</w:t>
            </w:r>
          </w:p>
        </w:tc>
        <w:tc>
          <w:tcPr>
            <w:tcW w:w="958" w:type="dxa"/>
            <w:tcBorders>
              <w:top w:val="single" w:sz="8" w:space="0" w:color="auto"/>
              <w:left w:val="single" w:sz="4" w:space="0" w:color="auto"/>
              <w:bottom w:val="single" w:sz="4" w:space="0" w:color="auto"/>
              <w:right w:val="single" w:sz="4" w:space="0" w:color="auto"/>
            </w:tcBorders>
            <w:vAlign w:val="center"/>
            <w:hideMark/>
          </w:tcPr>
          <w:p w14:paraId="5FDD7059" w14:textId="77777777" w:rsidR="00793DFB" w:rsidRPr="00B219A4"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B219A4">
              <w:rPr>
                <w:rFonts w:ascii="Arial" w:eastAsia="Times New Roman" w:hAnsi="Arial" w:cs="Arial"/>
                <w:b/>
                <w:bCs/>
                <w:color w:val="000000"/>
                <w:kern w:val="0"/>
                <w:sz w:val="20"/>
                <w:szCs w:val="20"/>
                <w14:ligatures w14:val="none"/>
              </w:rPr>
              <w:t>B</w:t>
            </w:r>
          </w:p>
        </w:tc>
        <w:tc>
          <w:tcPr>
            <w:tcW w:w="958" w:type="dxa"/>
            <w:tcBorders>
              <w:top w:val="single" w:sz="8" w:space="0" w:color="auto"/>
              <w:left w:val="single" w:sz="4" w:space="0" w:color="auto"/>
              <w:bottom w:val="single" w:sz="4" w:space="0" w:color="auto"/>
              <w:right w:val="single" w:sz="4" w:space="0" w:color="auto"/>
            </w:tcBorders>
            <w:vAlign w:val="center"/>
            <w:hideMark/>
          </w:tcPr>
          <w:p w14:paraId="4D2BEA70" w14:textId="77777777" w:rsidR="00793DFB" w:rsidRPr="00B219A4" w:rsidRDefault="00793DFB" w:rsidP="009F1C88">
            <w:pPr>
              <w:spacing w:after="0" w:line="240" w:lineRule="auto"/>
              <w:jc w:val="center"/>
              <w:rPr>
                <w:rFonts w:ascii="Arial" w:eastAsia="Times New Roman" w:hAnsi="Arial" w:cs="Arial"/>
                <w:b/>
                <w:bCs/>
                <w:color w:val="000000"/>
                <w:kern w:val="0"/>
                <w:sz w:val="20"/>
                <w:szCs w:val="20"/>
                <w14:ligatures w14:val="none"/>
              </w:rPr>
            </w:pPr>
            <w:r w:rsidRPr="00B219A4">
              <w:rPr>
                <w:rFonts w:ascii="Arial" w:eastAsia="Times New Roman" w:hAnsi="Arial" w:cs="Arial"/>
                <w:b/>
                <w:bCs/>
                <w:color w:val="000000"/>
                <w:kern w:val="0"/>
                <w:sz w:val="20"/>
                <w:szCs w:val="20"/>
                <w14:ligatures w14:val="none"/>
              </w:rPr>
              <w:t>Std. Error</w:t>
            </w:r>
          </w:p>
        </w:tc>
        <w:tc>
          <w:tcPr>
            <w:tcW w:w="958" w:type="dxa"/>
            <w:tcBorders>
              <w:top w:val="single" w:sz="8" w:space="0" w:color="auto"/>
              <w:left w:val="single" w:sz="4" w:space="0" w:color="auto"/>
              <w:bottom w:val="single" w:sz="4" w:space="0" w:color="auto"/>
              <w:right w:val="single" w:sz="4" w:space="0" w:color="auto"/>
            </w:tcBorders>
            <w:vAlign w:val="center"/>
            <w:hideMark/>
          </w:tcPr>
          <w:p w14:paraId="28CD97F1" w14:textId="77777777" w:rsidR="00793DFB" w:rsidRPr="00B219A4" w:rsidRDefault="00793DFB" w:rsidP="009F1C88">
            <w:pPr>
              <w:spacing w:after="0" w:line="240" w:lineRule="auto"/>
              <w:jc w:val="center"/>
              <w:rPr>
                <w:rFonts w:ascii="Arial" w:eastAsia="Times New Roman" w:hAnsi="Arial" w:cs="Arial"/>
                <w:b/>
                <w:bCs/>
                <w:color w:val="000000"/>
                <w:kern w:val="0"/>
                <w:sz w:val="20"/>
                <w:szCs w:val="20"/>
                <w14:ligatures w14:val="none"/>
              </w:rPr>
            </w:pPr>
            <w:r w:rsidRPr="00B219A4">
              <w:rPr>
                <w:rFonts w:ascii="Arial" w:eastAsia="Times New Roman" w:hAnsi="Arial" w:cs="Arial"/>
                <w:b/>
                <w:bCs/>
                <w:color w:val="000000"/>
                <w:kern w:val="0"/>
                <w:sz w:val="20"/>
                <w:szCs w:val="20"/>
                <w14:ligatures w14:val="none"/>
              </w:rPr>
              <w:t>Beta</w:t>
            </w:r>
          </w:p>
        </w:tc>
        <w:tc>
          <w:tcPr>
            <w:tcW w:w="958" w:type="dxa"/>
            <w:tcBorders>
              <w:top w:val="single" w:sz="8" w:space="0" w:color="auto"/>
              <w:left w:val="single" w:sz="4" w:space="0" w:color="auto"/>
              <w:bottom w:val="single" w:sz="4" w:space="0" w:color="auto"/>
              <w:right w:val="single" w:sz="4" w:space="0" w:color="auto"/>
            </w:tcBorders>
            <w:vAlign w:val="center"/>
            <w:hideMark/>
          </w:tcPr>
          <w:p w14:paraId="724AB670" w14:textId="77777777" w:rsidR="00793DFB" w:rsidRPr="00B219A4" w:rsidRDefault="00793DFB" w:rsidP="009F1C88">
            <w:pPr>
              <w:spacing w:after="0" w:line="240" w:lineRule="auto"/>
              <w:jc w:val="center"/>
              <w:rPr>
                <w:rFonts w:ascii="Arial" w:eastAsia="Times New Roman" w:hAnsi="Arial" w:cs="Arial"/>
                <w:b/>
                <w:bCs/>
                <w:color w:val="000000"/>
                <w:kern w:val="0"/>
                <w:sz w:val="20"/>
                <w:szCs w:val="20"/>
                <w14:ligatures w14:val="none"/>
              </w:rPr>
            </w:pPr>
            <w:r w:rsidRPr="00B219A4">
              <w:rPr>
                <w:rFonts w:ascii="Arial" w:eastAsia="Times New Roman" w:hAnsi="Arial" w:cs="Arial"/>
                <w:b/>
                <w:bCs/>
                <w:color w:val="000000"/>
                <w:kern w:val="0"/>
                <w:sz w:val="20"/>
                <w:szCs w:val="20"/>
                <w14:ligatures w14:val="none"/>
              </w:rPr>
              <w:t>t</w:t>
            </w:r>
          </w:p>
        </w:tc>
        <w:tc>
          <w:tcPr>
            <w:tcW w:w="958" w:type="dxa"/>
            <w:tcBorders>
              <w:top w:val="single" w:sz="8" w:space="0" w:color="auto"/>
              <w:left w:val="single" w:sz="4" w:space="0" w:color="auto"/>
              <w:bottom w:val="single" w:sz="4" w:space="0" w:color="auto"/>
              <w:right w:val="single" w:sz="4" w:space="0" w:color="auto"/>
            </w:tcBorders>
            <w:vAlign w:val="center"/>
            <w:hideMark/>
          </w:tcPr>
          <w:p w14:paraId="3745E83D" w14:textId="77777777" w:rsidR="00793DFB" w:rsidRPr="00B219A4" w:rsidRDefault="00793DFB" w:rsidP="009F1C88">
            <w:pPr>
              <w:spacing w:after="0" w:line="240" w:lineRule="auto"/>
              <w:jc w:val="center"/>
              <w:rPr>
                <w:rFonts w:ascii="Arial" w:eastAsia="Times New Roman" w:hAnsi="Arial" w:cs="Arial"/>
                <w:b/>
                <w:bCs/>
                <w:color w:val="000000"/>
                <w:kern w:val="0"/>
                <w:sz w:val="20"/>
                <w:szCs w:val="20"/>
                <w14:ligatures w14:val="none"/>
              </w:rPr>
            </w:pPr>
            <w:r w:rsidRPr="00B219A4">
              <w:rPr>
                <w:rFonts w:ascii="Arial" w:eastAsia="Times New Roman" w:hAnsi="Arial" w:cs="Arial"/>
                <w:b/>
                <w:bCs/>
                <w:color w:val="000000"/>
                <w:kern w:val="0"/>
                <w:sz w:val="20"/>
                <w:szCs w:val="20"/>
                <w14:ligatures w14:val="none"/>
              </w:rPr>
              <w:t>Sig.</w:t>
            </w:r>
          </w:p>
        </w:tc>
        <w:tc>
          <w:tcPr>
            <w:tcW w:w="975" w:type="dxa"/>
            <w:tcBorders>
              <w:top w:val="single" w:sz="8" w:space="0" w:color="auto"/>
              <w:left w:val="single" w:sz="4" w:space="0" w:color="auto"/>
              <w:bottom w:val="single" w:sz="4" w:space="0" w:color="auto"/>
              <w:right w:val="single" w:sz="4" w:space="0" w:color="auto"/>
            </w:tcBorders>
            <w:vAlign w:val="center"/>
            <w:hideMark/>
          </w:tcPr>
          <w:p w14:paraId="0FEB4840" w14:textId="77777777" w:rsidR="00793DFB" w:rsidRPr="00B219A4" w:rsidRDefault="00793DFB" w:rsidP="009F1C88">
            <w:pPr>
              <w:spacing w:after="0" w:line="240" w:lineRule="auto"/>
              <w:jc w:val="center"/>
              <w:rPr>
                <w:rFonts w:ascii="Arial" w:eastAsia="Times New Roman" w:hAnsi="Arial" w:cs="Arial"/>
                <w:b/>
                <w:bCs/>
                <w:color w:val="000000"/>
                <w:kern w:val="0"/>
                <w:sz w:val="20"/>
                <w:szCs w:val="20"/>
                <w14:ligatures w14:val="none"/>
              </w:rPr>
            </w:pPr>
            <w:r w:rsidRPr="00B219A4">
              <w:rPr>
                <w:rFonts w:ascii="Arial" w:eastAsia="Times New Roman" w:hAnsi="Arial" w:cs="Arial"/>
                <w:b/>
                <w:bCs/>
                <w:color w:val="000000"/>
                <w:kern w:val="0"/>
                <w:sz w:val="20"/>
                <w:szCs w:val="20"/>
                <w14:ligatures w14:val="none"/>
              </w:rPr>
              <w:t>Tolerance</w:t>
            </w:r>
          </w:p>
        </w:tc>
        <w:tc>
          <w:tcPr>
            <w:tcW w:w="958" w:type="dxa"/>
            <w:tcBorders>
              <w:top w:val="single" w:sz="8" w:space="0" w:color="auto"/>
              <w:left w:val="single" w:sz="4" w:space="0" w:color="auto"/>
              <w:bottom w:val="single" w:sz="4" w:space="0" w:color="auto"/>
              <w:right w:val="single" w:sz="8" w:space="0" w:color="auto"/>
            </w:tcBorders>
            <w:vAlign w:val="center"/>
            <w:hideMark/>
          </w:tcPr>
          <w:p w14:paraId="503F7BCB" w14:textId="77777777" w:rsidR="00793DFB" w:rsidRPr="00B219A4" w:rsidRDefault="00793DFB" w:rsidP="009F1C88">
            <w:pPr>
              <w:spacing w:after="0" w:line="240" w:lineRule="auto"/>
              <w:jc w:val="center"/>
              <w:rPr>
                <w:rFonts w:ascii="Arial" w:eastAsia="Times New Roman" w:hAnsi="Arial" w:cs="Arial"/>
                <w:b/>
                <w:bCs/>
                <w:color w:val="000000"/>
                <w:kern w:val="0"/>
                <w:sz w:val="20"/>
                <w:szCs w:val="20"/>
                <w14:ligatures w14:val="none"/>
              </w:rPr>
            </w:pPr>
            <w:r w:rsidRPr="00B219A4">
              <w:rPr>
                <w:rFonts w:ascii="Arial" w:eastAsia="Times New Roman" w:hAnsi="Arial" w:cs="Arial"/>
                <w:b/>
                <w:bCs/>
                <w:color w:val="000000"/>
                <w:kern w:val="0"/>
                <w:sz w:val="20"/>
                <w:szCs w:val="20"/>
                <w14:ligatures w14:val="none"/>
              </w:rPr>
              <w:t>VIF</w:t>
            </w:r>
          </w:p>
        </w:tc>
      </w:tr>
      <w:tr w:rsidR="00793DFB" w:rsidRPr="00B219A4" w14:paraId="22E5D03D" w14:textId="77777777" w:rsidTr="009F1C88">
        <w:trPr>
          <w:trHeight w:val="528"/>
          <w:jc w:val="center"/>
        </w:trPr>
        <w:tc>
          <w:tcPr>
            <w:tcW w:w="957" w:type="dxa"/>
            <w:tcBorders>
              <w:top w:val="nil"/>
              <w:left w:val="single" w:sz="8" w:space="0" w:color="auto"/>
              <w:bottom w:val="single" w:sz="4" w:space="0" w:color="auto"/>
              <w:right w:val="single" w:sz="4" w:space="0" w:color="auto"/>
            </w:tcBorders>
            <w:vAlign w:val="center"/>
            <w:hideMark/>
          </w:tcPr>
          <w:p w14:paraId="0966FFB0" w14:textId="77777777" w:rsidR="00793DFB" w:rsidRPr="00B219A4" w:rsidRDefault="00793DFB" w:rsidP="009F1C88">
            <w:pPr>
              <w:bidi/>
              <w:spacing w:after="0" w:line="240" w:lineRule="auto"/>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rtl/>
                <w14:ligatures w14:val="none"/>
              </w:rPr>
              <w:t>التوظيف الانتقائي</w:t>
            </w:r>
          </w:p>
        </w:tc>
        <w:tc>
          <w:tcPr>
            <w:tcW w:w="958" w:type="dxa"/>
            <w:tcBorders>
              <w:top w:val="nil"/>
              <w:left w:val="single" w:sz="4" w:space="0" w:color="auto"/>
              <w:bottom w:val="single" w:sz="4" w:space="0" w:color="auto"/>
              <w:right w:val="single" w:sz="4" w:space="0" w:color="auto"/>
            </w:tcBorders>
            <w:vAlign w:val="center"/>
            <w:hideMark/>
          </w:tcPr>
          <w:p w14:paraId="4F6BB1C4" w14:textId="77777777" w:rsidR="00793DFB" w:rsidRPr="00B219A4" w:rsidRDefault="00793DFB" w:rsidP="009F1C88">
            <w:pPr>
              <w:spacing w:after="0" w:line="240" w:lineRule="auto"/>
              <w:jc w:val="right"/>
              <w:rPr>
                <w:rFonts w:ascii="Arial" w:eastAsia="Times New Roman" w:hAnsi="Arial" w:cs="Arial"/>
                <w:color w:val="000000"/>
                <w:kern w:val="0"/>
                <w:sz w:val="20"/>
                <w:szCs w:val="20"/>
                <w:rtl/>
                <w14:ligatures w14:val="none"/>
              </w:rPr>
            </w:pPr>
            <w:r w:rsidRPr="00B219A4">
              <w:rPr>
                <w:rFonts w:ascii="Arial" w:eastAsia="Times New Roman" w:hAnsi="Arial" w:cs="Arial"/>
                <w:color w:val="000000"/>
                <w:kern w:val="0"/>
                <w:sz w:val="20"/>
                <w:szCs w:val="20"/>
                <w14:ligatures w14:val="none"/>
              </w:rPr>
              <w:t>0.019</w:t>
            </w:r>
          </w:p>
        </w:tc>
        <w:tc>
          <w:tcPr>
            <w:tcW w:w="958" w:type="dxa"/>
            <w:tcBorders>
              <w:top w:val="nil"/>
              <w:left w:val="single" w:sz="4" w:space="0" w:color="auto"/>
              <w:bottom w:val="single" w:sz="4" w:space="0" w:color="auto"/>
              <w:right w:val="single" w:sz="4" w:space="0" w:color="auto"/>
            </w:tcBorders>
            <w:vAlign w:val="center"/>
            <w:hideMark/>
          </w:tcPr>
          <w:p w14:paraId="718F9A32"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0.039</w:t>
            </w:r>
          </w:p>
        </w:tc>
        <w:tc>
          <w:tcPr>
            <w:tcW w:w="958" w:type="dxa"/>
            <w:tcBorders>
              <w:top w:val="nil"/>
              <w:left w:val="single" w:sz="4" w:space="0" w:color="auto"/>
              <w:bottom w:val="single" w:sz="4" w:space="0" w:color="auto"/>
              <w:right w:val="single" w:sz="4" w:space="0" w:color="auto"/>
            </w:tcBorders>
            <w:vAlign w:val="center"/>
            <w:hideMark/>
          </w:tcPr>
          <w:p w14:paraId="2D1B62E1"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0.024</w:t>
            </w:r>
          </w:p>
        </w:tc>
        <w:tc>
          <w:tcPr>
            <w:tcW w:w="958" w:type="dxa"/>
            <w:tcBorders>
              <w:top w:val="nil"/>
              <w:left w:val="single" w:sz="4" w:space="0" w:color="auto"/>
              <w:bottom w:val="single" w:sz="4" w:space="0" w:color="auto"/>
              <w:right w:val="single" w:sz="4" w:space="0" w:color="auto"/>
            </w:tcBorders>
            <w:vAlign w:val="center"/>
            <w:hideMark/>
          </w:tcPr>
          <w:p w14:paraId="0EAD2F2D"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0.483</w:t>
            </w:r>
          </w:p>
        </w:tc>
        <w:tc>
          <w:tcPr>
            <w:tcW w:w="958" w:type="dxa"/>
            <w:tcBorders>
              <w:top w:val="nil"/>
              <w:left w:val="single" w:sz="4" w:space="0" w:color="auto"/>
              <w:bottom w:val="single" w:sz="4" w:space="0" w:color="auto"/>
              <w:right w:val="single" w:sz="4" w:space="0" w:color="auto"/>
            </w:tcBorders>
            <w:vAlign w:val="center"/>
            <w:hideMark/>
          </w:tcPr>
          <w:p w14:paraId="24F7983B"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0.629</w:t>
            </w:r>
          </w:p>
        </w:tc>
        <w:tc>
          <w:tcPr>
            <w:tcW w:w="975" w:type="dxa"/>
            <w:tcBorders>
              <w:top w:val="nil"/>
              <w:left w:val="single" w:sz="4" w:space="0" w:color="auto"/>
              <w:bottom w:val="single" w:sz="4" w:space="0" w:color="auto"/>
              <w:right w:val="single" w:sz="4" w:space="0" w:color="auto"/>
            </w:tcBorders>
            <w:vAlign w:val="center"/>
            <w:hideMark/>
          </w:tcPr>
          <w:p w14:paraId="4997E2D4"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0.216</w:t>
            </w:r>
          </w:p>
        </w:tc>
        <w:tc>
          <w:tcPr>
            <w:tcW w:w="958" w:type="dxa"/>
            <w:tcBorders>
              <w:top w:val="nil"/>
              <w:left w:val="single" w:sz="4" w:space="0" w:color="auto"/>
              <w:bottom w:val="single" w:sz="4" w:space="0" w:color="auto"/>
              <w:right w:val="single" w:sz="8" w:space="0" w:color="auto"/>
            </w:tcBorders>
            <w:vAlign w:val="center"/>
            <w:hideMark/>
          </w:tcPr>
          <w:p w14:paraId="62E5BF39"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4.627</w:t>
            </w:r>
          </w:p>
        </w:tc>
      </w:tr>
      <w:tr w:rsidR="00793DFB" w:rsidRPr="00B219A4" w14:paraId="4E688B2F" w14:textId="77777777" w:rsidTr="009F1C88">
        <w:trPr>
          <w:trHeight w:val="528"/>
          <w:jc w:val="center"/>
        </w:trPr>
        <w:tc>
          <w:tcPr>
            <w:tcW w:w="957" w:type="dxa"/>
            <w:tcBorders>
              <w:top w:val="nil"/>
              <w:left w:val="single" w:sz="8" w:space="0" w:color="auto"/>
              <w:bottom w:val="single" w:sz="4" w:space="0" w:color="auto"/>
              <w:right w:val="single" w:sz="4" w:space="0" w:color="auto"/>
            </w:tcBorders>
            <w:vAlign w:val="center"/>
            <w:hideMark/>
          </w:tcPr>
          <w:p w14:paraId="65728887" w14:textId="77777777" w:rsidR="00793DFB" w:rsidRPr="00B219A4" w:rsidRDefault="00793DFB" w:rsidP="009F1C88">
            <w:pPr>
              <w:bidi/>
              <w:spacing w:after="0" w:line="240" w:lineRule="auto"/>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rtl/>
                <w14:ligatures w14:val="none"/>
              </w:rPr>
              <w:t>التدريب والتطوير</w:t>
            </w:r>
          </w:p>
        </w:tc>
        <w:tc>
          <w:tcPr>
            <w:tcW w:w="958" w:type="dxa"/>
            <w:tcBorders>
              <w:top w:val="nil"/>
              <w:left w:val="single" w:sz="4" w:space="0" w:color="auto"/>
              <w:bottom w:val="single" w:sz="4" w:space="0" w:color="auto"/>
              <w:right w:val="single" w:sz="4" w:space="0" w:color="auto"/>
            </w:tcBorders>
            <w:vAlign w:val="center"/>
            <w:hideMark/>
          </w:tcPr>
          <w:p w14:paraId="75EC911C" w14:textId="77777777" w:rsidR="00793DFB" w:rsidRPr="00B219A4" w:rsidRDefault="00793DFB" w:rsidP="009F1C88">
            <w:pPr>
              <w:spacing w:after="0" w:line="240" w:lineRule="auto"/>
              <w:jc w:val="right"/>
              <w:rPr>
                <w:rFonts w:ascii="Arial" w:eastAsia="Times New Roman" w:hAnsi="Arial" w:cs="Arial"/>
                <w:color w:val="000000"/>
                <w:kern w:val="0"/>
                <w:sz w:val="20"/>
                <w:szCs w:val="20"/>
                <w:rtl/>
                <w14:ligatures w14:val="none"/>
              </w:rPr>
            </w:pPr>
            <w:r w:rsidRPr="00B219A4">
              <w:rPr>
                <w:rFonts w:ascii="Arial" w:eastAsia="Times New Roman" w:hAnsi="Arial" w:cs="Arial"/>
                <w:color w:val="000000"/>
                <w:kern w:val="0"/>
                <w:sz w:val="20"/>
                <w:szCs w:val="20"/>
                <w14:ligatures w14:val="none"/>
              </w:rPr>
              <w:t>0.067</w:t>
            </w:r>
          </w:p>
        </w:tc>
        <w:tc>
          <w:tcPr>
            <w:tcW w:w="958" w:type="dxa"/>
            <w:tcBorders>
              <w:top w:val="nil"/>
              <w:left w:val="single" w:sz="4" w:space="0" w:color="auto"/>
              <w:bottom w:val="single" w:sz="4" w:space="0" w:color="auto"/>
              <w:right w:val="single" w:sz="4" w:space="0" w:color="auto"/>
            </w:tcBorders>
            <w:vAlign w:val="center"/>
            <w:hideMark/>
          </w:tcPr>
          <w:p w14:paraId="0F87D8DC"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0.044</w:t>
            </w:r>
          </w:p>
        </w:tc>
        <w:tc>
          <w:tcPr>
            <w:tcW w:w="958" w:type="dxa"/>
            <w:tcBorders>
              <w:top w:val="nil"/>
              <w:left w:val="single" w:sz="4" w:space="0" w:color="auto"/>
              <w:bottom w:val="single" w:sz="4" w:space="0" w:color="auto"/>
              <w:right w:val="single" w:sz="4" w:space="0" w:color="auto"/>
            </w:tcBorders>
            <w:vAlign w:val="center"/>
            <w:hideMark/>
          </w:tcPr>
          <w:p w14:paraId="699722CC"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0.078</w:t>
            </w:r>
          </w:p>
        </w:tc>
        <w:tc>
          <w:tcPr>
            <w:tcW w:w="958" w:type="dxa"/>
            <w:tcBorders>
              <w:top w:val="nil"/>
              <w:left w:val="single" w:sz="4" w:space="0" w:color="auto"/>
              <w:bottom w:val="single" w:sz="4" w:space="0" w:color="auto"/>
              <w:right w:val="single" w:sz="4" w:space="0" w:color="auto"/>
            </w:tcBorders>
            <w:vAlign w:val="center"/>
            <w:hideMark/>
          </w:tcPr>
          <w:p w14:paraId="661ED2C2"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1.536</w:t>
            </w:r>
          </w:p>
        </w:tc>
        <w:tc>
          <w:tcPr>
            <w:tcW w:w="958" w:type="dxa"/>
            <w:tcBorders>
              <w:top w:val="nil"/>
              <w:left w:val="single" w:sz="4" w:space="0" w:color="auto"/>
              <w:bottom w:val="single" w:sz="4" w:space="0" w:color="auto"/>
              <w:right w:val="single" w:sz="4" w:space="0" w:color="auto"/>
            </w:tcBorders>
            <w:vAlign w:val="center"/>
            <w:hideMark/>
          </w:tcPr>
          <w:p w14:paraId="478856D6"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0.125</w:t>
            </w:r>
          </w:p>
        </w:tc>
        <w:tc>
          <w:tcPr>
            <w:tcW w:w="975" w:type="dxa"/>
            <w:tcBorders>
              <w:top w:val="nil"/>
              <w:left w:val="single" w:sz="4" w:space="0" w:color="auto"/>
              <w:bottom w:val="single" w:sz="4" w:space="0" w:color="auto"/>
              <w:right w:val="single" w:sz="4" w:space="0" w:color="auto"/>
            </w:tcBorders>
            <w:vAlign w:val="center"/>
            <w:hideMark/>
          </w:tcPr>
          <w:p w14:paraId="54781AF8"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0.205</w:t>
            </w:r>
          </w:p>
        </w:tc>
        <w:tc>
          <w:tcPr>
            <w:tcW w:w="958" w:type="dxa"/>
            <w:tcBorders>
              <w:top w:val="nil"/>
              <w:left w:val="single" w:sz="4" w:space="0" w:color="auto"/>
              <w:bottom w:val="single" w:sz="4" w:space="0" w:color="auto"/>
              <w:right w:val="single" w:sz="8" w:space="0" w:color="auto"/>
            </w:tcBorders>
            <w:vAlign w:val="center"/>
            <w:hideMark/>
          </w:tcPr>
          <w:p w14:paraId="1EAF8406"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4.882</w:t>
            </w:r>
          </w:p>
        </w:tc>
      </w:tr>
      <w:tr w:rsidR="00793DFB" w:rsidRPr="00B219A4" w14:paraId="2829E405" w14:textId="77777777" w:rsidTr="009F1C88">
        <w:trPr>
          <w:trHeight w:val="528"/>
          <w:jc w:val="center"/>
        </w:trPr>
        <w:tc>
          <w:tcPr>
            <w:tcW w:w="957" w:type="dxa"/>
            <w:tcBorders>
              <w:top w:val="nil"/>
              <w:left w:val="single" w:sz="8" w:space="0" w:color="auto"/>
              <w:bottom w:val="single" w:sz="4" w:space="0" w:color="auto"/>
              <w:right w:val="single" w:sz="4" w:space="0" w:color="auto"/>
            </w:tcBorders>
            <w:vAlign w:val="center"/>
            <w:hideMark/>
          </w:tcPr>
          <w:p w14:paraId="1BB05BF9" w14:textId="77777777" w:rsidR="00793DFB" w:rsidRPr="00B219A4" w:rsidRDefault="00793DFB" w:rsidP="009F1C88">
            <w:pPr>
              <w:bidi/>
              <w:spacing w:after="0" w:line="240" w:lineRule="auto"/>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rtl/>
                <w14:ligatures w14:val="none"/>
              </w:rPr>
              <w:t>نظم الحوافز والمكافآت</w:t>
            </w:r>
          </w:p>
        </w:tc>
        <w:tc>
          <w:tcPr>
            <w:tcW w:w="958" w:type="dxa"/>
            <w:tcBorders>
              <w:top w:val="nil"/>
              <w:left w:val="single" w:sz="4" w:space="0" w:color="auto"/>
              <w:bottom w:val="single" w:sz="4" w:space="0" w:color="auto"/>
              <w:right w:val="single" w:sz="4" w:space="0" w:color="auto"/>
            </w:tcBorders>
            <w:vAlign w:val="center"/>
            <w:hideMark/>
          </w:tcPr>
          <w:p w14:paraId="57C52763" w14:textId="77777777" w:rsidR="00793DFB" w:rsidRPr="00B219A4" w:rsidRDefault="00793DFB" w:rsidP="009F1C88">
            <w:pPr>
              <w:spacing w:after="0" w:line="240" w:lineRule="auto"/>
              <w:jc w:val="right"/>
              <w:rPr>
                <w:rFonts w:ascii="Arial" w:eastAsia="Times New Roman" w:hAnsi="Arial" w:cs="Arial"/>
                <w:color w:val="000000"/>
                <w:kern w:val="0"/>
                <w:sz w:val="20"/>
                <w:szCs w:val="20"/>
                <w:rtl/>
                <w14:ligatures w14:val="none"/>
              </w:rPr>
            </w:pPr>
            <w:r w:rsidRPr="00B219A4">
              <w:rPr>
                <w:rFonts w:ascii="Arial" w:eastAsia="Times New Roman" w:hAnsi="Arial" w:cs="Arial"/>
                <w:color w:val="000000"/>
                <w:kern w:val="0"/>
                <w:sz w:val="20"/>
                <w:szCs w:val="20"/>
                <w14:ligatures w14:val="none"/>
              </w:rPr>
              <w:t>0.188</w:t>
            </w:r>
          </w:p>
        </w:tc>
        <w:tc>
          <w:tcPr>
            <w:tcW w:w="958" w:type="dxa"/>
            <w:tcBorders>
              <w:top w:val="nil"/>
              <w:left w:val="single" w:sz="4" w:space="0" w:color="auto"/>
              <w:bottom w:val="single" w:sz="4" w:space="0" w:color="auto"/>
              <w:right w:val="single" w:sz="4" w:space="0" w:color="auto"/>
            </w:tcBorders>
            <w:vAlign w:val="center"/>
            <w:hideMark/>
          </w:tcPr>
          <w:p w14:paraId="4184E931"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0.041</w:t>
            </w:r>
          </w:p>
        </w:tc>
        <w:tc>
          <w:tcPr>
            <w:tcW w:w="958" w:type="dxa"/>
            <w:tcBorders>
              <w:top w:val="nil"/>
              <w:left w:val="single" w:sz="4" w:space="0" w:color="auto"/>
              <w:bottom w:val="single" w:sz="4" w:space="0" w:color="auto"/>
              <w:right w:val="single" w:sz="4" w:space="0" w:color="auto"/>
            </w:tcBorders>
            <w:vAlign w:val="center"/>
            <w:hideMark/>
          </w:tcPr>
          <w:p w14:paraId="22F2C9AE"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0.219</w:t>
            </w:r>
          </w:p>
        </w:tc>
        <w:tc>
          <w:tcPr>
            <w:tcW w:w="958" w:type="dxa"/>
            <w:tcBorders>
              <w:top w:val="nil"/>
              <w:left w:val="single" w:sz="4" w:space="0" w:color="auto"/>
              <w:bottom w:val="single" w:sz="4" w:space="0" w:color="auto"/>
              <w:right w:val="single" w:sz="4" w:space="0" w:color="auto"/>
            </w:tcBorders>
            <w:vAlign w:val="center"/>
            <w:hideMark/>
          </w:tcPr>
          <w:p w14:paraId="572FD99F"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4.608</w:t>
            </w:r>
          </w:p>
        </w:tc>
        <w:tc>
          <w:tcPr>
            <w:tcW w:w="958" w:type="dxa"/>
            <w:tcBorders>
              <w:top w:val="nil"/>
              <w:left w:val="single" w:sz="4" w:space="0" w:color="auto"/>
              <w:bottom w:val="single" w:sz="4" w:space="0" w:color="auto"/>
              <w:right w:val="single" w:sz="4" w:space="0" w:color="auto"/>
            </w:tcBorders>
            <w:vAlign w:val="center"/>
            <w:hideMark/>
          </w:tcPr>
          <w:p w14:paraId="61BC988E"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w:t>
            </w:r>
          </w:p>
        </w:tc>
        <w:tc>
          <w:tcPr>
            <w:tcW w:w="975" w:type="dxa"/>
            <w:tcBorders>
              <w:top w:val="nil"/>
              <w:left w:val="single" w:sz="4" w:space="0" w:color="auto"/>
              <w:bottom w:val="single" w:sz="4" w:space="0" w:color="auto"/>
              <w:right w:val="single" w:sz="4" w:space="0" w:color="auto"/>
            </w:tcBorders>
            <w:vAlign w:val="center"/>
            <w:hideMark/>
          </w:tcPr>
          <w:p w14:paraId="1B3559BA"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0.233</w:t>
            </w:r>
          </w:p>
        </w:tc>
        <w:tc>
          <w:tcPr>
            <w:tcW w:w="958" w:type="dxa"/>
            <w:tcBorders>
              <w:top w:val="nil"/>
              <w:left w:val="single" w:sz="4" w:space="0" w:color="auto"/>
              <w:bottom w:val="single" w:sz="4" w:space="0" w:color="auto"/>
              <w:right w:val="single" w:sz="8" w:space="0" w:color="auto"/>
            </w:tcBorders>
            <w:vAlign w:val="center"/>
            <w:hideMark/>
          </w:tcPr>
          <w:p w14:paraId="68BFFBC0"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4.293</w:t>
            </w:r>
          </w:p>
        </w:tc>
      </w:tr>
      <w:tr w:rsidR="00793DFB" w:rsidRPr="00B219A4" w14:paraId="1D7D4C60" w14:textId="77777777" w:rsidTr="009F1C88">
        <w:trPr>
          <w:trHeight w:val="792"/>
          <w:jc w:val="center"/>
        </w:trPr>
        <w:tc>
          <w:tcPr>
            <w:tcW w:w="957" w:type="dxa"/>
            <w:tcBorders>
              <w:top w:val="nil"/>
              <w:left w:val="single" w:sz="8" w:space="0" w:color="auto"/>
              <w:bottom w:val="single" w:sz="4" w:space="0" w:color="auto"/>
              <w:right w:val="single" w:sz="4" w:space="0" w:color="auto"/>
            </w:tcBorders>
            <w:vAlign w:val="center"/>
            <w:hideMark/>
          </w:tcPr>
          <w:p w14:paraId="6A1D638A" w14:textId="77777777" w:rsidR="00793DFB" w:rsidRPr="00B219A4" w:rsidRDefault="00793DFB" w:rsidP="009F1C88">
            <w:pPr>
              <w:bidi/>
              <w:spacing w:after="0" w:line="240" w:lineRule="auto"/>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rtl/>
                <w14:ligatures w14:val="none"/>
              </w:rPr>
              <w:t>المشاركة في اتخاذ القرار</w:t>
            </w:r>
          </w:p>
        </w:tc>
        <w:tc>
          <w:tcPr>
            <w:tcW w:w="958" w:type="dxa"/>
            <w:tcBorders>
              <w:top w:val="nil"/>
              <w:left w:val="single" w:sz="4" w:space="0" w:color="auto"/>
              <w:bottom w:val="single" w:sz="4" w:space="0" w:color="auto"/>
              <w:right w:val="single" w:sz="4" w:space="0" w:color="auto"/>
            </w:tcBorders>
            <w:vAlign w:val="center"/>
            <w:hideMark/>
          </w:tcPr>
          <w:p w14:paraId="0480892B" w14:textId="77777777" w:rsidR="00793DFB" w:rsidRPr="00B219A4" w:rsidRDefault="00793DFB" w:rsidP="009F1C88">
            <w:pPr>
              <w:spacing w:after="0" w:line="240" w:lineRule="auto"/>
              <w:jc w:val="right"/>
              <w:rPr>
                <w:rFonts w:ascii="Arial" w:eastAsia="Times New Roman" w:hAnsi="Arial" w:cs="Arial"/>
                <w:color w:val="000000"/>
                <w:kern w:val="0"/>
                <w:sz w:val="20"/>
                <w:szCs w:val="20"/>
                <w:rtl/>
                <w14:ligatures w14:val="none"/>
              </w:rPr>
            </w:pPr>
            <w:r w:rsidRPr="00B219A4">
              <w:rPr>
                <w:rFonts w:ascii="Arial" w:eastAsia="Times New Roman" w:hAnsi="Arial" w:cs="Arial"/>
                <w:color w:val="000000"/>
                <w:kern w:val="0"/>
                <w:sz w:val="20"/>
                <w:szCs w:val="20"/>
                <w14:ligatures w14:val="none"/>
              </w:rPr>
              <w:t>0.129</w:t>
            </w:r>
          </w:p>
        </w:tc>
        <w:tc>
          <w:tcPr>
            <w:tcW w:w="958" w:type="dxa"/>
            <w:tcBorders>
              <w:top w:val="nil"/>
              <w:left w:val="single" w:sz="4" w:space="0" w:color="auto"/>
              <w:bottom w:val="single" w:sz="4" w:space="0" w:color="auto"/>
              <w:right w:val="single" w:sz="4" w:space="0" w:color="auto"/>
            </w:tcBorders>
            <w:vAlign w:val="center"/>
            <w:hideMark/>
          </w:tcPr>
          <w:p w14:paraId="521AD68A"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0.037</w:t>
            </w:r>
          </w:p>
        </w:tc>
        <w:tc>
          <w:tcPr>
            <w:tcW w:w="958" w:type="dxa"/>
            <w:tcBorders>
              <w:top w:val="nil"/>
              <w:left w:val="single" w:sz="4" w:space="0" w:color="auto"/>
              <w:bottom w:val="single" w:sz="4" w:space="0" w:color="auto"/>
              <w:right w:val="single" w:sz="4" w:space="0" w:color="auto"/>
            </w:tcBorders>
            <w:vAlign w:val="center"/>
            <w:hideMark/>
          </w:tcPr>
          <w:p w14:paraId="6AA55481"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0.152</w:t>
            </w:r>
          </w:p>
        </w:tc>
        <w:tc>
          <w:tcPr>
            <w:tcW w:w="958" w:type="dxa"/>
            <w:tcBorders>
              <w:top w:val="nil"/>
              <w:left w:val="single" w:sz="4" w:space="0" w:color="auto"/>
              <w:bottom w:val="single" w:sz="4" w:space="0" w:color="auto"/>
              <w:right w:val="single" w:sz="4" w:space="0" w:color="auto"/>
            </w:tcBorders>
            <w:vAlign w:val="center"/>
            <w:hideMark/>
          </w:tcPr>
          <w:p w14:paraId="63A7DA0A"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3.506</w:t>
            </w:r>
          </w:p>
        </w:tc>
        <w:tc>
          <w:tcPr>
            <w:tcW w:w="958" w:type="dxa"/>
            <w:tcBorders>
              <w:top w:val="nil"/>
              <w:left w:val="single" w:sz="4" w:space="0" w:color="auto"/>
              <w:bottom w:val="single" w:sz="4" w:space="0" w:color="auto"/>
              <w:right w:val="single" w:sz="4" w:space="0" w:color="auto"/>
            </w:tcBorders>
            <w:vAlign w:val="center"/>
            <w:hideMark/>
          </w:tcPr>
          <w:p w14:paraId="3964912B"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0.001</w:t>
            </w:r>
          </w:p>
        </w:tc>
        <w:tc>
          <w:tcPr>
            <w:tcW w:w="975" w:type="dxa"/>
            <w:tcBorders>
              <w:top w:val="nil"/>
              <w:left w:val="single" w:sz="4" w:space="0" w:color="auto"/>
              <w:bottom w:val="single" w:sz="4" w:space="0" w:color="auto"/>
              <w:right w:val="single" w:sz="4" w:space="0" w:color="auto"/>
            </w:tcBorders>
            <w:vAlign w:val="center"/>
            <w:hideMark/>
          </w:tcPr>
          <w:p w14:paraId="6221E8CC"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0.278</w:t>
            </w:r>
          </w:p>
        </w:tc>
        <w:tc>
          <w:tcPr>
            <w:tcW w:w="958" w:type="dxa"/>
            <w:tcBorders>
              <w:top w:val="nil"/>
              <w:left w:val="single" w:sz="4" w:space="0" w:color="auto"/>
              <w:bottom w:val="single" w:sz="4" w:space="0" w:color="auto"/>
              <w:right w:val="single" w:sz="8" w:space="0" w:color="auto"/>
            </w:tcBorders>
            <w:vAlign w:val="center"/>
            <w:hideMark/>
          </w:tcPr>
          <w:p w14:paraId="49ECD391"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3.591</w:t>
            </w:r>
          </w:p>
        </w:tc>
      </w:tr>
      <w:tr w:rsidR="00793DFB" w:rsidRPr="00B219A4" w14:paraId="02EB4B9D" w14:textId="77777777" w:rsidTr="009F1C88">
        <w:trPr>
          <w:trHeight w:val="528"/>
          <w:jc w:val="center"/>
        </w:trPr>
        <w:tc>
          <w:tcPr>
            <w:tcW w:w="957" w:type="dxa"/>
            <w:tcBorders>
              <w:top w:val="nil"/>
              <w:left w:val="single" w:sz="8" w:space="0" w:color="auto"/>
              <w:bottom w:val="single" w:sz="4" w:space="0" w:color="auto"/>
              <w:right w:val="single" w:sz="4" w:space="0" w:color="auto"/>
            </w:tcBorders>
            <w:vAlign w:val="center"/>
            <w:hideMark/>
          </w:tcPr>
          <w:p w14:paraId="6AE7CB86" w14:textId="77777777" w:rsidR="00793DFB" w:rsidRPr="00B219A4" w:rsidRDefault="00793DFB" w:rsidP="009F1C88">
            <w:pPr>
              <w:bidi/>
              <w:spacing w:after="0" w:line="240" w:lineRule="auto"/>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rtl/>
                <w14:ligatures w14:val="none"/>
              </w:rPr>
              <w:t>تقييم الأداء العادل</w:t>
            </w:r>
          </w:p>
        </w:tc>
        <w:tc>
          <w:tcPr>
            <w:tcW w:w="958" w:type="dxa"/>
            <w:tcBorders>
              <w:top w:val="nil"/>
              <w:left w:val="single" w:sz="4" w:space="0" w:color="auto"/>
              <w:bottom w:val="single" w:sz="4" w:space="0" w:color="auto"/>
              <w:right w:val="single" w:sz="4" w:space="0" w:color="auto"/>
            </w:tcBorders>
            <w:vAlign w:val="center"/>
            <w:hideMark/>
          </w:tcPr>
          <w:p w14:paraId="5977CCEA" w14:textId="77777777" w:rsidR="00793DFB" w:rsidRPr="00B219A4" w:rsidRDefault="00793DFB" w:rsidP="009F1C88">
            <w:pPr>
              <w:spacing w:after="0" w:line="240" w:lineRule="auto"/>
              <w:jc w:val="right"/>
              <w:rPr>
                <w:rFonts w:ascii="Arial" w:eastAsia="Times New Roman" w:hAnsi="Arial" w:cs="Arial"/>
                <w:color w:val="000000"/>
                <w:kern w:val="0"/>
                <w:sz w:val="20"/>
                <w:szCs w:val="20"/>
                <w:rtl/>
                <w14:ligatures w14:val="none"/>
              </w:rPr>
            </w:pPr>
            <w:r w:rsidRPr="00B219A4">
              <w:rPr>
                <w:rFonts w:ascii="Arial" w:eastAsia="Times New Roman" w:hAnsi="Arial" w:cs="Arial"/>
                <w:color w:val="000000"/>
                <w:kern w:val="0"/>
                <w:sz w:val="20"/>
                <w:szCs w:val="20"/>
                <w14:ligatures w14:val="none"/>
              </w:rPr>
              <w:t>0.113</w:t>
            </w:r>
          </w:p>
        </w:tc>
        <w:tc>
          <w:tcPr>
            <w:tcW w:w="958" w:type="dxa"/>
            <w:tcBorders>
              <w:top w:val="nil"/>
              <w:left w:val="single" w:sz="4" w:space="0" w:color="auto"/>
              <w:bottom w:val="single" w:sz="4" w:space="0" w:color="auto"/>
              <w:right w:val="single" w:sz="4" w:space="0" w:color="auto"/>
            </w:tcBorders>
            <w:vAlign w:val="center"/>
            <w:hideMark/>
          </w:tcPr>
          <w:p w14:paraId="63FD02F3"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0.038</w:t>
            </w:r>
          </w:p>
        </w:tc>
        <w:tc>
          <w:tcPr>
            <w:tcW w:w="958" w:type="dxa"/>
            <w:tcBorders>
              <w:top w:val="nil"/>
              <w:left w:val="single" w:sz="4" w:space="0" w:color="auto"/>
              <w:bottom w:val="single" w:sz="4" w:space="0" w:color="auto"/>
              <w:right w:val="single" w:sz="4" w:space="0" w:color="auto"/>
            </w:tcBorders>
            <w:vAlign w:val="center"/>
            <w:hideMark/>
          </w:tcPr>
          <w:p w14:paraId="7C670B3A"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0.119</w:t>
            </w:r>
          </w:p>
        </w:tc>
        <w:tc>
          <w:tcPr>
            <w:tcW w:w="958" w:type="dxa"/>
            <w:tcBorders>
              <w:top w:val="nil"/>
              <w:left w:val="single" w:sz="4" w:space="0" w:color="auto"/>
              <w:bottom w:val="single" w:sz="4" w:space="0" w:color="auto"/>
              <w:right w:val="single" w:sz="4" w:space="0" w:color="auto"/>
            </w:tcBorders>
            <w:vAlign w:val="center"/>
            <w:hideMark/>
          </w:tcPr>
          <w:p w14:paraId="18269FF1"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2.936</w:t>
            </w:r>
          </w:p>
        </w:tc>
        <w:tc>
          <w:tcPr>
            <w:tcW w:w="958" w:type="dxa"/>
            <w:tcBorders>
              <w:top w:val="nil"/>
              <w:left w:val="single" w:sz="4" w:space="0" w:color="auto"/>
              <w:bottom w:val="single" w:sz="4" w:space="0" w:color="auto"/>
              <w:right w:val="single" w:sz="4" w:space="0" w:color="auto"/>
            </w:tcBorders>
            <w:vAlign w:val="center"/>
            <w:hideMark/>
          </w:tcPr>
          <w:p w14:paraId="1CD29B5F"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0.004</w:t>
            </w:r>
          </w:p>
        </w:tc>
        <w:tc>
          <w:tcPr>
            <w:tcW w:w="975" w:type="dxa"/>
            <w:tcBorders>
              <w:top w:val="nil"/>
              <w:left w:val="single" w:sz="4" w:space="0" w:color="auto"/>
              <w:bottom w:val="single" w:sz="4" w:space="0" w:color="auto"/>
              <w:right w:val="single" w:sz="4" w:space="0" w:color="auto"/>
            </w:tcBorders>
            <w:vAlign w:val="center"/>
            <w:hideMark/>
          </w:tcPr>
          <w:p w14:paraId="569F558A"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0.32</w:t>
            </w:r>
          </w:p>
        </w:tc>
        <w:tc>
          <w:tcPr>
            <w:tcW w:w="958" w:type="dxa"/>
            <w:tcBorders>
              <w:top w:val="nil"/>
              <w:left w:val="single" w:sz="4" w:space="0" w:color="auto"/>
              <w:bottom w:val="single" w:sz="4" w:space="0" w:color="auto"/>
              <w:right w:val="single" w:sz="8" w:space="0" w:color="auto"/>
            </w:tcBorders>
            <w:vAlign w:val="center"/>
            <w:hideMark/>
          </w:tcPr>
          <w:p w14:paraId="39A17AA8"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3.127</w:t>
            </w:r>
          </w:p>
        </w:tc>
      </w:tr>
      <w:tr w:rsidR="00793DFB" w:rsidRPr="00B219A4" w14:paraId="468C30E8" w14:textId="77777777" w:rsidTr="009F1C88">
        <w:trPr>
          <w:trHeight w:val="540"/>
          <w:jc w:val="center"/>
        </w:trPr>
        <w:tc>
          <w:tcPr>
            <w:tcW w:w="957" w:type="dxa"/>
            <w:tcBorders>
              <w:top w:val="nil"/>
              <w:left w:val="single" w:sz="8" w:space="0" w:color="auto"/>
              <w:bottom w:val="single" w:sz="8" w:space="0" w:color="auto"/>
              <w:right w:val="single" w:sz="4" w:space="0" w:color="auto"/>
            </w:tcBorders>
            <w:vAlign w:val="center"/>
            <w:hideMark/>
          </w:tcPr>
          <w:p w14:paraId="17C06B94" w14:textId="77777777" w:rsidR="00793DFB" w:rsidRPr="00B219A4" w:rsidRDefault="00793DFB" w:rsidP="009F1C88">
            <w:pPr>
              <w:bidi/>
              <w:spacing w:after="0" w:line="240" w:lineRule="auto"/>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rtl/>
                <w14:ligatures w14:val="none"/>
              </w:rPr>
              <w:t>تمكين الموظفين</w:t>
            </w:r>
          </w:p>
        </w:tc>
        <w:tc>
          <w:tcPr>
            <w:tcW w:w="958" w:type="dxa"/>
            <w:tcBorders>
              <w:top w:val="nil"/>
              <w:left w:val="single" w:sz="4" w:space="0" w:color="auto"/>
              <w:bottom w:val="single" w:sz="8" w:space="0" w:color="auto"/>
              <w:right w:val="single" w:sz="4" w:space="0" w:color="auto"/>
            </w:tcBorders>
            <w:vAlign w:val="center"/>
            <w:hideMark/>
          </w:tcPr>
          <w:p w14:paraId="4BEBC051" w14:textId="77777777" w:rsidR="00793DFB" w:rsidRPr="00B219A4" w:rsidRDefault="00793DFB" w:rsidP="009F1C88">
            <w:pPr>
              <w:spacing w:after="0" w:line="240" w:lineRule="auto"/>
              <w:jc w:val="right"/>
              <w:rPr>
                <w:rFonts w:ascii="Arial" w:eastAsia="Times New Roman" w:hAnsi="Arial" w:cs="Arial"/>
                <w:color w:val="000000"/>
                <w:kern w:val="0"/>
                <w:sz w:val="20"/>
                <w:szCs w:val="20"/>
                <w:rtl/>
                <w14:ligatures w14:val="none"/>
              </w:rPr>
            </w:pPr>
            <w:r w:rsidRPr="00B219A4">
              <w:rPr>
                <w:rFonts w:ascii="Arial" w:eastAsia="Times New Roman" w:hAnsi="Arial" w:cs="Arial"/>
                <w:color w:val="000000"/>
                <w:kern w:val="0"/>
                <w:sz w:val="20"/>
                <w:szCs w:val="20"/>
                <w14:ligatures w14:val="none"/>
              </w:rPr>
              <w:t>0.348</w:t>
            </w:r>
          </w:p>
        </w:tc>
        <w:tc>
          <w:tcPr>
            <w:tcW w:w="958" w:type="dxa"/>
            <w:tcBorders>
              <w:top w:val="nil"/>
              <w:left w:val="single" w:sz="4" w:space="0" w:color="auto"/>
              <w:bottom w:val="single" w:sz="8" w:space="0" w:color="auto"/>
              <w:right w:val="single" w:sz="4" w:space="0" w:color="auto"/>
            </w:tcBorders>
            <w:vAlign w:val="center"/>
            <w:hideMark/>
          </w:tcPr>
          <w:p w14:paraId="2E3DD312"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0.049</w:t>
            </w:r>
          </w:p>
        </w:tc>
        <w:tc>
          <w:tcPr>
            <w:tcW w:w="958" w:type="dxa"/>
            <w:tcBorders>
              <w:top w:val="nil"/>
              <w:left w:val="single" w:sz="4" w:space="0" w:color="auto"/>
              <w:bottom w:val="single" w:sz="8" w:space="0" w:color="auto"/>
              <w:right w:val="single" w:sz="4" w:space="0" w:color="auto"/>
            </w:tcBorders>
            <w:vAlign w:val="center"/>
            <w:hideMark/>
          </w:tcPr>
          <w:p w14:paraId="14D725BE"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0.375</w:t>
            </w:r>
          </w:p>
        </w:tc>
        <w:tc>
          <w:tcPr>
            <w:tcW w:w="958" w:type="dxa"/>
            <w:tcBorders>
              <w:top w:val="nil"/>
              <w:left w:val="single" w:sz="4" w:space="0" w:color="auto"/>
              <w:bottom w:val="single" w:sz="8" w:space="0" w:color="auto"/>
              <w:right w:val="single" w:sz="4" w:space="0" w:color="auto"/>
            </w:tcBorders>
            <w:vAlign w:val="center"/>
            <w:hideMark/>
          </w:tcPr>
          <w:p w14:paraId="1CCFB973"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7.119</w:t>
            </w:r>
          </w:p>
        </w:tc>
        <w:tc>
          <w:tcPr>
            <w:tcW w:w="958" w:type="dxa"/>
            <w:tcBorders>
              <w:top w:val="nil"/>
              <w:left w:val="single" w:sz="4" w:space="0" w:color="auto"/>
              <w:bottom w:val="single" w:sz="8" w:space="0" w:color="auto"/>
              <w:right w:val="single" w:sz="4" w:space="0" w:color="auto"/>
            </w:tcBorders>
            <w:vAlign w:val="center"/>
            <w:hideMark/>
          </w:tcPr>
          <w:p w14:paraId="680A38EE"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w:t>
            </w:r>
          </w:p>
        </w:tc>
        <w:tc>
          <w:tcPr>
            <w:tcW w:w="975" w:type="dxa"/>
            <w:tcBorders>
              <w:top w:val="nil"/>
              <w:left w:val="single" w:sz="4" w:space="0" w:color="auto"/>
              <w:bottom w:val="single" w:sz="8" w:space="0" w:color="auto"/>
              <w:right w:val="single" w:sz="4" w:space="0" w:color="auto"/>
            </w:tcBorders>
            <w:vAlign w:val="center"/>
            <w:hideMark/>
          </w:tcPr>
          <w:p w14:paraId="6B36FF97"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0.189</w:t>
            </w:r>
          </w:p>
        </w:tc>
        <w:tc>
          <w:tcPr>
            <w:tcW w:w="958" w:type="dxa"/>
            <w:tcBorders>
              <w:top w:val="nil"/>
              <w:left w:val="single" w:sz="4" w:space="0" w:color="auto"/>
              <w:bottom w:val="single" w:sz="8" w:space="0" w:color="auto"/>
              <w:right w:val="single" w:sz="8" w:space="0" w:color="auto"/>
            </w:tcBorders>
            <w:vAlign w:val="center"/>
            <w:hideMark/>
          </w:tcPr>
          <w:p w14:paraId="37F82ABC" w14:textId="77777777" w:rsidR="00793DFB" w:rsidRPr="00B219A4" w:rsidRDefault="00793DFB" w:rsidP="009F1C88">
            <w:pPr>
              <w:spacing w:after="0" w:line="240" w:lineRule="auto"/>
              <w:jc w:val="right"/>
              <w:rPr>
                <w:rFonts w:ascii="Arial" w:eastAsia="Times New Roman" w:hAnsi="Arial" w:cs="Arial"/>
                <w:color w:val="000000"/>
                <w:kern w:val="0"/>
                <w:sz w:val="20"/>
                <w:szCs w:val="20"/>
                <w14:ligatures w14:val="none"/>
              </w:rPr>
            </w:pPr>
            <w:r w:rsidRPr="00B219A4">
              <w:rPr>
                <w:rFonts w:ascii="Arial" w:eastAsia="Times New Roman" w:hAnsi="Arial" w:cs="Arial"/>
                <w:color w:val="000000"/>
                <w:kern w:val="0"/>
                <w:sz w:val="20"/>
                <w:szCs w:val="20"/>
                <w14:ligatures w14:val="none"/>
              </w:rPr>
              <w:t>5.292</w:t>
            </w:r>
          </w:p>
        </w:tc>
      </w:tr>
    </w:tbl>
    <w:p w14:paraId="0B3D207B" w14:textId="77777777" w:rsidR="00793DFB" w:rsidRPr="00BE7FFB" w:rsidRDefault="00793DFB" w:rsidP="00793DFB">
      <w:pPr>
        <w:bidi/>
        <w:rPr>
          <w:rtl/>
          <w:lang w:bidi="ar-EG"/>
        </w:rPr>
      </w:pPr>
    </w:p>
    <w:p w14:paraId="4313CD40" w14:textId="77777777" w:rsidR="00793DFB" w:rsidRPr="00BE7FFB" w:rsidRDefault="00793DFB" w:rsidP="00793DFB">
      <w:pPr>
        <w:bidi/>
        <w:rPr>
          <w:b/>
          <w:bCs/>
        </w:rPr>
      </w:pPr>
      <w:r w:rsidRPr="00BE7FFB">
        <w:rPr>
          <w:b/>
          <w:bCs/>
          <w:rtl/>
        </w:rPr>
        <w:t>أولاً: تأثير التوظيف الانتقائي على الأداء الإبداعي</w:t>
      </w:r>
    </w:p>
    <w:p w14:paraId="69B5DD6D" w14:textId="77777777" w:rsidR="00793DFB" w:rsidRPr="00BE7FFB" w:rsidRDefault="00793DFB" w:rsidP="00793DFB">
      <w:pPr>
        <w:bidi/>
        <w:rPr>
          <w:b/>
          <w:bCs/>
        </w:rPr>
      </w:pPr>
      <w:proofErr w:type="gramStart"/>
      <w:r w:rsidRPr="00BE7FFB">
        <w:rPr>
          <w:b/>
          <w:bCs/>
          <w:rtl/>
        </w:rPr>
        <w:t>جدول</w:t>
      </w:r>
      <w:r>
        <w:rPr>
          <w:rFonts w:hint="cs"/>
          <w:b/>
          <w:bCs/>
          <w:rtl/>
        </w:rPr>
        <w:t>(</w:t>
      </w:r>
      <w:proofErr w:type="gramEnd"/>
      <w:r>
        <w:rPr>
          <w:rFonts w:hint="cs"/>
          <w:b/>
          <w:bCs/>
          <w:rtl/>
        </w:rPr>
        <w:t>4-9):</w:t>
      </w:r>
      <w:r w:rsidRPr="00BE7FFB">
        <w:rPr>
          <w:b/>
          <w:bCs/>
        </w:rPr>
        <w:t xml:space="preserve"> </w:t>
      </w:r>
      <w:r w:rsidRPr="00BE7FFB">
        <w:rPr>
          <w:b/>
          <w:bCs/>
          <w:rtl/>
        </w:rPr>
        <w:t>نتائج اختبار تأثير التوظيف الانتقائي</w:t>
      </w:r>
    </w:p>
    <w:tbl>
      <w:tblPr>
        <w:bidiVisual/>
        <w:tblW w:w="7791" w:type="dxa"/>
        <w:jc w:val="center"/>
        <w:tblLook w:val="04A0" w:firstRow="1" w:lastRow="0" w:firstColumn="1" w:lastColumn="0" w:noHBand="0" w:noVBand="1"/>
      </w:tblPr>
      <w:tblGrid>
        <w:gridCol w:w="1044"/>
        <w:gridCol w:w="935"/>
        <w:gridCol w:w="935"/>
        <w:gridCol w:w="935"/>
        <w:gridCol w:w="927"/>
        <w:gridCol w:w="927"/>
        <w:gridCol w:w="1161"/>
        <w:gridCol w:w="927"/>
      </w:tblGrid>
      <w:tr w:rsidR="00793DFB" w:rsidRPr="00390784" w14:paraId="264339F4" w14:textId="77777777" w:rsidTr="009F1C88">
        <w:trPr>
          <w:trHeight w:val="528"/>
          <w:jc w:val="center"/>
        </w:trPr>
        <w:tc>
          <w:tcPr>
            <w:tcW w:w="1044" w:type="dxa"/>
            <w:tcBorders>
              <w:top w:val="single" w:sz="8" w:space="0" w:color="auto"/>
              <w:left w:val="single" w:sz="8" w:space="0" w:color="auto"/>
              <w:bottom w:val="single" w:sz="4" w:space="0" w:color="auto"/>
              <w:right w:val="single" w:sz="4" w:space="0" w:color="auto"/>
            </w:tcBorders>
            <w:vAlign w:val="center"/>
            <w:hideMark/>
          </w:tcPr>
          <w:p w14:paraId="00FC7BE3" w14:textId="77777777" w:rsidR="00793DFB" w:rsidRPr="00390784"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390784">
              <w:rPr>
                <w:rFonts w:ascii="Arial" w:eastAsia="Times New Roman" w:hAnsi="Arial" w:cs="Arial"/>
                <w:b/>
                <w:bCs/>
                <w:color w:val="000000"/>
                <w:kern w:val="0"/>
                <w:sz w:val="20"/>
                <w:szCs w:val="20"/>
                <w:rtl/>
                <w14:ligatures w14:val="none"/>
              </w:rPr>
              <w:lastRenderedPageBreak/>
              <w:t>المتغير</w:t>
            </w:r>
          </w:p>
        </w:tc>
        <w:tc>
          <w:tcPr>
            <w:tcW w:w="935" w:type="dxa"/>
            <w:tcBorders>
              <w:top w:val="single" w:sz="8" w:space="0" w:color="auto"/>
              <w:left w:val="single" w:sz="4" w:space="0" w:color="auto"/>
              <w:bottom w:val="single" w:sz="4" w:space="0" w:color="auto"/>
              <w:right w:val="single" w:sz="4" w:space="0" w:color="auto"/>
            </w:tcBorders>
            <w:vAlign w:val="center"/>
            <w:hideMark/>
          </w:tcPr>
          <w:p w14:paraId="71296C68" w14:textId="77777777" w:rsidR="00793DFB" w:rsidRPr="00390784"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390784">
              <w:rPr>
                <w:rFonts w:ascii="Arial" w:eastAsia="Times New Roman" w:hAnsi="Arial" w:cs="Arial"/>
                <w:b/>
                <w:bCs/>
                <w:color w:val="000000"/>
                <w:kern w:val="0"/>
                <w:sz w:val="20"/>
                <w:szCs w:val="20"/>
                <w14:ligatures w14:val="none"/>
              </w:rPr>
              <w:t xml:space="preserve">B </w:t>
            </w:r>
            <w:r w:rsidRPr="00390784">
              <w:rPr>
                <w:rFonts w:ascii="Arial" w:eastAsia="Times New Roman" w:hAnsi="Arial" w:cs="Arial"/>
                <w:b/>
                <w:bCs/>
                <w:color w:val="000000"/>
                <w:kern w:val="0"/>
                <w:sz w:val="20"/>
                <w:szCs w:val="20"/>
                <w:rtl/>
                <w14:ligatures w14:val="none"/>
              </w:rPr>
              <w:t>غير المعياري</w:t>
            </w:r>
          </w:p>
        </w:tc>
        <w:tc>
          <w:tcPr>
            <w:tcW w:w="935" w:type="dxa"/>
            <w:tcBorders>
              <w:top w:val="single" w:sz="8" w:space="0" w:color="auto"/>
              <w:left w:val="single" w:sz="4" w:space="0" w:color="auto"/>
              <w:bottom w:val="single" w:sz="4" w:space="0" w:color="auto"/>
              <w:right w:val="single" w:sz="4" w:space="0" w:color="auto"/>
            </w:tcBorders>
            <w:vAlign w:val="center"/>
            <w:hideMark/>
          </w:tcPr>
          <w:p w14:paraId="5D30D3C8" w14:textId="77777777" w:rsidR="00793DFB" w:rsidRPr="00390784"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390784">
              <w:rPr>
                <w:rFonts w:ascii="Arial" w:eastAsia="Times New Roman" w:hAnsi="Arial" w:cs="Arial"/>
                <w:b/>
                <w:bCs/>
                <w:color w:val="000000"/>
                <w:kern w:val="0"/>
                <w:sz w:val="20"/>
                <w:szCs w:val="20"/>
                <w:rtl/>
                <w14:ligatures w14:val="none"/>
              </w:rPr>
              <w:t>الخطأ المعياري</w:t>
            </w:r>
          </w:p>
        </w:tc>
        <w:tc>
          <w:tcPr>
            <w:tcW w:w="935" w:type="dxa"/>
            <w:tcBorders>
              <w:top w:val="single" w:sz="8" w:space="0" w:color="auto"/>
              <w:left w:val="single" w:sz="4" w:space="0" w:color="auto"/>
              <w:bottom w:val="single" w:sz="4" w:space="0" w:color="auto"/>
              <w:right w:val="single" w:sz="4" w:space="0" w:color="auto"/>
            </w:tcBorders>
            <w:vAlign w:val="center"/>
            <w:hideMark/>
          </w:tcPr>
          <w:p w14:paraId="35398ABB" w14:textId="77777777" w:rsidR="00793DFB" w:rsidRPr="00390784"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390784">
              <w:rPr>
                <w:rFonts w:ascii="Arial" w:eastAsia="Times New Roman" w:hAnsi="Arial" w:cs="Arial"/>
                <w:b/>
                <w:bCs/>
                <w:color w:val="000000"/>
                <w:kern w:val="0"/>
                <w:sz w:val="20"/>
                <w:szCs w:val="20"/>
                <w14:ligatures w14:val="none"/>
              </w:rPr>
              <w:t xml:space="preserve">Beta </w:t>
            </w:r>
            <w:r w:rsidRPr="00390784">
              <w:rPr>
                <w:rFonts w:ascii="Arial" w:eastAsia="Times New Roman" w:hAnsi="Arial" w:cs="Arial"/>
                <w:b/>
                <w:bCs/>
                <w:color w:val="000000"/>
                <w:kern w:val="0"/>
                <w:sz w:val="20"/>
                <w:szCs w:val="20"/>
                <w:rtl/>
                <w14:ligatures w14:val="none"/>
              </w:rPr>
              <w:t>المعياري</w:t>
            </w:r>
          </w:p>
        </w:tc>
        <w:tc>
          <w:tcPr>
            <w:tcW w:w="927" w:type="dxa"/>
            <w:tcBorders>
              <w:top w:val="single" w:sz="8" w:space="0" w:color="auto"/>
              <w:left w:val="single" w:sz="4" w:space="0" w:color="auto"/>
              <w:bottom w:val="single" w:sz="4" w:space="0" w:color="auto"/>
              <w:right w:val="single" w:sz="4" w:space="0" w:color="auto"/>
            </w:tcBorders>
            <w:vAlign w:val="center"/>
            <w:hideMark/>
          </w:tcPr>
          <w:p w14:paraId="7B8BF10F" w14:textId="77777777" w:rsidR="00793DFB" w:rsidRPr="00390784"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390784">
              <w:rPr>
                <w:rFonts w:ascii="Arial" w:eastAsia="Times New Roman" w:hAnsi="Arial" w:cs="Arial"/>
                <w:b/>
                <w:bCs/>
                <w:color w:val="000000"/>
                <w:kern w:val="0"/>
                <w:sz w:val="20"/>
                <w:szCs w:val="20"/>
                <w:rtl/>
                <w14:ligatures w14:val="none"/>
              </w:rPr>
              <w:t xml:space="preserve">قيمة </w:t>
            </w:r>
            <w:r w:rsidRPr="00390784">
              <w:rPr>
                <w:rFonts w:ascii="Arial" w:eastAsia="Times New Roman" w:hAnsi="Arial" w:cs="Arial"/>
                <w:b/>
                <w:bCs/>
                <w:color w:val="000000"/>
                <w:kern w:val="0"/>
                <w:sz w:val="20"/>
                <w:szCs w:val="20"/>
                <w14:ligatures w14:val="none"/>
              </w:rPr>
              <w:t>t</w:t>
            </w:r>
          </w:p>
        </w:tc>
        <w:tc>
          <w:tcPr>
            <w:tcW w:w="927" w:type="dxa"/>
            <w:tcBorders>
              <w:top w:val="single" w:sz="8" w:space="0" w:color="auto"/>
              <w:left w:val="single" w:sz="4" w:space="0" w:color="auto"/>
              <w:bottom w:val="single" w:sz="4" w:space="0" w:color="auto"/>
              <w:right w:val="single" w:sz="4" w:space="0" w:color="auto"/>
            </w:tcBorders>
            <w:vAlign w:val="center"/>
            <w:hideMark/>
          </w:tcPr>
          <w:p w14:paraId="42ABD771" w14:textId="77777777" w:rsidR="00793DFB" w:rsidRPr="00390784" w:rsidRDefault="00793DFB" w:rsidP="009F1C88">
            <w:pPr>
              <w:bidi/>
              <w:spacing w:after="0" w:line="240" w:lineRule="auto"/>
              <w:jc w:val="center"/>
              <w:rPr>
                <w:rFonts w:ascii="Arial" w:eastAsia="Times New Roman" w:hAnsi="Arial" w:cs="Arial"/>
                <w:b/>
                <w:bCs/>
                <w:color w:val="000000"/>
                <w:kern w:val="0"/>
                <w:sz w:val="20"/>
                <w:szCs w:val="20"/>
                <w:rtl/>
                <w14:ligatures w14:val="none"/>
              </w:rPr>
            </w:pPr>
            <w:r w:rsidRPr="00390784">
              <w:rPr>
                <w:rFonts w:ascii="Arial" w:eastAsia="Times New Roman" w:hAnsi="Arial" w:cs="Arial"/>
                <w:b/>
                <w:bCs/>
                <w:color w:val="000000"/>
                <w:kern w:val="0"/>
                <w:sz w:val="20"/>
                <w:szCs w:val="20"/>
                <w:rtl/>
                <w14:ligatures w14:val="none"/>
              </w:rPr>
              <w:t xml:space="preserve">مستوى الدلالة </w:t>
            </w:r>
            <w:r w:rsidRPr="00390784">
              <w:rPr>
                <w:rFonts w:ascii="Arial" w:eastAsia="Times New Roman" w:hAnsi="Arial" w:cs="Arial"/>
                <w:b/>
                <w:bCs/>
                <w:color w:val="000000"/>
                <w:kern w:val="0"/>
                <w:sz w:val="20"/>
                <w:szCs w:val="20"/>
                <w14:ligatures w14:val="none"/>
              </w:rPr>
              <w:t>Sig</w:t>
            </w:r>
          </w:p>
        </w:tc>
        <w:tc>
          <w:tcPr>
            <w:tcW w:w="1161" w:type="dxa"/>
            <w:tcBorders>
              <w:top w:val="single" w:sz="8" w:space="0" w:color="auto"/>
              <w:left w:val="single" w:sz="4" w:space="0" w:color="auto"/>
              <w:bottom w:val="single" w:sz="4" w:space="0" w:color="auto"/>
              <w:right w:val="single" w:sz="4" w:space="0" w:color="auto"/>
            </w:tcBorders>
            <w:vAlign w:val="center"/>
            <w:hideMark/>
          </w:tcPr>
          <w:p w14:paraId="5574E1CA" w14:textId="77777777" w:rsidR="00793DFB" w:rsidRPr="00390784"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390784">
              <w:rPr>
                <w:rFonts w:ascii="Arial" w:eastAsia="Times New Roman" w:hAnsi="Arial" w:cs="Arial"/>
                <w:b/>
                <w:bCs/>
                <w:color w:val="000000"/>
                <w:kern w:val="0"/>
                <w:sz w:val="20"/>
                <w:szCs w:val="20"/>
                <w14:ligatures w14:val="none"/>
              </w:rPr>
              <w:t>Tolerance</w:t>
            </w:r>
          </w:p>
        </w:tc>
        <w:tc>
          <w:tcPr>
            <w:tcW w:w="927" w:type="dxa"/>
            <w:tcBorders>
              <w:top w:val="single" w:sz="8" w:space="0" w:color="auto"/>
              <w:left w:val="single" w:sz="4" w:space="0" w:color="auto"/>
              <w:bottom w:val="single" w:sz="4" w:space="0" w:color="auto"/>
              <w:right w:val="single" w:sz="8" w:space="0" w:color="auto"/>
            </w:tcBorders>
            <w:vAlign w:val="center"/>
            <w:hideMark/>
          </w:tcPr>
          <w:p w14:paraId="0006F720" w14:textId="77777777" w:rsidR="00793DFB" w:rsidRPr="00390784" w:rsidRDefault="00793DFB" w:rsidP="009F1C88">
            <w:pPr>
              <w:spacing w:after="0" w:line="240" w:lineRule="auto"/>
              <w:jc w:val="center"/>
              <w:rPr>
                <w:rFonts w:ascii="Arial" w:eastAsia="Times New Roman" w:hAnsi="Arial" w:cs="Arial"/>
                <w:b/>
                <w:bCs/>
                <w:color w:val="000000"/>
                <w:kern w:val="0"/>
                <w:sz w:val="20"/>
                <w:szCs w:val="20"/>
                <w14:ligatures w14:val="none"/>
              </w:rPr>
            </w:pPr>
            <w:r w:rsidRPr="00390784">
              <w:rPr>
                <w:rFonts w:ascii="Arial" w:eastAsia="Times New Roman" w:hAnsi="Arial" w:cs="Arial"/>
                <w:b/>
                <w:bCs/>
                <w:color w:val="000000"/>
                <w:kern w:val="0"/>
                <w:sz w:val="20"/>
                <w:szCs w:val="20"/>
                <w14:ligatures w14:val="none"/>
              </w:rPr>
              <w:t>VIF</w:t>
            </w:r>
          </w:p>
        </w:tc>
      </w:tr>
      <w:tr w:rsidR="00793DFB" w:rsidRPr="00390784" w14:paraId="11DCF925" w14:textId="77777777" w:rsidTr="009F1C88">
        <w:trPr>
          <w:trHeight w:val="540"/>
          <w:jc w:val="center"/>
        </w:trPr>
        <w:tc>
          <w:tcPr>
            <w:tcW w:w="1044" w:type="dxa"/>
            <w:tcBorders>
              <w:top w:val="nil"/>
              <w:left w:val="single" w:sz="8" w:space="0" w:color="auto"/>
              <w:bottom w:val="single" w:sz="8" w:space="0" w:color="auto"/>
              <w:right w:val="single" w:sz="4" w:space="0" w:color="auto"/>
            </w:tcBorders>
            <w:vAlign w:val="center"/>
            <w:hideMark/>
          </w:tcPr>
          <w:p w14:paraId="7C130960" w14:textId="77777777" w:rsidR="00793DFB" w:rsidRPr="00390784" w:rsidRDefault="00793DFB" w:rsidP="009F1C88">
            <w:pPr>
              <w:bidi/>
              <w:spacing w:after="0" w:line="240" w:lineRule="auto"/>
              <w:rPr>
                <w:rFonts w:ascii="Arial" w:eastAsia="Times New Roman" w:hAnsi="Arial" w:cs="Arial"/>
                <w:color w:val="000000"/>
                <w:kern w:val="0"/>
                <w:sz w:val="20"/>
                <w:szCs w:val="20"/>
                <w14:ligatures w14:val="none"/>
              </w:rPr>
            </w:pPr>
            <w:r w:rsidRPr="00390784">
              <w:rPr>
                <w:rFonts w:ascii="Arial" w:eastAsia="Times New Roman" w:hAnsi="Arial" w:cs="Arial"/>
                <w:color w:val="000000"/>
                <w:kern w:val="0"/>
                <w:sz w:val="20"/>
                <w:szCs w:val="20"/>
                <w:rtl/>
                <w14:ligatures w14:val="none"/>
              </w:rPr>
              <w:t>التوظيف الانتقائي</w:t>
            </w:r>
          </w:p>
        </w:tc>
        <w:tc>
          <w:tcPr>
            <w:tcW w:w="935" w:type="dxa"/>
            <w:tcBorders>
              <w:top w:val="nil"/>
              <w:left w:val="single" w:sz="4" w:space="0" w:color="auto"/>
              <w:bottom w:val="single" w:sz="8" w:space="0" w:color="auto"/>
              <w:right w:val="single" w:sz="4" w:space="0" w:color="auto"/>
            </w:tcBorders>
            <w:vAlign w:val="center"/>
            <w:hideMark/>
          </w:tcPr>
          <w:p w14:paraId="015B9726" w14:textId="77777777" w:rsidR="00793DFB" w:rsidRPr="00390784" w:rsidRDefault="00793DFB" w:rsidP="009F1C88">
            <w:pPr>
              <w:spacing w:after="0" w:line="240" w:lineRule="auto"/>
              <w:jc w:val="right"/>
              <w:rPr>
                <w:rFonts w:ascii="Arial" w:eastAsia="Times New Roman" w:hAnsi="Arial" w:cs="Arial"/>
                <w:color w:val="000000"/>
                <w:kern w:val="0"/>
                <w:sz w:val="20"/>
                <w:szCs w:val="20"/>
                <w:rtl/>
                <w14:ligatures w14:val="none"/>
              </w:rPr>
            </w:pPr>
            <w:r w:rsidRPr="00390784">
              <w:rPr>
                <w:rFonts w:ascii="Arial" w:eastAsia="Times New Roman" w:hAnsi="Arial" w:cs="Arial"/>
                <w:color w:val="000000"/>
                <w:kern w:val="0"/>
                <w:sz w:val="20"/>
                <w:szCs w:val="20"/>
                <w14:ligatures w14:val="none"/>
              </w:rPr>
              <w:t>0.019</w:t>
            </w:r>
          </w:p>
        </w:tc>
        <w:tc>
          <w:tcPr>
            <w:tcW w:w="935" w:type="dxa"/>
            <w:tcBorders>
              <w:top w:val="nil"/>
              <w:left w:val="single" w:sz="4" w:space="0" w:color="auto"/>
              <w:bottom w:val="single" w:sz="8" w:space="0" w:color="auto"/>
              <w:right w:val="single" w:sz="4" w:space="0" w:color="auto"/>
            </w:tcBorders>
            <w:vAlign w:val="center"/>
            <w:hideMark/>
          </w:tcPr>
          <w:p w14:paraId="31C2363E" w14:textId="77777777" w:rsidR="00793DFB" w:rsidRPr="00390784" w:rsidRDefault="00793DFB" w:rsidP="009F1C88">
            <w:pPr>
              <w:spacing w:after="0" w:line="240" w:lineRule="auto"/>
              <w:jc w:val="right"/>
              <w:rPr>
                <w:rFonts w:ascii="Arial" w:eastAsia="Times New Roman" w:hAnsi="Arial" w:cs="Arial"/>
                <w:color w:val="000000"/>
                <w:kern w:val="0"/>
                <w:sz w:val="20"/>
                <w:szCs w:val="20"/>
                <w14:ligatures w14:val="none"/>
              </w:rPr>
            </w:pPr>
            <w:r w:rsidRPr="00390784">
              <w:rPr>
                <w:rFonts w:ascii="Arial" w:eastAsia="Times New Roman" w:hAnsi="Arial" w:cs="Arial"/>
                <w:color w:val="000000"/>
                <w:kern w:val="0"/>
                <w:sz w:val="20"/>
                <w:szCs w:val="20"/>
                <w14:ligatures w14:val="none"/>
              </w:rPr>
              <w:t>0.039</w:t>
            </w:r>
          </w:p>
        </w:tc>
        <w:tc>
          <w:tcPr>
            <w:tcW w:w="935" w:type="dxa"/>
            <w:tcBorders>
              <w:top w:val="nil"/>
              <w:left w:val="single" w:sz="4" w:space="0" w:color="auto"/>
              <w:bottom w:val="single" w:sz="8" w:space="0" w:color="auto"/>
              <w:right w:val="single" w:sz="4" w:space="0" w:color="auto"/>
            </w:tcBorders>
            <w:vAlign w:val="center"/>
            <w:hideMark/>
          </w:tcPr>
          <w:p w14:paraId="02A7AD2A" w14:textId="77777777" w:rsidR="00793DFB" w:rsidRPr="00390784" w:rsidRDefault="00793DFB" w:rsidP="009F1C88">
            <w:pPr>
              <w:spacing w:after="0" w:line="240" w:lineRule="auto"/>
              <w:jc w:val="right"/>
              <w:rPr>
                <w:rFonts w:ascii="Arial" w:eastAsia="Times New Roman" w:hAnsi="Arial" w:cs="Arial"/>
                <w:color w:val="000000"/>
                <w:kern w:val="0"/>
                <w:sz w:val="20"/>
                <w:szCs w:val="20"/>
                <w14:ligatures w14:val="none"/>
              </w:rPr>
            </w:pPr>
            <w:r w:rsidRPr="00390784">
              <w:rPr>
                <w:rFonts w:ascii="Arial" w:eastAsia="Times New Roman" w:hAnsi="Arial" w:cs="Arial"/>
                <w:color w:val="000000"/>
                <w:kern w:val="0"/>
                <w:sz w:val="20"/>
                <w:szCs w:val="20"/>
                <w14:ligatures w14:val="none"/>
              </w:rPr>
              <w:t>0.024</w:t>
            </w:r>
          </w:p>
        </w:tc>
        <w:tc>
          <w:tcPr>
            <w:tcW w:w="927" w:type="dxa"/>
            <w:tcBorders>
              <w:top w:val="nil"/>
              <w:left w:val="single" w:sz="4" w:space="0" w:color="auto"/>
              <w:bottom w:val="single" w:sz="8" w:space="0" w:color="auto"/>
              <w:right w:val="single" w:sz="4" w:space="0" w:color="auto"/>
            </w:tcBorders>
            <w:vAlign w:val="center"/>
            <w:hideMark/>
          </w:tcPr>
          <w:p w14:paraId="75AACB8E" w14:textId="77777777" w:rsidR="00793DFB" w:rsidRPr="00390784" w:rsidRDefault="00793DFB" w:rsidP="009F1C88">
            <w:pPr>
              <w:spacing w:after="0" w:line="240" w:lineRule="auto"/>
              <w:jc w:val="right"/>
              <w:rPr>
                <w:rFonts w:ascii="Arial" w:eastAsia="Times New Roman" w:hAnsi="Arial" w:cs="Arial"/>
                <w:color w:val="000000"/>
                <w:kern w:val="0"/>
                <w:sz w:val="20"/>
                <w:szCs w:val="20"/>
                <w14:ligatures w14:val="none"/>
              </w:rPr>
            </w:pPr>
            <w:r w:rsidRPr="00390784">
              <w:rPr>
                <w:rFonts w:ascii="Arial" w:eastAsia="Times New Roman" w:hAnsi="Arial" w:cs="Arial"/>
                <w:color w:val="000000"/>
                <w:kern w:val="0"/>
                <w:sz w:val="20"/>
                <w:szCs w:val="20"/>
                <w14:ligatures w14:val="none"/>
              </w:rPr>
              <w:t>0.483</w:t>
            </w:r>
          </w:p>
        </w:tc>
        <w:tc>
          <w:tcPr>
            <w:tcW w:w="927" w:type="dxa"/>
            <w:tcBorders>
              <w:top w:val="nil"/>
              <w:left w:val="single" w:sz="4" w:space="0" w:color="auto"/>
              <w:bottom w:val="single" w:sz="8" w:space="0" w:color="auto"/>
              <w:right w:val="single" w:sz="4" w:space="0" w:color="auto"/>
            </w:tcBorders>
            <w:vAlign w:val="center"/>
            <w:hideMark/>
          </w:tcPr>
          <w:p w14:paraId="344FFDFD" w14:textId="77777777" w:rsidR="00793DFB" w:rsidRPr="00390784" w:rsidRDefault="00793DFB" w:rsidP="009F1C88">
            <w:pPr>
              <w:spacing w:after="0" w:line="240" w:lineRule="auto"/>
              <w:jc w:val="right"/>
              <w:rPr>
                <w:rFonts w:ascii="Arial" w:eastAsia="Times New Roman" w:hAnsi="Arial" w:cs="Arial"/>
                <w:color w:val="000000"/>
                <w:kern w:val="0"/>
                <w:sz w:val="20"/>
                <w:szCs w:val="20"/>
                <w14:ligatures w14:val="none"/>
              </w:rPr>
            </w:pPr>
            <w:r w:rsidRPr="00390784">
              <w:rPr>
                <w:rFonts w:ascii="Arial" w:eastAsia="Times New Roman" w:hAnsi="Arial" w:cs="Arial"/>
                <w:color w:val="000000"/>
                <w:kern w:val="0"/>
                <w:sz w:val="20"/>
                <w:szCs w:val="20"/>
                <w14:ligatures w14:val="none"/>
              </w:rPr>
              <w:t>0.629</w:t>
            </w:r>
          </w:p>
        </w:tc>
        <w:tc>
          <w:tcPr>
            <w:tcW w:w="1161" w:type="dxa"/>
            <w:tcBorders>
              <w:top w:val="nil"/>
              <w:left w:val="single" w:sz="4" w:space="0" w:color="auto"/>
              <w:bottom w:val="single" w:sz="8" w:space="0" w:color="auto"/>
              <w:right w:val="single" w:sz="4" w:space="0" w:color="auto"/>
            </w:tcBorders>
            <w:vAlign w:val="center"/>
            <w:hideMark/>
          </w:tcPr>
          <w:p w14:paraId="7BCF9B5D" w14:textId="77777777" w:rsidR="00793DFB" w:rsidRPr="00390784" w:rsidRDefault="00793DFB" w:rsidP="009F1C88">
            <w:pPr>
              <w:spacing w:after="0" w:line="240" w:lineRule="auto"/>
              <w:jc w:val="right"/>
              <w:rPr>
                <w:rFonts w:ascii="Arial" w:eastAsia="Times New Roman" w:hAnsi="Arial" w:cs="Arial"/>
                <w:color w:val="000000"/>
                <w:kern w:val="0"/>
                <w:sz w:val="20"/>
                <w:szCs w:val="20"/>
                <w14:ligatures w14:val="none"/>
              </w:rPr>
            </w:pPr>
            <w:r w:rsidRPr="00390784">
              <w:rPr>
                <w:rFonts w:ascii="Arial" w:eastAsia="Times New Roman" w:hAnsi="Arial" w:cs="Arial"/>
                <w:color w:val="000000"/>
                <w:kern w:val="0"/>
                <w:sz w:val="20"/>
                <w:szCs w:val="20"/>
                <w14:ligatures w14:val="none"/>
              </w:rPr>
              <w:t>0.216</w:t>
            </w:r>
          </w:p>
        </w:tc>
        <w:tc>
          <w:tcPr>
            <w:tcW w:w="927" w:type="dxa"/>
            <w:tcBorders>
              <w:top w:val="nil"/>
              <w:left w:val="single" w:sz="4" w:space="0" w:color="auto"/>
              <w:bottom w:val="single" w:sz="8" w:space="0" w:color="auto"/>
              <w:right w:val="single" w:sz="8" w:space="0" w:color="auto"/>
            </w:tcBorders>
            <w:vAlign w:val="center"/>
            <w:hideMark/>
          </w:tcPr>
          <w:p w14:paraId="6688316C" w14:textId="77777777" w:rsidR="00793DFB" w:rsidRPr="00390784" w:rsidRDefault="00793DFB" w:rsidP="009F1C88">
            <w:pPr>
              <w:spacing w:after="0" w:line="240" w:lineRule="auto"/>
              <w:jc w:val="right"/>
              <w:rPr>
                <w:rFonts w:ascii="Arial" w:eastAsia="Times New Roman" w:hAnsi="Arial" w:cs="Arial"/>
                <w:color w:val="000000"/>
                <w:kern w:val="0"/>
                <w:sz w:val="20"/>
                <w:szCs w:val="20"/>
                <w14:ligatures w14:val="none"/>
              </w:rPr>
            </w:pPr>
            <w:r w:rsidRPr="00390784">
              <w:rPr>
                <w:rFonts w:ascii="Arial" w:eastAsia="Times New Roman" w:hAnsi="Arial" w:cs="Arial"/>
                <w:color w:val="000000"/>
                <w:kern w:val="0"/>
                <w:sz w:val="20"/>
                <w:szCs w:val="20"/>
                <w14:ligatures w14:val="none"/>
              </w:rPr>
              <w:t>4.627</w:t>
            </w:r>
          </w:p>
        </w:tc>
      </w:tr>
    </w:tbl>
    <w:p w14:paraId="654EAC0C" w14:textId="77777777" w:rsidR="00793DFB" w:rsidRDefault="00793DFB" w:rsidP="00793DFB">
      <w:pPr>
        <w:bidi/>
        <w:rPr>
          <w:b/>
          <w:bCs/>
          <w:rtl/>
        </w:rPr>
      </w:pPr>
    </w:p>
    <w:p w14:paraId="162B3DA0" w14:textId="77777777" w:rsidR="00793DFB" w:rsidRPr="00BE7FFB" w:rsidRDefault="00793DFB" w:rsidP="00793DFB">
      <w:pPr>
        <w:bidi/>
      </w:pPr>
      <w:r w:rsidRPr="00BE7FFB">
        <w:rPr>
          <w:rtl/>
        </w:rPr>
        <w:t>تشير نتائج الانحدار إلى أن معامل التوظيف الانتقائي بلغ</w:t>
      </w:r>
      <w:r w:rsidRPr="00BE7FFB">
        <w:t xml:space="preserve"> (B = 0.019) </w:t>
      </w:r>
      <w:r w:rsidRPr="00BE7FFB">
        <w:rPr>
          <w:rtl/>
        </w:rPr>
        <w:t>بقيمة معيارية منخفضة جدًا</w:t>
      </w:r>
      <w:r w:rsidRPr="00BE7FFB">
        <w:t xml:space="preserve"> (Beta = 0.024)</w:t>
      </w:r>
      <w:r w:rsidRPr="00BE7FFB">
        <w:rPr>
          <w:rtl/>
        </w:rPr>
        <w:t>، مع قيمة</w:t>
      </w:r>
      <w:r w:rsidRPr="00BE7FFB">
        <w:t xml:space="preserve"> t </w:t>
      </w:r>
      <w:r w:rsidRPr="00BE7FFB">
        <w:rPr>
          <w:rtl/>
        </w:rPr>
        <w:t>بلغت (0.483) ومستوى دلالة</w:t>
      </w:r>
      <w:r w:rsidRPr="00BE7FFB">
        <w:t xml:space="preserve"> (Sig = 0.629)</w:t>
      </w:r>
      <w:r w:rsidRPr="00BE7FFB">
        <w:rPr>
          <w:rtl/>
        </w:rPr>
        <w:t>، وهي قيمة تفوق مستوى الدلالة المعتمد (0.05). وعليه، فإن التأثير الإحصائي للتوظيف الانتقائي على الأداء الإبداعي غير معنوي</w:t>
      </w:r>
      <w:r w:rsidRPr="00BE7FFB">
        <w:t>.</w:t>
      </w:r>
    </w:p>
    <w:p w14:paraId="13E7E0DE" w14:textId="77777777" w:rsidR="00793DFB" w:rsidRPr="00BE7FFB" w:rsidRDefault="00793DFB" w:rsidP="00793DFB">
      <w:pPr>
        <w:bidi/>
      </w:pPr>
      <w:r w:rsidRPr="00BE7FFB">
        <w:rPr>
          <w:rtl/>
        </w:rPr>
        <w:t>رغم أن معامل الانحدار موجب، إلا أن حجمه الضئيل وعدم معنويته يشيران إلى أن التباين في الأداء الإبداعي لا يمكن تفسيره من خلال التوظيف الانتقائي في ظل وجود المتغيرات الأخرى في النموذج. كما أن قيمة</w:t>
      </w:r>
      <w:r w:rsidRPr="00BE7FFB">
        <w:t xml:space="preserve"> VIF (4.627) </w:t>
      </w:r>
      <w:r w:rsidRPr="00BE7FFB">
        <w:rPr>
          <w:rtl/>
        </w:rPr>
        <w:t>تقع ضمن الحدود المقبولة</w:t>
      </w:r>
      <w:r w:rsidRPr="00BE7FFB">
        <w:t xml:space="preserve"> (&lt;10)</w:t>
      </w:r>
      <w:r w:rsidRPr="00BE7FFB">
        <w:rPr>
          <w:rtl/>
        </w:rPr>
        <w:t>، مما يدل على عدم وجود مشكلة تضخم تباين حادة، وإن كانت القيمة تشير إلى درجة ارتباط متوسطة مع المتغيرات الأخرى</w:t>
      </w:r>
      <w:r w:rsidRPr="00BE7FFB">
        <w:t>.</w:t>
      </w:r>
    </w:p>
    <w:p w14:paraId="41AA71E6" w14:textId="77777777" w:rsidR="00793DFB" w:rsidRPr="00BE7FFB" w:rsidRDefault="00793DFB" w:rsidP="00793DFB">
      <w:pPr>
        <w:bidi/>
        <w:rPr>
          <w:b/>
          <w:bCs/>
        </w:rPr>
      </w:pPr>
      <w:proofErr w:type="gramStart"/>
      <w:r w:rsidRPr="00BE7FFB">
        <w:rPr>
          <w:b/>
          <w:bCs/>
          <w:rtl/>
        </w:rPr>
        <w:t>ثانياً:  تأثير</w:t>
      </w:r>
      <w:proofErr w:type="gramEnd"/>
      <w:r w:rsidRPr="00BE7FFB">
        <w:rPr>
          <w:b/>
          <w:bCs/>
          <w:rtl/>
        </w:rPr>
        <w:t xml:space="preserve"> التدريب والتطوير المستمر</w:t>
      </w:r>
    </w:p>
    <w:p w14:paraId="42E068CF" w14:textId="77777777" w:rsidR="00793DFB" w:rsidRPr="00BE7FFB" w:rsidRDefault="00793DFB" w:rsidP="00793DFB">
      <w:pPr>
        <w:bidi/>
        <w:rPr>
          <w:b/>
          <w:bCs/>
        </w:rPr>
      </w:pPr>
      <w:r w:rsidRPr="00BE7FFB">
        <w:rPr>
          <w:b/>
          <w:bCs/>
          <w:rtl/>
        </w:rPr>
        <w:t>جدول</w:t>
      </w:r>
      <w:r w:rsidRPr="00BE7FFB">
        <w:rPr>
          <w:b/>
          <w:bCs/>
        </w:rPr>
        <w:t xml:space="preserve"> </w:t>
      </w:r>
      <w:r>
        <w:rPr>
          <w:rFonts w:hint="cs"/>
          <w:b/>
          <w:bCs/>
          <w:rtl/>
        </w:rPr>
        <w:t>(4-10):</w:t>
      </w:r>
      <w:r w:rsidRPr="00BE7FFB">
        <w:rPr>
          <w:b/>
          <w:bCs/>
        </w:rPr>
        <w:t xml:space="preserve"> </w:t>
      </w:r>
      <w:r w:rsidRPr="00BE7FFB">
        <w:rPr>
          <w:b/>
          <w:bCs/>
          <w:rtl/>
        </w:rPr>
        <w:t>نتائج اختبار تأثير التدريب والتطوير</w:t>
      </w:r>
    </w:p>
    <w:tbl>
      <w:tblPr>
        <w:bidiVisual/>
        <w:tblW w:w="8074" w:type="dxa"/>
        <w:jc w:val="center"/>
        <w:tblLook w:val="04A0" w:firstRow="1" w:lastRow="0" w:firstColumn="1" w:lastColumn="0" w:noHBand="0" w:noVBand="1"/>
      </w:tblPr>
      <w:tblGrid>
        <w:gridCol w:w="1328"/>
        <w:gridCol w:w="934"/>
        <w:gridCol w:w="935"/>
        <w:gridCol w:w="935"/>
        <w:gridCol w:w="927"/>
        <w:gridCol w:w="927"/>
        <w:gridCol w:w="1161"/>
        <w:gridCol w:w="927"/>
      </w:tblGrid>
      <w:tr w:rsidR="00793DFB" w:rsidRPr="00390784" w14:paraId="5D276A13" w14:textId="77777777" w:rsidTr="009F1C88">
        <w:trPr>
          <w:trHeight w:val="528"/>
          <w:jc w:val="center"/>
        </w:trPr>
        <w:tc>
          <w:tcPr>
            <w:tcW w:w="1328" w:type="dxa"/>
            <w:tcBorders>
              <w:top w:val="single" w:sz="8" w:space="0" w:color="auto"/>
              <w:left w:val="single" w:sz="8" w:space="0" w:color="auto"/>
              <w:bottom w:val="single" w:sz="4" w:space="0" w:color="auto"/>
              <w:right w:val="single" w:sz="4" w:space="0" w:color="auto"/>
            </w:tcBorders>
            <w:vAlign w:val="center"/>
            <w:hideMark/>
          </w:tcPr>
          <w:p w14:paraId="3621A863" w14:textId="77777777" w:rsidR="00793DFB" w:rsidRPr="00390784"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390784">
              <w:rPr>
                <w:rFonts w:ascii="Arial" w:eastAsia="Times New Roman" w:hAnsi="Arial" w:cs="Arial"/>
                <w:b/>
                <w:bCs/>
                <w:color w:val="000000"/>
                <w:kern w:val="0"/>
                <w:sz w:val="20"/>
                <w:szCs w:val="20"/>
                <w:rtl/>
                <w14:ligatures w14:val="none"/>
              </w:rPr>
              <w:t>المتغير</w:t>
            </w:r>
          </w:p>
        </w:tc>
        <w:tc>
          <w:tcPr>
            <w:tcW w:w="934" w:type="dxa"/>
            <w:tcBorders>
              <w:top w:val="single" w:sz="8" w:space="0" w:color="auto"/>
              <w:left w:val="single" w:sz="4" w:space="0" w:color="auto"/>
              <w:bottom w:val="single" w:sz="4" w:space="0" w:color="auto"/>
              <w:right w:val="single" w:sz="4" w:space="0" w:color="auto"/>
            </w:tcBorders>
            <w:vAlign w:val="center"/>
            <w:hideMark/>
          </w:tcPr>
          <w:p w14:paraId="4445B9FA" w14:textId="77777777" w:rsidR="00793DFB" w:rsidRPr="00390784"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390784">
              <w:rPr>
                <w:rFonts w:ascii="Arial" w:eastAsia="Times New Roman" w:hAnsi="Arial" w:cs="Arial"/>
                <w:b/>
                <w:bCs/>
                <w:color w:val="000000"/>
                <w:kern w:val="0"/>
                <w:sz w:val="20"/>
                <w:szCs w:val="20"/>
                <w14:ligatures w14:val="none"/>
              </w:rPr>
              <w:t xml:space="preserve">B </w:t>
            </w:r>
            <w:r w:rsidRPr="00390784">
              <w:rPr>
                <w:rFonts w:ascii="Arial" w:eastAsia="Times New Roman" w:hAnsi="Arial" w:cs="Arial"/>
                <w:b/>
                <w:bCs/>
                <w:color w:val="000000"/>
                <w:kern w:val="0"/>
                <w:sz w:val="20"/>
                <w:szCs w:val="20"/>
                <w:rtl/>
                <w14:ligatures w14:val="none"/>
              </w:rPr>
              <w:t>غير المعياري</w:t>
            </w:r>
          </w:p>
        </w:tc>
        <w:tc>
          <w:tcPr>
            <w:tcW w:w="935" w:type="dxa"/>
            <w:tcBorders>
              <w:top w:val="single" w:sz="8" w:space="0" w:color="auto"/>
              <w:left w:val="single" w:sz="4" w:space="0" w:color="auto"/>
              <w:bottom w:val="single" w:sz="4" w:space="0" w:color="auto"/>
              <w:right w:val="single" w:sz="4" w:space="0" w:color="auto"/>
            </w:tcBorders>
            <w:vAlign w:val="center"/>
            <w:hideMark/>
          </w:tcPr>
          <w:p w14:paraId="41FC87C2" w14:textId="77777777" w:rsidR="00793DFB" w:rsidRPr="00390784"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390784">
              <w:rPr>
                <w:rFonts w:ascii="Arial" w:eastAsia="Times New Roman" w:hAnsi="Arial" w:cs="Arial"/>
                <w:b/>
                <w:bCs/>
                <w:color w:val="000000"/>
                <w:kern w:val="0"/>
                <w:sz w:val="20"/>
                <w:szCs w:val="20"/>
                <w:rtl/>
                <w14:ligatures w14:val="none"/>
              </w:rPr>
              <w:t>الخطأ المعياري</w:t>
            </w:r>
          </w:p>
        </w:tc>
        <w:tc>
          <w:tcPr>
            <w:tcW w:w="935" w:type="dxa"/>
            <w:tcBorders>
              <w:top w:val="single" w:sz="8" w:space="0" w:color="auto"/>
              <w:left w:val="single" w:sz="4" w:space="0" w:color="auto"/>
              <w:bottom w:val="single" w:sz="4" w:space="0" w:color="auto"/>
              <w:right w:val="single" w:sz="4" w:space="0" w:color="auto"/>
            </w:tcBorders>
            <w:vAlign w:val="center"/>
            <w:hideMark/>
          </w:tcPr>
          <w:p w14:paraId="0FF0F273" w14:textId="77777777" w:rsidR="00793DFB" w:rsidRPr="00390784"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390784">
              <w:rPr>
                <w:rFonts w:ascii="Arial" w:eastAsia="Times New Roman" w:hAnsi="Arial" w:cs="Arial"/>
                <w:b/>
                <w:bCs/>
                <w:color w:val="000000"/>
                <w:kern w:val="0"/>
                <w:sz w:val="20"/>
                <w:szCs w:val="20"/>
                <w14:ligatures w14:val="none"/>
              </w:rPr>
              <w:t xml:space="preserve">Beta </w:t>
            </w:r>
            <w:r w:rsidRPr="00390784">
              <w:rPr>
                <w:rFonts w:ascii="Arial" w:eastAsia="Times New Roman" w:hAnsi="Arial" w:cs="Arial"/>
                <w:b/>
                <w:bCs/>
                <w:color w:val="000000"/>
                <w:kern w:val="0"/>
                <w:sz w:val="20"/>
                <w:szCs w:val="20"/>
                <w:rtl/>
                <w14:ligatures w14:val="none"/>
              </w:rPr>
              <w:t>المعياري</w:t>
            </w:r>
          </w:p>
        </w:tc>
        <w:tc>
          <w:tcPr>
            <w:tcW w:w="927" w:type="dxa"/>
            <w:tcBorders>
              <w:top w:val="single" w:sz="8" w:space="0" w:color="auto"/>
              <w:left w:val="single" w:sz="4" w:space="0" w:color="auto"/>
              <w:bottom w:val="single" w:sz="4" w:space="0" w:color="auto"/>
              <w:right w:val="single" w:sz="4" w:space="0" w:color="auto"/>
            </w:tcBorders>
            <w:vAlign w:val="center"/>
            <w:hideMark/>
          </w:tcPr>
          <w:p w14:paraId="2991D881" w14:textId="77777777" w:rsidR="00793DFB" w:rsidRPr="00390784"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390784">
              <w:rPr>
                <w:rFonts w:ascii="Arial" w:eastAsia="Times New Roman" w:hAnsi="Arial" w:cs="Arial"/>
                <w:b/>
                <w:bCs/>
                <w:color w:val="000000"/>
                <w:kern w:val="0"/>
                <w:sz w:val="20"/>
                <w:szCs w:val="20"/>
                <w:rtl/>
                <w14:ligatures w14:val="none"/>
              </w:rPr>
              <w:t xml:space="preserve">قيمة </w:t>
            </w:r>
            <w:r w:rsidRPr="00390784">
              <w:rPr>
                <w:rFonts w:ascii="Arial" w:eastAsia="Times New Roman" w:hAnsi="Arial" w:cs="Arial"/>
                <w:b/>
                <w:bCs/>
                <w:color w:val="000000"/>
                <w:kern w:val="0"/>
                <w:sz w:val="20"/>
                <w:szCs w:val="20"/>
                <w14:ligatures w14:val="none"/>
              </w:rPr>
              <w:t>t</w:t>
            </w:r>
          </w:p>
        </w:tc>
        <w:tc>
          <w:tcPr>
            <w:tcW w:w="927" w:type="dxa"/>
            <w:tcBorders>
              <w:top w:val="single" w:sz="8" w:space="0" w:color="auto"/>
              <w:left w:val="single" w:sz="4" w:space="0" w:color="auto"/>
              <w:bottom w:val="single" w:sz="4" w:space="0" w:color="auto"/>
              <w:right w:val="single" w:sz="4" w:space="0" w:color="auto"/>
            </w:tcBorders>
            <w:vAlign w:val="center"/>
            <w:hideMark/>
          </w:tcPr>
          <w:p w14:paraId="5B2BA594" w14:textId="77777777" w:rsidR="00793DFB" w:rsidRPr="00390784" w:rsidRDefault="00793DFB" w:rsidP="009F1C88">
            <w:pPr>
              <w:bidi/>
              <w:spacing w:after="0" w:line="240" w:lineRule="auto"/>
              <w:jc w:val="center"/>
              <w:rPr>
                <w:rFonts w:ascii="Arial" w:eastAsia="Times New Roman" w:hAnsi="Arial" w:cs="Arial"/>
                <w:b/>
                <w:bCs/>
                <w:color w:val="000000"/>
                <w:kern w:val="0"/>
                <w:sz w:val="20"/>
                <w:szCs w:val="20"/>
                <w:rtl/>
                <w14:ligatures w14:val="none"/>
              </w:rPr>
            </w:pPr>
            <w:r w:rsidRPr="00390784">
              <w:rPr>
                <w:rFonts w:ascii="Arial" w:eastAsia="Times New Roman" w:hAnsi="Arial" w:cs="Arial"/>
                <w:b/>
                <w:bCs/>
                <w:color w:val="000000"/>
                <w:kern w:val="0"/>
                <w:sz w:val="20"/>
                <w:szCs w:val="20"/>
                <w:rtl/>
                <w14:ligatures w14:val="none"/>
              </w:rPr>
              <w:t xml:space="preserve">مستوى الدلالة </w:t>
            </w:r>
            <w:r w:rsidRPr="00390784">
              <w:rPr>
                <w:rFonts w:ascii="Arial" w:eastAsia="Times New Roman" w:hAnsi="Arial" w:cs="Arial"/>
                <w:b/>
                <w:bCs/>
                <w:color w:val="000000"/>
                <w:kern w:val="0"/>
                <w:sz w:val="20"/>
                <w:szCs w:val="20"/>
                <w14:ligatures w14:val="none"/>
              </w:rPr>
              <w:t>Sig</w:t>
            </w:r>
          </w:p>
        </w:tc>
        <w:tc>
          <w:tcPr>
            <w:tcW w:w="1161" w:type="dxa"/>
            <w:tcBorders>
              <w:top w:val="single" w:sz="8" w:space="0" w:color="auto"/>
              <w:left w:val="single" w:sz="4" w:space="0" w:color="auto"/>
              <w:bottom w:val="single" w:sz="4" w:space="0" w:color="auto"/>
              <w:right w:val="single" w:sz="4" w:space="0" w:color="auto"/>
            </w:tcBorders>
            <w:vAlign w:val="center"/>
            <w:hideMark/>
          </w:tcPr>
          <w:p w14:paraId="347BFB01" w14:textId="77777777" w:rsidR="00793DFB" w:rsidRPr="00390784"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390784">
              <w:rPr>
                <w:rFonts w:ascii="Arial" w:eastAsia="Times New Roman" w:hAnsi="Arial" w:cs="Arial"/>
                <w:b/>
                <w:bCs/>
                <w:color w:val="000000"/>
                <w:kern w:val="0"/>
                <w:sz w:val="20"/>
                <w:szCs w:val="20"/>
                <w14:ligatures w14:val="none"/>
              </w:rPr>
              <w:t>Tolerance</w:t>
            </w:r>
          </w:p>
        </w:tc>
        <w:tc>
          <w:tcPr>
            <w:tcW w:w="927" w:type="dxa"/>
            <w:tcBorders>
              <w:top w:val="single" w:sz="8" w:space="0" w:color="auto"/>
              <w:left w:val="single" w:sz="4" w:space="0" w:color="auto"/>
              <w:bottom w:val="single" w:sz="4" w:space="0" w:color="auto"/>
              <w:right w:val="single" w:sz="8" w:space="0" w:color="auto"/>
            </w:tcBorders>
            <w:vAlign w:val="center"/>
            <w:hideMark/>
          </w:tcPr>
          <w:p w14:paraId="13591FD8" w14:textId="77777777" w:rsidR="00793DFB" w:rsidRPr="00390784" w:rsidRDefault="00793DFB" w:rsidP="009F1C88">
            <w:pPr>
              <w:spacing w:after="0" w:line="240" w:lineRule="auto"/>
              <w:jc w:val="center"/>
              <w:rPr>
                <w:rFonts w:ascii="Arial" w:eastAsia="Times New Roman" w:hAnsi="Arial" w:cs="Arial"/>
                <w:b/>
                <w:bCs/>
                <w:color w:val="000000"/>
                <w:kern w:val="0"/>
                <w:sz w:val="20"/>
                <w:szCs w:val="20"/>
                <w14:ligatures w14:val="none"/>
              </w:rPr>
            </w:pPr>
            <w:r w:rsidRPr="00390784">
              <w:rPr>
                <w:rFonts w:ascii="Arial" w:eastAsia="Times New Roman" w:hAnsi="Arial" w:cs="Arial"/>
                <w:b/>
                <w:bCs/>
                <w:color w:val="000000"/>
                <w:kern w:val="0"/>
                <w:sz w:val="20"/>
                <w:szCs w:val="20"/>
                <w14:ligatures w14:val="none"/>
              </w:rPr>
              <w:t>VIF</w:t>
            </w:r>
          </w:p>
        </w:tc>
      </w:tr>
      <w:tr w:rsidR="00793DFB" w:rsidRPr="00390784" w14:paraId="310E26CC" w14:textId="77777777" w:rsidTr="009F1C88">
        <w:trPr>
          <w:trHeight w:val="531"/>
          <w:jc w:val="center"/>
        </w:trPr>
        <w:tc>
          <w:tcPr>
            <w:tcW w:w="1328" w:type="dxa"/>
            <w:tcBorders>
              <w:top w:val="nil"/>
              <w:left w:val="single" w:sz="8" w:space="0" w:color="auto"/>
              <w:bottom w:val="single" w:sz="8" w:space="0" w:color="auto"/>
              <w:right w:val="single" w:sz="4" w:space="0" w:color="auto"/>
            </w:tcBorders>
            <w:vAlign w:val="center"/>
            <w:hideMark/>
          </w:tcPr>
          <w:p w14:paraId="4C1D351E" w14:textId="77777777" w:rsidR="00793DFB" w:rsidRPr="00390784" w:rsidRDefault="00793DFB" w:rsidP="009F1C88">
            <w:pPr>
              <w:bidi/>
              <w:spacing w:after="0" w:line="240" w:lineRule="auto"/>
              <w:rPr>
                <w:rFonts w:ascii="Arial" w:eastAsia="Times New Roman" w:hAnsi="Arial" w:cs="Arial"/>
                <w:color w:val="000000"/>
                <w:kern w:val="0"/>
                <w:sz w:val="20"/>
                <w:szCs w:val="20"/>
                <w14:ligatures w14:val="none"/>
              </w:rPr>
            </w:pPr>
            <w:r w:rsidRPr="00390784">
              <w:rPr>
                <w:rFonts w:ascii="Arial" w:eastAsia="Times New Roman" w:hAnsi="Arial" w:cs="Arial"/>
                <w:color w:val="000000"/>
                <w:kern w:val="0"/>
                <w:sz w:val="20"/>
                <w:szCs w:val="20"/>
                <w:rtl/>
                <w14:ligatures w14:val="none"/>
              </w:rPr>
              <w:t>التدريب والتطوير المستمر</w:t>
            </w:r>
          </w:p>
        </w:tc>
        <w:tc>
          <w:tcPr>
            <w:tcW w:w="934" w:type="dxa"/>
            <w:tcBorders>
              <w:top w:val="nil"/>
              <w:left w:val="single" w:sz="4" w:space="0" w:color="auto"/>
              <w:bottom w:val="single" w:sz="8" w:space="0" w:color="auto"/>
              <w:right w:val="single" w:sz="4" w:space="0" w:color="auto"/>
            </w:tcBorders>
            <w:vAlign w:val="center"/>
            <w:hideMark/>
          </w:tcPr>
          <w:p w14:paraId="178B8E0D" w14:textId="77777777" w:rsidR="00793DFB" w:rsidRPr="00390784" w:rsidRDefault="00793DFB" w:rsidP="009F1C88">
            <w:pPr>
              <w:spacing w:after="0" w:line="240" w:lineRule="auto"/>
              <w:jc w:val="right"/>
              <w:rPr>
                <w:rFonts w:ascii="Arial" w:eastAsia="Times New Roman" w:hAnsi="Arial" w:cs="Arial"/>
                <w:color w:val="000000"/>
                <w:kern w:val="0"/>
                <w:sz w:val="20"/>
                <w:szCs w:val="20"/>
                <w:rtl/>
                <w14:ligatures w14:val="none"/>
              </w:rPr>
            </w:pPr>
            <w:r w:rsidRPr="00390784">
              <w:rPr>
                <w:rFonts w:ascii="Arial" w:eastAsia="Times New Roman" w:hAnsi="Arial" w:cs="Arial"/>
                <w:color w:val="000000"/>
                <w:kern w:val="0"/>
                <w:sz w:val="20"/>
                <w:szCs w:val="20"/>
                <w14:ligatures w14:val="none"/>
              </w:rPr>
              <w:t>0.067</w:t>
            </w:r>
          </w:p>
        </w:tc>
        <w:tc>
          <w:tcPr>
            <w:tcW w:w="935" w:type="dxa"/>
            <w:tcBorders>
              <w:top w:val="nil"/>
              <w:left w:val="single" w:sz="4" w:space="0" w:color="auto"/>
              <w:bottom w:val="single" w:sz="8" w:space="0" w:color="auto"/>
              <w:right w:val="single" w:sz="4" w:space="0" w:color="auto"/>
            </w:tcBorders>
            <w:vAlign w:val="center"/>
            <w:hideMark/>
          </w:tcPr>
          <w:p w14:paraId="5FD54D81" w14:textId="77777777" w:rsidR="00793DFB" w:rsidRPr="00390784" w:rsidRDefault="00793DFB" w:rsidP="009F1C88">
            <w:pPr>
              <w:spacing w:after="0" w:line="240" w:lineRule="auto"/>
              <w:jc w:val="right"/>
              <w:rPr>
                <w:rFonts w:ascii="Arial" w:eastAsia="Times New Roman" w:hAnsi="Arial" w:cs="Arial"/>
                <w:color w:val="000000"/>
                <w:kern w:val="0"/>
                <w:sz w:val="20"/>
                <w:szCs w:val="20"/>
                <w14:ligatures w14:val="none"/>
              </w:rPr>
            </w:pPr>
            <w:r w:rsidRPr="00390784">
              <w:rPr>
                <w:rFonts w:ascii="Arial" w:eastAsia="Times New Roman" w:hAnsi="Arial" w:cs="Arial"/>
                <w:color w:val="000000"/>
                <w:kern w:val="0"/>
                <w:sz w:val="20"/>
                <w:szCs w:val="20"/>
                <w14:ligatures w14:val="none"/>
              </w:rPr>
              <w:t>0.044</w:t>
            </w:r>
          </w:p>
        </w:tc>
        <w:tc>
          <w:tcPr>
            <w:tcW w:w="935" w:type="dxa"/>
            <w:tcBorders>
              <w:top w:val="nil"/>
              <w:left w:val="single" w:sz="4" w:space="0" w:color="auto"/>
              <w:bottom w:val="single" w:sz="8" w:space="0" w:color="auto"/>
              <w:right w:val="single" w:sz="4" w:space="0" w:color="auto"/>
            </w:tcBorders>
            <w:vAlign w:val="center"/>
            <w:hideMark/>
          </w:tcPr>
          <w:p w14:paraId="150B4454" w14:textId="77777777" w:rsidR="00793DFB" w:rsidRPr="00390784" w:rsidRDefault="00793DFB" w:rsidP="009F1C88">
            <w:pPr>
              <w:spacing w:after="0" w:line="240" w:lineRule="auto"/>
              <w:jc w:val="right"/>
              <w:rPr>
                <w:rFonts w:ascii="Arial" w:eastAsia="Times New Roman" w:hAnsi="Arial" w:cs="Arial"/>
                <w:color w:val="000000"/>
                <w:kern w:val="0"/>
                <w:sz w:val="20"/>
                <w:szCs w:val="20"/>
                <w14:ligatures w14:val="none"/>
              </w:rPr>
            </w:pPr>
            <w:r w:rsidRPr="00390784">
              <w:rPr>
                <w:rFonts w:ascii="Arial" w:eastAsia="Times New Roman" w:hAnsi="Arial" w:cs="Arial"/>
                <w:color w:val="000000"/>
                <w:kern w:val="0"/>
                <w:sz w:val="20"/>
                <w:szCs w:val="20"/>
                <w14:ligatures w14:val="none"/>
              </w:rPr>
              <w:t>0.078</w:t>
            </w:r>
          </w:p>
        </w:tc>
        <w:tc>
          <w:tcPr>
            <w:tcW w:w="927" w:type="dxa"/>
            <w:tcBorders>
              <w:top w:val="nil"/>
              <w:left w:val="single" w:sz="4" w:space="0" w:color="auto"/>
              <w:bottom w:val="single" w:sz="8" w:space="0" w:color="auto"/>
              <w:right w:val="single" w:sz="4" w:space="0" w:color="auto"/>
            </w:tcBorders>
            <w:vAlign w:val="center"/>
            <w:hideMark/>
          </w:tcPr>
          <w:p w14:paraId="6C4904A8" w14:textId="77777777" w:rsidR="00793DFB" w:rsidRPr="00390784" w:rsidRDefault="00793DFB" w:rsidP="009F1C88">
            <w:pPr>
              <w:spacing w:after="0" w:line="240" w:lineRule="auto"/>
              <w:jc w:val="right"/>
              <w:rPr>
                <w:rFonts w:ascii="Arial" w:eastAsia="Times New Roman" w:hAnsi="Arial" w:cs="Arial"/>
                <w:color w:val="000000"/>
                <w:kern w:val="0"/>
                <w:sz w:val="20"/>
                <w:szCs w:val="20"/>
                <w14:ligatures w14:val="none"/>
              </w:rPr>
            </w:pPr>
            <w:r w:rsidRPr="00390784">
              <w:rPr>
                <w:rFonts w:ascii="Arial" w:eastAsia="Times New Roman" w:hAnsi="Arial" w:cs="Arial"/>
                <w:color w:val="000000"/>
                <w:kern w:val="0"/>
                <w:sz w:val="20"/>
                <w:szCs w:val="20"/>
                <w14:ligatures w14:val="none"/>
              </w:rPr>
              <w:t>1.536</w:t>
            </w:r>
          </w:p>
        </w:tc>
        <w:tc>
          <w:tcPr>
            <w:tcW w:w="927" w:type="dxa"/>
            <w:tcBorders>
              <w:top w:val="nil"/>
              <w:left w:val="single" w:sz="4" w:space="0" w:color="auto"/>
              <w:bottom w:val="single" w:sz="8" w:space="0" w:color="auto"/>
              <w:right w:val="single" w:sz="4" w:space="0" w:color="auto"/>
            </w:tcBorders>
            <w:vAlign w:val="center"/>
            <w:hideMark/>
          </w:tcPr>
          <w:p w14:paraId="48449F6F" w14:textId="77777777" w:rsidR="00793DFB" w:rsidRPr="00390784" w:rsidRDefault="00793DFB" w:rsidP="009F1C88">
            <w:pPr>
              <w:spacing w:after="0" w:line="240" w:lineRule="auto"/>
              <w:jc w:val="right"/>
              <w:rPr>
                <w:rFonts w:ascii="Arial" w:eastAsia="Times New Roman" w:hAnsi="Arial" w:cs="Arial"/>
                <w:color w:val="000000"/>
                <w:kern w:val="0"/>
                <w:sz w:val="20"/>
                <w:szCs w:val="20"/>
                <w14:ligatures w14:val="none"/>
              </w:rPr>
            </w:pPr>
            <w:r w:rsidRPr="00390784">
              <w:rPr>
                <w:rFonts w:ascii="Arial" w:eastAsia="Times New Roman" w:hAnsi="Arial" w:cs="Arial"/>
                <w:color w:val="000000"/>
                <w:kern w:val="0"/>
                <w:sz w:val="20"/>
                <w:szCs w:val="20"/>
                <w14:ligatures w14:val="none"/>
              </w:rPr>
              <w:t>0.125</w:t>
            </w:r>
          </w:p>
        </w:tc>
        <w:tc>
          <w:tcPr>
            <w:tcW w:w="1161" w:type="dxa"/>
            <w:tcBorders>
              <w:top w:val="nil"/>
              <w:left w:val="single" w:sz="4" w:space="0" w:color="auto"/>
              <w:bottom w:val="single" w:sz="8" w:space="0" w:color="auto"/>
              <w:right w:val="single" w:sz="4" w:space="0" w:color="auto"/>
            </w:tcBorders>
            <w:vAlign w:val="center"/>
            <w:hideMark/>
          </w:tcPr>
          <w:p w14:paraId="0BA54FA7" w14:textId="77777777" w:rsidR="00793DFB" w:rsidRPr="00390784" w:rsidRDefault="00793DFB" w:rsidP="009F1C88">
            <w:pPr>
              <w:spacing w:after="0" w:line="240" w:lineRule="auto"/>
              <w:jc w:val="right"/>
              <w:rPr>
                <w:rFonts w:ascii="Arial" w:eastAsia="Times New Roman" w:hAnsi="Arial" w:cs="Arial"/>
                <w:color w:val="000000"/>
                <w:kern w:val="0"/>
                <w:sz w:val="20"/>
                <w:szCs w:val="20"/>
                <w14:ligatures w14:val="none"/>
              </w:rPr>
            </w:pPr>
            <w:r w:rsidRPr="00390784">
              <w:rPr>
                <w:rFonts w:ascii="Arial" w:eastAsia="Times New Roman" w:hAnsi="Arial" w:cs="Arial"/>
                <w:color w:val="000000"/>
                <w:kern w:val="0"/>
                <w:sz w:val="20"/>
                <w:szCs w:val="20"/>
                <w14:ligatures w14:val="none"/>
              </w:rPr>
              <w:t>0.205</w:t>
            </w:r>
          </w:p>
        </w:tc>
        <w:tc>
          <w:tcPr>
            <w:tcW w:w="927" w:type="dxa"/>
            <w:tcBorders>
              <w:top w:val="nil"/>
              <w:left w:val="single" w:sz="4" w:space="0" w:color="auto"/>
              <w:bottom w:val="single" w:sz="8" w:space="0" w:color="auto"/>
              <w:right w:val="single" w:sz="8" w:space="0" w:color="auto"/>
            </w:tcBorders>
            <w:vAlign w:val="center"/>
            <w:hideMark/>
          </w:tcPr>
          <w:p w14:paraId="5FED637A" w14:textId="77777777" w:rsidR="00793DFB" w:rsidRPr="00390784" w:rsidRDefault="00793DFB" w:rsidP="009F1C88">
            <w:pPr>
              <w:spacing w:after="0" w:line="240" w:lineRule="auto"/>
              <w:jc w:val="right"/>
              <w:rPr>
                <w:rFonts w:ascii="Arial" w:eastAsia="Times New Roman" w:hAnsi="Arial" w:cs="Arial"/>
                <w:color w:val="000000"/>
                <w:kern w:val="0"/>
                <w:sz w:val="20"/>
                <w:szCs w:val="20"/>
                <w14:ligatures w14:val="none"/>
              </w:rPr>
            </w:pPr>
            <w:r w:rsidRPr="00390784">
              <w:rPr>
                <w:rFonts w:ascii="Arial" w:eastAsia="Times New Roman" w:hAnsi="Arial" w:cs="Arial"/>
                <w:color w:val="000000"/>
                <w:kern w:val="0"/>
                <w:sz w:val="20"/>
                <w:szCs w:val="20"/>
                <w14:ligatures w14:val="none"/>
              </w:rPr>
              <w:t>4.882</w:t>
            </w:r>
          </w:p>
        </w:tc>
      </w:tr>
    </w:tbl>
    <w:p w14:paraId="06F33408" w14:textId="77777777" w:rsidR="00793DFB" w:rsidRDefault="00793DFB" w:rsidP="00793DFB">
      <w:pPr>
        <w:bidi/>
        <w:rPr>
          <w:b/>
          <w:bCs/>
          <w:rtl/>
        </w:rPr>
      </w:pPr>
    </w:p>
    <w:p w14:paraId="3B1FDB2B" w14:textId="77777777" w:rsidR="00793DFB" w:rsidRPr="00BE7FFB" w:rsidRDefault="00793DFB" w:rsidP="00793DFB">
      <w:pPr>
        <w:bidi/>
      </w:pPr>
      <w:r w:rsidRPr="00BE7FFB">
        <w:rPr>
          <w:rtl/>
        </w:rPr>
        <w:t>بلغ معامل التدريب والتطوير</w:t>
      </w:r>
      <w:r>
        <w:rPr>
          <w:rFonts w:hint="cs"/>
          <w:rtl/>
        </w:rPr>
        <w:t xml:space="preserve"> </w:t>
      </w:r>
      <w:r w:rsidRPr="00BE7FFB">
        <w:t>(B = 0.067)</w:t>
      </w:r>
      <w:r w:rsidRPr="00BE7FFB">
        <w:rPr>
          <w:rtl/>
        </w:rPr>
        <w:t>، مع معامل معياري</w:t>
      </w:r>
      <w:r>
        <w:rPr>
          <w:rFonts w:hint="cs"/>
          <w:rtl/>
        </w:rPr>
        <w:t xml:space="preserve"> </w:t>
      </w:r>
      <w:r w:rsidRPr="00BE7FFB">
        <w:t>(Beta = 0.078)</w:t>
      </w:r>
      <w:r w:rsidRPr="00BE7FFB">
        <w:rPr>
          <w:rtl/>
        </w:rPr>
        <w:t>، وقيمة</w:t>
      </w:r>
      <w:r w:rsidRPr="00BE7FFB">
        <w:t xml:space="preserve"> t </w:t>
      </w:r>
      <w:r w:rsidRPr="00BE7FFB">
        <w:rPr>
          <w:rtl/>
        </w:rPr>
        <w:t>بلغت (1.536)، ومستوى دلالة</w:t>
      </w:r>
      <w:r>
        <w:rPr>
          <w:rFonts w:hint="cs"/>
          <w:rtl/>
        </w:rPr>
        <w:t xml:space="preserve"> </w:t>
      </w:r>
      <w:r w:rsidRPr="00BE7FFB">
        <w:t>(Sig = 0.125)</w:t>
      </w:r>
      <w:r>
        <w:rPr>
          <w:rFonts w:hint="cs"/>
          <w:rtl/>
          <w:lang w:bidi="ar-EG"/>
        </w:rPr>
        <w:t>.</w:t>
      </w:r>
      <w:r w:rsidRPr="00BE7FFB">
        <w:t xml:space="preserve"> </w:t>
      </w:r>
      <w:r w:rsidRPr="00BE7FFB">
        <w:rPr>
          <w:rtl/>
        </w:rPr>
        <w:t>هذه القيمة لا تحقق شرط المعنوية الإحصائية عند مستوى</w:t>
      </w:r>
      <w:r>
        <w:rPr>
          <w:rFonts w:hint="cs"/>
          <w:rtl/>
        </w:rPr>
        <w:t xml:space="preserve"> </w:t>
      </w:r>
      <w:r w:rsidRPr="00BE7FFB">
        <w:t>(α ≤ 0.05)</w:t>
      </w:r>
      <w:r>
        <w:rPr>
          <w:rFonts w:hint="cs"/>
          <w:rtl/>
        </w:rPr>
        <w:t>.</w:t>
      </w:r>
    </w:p>
    <w:p w14:paraId="5027C64E" w14:textId="77777777" w:rsidR="00793DFB" w:rsidRPr="00BE7FFB" w:rsidRDefault="00793DFB" w:rsidP="00793DFB">
      <w:pPr>
        <w:bidi/>
      </w:pPr>
      <w:r w:rsidRPr="00BE7FFB">
        <w:rPr>
          <w:rtl/>
        </w:rPr>
        <w:t>وعلى الرغم من أن الاتجاه موجب، مما يعني أن الزيادة في التدريب قد ترتبط بزيادة في الأداء الإبداعي، إلا أن الأثر ضعيف وغير كافٍ إحصائيًا لتأكيد وجود علاقة سببية مباشرة ضمن هذا النموذج. كما أن مؤشر</w:t>
      </w:r>
      <w:r w:rsidRPr="00BE7FFB">
        <w:t xml:space="preserve"> VIF </w:t>
      </w:r>
      <w:r w:rsidRPr="00BE7FFB">
        <w:rPr>
          <w:rtl/>
        </w:rPr>
        <w:t>بلغ (4.882)، وهي قيمة مقبولة إحصائيًا لكنها تعكس تقاطعًا نسبيًا مع أبعاد نظم العمل عالية الأداء الأخرى</w:t>
      </w:r>
      <w:r w:rsidRPr="00BE7FFB">
        <w:t>.</w:t>
      </w:r>
    </w:p>
    <w:p w14:paraId="20EF7554" w14:textId="77777777" w:rsidR="00793DFB" w:rsidRPr="00BE7FFB" w:rsidRDefault="00793DFB" w:rsidP="00793DFB">
      <w:pPr>
        <w:bidi/>
        <w:rPr>
          <w:b/>
          <w:bCs/>
        </w:rPr>
      </w:pPr>
      <w:proofErr w:type="gramStart"/>
      <w:r w:rsidRPr="00BE7FFB">
        <w:rPr>
          <w:b/>
          <w:bCs/>
          <w:rtl/>
        </w:rPr>
        <w:t>ثالثاً:  تأثير</w:t>
      </w:r>
      <w:proofErr w:type="gramEnd"/>
      <w:r w:rsidRPr="00BE7FFB">
        <w:rPr>
          <w:b/>
          <w:bCs/>
          <w:rtl/>
        </w:rPr>
        <w:t xml:space="preserve"> نظم الحوافز والمكافآت</w:t>
      </w:r>
    </w:p>
    <w:p w14:paraId="1D74ECF0" w14:textId="77777777" w:rsidR="00793DFB" w:rsidRPr="00BE7FFB" w:rsidRDefault="00793DFB" w:rsidP="00793DFB">
      <w:pPr>
        <w:bidi/>
        <w:rPr>
          <w:b/>
          <w:bCs/>
        </w:rPr>
      </w:pPr>
      <w:r w:rsidRPr="00BE7FFB">
        <w:rPr>
          <w:b/>
          <w:bCs/>
          <w:rtl/>
        </w:rPr>
        <w:t>جدول</w:t>
      </w:r>
      <w:r w:rsidRPr="00BE7FFB">
        <w:rPr>
          <w:b/>
          <w:bCs/>
        </w:rPr>
        <w:t xml:space="preserve"> </w:t>
      </w:r>
      <w:r>
        <w:rPr>
          <w:rFonts w:hint="cs"/>
          <w:b/>
          <w:bCs/>
          <w:rtl/>
        </w:rPr>
        <w:t xml:space="preserve">(4-11): </w:t>
      </w:r>
      <w:r w:rsidRPr="00BE7FFB">
        <w:rPr>
          <w:b/>
          <w:bCs/>
          <w:rtl/>
        </w:rPr>
        <w:t>نتائج اختبار تأثير نظم الحوافز</w:t>
      </w:r>
    </w:p>
    <w:tbl>
      <w:tblPr>
        <w:bidiVisual/>
        <w:tblW w:w="7680" w:type="dxa"/>
        <w:jc w:val="center"/>
        <w:tblLook w:val="04A0" w:firstRow="1" w:lastRow="0" w:firstColumn="1" w:lastColumn="0" w:noHBand="0" w:noVBand="1"/>
      </w:tblPr>
      <w:tblGrid>
        <w:gridCol w:w="941"/>
        <w:gridCol w:w="935"/>
        <w:gridCol w:w="934"/>
        <w:gridCol w:w="934"/>
        <w:gridCol w:w="926"/>
        <w:gridCol w:w="923"/>
        <w:gridCol w:w="1161"/>
        <w:gridCol w:w="926"/>
      </w:tblGrid>
      <w:tr w:rsidR="00793DFB" w:rsidRPr="00770882" w14:paraId="3E93E9D8" w14:textId="77777777" w:rsidTr="009F1C88">
        <w:trPr>
          <w:trHeight w:val="528"/>
          <w:jc w:val="center"/>
        </w:trPr>
        <w:tc>
          <w:tcPr>
            <w:tcW w:w="957" w:type="dxa"/>
            <w:tcBorders>
              <w:top w:val="single" w:sz="8" w:space="0" w:color="auto"/>
              <w:left w:val="single" w:sz="8" w:space="0" w:color="auto"/>
              <w:bottom w:val="single" w:sz="4" w:space="0" w:color="auto"/>
              <w:right w:val="single" w:sz="4" w:space="0" w:color="auto"/>
            </w:tcBorders>
            <w:vAlign w:val="center"/>
            <w:hideMark/>
          </w:tcPr>
          <w:p w14:paraId="29B2695D" w14:textId="77777777" w:rsidR="00793DFB" w:rsidRPr="00770882"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770882">
              <w:rPr>
                <w:rFonts w:ascii="Arial" w:eastAsia="Times New Roman" w:hAnsi="Arial" w:cs="Arial"/>
                <w:b/>
                <w:bCs/>
                <w:color w:val="000000"/>
                <w:kern w:val="0"/>
                <w:sz w:val="20"/>
                <w:szCs w:val="20"/>
                <w:rtl/>
                <w14:ligatures w14:val="none"/>
              </w:rPr>
              <w:t>المتغير</w:t>
            </w:r>
          </w:p>
        </w:tc>
        <w:tc>
          <w:tcPr>
            <w:tcW w:w="958" w:type="dxa"/>
            <w:tcBorders>
              <w:top w:val="single" w:sz="8" w:space="0" w:color="auto"/>
              <w:left w:val="single" w:sz="4" w:space="0" w:color="auto"/>
              <w:bottom w:val="single" w:sz="4" w:space="0" w:color="auto"/>
              <w:right w:val="single" w:sz="4" w:space="0" w:color="auto"/>
            </w:tcBorders>
            <w:vAlign w:val="center"/>
            <w:hideMark/>
          </w:tcPr>
          <w:p w14:paraId="3C80D4C6" w14:textId="77777777" w:rsidR="00793DFB" w:rsidRPr="00770882"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770882">
              <w:rPr>
                <w:rFonts w:ascii="Arial" w:eastAsia="Times New Roman" w:hAnsi="Arial" w:cs="Arial"/>
                <w:b/>
                <w:bCs/>
                <w:color w:val="000000"/>
                <w:kern w:val="0"/>
                <w:sz w:val="20"/>
                <w:szCs w:val="20"/>
                <w14:ligatures w14:val="none"/>
              </w:rPr>
              <w:t xml:space="preserve">B </w:t>
            </w:r>
            <w:r w:rsidRPr="00770882">
              <w:rPr>
                <w:rFonts w:ascii="Arial" w:eastAsia="Times New Roman" w:hAnsi="Arial" w:cs="Arial"/>
                <w:b/>
                <w:bCs/>
                <w:color w:val="000000"/>
                <w:kern w:val="0"/>
                <w:sz w:val="20"/>
                <w:szCs w:val="20"/>
                <w:rtl/>
                <w14:ligatures w14:val="none"/>
              </w:rPr>
              <w:t>غير المعياري</w:t>
            </w:r>
          </w:p>
        </w:tc>
        <w:tc>
          <w:tcPr>
            <w:tcW w:w="958" w:type="dxa"/>
            <w:tcBorders>
              <w:top w:val="single" w:sz="8" w:space="0" w:color="auto"/>
              <w:left w:val="single" w:sz="4" w:space="0" w:color="auto"/>
              <w:bottom w:val="single" w:sz="4" w:space="0" w:color="auto"/>
              <w:right w:val="single" w:sz="4" w:space="0" w:color="auto"/>
            </w:tcBorders>
            <w:vAlign w:val="center"/>
            <w:hideMark/>
          </w:tcPr>
          <w:p w14:paraId="356F8E6A" w14:textId="77777777" w:rsidR="00793DFB" w:rsidRPr="00770882"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770882">
              <w:rPr>
                <w:rFonts w:ascii="Arial" w:eastAsia="Times New Roman" w:hAnsi="Arial" w:cs="Arial"/>
                <w:b/>
                <w:bCs/>
                <w:color w:val="000000"/>
                <w:kern w:val="0"/>
                <w:sz w:val="20"/>
                <w:szCs w:val="20"/>
                <w:rtl/>
                <w14:ligatures w14:val="none"/>
              </w:rPr>
              <w:t>الخطأ المعياري</w:t>
            </w:r>
          </w:p>
        </w:tc>
        <w:tc>
          <w:tcPr>
            <w:tcW w:w="958" w:type="dxa"/>
            <w:tcBorders>
              <w:top w:val="single" w:sz="8" w:space="0" w:color="auto"/>
              <w:left w:val="single" w:sz="4" w:space="0" w:color="auto"/>
              <w:bottom w:val="single" w:sz="4" w:space="0" w:color="auto"/>
              <w:right w:val="single" w:sz="4" w:space="0" w:color="auto"/>
            </w:tcBorders>
            <w:vAlign w:val="center"/>
            <w:hideMark/>
          </w:tcPr>
          <w:p w14:paraId="13B75439" w14:textId="77777777" w:rsidR="00793DFB" w:rsidRPr="00770882"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770882">
              <w:rPr>
                <w:rFonts w:ascii="Arial" w:eastAsia="Times New Roman" w:hAnsi="Arial" w:cs="Arial"/>
                <w:b/>
                <w:bCs/>
                <w:color w:val="000000"/>
                <w:kern w:val="0"/>
                <w:sz w:val="20"/>
                <w:szCs w:val="20"/>
                <w14:ligatures w14:val="none"/>
              </w:rPr>
              <w:t xml:space="preserve">Beta </w:t>
            </w:r>
            <w:r w:rsidRPr="00770882">
              <w:rPr>
                <w:rFonts w:ascii="Arial" w:eastAsia="Times New Roman" w:hAnsi="Arial" w:cs="Arial"/>
                <w:b/>
                <w:bCs/>
                <w:color w:val="000000"/>
                <w:kern w:val="0"/>
                <w:sz w:val="20"/>
                <w:szCs w:val="20"/>
                <w:rtl/>
                <w14:ligatures w14:val="none"/>
              </w:rPr>
              <w:t>المعياري</w:t>
            </w:r>
          </w:p>
        </w:tc>
        <w:tc>
          <w:tcPr>
            <w:tcW w:w="958" w:type="dxa"/>
            <w:tcBorders>
              <w:top w:val="single" w:sz="8" w:space="0" w:color="auto"/>
              <w:left w:val="single" w:sz="4" w:space="0" w:color="auto"/>
              <w:bottom w:val="single" w:sz="4" w:space="0" w:color="auto"/>
              <w:right w:val="single" w:sz="4" w:space="0" w:color="auto"/>
            </w:tcBorders>
            <w:vAlign w:val="center"/>
            <w:hideMark/>
          </w:tcPr>
          <w:p w14:paraId="7B26CEC4" w14:textId="77777777" w:rsidR="00793DFB" w:rsidRPr="00770882"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770882">
              <w:rPr>
                <w:rFonts w:ascii="Arial" w:eastAsia="Times New Roman" w:hAnsi="Arial" w:cs="Arial"/>
                <w:b/>
                <w:bCs/>
                <w:color w:val="000000"/>
                <w:kern w:val="0"/>
                <w:sz w:val="20"/>
                <w:szCs w:val="20"/>
                <w:rtl/>
                <w14:ligatures w14:val="none"/>
              </w:rPr>
              <w:t xml:space="preserve">قيمة </w:t>
            </w:r>
            <w:r w:rsidRPr="00770882">
              <w:rPr>
                <w:rFonts w:ascii="Arial" w:eastAsia="Times New Roman" w:hAnsi="Arial" w:cs="Arial"/>
                <w:b/>
                <w:bCs/>
                <w:color w:val="000000"/>
                <w:kern w:val="0"/>
                <w:sz w:val="20"/>
                <w:szCs w:val="20"/>
                <w14:ligatures w14:val="none"/>
              </w:rPr>
              <w:t>t</w:t>
            </w:r>
          </w:p>
        </w:tc>
        <w:tc>
          <w:tcPr>
            <w:tcW w:w="958" w:type="dxa"/>
            <w:tcBorders>
              <w:top w:val="single" w:sz="8" w:space="0" w:color="auto"/>
              <w:left w:val="single" w:sz="4" w:space="0" w:color="auto"/>
              <w:bottom w:val="single" w:sz="4" w:space="0" w:color="auto"/>
              <w:right w:val="single" w:sz="4" w:space="0" w:color="auto"/>
            </w:tcBorders>
            <w:vAlign w:val="center"/>
            <w:hideMark/>
          </w:tcPr>
          <w:p w14:paraId="1AD74106" w14:textId="77777777" w:rsidR="00793DFB" w:rsidRPr="00770882" w:rsidRDefault="00793DFB" w:rsidP="009F1C88">
            <w:pPr>
              <w:bidi/>
              <w:spacing w:after="0" w:line="240" w:lineRule="auto"/>
              <w:jc w:val="center"/>
              <w:rPr>
                <w:rFonts w:ascii="Arial" w:eastAsia="Times New Roman" w:hAnsi="Arial" w:cs="Arial"/>
                <w:b/>
                <w:bCs/>
                <w:color w:val="000000"/>
                <w:kern w:val="0"/>
                <w:sz w:val="20"/>
                <w:szCs w:val="20"/>
                <w:rtl/>
                <w14:ligatures w14:val="none"/>
              </w:rPr>
            </w:pPr>
            <w:r w:rsidRPr="00770882">
              <w:rPr>
                <w:rFonts w:ascii="Arial" w:eastAsia="Times New Roman" w:hAnsi="Arial" w:cs="Arial"/>
                <w:b/>
                <w:bCs/>
                <w:color w:val="000000"/>
                <w:kern w:val="0"/>
                <w:sz w:val="20"/>
                <w:szCs w:val="20"/>
                <w:rtl/>
                <w14:ligatures w14:val="none"/>
              </w:rPr>
              <w:t xml:space="preserve">مستوى الدلالة </w:t>
            </w:r>
            <w:r w:rsidRPr="00770882">
              <w:rPr>
                <w:rFonts w:ascii="Arial" w:eastAsia="Times New Roman" w:hAnsi="Arial" w:cs="Arial"/>
                <w:b/>
                <w:bCs/>
                <w:color w:val="000000"/>
                <w:kern w:val="0"/>
                <w:sz w:val="20"/>
                <w:szCs w:val="20"/>
                <w14:ligatures w14:val="none"/>
              </w:rPr>
              <w:t>Sig</w:t>
            </w:r>
          </w:p>
        </w:tc>
        <w:tc>
          <w:tcPr>
            <w:tcW w:w="975" w:type="dxa"/>
            <w:tcBorders>
              <w:top w:val="single" w:sz="8" w:space="0" w:color="auto"/>
              <w:left w:val="single" w:sz="4" w:space="0" w:color="auto"/>
              <w:bottom w:val="single" w:sz="4" w:space="0" w:color="auto"/>
              <w:right w:val="single" w:sz="4" w:space="0" w:color="auto"/>
            </w:tcBorders>
            <w:vAlign w:val="center"/>
            <w:hideMark/>
          </w:tcPr>
          <w:p w14:paraId="4EE6348F" w14:textId="77777777" w:rsidR="00793DFB" w:rsidRPr="00770882"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770882">
              <w:rPr>
                <w:rFonts w:ascii="Arial" w:eastAsia="Times New Roman" w:hAnsi="Arial" w:cs="Arial"/>
                <w:b/>
                <w:bCs/>
                <w:color w:val="000000"/>
                <w:kern w:val="0"/>
                <w:sz w:val="20"/>
                <w:szCs w:val="20"/>
                <w14:ligatures w14:val="none"/>
              </w:rPr>
              <w:t>Tolerance</w:t>
            </w:r>
          </w:p>
        </w:tc>
        <w:tc>
          <w:tcPr>
            <w:tcW w:w="958" w:type="dxa"/>
            <w:tcBorders>
              <w:top w:val="single" w:sz="8" w:space="0" w:color="auto"/>
              <w:left w:val="single" w:sz="4" w:space="0" w:color="auto"/>
              <w:bottom w:val="single" w:sz="4" w:space="0" w:color="auto"/>
              <w:right w:val="single" w:sz="8" w:space="0" w:color="auto"/>
            </w:tcBorders>
            <w:vAlign w:val="center"/>
            <w:hideMark/>
          </w:tcPr>
          <w:p w14:paraId="707B2052" w14:textId="77777777" w:rsidR="00793DFB" w:rsidRPr="00770882" w:rsidRDefault="00793DFB" w:rsidP="009F1C88">
            <w:pPr>
              <w:spacing w:after="0" w:line="240" w:lineRule="auto"/>
              <w:jc w:val="center"/>
              <w:rPr>
                <w:rFonts w:ascii="Arial" w:eastAsia="Times New Roman" w:hAnsi="Arial" w:cs="Arial"/>
                <w:b/>
                <w:bCs/>
                <w:color w:val="000000"/>
                <w:kern w:val="0"/>
                <w:sz w:val="20"/>
                <w:szCs w:val="20"/>
                <w14:ligatures w14:val="none"/>
              </w:rPr>
            </w:pPr>
            <w:r w:rsidRPr="00770882">
              <w:rPr>
                <w:rFonts w:ascii="Arial" w:eastAsia="Times New Roman" w:hAnsi="Arial" w:cs="Arial"/>
                <w:b/>
                <w:bCs/>
                <w:color w:val="000000"/>
                <w:kern w:val="0"/>
                <w:sz w:val="20"/>
                <w:szCs w:val="20"/>
                <w14:ligatures w14:val="none"/>
              </w:rPr>
              <w:t>VIF</w:t>
            </w:r>
          </w:p>
        </w:tc>
      </w:tr>
      <w:tr w:rsidR="00793DFB" w:rsidRPr="00770882" w14:paraId="7A55B28B" w14:textId="77777777" w:rsidTr="009F1C88">
        <w:trPr>
          <w:trHeight w:val="540"/>
          <w:jc w:val="center"/>
        </w:trPr>
        <w:tc>
          <w:tcPr>
            <w:tcW w:w="957" w:type="dxa"/>
            <w:tcBorders>
              <w:top w:val="nil"/>
              <w:left w:val="single" w:sz="8" w:space="0" w:color="auto"/>
              <w:bottom w:val="single" w:sz="8" w:space="0" w:color="auto"/>
              <w:right w:val="single" w:sz="4" w:space="0" w:color="auto"/>
            </w:tcBorders>
            <w:vAlign w:val="center"/>
            <w:hideMark/>
          </w:tcPr>
          <w:p w14:paraId="4B7EC747" w14:textId="77777777" w:rsidR="00793DFB" w:rsidRPr="00770882" w:rsidRDefault="00793DFB" w:rsidP="009F1C88">
            <w:pPr>
              <w:bidi/>
              <w:spacing w:after="0" w:line="240" w:lineRule="auto"/>
              <w:rPr>
                <w:rFonts w:ascii="Arial" w:eastAsia="Times New Roman" w:hAnsi="Arial" w:cs="Arial"/>
                <w:color w:val="000000"/>
                <w:kern w:val="0"/>
                <w:sz w:val="20"/>
                <w:szCs w:val="20"/>
                <w14:ligatures w14:val="none"/>
              </w:rPr>
            </w:pPr>
            <w:r w:rsidRPr="00770882">
              <w:rPr>
                <w:rFonts w:ascii="Arial" w:eastAsia="Times New Roman" w:hAnsi="Arial" w:cs="Arial"/>
                <w:color w:val="000000"/>
                <w:kern w:val="0"/>
                <w:sz w:val="20"/>
                <w:szCs w:val="20"/>
                <w:rtl/>
                <w14:ligatures w14:val="none"/>
              </w:rPr>
              <w:t>نظم الحوافز والمكافآت</w:t>
            </w:r>
          </w:p>
        </w:tc>
        <w:tc>
          <w:tcPr>
            <w:tcW w:w="958" w:type="dxa"/>
            <w:tcBorders>
              <w:top w:val="nil"/>
              <w:left w:val="single" w:sz="4" w:space="0" w:color="auto"/>
              <w:bottom w:val="single" w:sz="8" w:space="0" w:color="auto"/>
              <w:right w:val="single" w:sz="4" w:space="0" w:color="auto"/>
            </w:tcBorders>
            <w:vAlign w:val="center"/>
            <w:hideMark/>
          </w:tcPr>
          <w:p w14:paraId="59AFD764" w14:textId="77777777" w:rsidR="00793DFB" w:rsidRPr="00770882" w:rsidRDefault="00793DFB" w:rsidP="009F1C88">
            <w:pPr>
              <w:spacing w:after="0" w:line="240" w:lineRule="auto"/>
              <w:jc w:val="right"/>
              <w:rPr>
                <w:rFonts w:ascii="Arial" w:eastAsia="Times New Roman" w:hAnsi="Arial" w:cs="Arial"/>
                <w:color w:val="000000"/>
                <w:kern w:val="0"/>
                <w:sz w:val="20"/>
                <w:szCs w:val="20"/>
                <w:rtl/>
                <w14:ligatures w14:val="none"/>
              </w:rPr>
            </w:pPr>
            <w:r w:rsidRPr="00770882">
              <w:rPr>
                <w:rFonts w:ascii="Arial" w:eastAsia="Times New Roman" w:hAnsi="Arial" w:cs="Arial"/>
                <w:color w:val="000000"/>
                <w:kern w:val="0"/>
                <w:sz w:val="20"/>
                <w:szCs w:val="20"/>
                <w14:ligatures w14:val="none"/>
              </w:rPr>
              <w:t>0.188</w:t>
            </w:r>
          </w:p>
        </w:tc>
        <w:tc>
          <w:tcPr>
            <w:tcW w:w="958" w:type="dxa"/>
            <w:tcBorders>
              <w:top w:val="nil"/>
              <w:left w:val="single" w:sz="4" w:space="0" w:color="auto"/>
              <w:bottom w:val="single" w:sz="8" w:space="0" w:color="auto"/>
              <w:right w:val="single" w:sz="4" w:space="0" w:color="auto"/>
            </w:tcBorders>
            <w:vAlign w:val="center"/>
            <w:hideMark/>
          </w:tcPr>
          <w:p w14:paraId="49E7070C" w14:textId="77777777" w:rsidR="00793DFB" w:rsidRPr="00770882" w:rsidRDefault="00793DFB" w:rsidP="009F1C88">
            <w:pPr>
              <w:spacing w:after="0" w:line="240" w:lineRule="auto"/>
              <w:jc w:val="right"/>
              <w:rPr>
                <w:rFonts w:ascii="Arial" w:eastAsia="Times New Roman" w:hAnsi="Arial" w:cs="Arial"/>
                <w:color w:val="000000"/>
                <w:kern w:val="0"/>
                <w:sz w:val="20"/>
                <w:szCs w:val="20"/>
                <w14:ligatures w14:val="none"/>
              </w:rPr>
            </w:pPr>
            <w:r w:rsidRPr="00770882">
              <w:rPr>
                <w:rFonts w:ascii="Arial" w:eastAsia="Times New Roman" w:hAnsi="Arial" w:cs="Arial"/>
                <w:color w:val="000000"/>
                <w:kern w:val="0"/>
                <w:sz w:val="20"/>
                <w:szCs w:val="20"/>
                <w14:ligatures w14:val="none"/>
              </w:rPr>
              <w:t>0.041</w:t>
            </w:r>
          </w:p>
        </w:tc>
        <w:tc>
          <w:tcPr>
            <w:tcW w:w="958" w:type="dxa"/>
            <w:tcBorders>
              <w:top w:val="nil"/>
              <w:left w:val="single" w:sz="4" w:space="0" w:color="auto"/>
              <w:bottom w:val="single" w:sz="8" w:space="0" w:color="auto"/>
              <w:right w:val="single" w:sz="4" w:space="0" w:color="auto"/>
            </w:tcBorders>
            <w:vAlign w:val="center"/>
            <w:hideMark/>
          </w:tcPr>
          <w:p w14:paraId="3F062A88" w14:textId="77777777" w:rsidR="00793DFB" w:rsidRPr="00770882" w:rsidRDefault="00793DFB" w:rsidP="009F1C88">
            <w:pPr>
              <w:spacing w:after="0" w:line="240" w:lineRule="auto"/>
              <w:jc w:val="right"/>
              <w:rPr>
                <w:rFonts w:ascii="Arial" w:eastAsia="Times New Roman" w:hAnsi="Arial" w:cs="Arial"/>
                <w:color w:val="000000"/>
                <w:kern w:val="0"/>
                <w:sz w:val="20"/>
                <w:szCs w:val="20"/>
                <w14:ligatures w14:val="none"/>
              </w:rPr>
            </w:pPr>
            <w:r w:rsidRPr="00770882">
              <w:rPr>
                <w:rFonts w:ascii="Arial" w:eastAsia="Times New Roman" w:hAnsi="Arial" w:cs="Arial"/>
                <w:color w:val="000000"/>
                <w:kern w:val="0"/>
                <w:sz w:val="20"/>
                <w:szCs w:val="20"/>
                <w14:ligatures w14:val="none"/>
              </w:rPr>
              <w:t>0.219</w:t>
            </w:r>
          </w:p>
        </w:tc>
        <w:tc>
          <w:tcPr>
            <w:tcW w:w="958" w:type="dxa"/>
            <w:tcBorders>
              <w:top w:val="nil"/>
              <w:left w:val="single" w:sz="4" w:space="0" w:color="auto"/>
              <w:bottom w:val="single" w:sz="8" w:space="0" w:color="auto"/>
              <w:right w:val="single" w:sz="4" w:space="0" w:color="auto"/>
            </w:tcBorders>
            <w:vAlign w:val="center"/>
            <w:hideMark/>
          </w:tcPr>
          <w:p w14:paraId="6A9A6EB5" w14:textId="77777777" w:rsidR="00793DFB" w:rsidRPr="00770882" w:rsidRDefault="00793DFB" w:rsidP="009F1C88">
            <w:pPr>
              <w:spacing w:after="0" w:line="240" w:lineRule="auto"/>
              <w:jc w:val="right"/>
              <w:rPr>
                <w:rFonts w:ascii="Arial" w:eastAsia="Times New Roman" w:hAnsi="Arial" w:cs="Arial"/>
                <w:color w:val="000000"/>
                <w:kern w:val="0"/>
                <w:sz w:val="20"/>
                <w:szCs w:val="20"/>
                <w14:ligatures w14:val="none"/>
              </w:rPr>
            </w:pPr>
            <w:r w:rsidRPr="00770882">
              <w:rPr>
                <w:rFonts w:ascii="Arial" w:eastAsia="Times New Roman" w:hAnsi="Arial" w:cs="Arial"/>
                <w:color w:val="000000"/>
                <w:kern w:val="0"/>
                <w:sz w:val="20"/>
                <w:szCs w:val="20"/>
                <w14:ligatures w14:val="none"/>
              </w:rPr>
              <w:t>4.608</w:t>
            </w:r>
          </w:p>
        </w:tc>
        <w:tc>
          <w:tcPr>
            <w:tcW w:w="958" w:type="dxa"/>
            <w:tcBorders>
              <w:top w:val="nil"/>
              <w:left w:val="single" w:sz="4" w:space="0" w:color="auto"/>
              <w:bottom w:val="single" w:sz="8" w:space="0" w:color="auto"/>
              <w:right w:val="single" w:sz="4" w:space="0" w:color="auto"/>
            </w:tcBorders>
            <w:vAlign w:val="center"/>
            <w:hideMark/>
          </w:tcPr>
          <w:p w14:paraId="419604A6" w14:textId="77777777" w:rsidR="00793DFB" w:rsidRPr="00770882" w:rsidRDefault="00793DFB" w:rsidP="009F1C88">
            <w:pPr>
              <w:spacing w:after="0" w:line="240" w:lineRule="auto"/>
              <w:jc w:val="right"/>
              <w:rPr>
                <w:rFonts w:ascii="Arial" w:eastAsia="Times New Roman" w:hAnsi="Arial" w:cs="Arial"/>
                <w:color w:val="000000"/>
                <w:kern w:val="0"/>
                <w:sz w:val="20"/>
                <w:szCs w:val="20"/>
                <w14:ligatures w14:val="none"/>
              </w:rPr>
            </w:pPr>
            <w:r w:rsidRPr="00770882">
              <w:rPr>
                <w:rFonts w:ascii="Arial" w:eastAsia="Times New Roman" w:hAnsi="Arial" w:cs="Arial"/>
                <w:color w:val="000000"/>
                <w:kern w:val="0"/>
                <w:sz w:val="20"/>
                <w:szCs w:val="20"/>
                <w14:ligatures w14:val="none"/>
              </w:rPr>
              <w:t>0</w:t>
            </w:r>
          </w:p>
        </w:tc>
        <w:tc>
          <w:tcPr>
            <w:tcW w:w="975" w:type="dxa"/>
            <w:tcBorders>
              <w:top w:val="nil"/>
              <w:left w:val="single" w:sz="4" w:space="0" w:color="auto"/>
              <w:bottom w:val="single" w:sz="8" w:space="0" w:color="auto"/>
              <w:right w:val="single" w:sz="4" w:space="0" w:color="auto"/>
            </w:tcBorders>
            <w:vAlign w:val="center"/>
            <w:hideMark/>
          </w:tcPr>
          <w:p w14:paraId="333D278D" w14:textId="77777777" w:rsidR="00793DFB" w:rsidRPr="00770882" w:rsidRDefault="00793DFB" w:rsidP="009F1C88">
            <w:pPr>
              <w:spacing w:after="0" w:line="240" w:lineRule="auto"/>
              <w:jc w:val="right"/>
              <w:rPr>
                <w:rFonts w:ascii="Arial" w:eastAsia="Times New Roman" w:hAnsi="Arial" w:cs="Arial"/>
                <w:color w:val="000000"/>
                <w:kern w:val="0"/>
                <w:sz w:val="20"/>
                <w:szCs w:val="20"/>
                <w14:ligatures w14:val="none"/>
              </w:rPr>
            </w:pPr>
            <w:r w:rsidRPr="00770882">
              <w:rPr>
                <w:rFonts w:ascii="Arial" w:eastAsia="Times New Roman" w:hAnsi="Arial" w:cs="Arial"/>
                <w:color w:val="000000"/>
                <w:kern w:val="0"/>
                <w:sz w:val="20"/>
                <w:szCs w:val="20"/>
                <w14:ligatures w14:val="none"/>
              </w:rPr>
              <w:t>0.233</w:t>
            </w:r>
          </w:p>
        </w:tc>
        <w:tc>
          <w:tcPr>
            <w:tcW w:w="958" w:type="dxa"/>
            <w:tcBorders>
              <w:top w:val="nil"/>
              <w:left w:val="single" w:sz="4" w:space="0" w:color="auto"/>
              <w:bottom w:val="single" w:sz="8" w:space="0" w:color="auto"/>
              <w:right w:val="single" w:sz="8" w:space="0" w:color="auto"/>
            </w:tcBorders>
            <w:vAlign w:val="center"/>
            <w:hideMark/>
          </w:tcPr>
          <w:p w14:paraId="4C231E7E" w14:textId="77777777" w:rsidR="00793DFB" w:rsidRPr="00770882" w:rsidRDefault="00793DFB" w:rsidP="009F1C88">
            <w:pPr>
              <w:spacing w:after="0" w:line="240" w:lineRule="auto"/>
              <w:jc w:val="right"/>
              <w:rPr>
                <w:rFonts w:ascii="Arial" w:eastAsia="Times New Roman" w:hAnsi="Arial" w:cs="Arial"/>
                <w:color w:val="000000"/>
                <w:kern w:val="0"/>
                <w:sz w:val="20"/>
                <w:szCs w:val="20"/>
                <w14:ligatures w14:val="none"/>
              </w:rPr>
            </w:pPr>
            <w:r w:rsidRPr="00770882">
              <w:rPr>
                <w:rFonts w:ascii="Arial" w:eastAsia="Times New Roman" w:hAnsi="Arial" w:cs="Arial"/>
                <w:color w:val="000000"/>
                <w:kern w:val="0"/>
                <w:sz w:val="20"/>
                <w:szCs w:val="20"/>
                <w14:ligatures w14:val="none"/>
              </w:rPr>
              <w:t>4.293</w:t>
            </w:r>
          </w:p>
        </w:tc>
      </w:tr>
    </w:tbl>
    <w:p w14:paraId="44AF787B" w14:textId="77777777" w:rsidR="00793DFB" w:rsidRPr="00BE7FFB" w:rsidRDefault="00793DFB" w:rsidP="00793DFB">
      <w:pPr>
        <w:bidi/>
      </w:pPr>
      <w:r w:rsidRPr="00BE7FFB">
        <w:rPr>
          <w:rtl/>
        </w:rPr>
        <w:t>أظهرت النتائج أن نظم الحوافز لها تأثير إيجابي معنوي على الأداء الإبداعي، حيث بلغ معامل الانحدار</w:t>
      </w:r>
      <w:r>
        <w:rPr>
          <w:rFonts w:hint="cs"/>
          <w:rtl/>
        </w:rPr>
        <w:t xml:space="preserve"> </w:t>
      </w:r>
      <w:r w:rsidRPr="00BE7FFB">
        <w:t>(B = 0.188)</w:t>
      </w:r>
      <w:r w:rsidRPr="00BE7FFB">
        <w:rPr>
          <w:rtl/>
        </w:rPr>
        <w:t>، والمعامل المعياري</w:t>
      </w:r>
      <w:r>
        <w:rPr>
          <w:rFonts w:hint="cs"/>
          <w:rtl/>
        </w:rPr>
        <w:t xml:space="preserve"> </w:t>
      </w:r>
      <w:r w:rsidRPr="00BE7FFB">
        <w:t>(Beta = 0.219)</w:t>
      </w:r>
      <w:r w:rsidRPr="00BE7FFB">
        <w:rPr>
          <w:rtl/>
        </w:rPr>
        <w:t>، مع قيمة</w:t>
      </w:r>
      <w:r w:rsidRPr="00BE7FFB">
        <w:t xml:space="preserve"> t </w:t>
      </w:r>
      <w:r w:rsidRPr="00BE7FFB">
        <w:rPr>
          <w:rtl/>
        </w:rPr>
        <w:t>مرتفعة (4.608) ومستوى دلالة</w:t>
      </w:r>
      <w:r>
        <w:rPr>
          <w:rFonts w:hint="cs"/>
          <w:rtl/>
        </w:rPr>
        <w:t xml:space="preserve"> </w:t>
      </w:r>
      <w:r w:rsidRPr="00BE7FFB">
        <w:t>(Sig = 0.000)</w:t>
      </w:r>
      <w:r>
        <w:rPr>
          <w:rFonts w:hint="cs"/>
          <w:rtl/>
        </w:rPr>
        <w:t>.</w:t>
      </w:r>
    </w:p>
    <w:p w14:paraId="1AADD570" w14:textId="77777777" w:rsidR="00793DFB" w:rsidRPr="00BE7FFB" w:rsidRDefault="00793DFB" w:rsidP="00793DFB">
      <w:pPr>
        <w:bidi/>
      </w:pPr>
      <w:r w:rsidRPr="00BE7FFB">
        <w:rPr>
          <w:rtl/>
        </w:rPr>
        <w:lastRenderedPageBreak/>
        <w:t>يدل ذلك على أن زيادة وحدة واحدة في مستوى نظم الحوافز تقابلها زيادة مقدارها (0.188) في الأداء الإبداعي، مع ثبات المتغيرات الأخرى. ويُعد هذا التأثير متوسط القوة مقارنة ببقية المتغيرات، ويعكس الدور التحفيزي للأنظمة التعويضية في تعزيز السلوك الإبداعي. كما أن</w:t>
      </w:r>
      <w:r w:rsidRPr="00BE7FFB">
        <w:t xml:space="preserve"> VIF (4.293) </w:t>
      </w:r>
      <w:r w:rsidRPr="00BE7FFB">
        <w:rPr>
          <w:rtl/>
        </w:rPr>
        <w:t>يشير إلى غياب مشكلة خطيرة في التعدد الخطي</w:t>
      </w:r>
      <w:r w:rsidRPr="00BE7FFB">
        <w:t>.</w:t>
      </w:r>
    </w:p>
    <w:p w14:paraId="19E1D97F" w14:textId="77777777" w:rsidR="00793DFB" w:rsidRPr="00BE7FFB" w:rsidRDefault="00793DFB" w:rsidP="00793DFB">
      <w:pPr>
        <w:bidi/>
        <w:rPr>
          <w:b/>
          <w:bCs/>
        </w:rPr>
      </w:pPr>
      <w:r w:rsidRPr="00BE7FFB">
        <w:rPr>
          <w:b/>
          <w:bCs/>
          <w:rtl/>
        </w:rPr>
        <w:t>رابعاً:</w:t>
      </w:r>
      <w:r>
        <w:rPr>
          <w:b/>
          <w:bCs/>
        </w:rPr>
        <w:t xml:space="preserve"> </w:t>
      </w:r>
      <w:r w:rsidRPr="00BE7FFB">
        <w:rPr>
          <w:b/>
          <w:bCs/>
          <w:rtl/>
        </w:rPr>
        <w:t>تأثير المشاركة في اتخاذ القرار</w:t>
      </w:r>
    </w:p>
    <w:p w14:paraId="08618C45" w14:textId="77777777" w:rsidR="00793DFB" w:rsidRPr="00BE7FFB" w:rsidRDefault="00793DFB" w:rsidP="00793DFB">
      <w:pPr>
        <w:bidi/>
        <w:rPr>
          <w:b/>
          <w:bCs/>
        </w:rPr>
      </w:pPr>
      <w:r w:rsidRPr="00BE7FFB">
        <w:rPr>
          <w:b/>
          <w:bCs/>
          <w:rtl/>
        </w:rPr>
        <w:t>جدول</w:t>
      </w:r>
      <w:r w:rsidRPr="00BE7FFB">
        <w:rPr>
          <w:b/>
          <w:bCs/>
        </w:rPr>
        <w:t xml:space="preserve"> </w:t>
      </w:r>
      <w:r>
        <w:rPr>
          <w:rFonts w:hint="cs"/>
          <w:b/>
          <w:bCs/>
          <w:rtl/>
        </w:rPr>
        <w:t>(4-12):</w:t>
      </w:r>
      <w:r w:rsidRPr="00BE7FFB">
        <w:rPr>
          <w:b/>
          <w:bCs/>
        </w:rPr>
        <w:t xml:space="preserve"> </w:t>
      </w:r>
      <w:r w:rsidRPr="00BE7FFB">
        <w:rPr>
          <w:b/>
          <w:bCs/>
          <w:rtl/>
        </w:rPr>
        <w:t>نتائج اختبار تأثير المشاركة في اتخاذ القرار</w:t>
      </w:r>
    </w:p>
    <w:tbl>
      <w:tblPr>
        <w:bidiVisual/>
        <w:tblW w:w="7680" w:type="dxa"/>
        <w:jc w:val="center"/>
        <w:tblLook w:val="04A0" w:firstRow="1" w:lastRow="0" w:firstColumn="1" w:lastColumn="0" w:noHBand="0" w:noVBand="1"/>
      </w:tblPr>
      <w:tblGrid>
        <w:gridCol w:w="933"/>
        <w:gridCol w:w="935"/>
        <w:gridCol w:w="935"/>
        <w:gridCol w:w="935"/>
        <w:gridCol w:w="927"/>
        <w:gridCol w:w="927"/>
        <w:gridCol w:w="1161"/>
        <w:gridCol w:w="927"/>
      </w:tblGrid>
      <w:tr w:rsidR="00793DFB" w:rsidRPr="00770882" w14:paraId="461E5B93" w14:textId="77777777" w:rsidTr="009F1C88">
        <w:trPr>
          <w:trHeight w:val="528"/>
          <w:jc w:val="center"/>
        </w:trPr>
        <w:tc>
          <w:tcPr>
            <w:tcW w:w="957" w:type="dxa"/>
            <w:tcBorders>
              <w:top w:val="single" w:sz="8" w:space="0" w:color="auto"/>
              <w:left w:val="single" w:sz="8" w:space="0" w:color="auto"/>
              <w:bottom w:val="single" w:sz="4" w:space="0" w:color="auto"/>
              <w:right w:val="single" w:sz="4" w:space="0" w:color="auto"/>
            </w:tcBorders>
            <w:vAlign w:val="center"/>
            <w:hideMark/>
          </w:tcPr>
          <w:p w14:paraId="214EF036" w14:textId="77777777" w:rsidR="00793DFB" w:rsidRPr="00770882"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770882">
              <w:rPr>
                <w:rFonts w:ascii="Arial" w:eastAsia="Times New Roman" w:hAnsi="Arial" w:cs="Arial"/>
                <w:b/>
                <w:bCs/>
                <w:color w:val="000000"/>
                <w:kern w:val="0"/>
                <w:sz w:val="20"/>
                <w:szCs w:val="20"/>
                <w:rtl/>
                <w14:ligatures w14:val="none"/>
              </w:rPr>
              <w:t>المتغير</w:t>
            </w:r>
          </w:p>
        </w:tc>
        <w:tc>
          <w:tcPr>
            <w:tcW w:w="958" w:type="dxa"/>
            <w:tcBorders>
              <w:top w:val="single" w:sz="8" w:space="0" w:color="auto"/>
              <w:left w:val="single" w:sz="4" w:space="0" w:color="auto"/>
              <w:bottom w:val="single" w:sz="4" w:space="0" w:color="auto"/>
              <w:right w:val="single" w:sz="4" w:space="0" w:color="auto"/>
            </w:tcBorders>
            <w:vAlign w:val="center"/>
            <w:hideMark/>
          </w:tcPr>
          <w:p w14:paraId="6C62037C" w14:textId="77777777" w:rsidR="00793DFB" w:rsidRPr="00770882"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770882">
              <w:rPr>
                <w:rFonts w:ascii="Arial" w:eastAsia="Times New Roman" w:hAnsi="Arial" w:cs="Arial"/>
                <w:b/>
                <w:bCs/>
                <w:color w:val="000000"/>
                <w:kern w:val="0"/>
                <w:sz w:val="20"/>
                <w:szCs w:val="20"/>
                <w14:ligatures w14:val="none"/>
              </w:rPr>
              <w:t xml:space="preserve">B </w:t>
            </w:r>
            <w:r w:rsidRPr="00770882">
              <w:rPr>
                <w:rFonts w:ascii="Arial" w:eastAsia="Times New Roman" w:hAnsi="Arial" w:cs="Arial"/>
                <w:b/>
                <w:bCs/>
                <w:color w:val="000000"/>
                <w:kern w:val="0"/>
                <w:sz w:val="20"/>
                <w:szCs w:val="20"/>
                <w:rtl/>
                <w14:ligatures w14:val="none"/>
              </w:rPr>
              <w:t>غير المعياري</w:t>
            </w:r>
          </w:p>
        </w:tc>
        <w:tc>
          <w:tcPr>
            <w:tcW w:w="958" w:type="dxa"/>
            <w:tcBorders>
              <w:top w:val="single" w:sz="8" w:space="0" w:color="auto"/>
              <w:left w:val="single" w:sz="4" w:space="0" w:color="auto"/>
              <w:bottom w:val="single" w:sz="4" w:space="0" w:color="auto"/>
              <w:right w:val="single" w:sz="4" w:space="0" w:color="auto"/>
            </w:tcBorders>
            <w:vAlign w:val="center"/>
            <w:hideMark/>
          </w:tcPr>
          <w:p w14:paraId="072C8AE9" w14:textId="77777777" w:rsidR="00793DFB" w:rsidRPr="00770882"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770882">
              <w:rPr>
                <w:rFonts w:ascii="Arial" w:eastAsia="Times New Roman" w:hAnsi="Arial" w:cs="Arial"/>
                <w:b/>
                <w:bCs/>
                <w:color w:val="000000"/>
                <w:kern w:val="0"/>
                <w:sz w:val="20"/>
                <w:szCs w:val="20"/>
                <w:rtl/>
                <w14:ligatures w14:val="none"/>
              </w:rPr>
              <w:t>الخطأ المعياري</w:t>
            </w:r>
          </w:p>
        </w:tc>
        <w:tc>
          <w:tcPr>
            <w:tcW w:w="958" w:type="dxa"/>
            <w:tcBorders>
              <w:top w:val="single" w:sz="8" w:space="0" w:color="auto"/>
              <w:left w:val="single" w:sz="4" w:space="0" w:color="auto"/>
              <w:bottom w:val="single" w:sz="4" w:space="0" w:color="auto"/>
              <w:right w:val="single" w:sz="4" w:space="0" w:color="auto"/>
            </w:tcBorders>
            <w:vAlign w:val="center"/>
            <w:hideMark/>
          </w:tcPr>
          <w:p w14:paraId="52D9BE9F" w14:textId="77777777" w:rsidR="00793DFB" w:rsidRPr="00770882"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770882">
              <w:rPr>
                <w:rFonts w:ascii="Arial" w:eastAsia="Times New Roman" w:hAnsi="Arial" w:cs="Arial"/>
                <w:b/>
                <w:bCs/>
                <w:color w:val="000000"/>
                <w:kern w:val="0"/>
                <w:sz w:val="20"/>
                <w:szCs w:val="20"/>
                <w14:ligatures w14:val="none"/>
              </w:rPr>
              <w:t xml:space="preserve">Beta </w:t>
            </w:r>
            <w:r w:rsidRPr="00770882">
              <w:rPr>
                <w:rFonts w:ascii="Arial" w:eastAsia="Times New Roman" w:hAnsi="Arial" w:cs="Arial"/>
                <w:b/>
                <w:bCs/>
                <w:color w:val="000000"/>
                <w:kern w:val="0"/>
                <w:sz w:val="20"/>
                <w:szCs w:val="20"/>
                <w:rtl/>
                <w14:ligatures w14:val="none"/>
              </w:rPr>
              <w:t>المعياري</w:t>
            </w:r>
          </w:p>
        </w:tc>
        <w:tc>
          <w:tcPr>
            <w:tcW w:w="958" w:type="dxa"/>
            <w:tcBorders>
              <w:top w:val="single" w:sz="8" w:space="0" w:color="auto"/>
              <w:left w:val="single" w:sz="4" w:space="0" w:color="auto"/>
              <w:bottom w:val="single" w:sz="4" w:space="0" w:color="auto"/>
              <w:right w:val="single" w:sz="4" w:space="0" w:color="auto"/>
            </w:tcBorders>
            <w:vAlign w:val="center"/>
            <w:hideMark/>
          </w:tcPr>
          <w:p w14:paraId="0672B986" w14:textId="77777777" w:rsidR="00793DFB" w:rsidRPr="00770882"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770882">
              <w:rPr>
                <w:rFonts w:ascii="Arial" w:eastAsia="Times New Roman" w:hAnsi="Arial" w:cs="Arial"/>
                <w:b/>
                <w:bCs/>
                <w:color w:val="000000"/>
                <w:kern w:val="0"/>
                <w:sz w:val="20"/>
                <w:szCs w:val="20"/>
                <w:rtl/>
                <w14:ligatures w14:val="none"/>
              </w:rPr>
              <w:t xml:space="preserve">قيمة </w:t>
            </w:r>
            <w:r w:rsidRPr="00770882">
              <w:rPr>
                <w:rFonts w:ascii="Arial" w:eastAsia="Times New Roman" w:hAnsi="Arial" w:cs="Arial"/>
                <w:b/>
                <w:bCs/>
                <w:color w:val="000000"/>
                <w:kern w:val="0"/>
                <w:sz w:val="20"/>
                <w:szCs w:val="20"/>
                <w14:ligatures w14:val="none"/>
              </w:rPr>
              <w:t>t</w:t>
            </w:r>
          </w:p>
        </w:tc>
        <w:tc>
          <w:tcPr>
            <w:tcW w:w="958" w:type="dxa"/>
            <w:tcBorders>
              <w:top w:val="single" w:sz="8" w:space="0" w:color="auto"/>
              <w:left w:val="single" w:sz="4" w:space="0" w:color="auto"/>
              <w:bottom w:val="single" w:sz="4" w:space="0" w:color="auto"/>
              <w:right w:val="single" w:sz="4" w:space="0" w:color="auto"/>
            </w:tcBorders>
            <w:vAlign w:val="center"/>
            <w:hideMark/>
          </w:tcPr>
          <w:p w14:paraId="7A440266" w14:textId="77777777" w:rsidR="00793DFB" w:rsidRPr="00770882" w:rsidRDefault="00793DFB" w:rsidP="009F1C88">
            <w:pPr>
              <w:bidi/>
              <w:spacing w:after="0" w:line="240" w:lineRule="auto"/>
              <w:jc w:val="center"/>
              <w:rPr>
                <w:rFonts w:ascii="Arial" w:eastAsia="Times New Roman" w:hAnsi="Arial" w:cs="Arial"/>
                <w:b/>
                <w:bCs/>
                <w:color w:val="000000"/>
                <w:kern w:val="0"/>
                <w:sz w:val="20"/>
                <w:szCs w:val="20"/>
                <w:rtl/>
                <w14:ligatures w14:val="none"/>
              </w:rPr>
            </w:pPr>
            <w:r w:rsidRPr="00770882">
              <w:rPr>
                <w:rFonts w:ascii="Arial" w:eastAsia="Times New Roman" w:hAnsi="Arial" w:cs="Arial"/>
                <w:b/>
                <w:bCs/>
                <w:color w:val="000000"/>
                <w:kern w:val="0"/>
                <w:sz w:val="20"/>
                <w:szCs w:val="20"/>
                <w:rtl/>
                <w14:ligatures w14:val="none"/>
              </w:rPr>
              <w:t xml:space="preserve">مستوى الدلالة </w:t>
            </w:r>
            <w:r w:rsidRPr="00770882">
              <w:rPr>
                <w:rFonts w:ascii="Arial" w:eastAsia="Times New Roman" w:hAnsi="Arial" w:cs="Arial"/>
                <w:b/>
                <w:bCs/>
                <w:color w:val="000000"/>
                <w:kern w:val="0"/>
                <w:sz w:val="20"/>
                <w:szCs w:val="20"/>
                <w14:ligatures w14:val="none"/>
              </w:rPr>
              <w:t>Sig</w:t>
            </w:r>
          </w:p>
        </w:tc>
        <w:tc>
          <w:tcPr>
            <w:tcW w:w="975" w:type="dxa"/>
            <w:tcBorders>
              <w:top w:val="single" w:sz="8" w:space="0" w:color="auto"/>
              <w:left w:val="single" w:sz="4" w:space="0" w:color="auto"/>
              <w:bottom w:val="single" w:sz="4" w:space="0" w:color="auto"/>
              <w:right w:val="single" w:sz="4" w:space="0" w:color="auto"/>
            </w:tcBorders>
            <w:vAlign w:val="center"/>
            <w:hideMark/>
          </w:tcPr>
          <w:p w14:paraId="1E1CF027" w14:textId="77777777" w:rsidR="00793DFB" w:rsidRPr="00770882"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770882">
              <w:rPr>
                <w:rFonts w:ascii="Arial" w:eastAsia="Times New Roman" w:hAnsi="Arial" w:cs="Arial"/>
                <w:b/>
                <w:bCs/>
                <w:color w:val="000000"/>
                <w:kern w:val="0"/>
                <w:sz w:val="20"/>
                <w:szCs w:val="20"/>
                <w14:ligatures w14:val="none"/>
              </w:rPr>
              <w:t>Tolerance</w:t>
            </w:r>
          </w:p>
        </w:tc>
        <w:tc>
          <w:tcPr>
            <w:tcW w:w="958" w:type="dxa"/>
            <w:tcBorders>
              <w:top w:val="single" w:sz="8" w:space="0" w:color="auto"/>
              <w:left w:val="single" w:sz="4" w:space="0" w:color="auto"/>
              <w:bottom w:val="single" w:sz="4" w:space="0" w:color="auto"/>
              <w:right w:val="single" w:sz="8" w:space="0" w:color="auto"/>
            </w:tcBorders>
            <w:vAlign w:val="center"/>
            <w:hideMark/>
          </w:tcPr>
          <w:p w14:paraId="5735CDA0" w14:textId="77777777" w:rsidR="00793DFB" w:rsidRPr="00770882" w:rsidRDefault="00793DFB" w:rsidP="009F1C88">
            <w:pPr>
              <w:spacing w:after="0" w:line="240" w:lineRule="auto"/>
              <w:jc w:val="center"/>
              <w:rPr>
                <w:rFonts w:ascii="Arial" w:eastAsia="Times New Roman" w:hAnsi="Arial" w:cs="Arial"/>
                <w:b/>
                <w:bCs/>
                <w:color w:val="000000"/>
                <w:kern w:val="0"/>
                <w:sz w:val="20"/>
                <w:szCs w:val="20"/>
                <w14:ligatures w14:val="none"/>
              </w:rPr>
            </w:pPr>
            <w:r w:rsidRPr="00770882">
              <w:rPr>
                <w:rFonts w:ascii="Arial" w:eastAsia="Times New Roman" w:hAnsi="Arial" w:cs="Arial"/>
                <w:b/>
                <w:bCs/>
                <w:color w:val="000000"/>
                <w:kern w:val="0"/>
                <w:sz w:val="20"/>
                <w:szCs w:val="20"/>
                <w14:ligatures w14:val="none"/>
              </w:rPr>
              <w:t>VIF</w:t>
            </w:r>
          </w:p>
        </w:tc>
      </w:tr>
      <w:tr w:rsidR="00793DFB" w:rsidRPr="00770882" w14:paraId="36070972" w14:textId="77777777" w:rsidTr="009F1C88">
        <w:trPr>
          <w:trHeight w:val="804"/>
          <w:jc w:val="center"/>
        </w:trPr>
        <w:tc>
          <w:tcPr>
            <w:tcW w:w="957" w:type="dxa"/>
            <w:tcBorders>
              <w:top w:val="nil"/>
              <w:left w:val="single" w:sz="8" w:space="0" w:color="auto"/>
              <w:bottom w:val="single" w:sz="8" w:space="0" w:color="auto"/>
              <w:right w:val="single" w:sz="4" w:space="0" w:color="auto"/>
            </w:tcBorders>
            <w:vAlign w:val="center"/>
            <w:hideMark/>
          </w:tcPr>
          <w:p w14:paraId="15ABF830" w14:textId="77777777" w:rsidR="00793DFB" w:rsidRPr="00770882" w:rsidRDefault="00793DFB" w:rsidP="009F1C88">
            <w:pPr>
              <w:bidi/>
              <w:spacing w:after="0" w:line="240" w:lineRule="auto"/>
              <w:rPr>
                <w:rFonts w:ascii="Arial" w:eastAsia="Times New Roman" w:hAnsi="Arial" w:cs="Arial"/>
                <w:color w:val="000000"/>
                <w:kern w:val="0"/>
                <w:sz w:val="20"/>
                <w:szCs w:val="20"/>
                <w14:ligatures w14:val="none"/>
              </w:rPr>
            </w:pPr>
            <w:r w:rsidRPr="00770882">
              <w:rPr>
                <w:rFonts w:ascii="Arial" w:eastAsia="Times New Roman" w:hAnsi="Arial" w:cs="Arial"/>
                <w:color w:val="000000"/>
                <w:kern w:val="0"/>
                <w:sz w:val="20"/>
                <w:szCs w:val="20"/>
                <w:rtl/>
                <w14:ligatures w14:val="none"/>
              </w:rPr>
              <w:t>المشاركة في اتخاذ القرار</w:t>
            </w:r>
          </w:p>
        </w:tc>
        <w:tc>
          <w:tcPr>
            <w:tcW w:w="958" w:type="dxa"/>
            <w:tcBorders>
              <w:top w:val="nil"/>
              <w:left w:val="single" w:sz="4" w:space="0" w:color="auto"/>
              <w:bottom w:val="single" w:sz="8" w:space="0" w:color="auto"/>
              <w:right w:val="single" w:sz="4" w:space="0" w:color="auto"/>
            </w:tcBorders>
            <w:vAlign w:val="center"/>
            <w:hideMark/>
          </w:tcPr>
          <w:p w14:paraId="015CFE7E" w14:textId="77777777" w:rsidR="00793DFB" w:rsidRPr="00770882" w:rsidRDefault="00793DFB" w:rsidP="009F1C88">
            <w:pPr>
              <w:spacing w:after="0" w:line="240" w:lineRule="auto"/>
              <w:jc w:val="right"/>
              <w:rPr>
                <w:rFonts w:ascii="Arial" w:eastAsia="Times New Roman" w:hAnsi="Arial" w:cs="Arial"/>
                <w:color w:val="000000"/>
                <w:kern w:val="0"/>
                <w:sz w:val="20"/>
                <w:szCs w:val="20"/>
                <w:rtl/>
                <w14:ligatures w14:val="none"/>
              </w:rPr>
            </w:pPr>
            <w:r w:rsidRPr="00770882">
              <w:rPr>
                <w:rFonts w:ascii="Arial" w:eastAsia="Times New Roman" w:hAnsi="Arial" w:cs="Arial"/>
                <w:color w:val="000000"/>
                <w:kern w:val="0"/>
                <w:sz w:val="20"/>
                <w:szCs w:val="20"/>
                <w14:ligatures w14:val="none"/>
              </w:rPr>
              <w:t>0.129</w:t>
            </w:r>
          </w:p>
        </w:tc>
        <w:tc>
          <w:tcPr>
            <w:tcW w:w="958" w:type="dxa"/>
            <w:tcBorders>
              <w:top w:val="nil"/>
              <w:left w:val="single" w:sz="4" w:space="0" w:color="auto"/>
              <w:bottom w:val="single" w:sz="8" w:space="0" w:color="auto"/>
              <w:right w:val="single" w:sz="4" w:space="0" w:color="auto"/>
            </w:tcBorders>
            <w:vAlign w:val="center"/>
            <w:hideMark/>
          </w:tcPr>
          <w:p w14:paraId="679BCBF6" w14:textId="77777777" w:rsidR="00793DFB" w:rsidRPr="00770882" w:rsidRDefault="00793DFB" w:rsidP="009F1C88">
            <w:pPr>
              <w:spacing w:after="0" w:line="240" w:lineRule="auto"/>
              <w:jc w:val="right"/>
              <w:rPr>
                <w:rFonts w:ascii="Arial" w:eastAsia="Times New Roman" w:hAnsi="Arial" w:cs="Arial"/>
                <w:color w:val="000000"/>
                <w:kern w:val="0"/>
                <w:sz w:val="20"/>
                <w:szCs w:val="20"/>
                <w14:ligatures w14:val="none"/>
              </w:rPr>
            </w:pPr>
            <w:r w:rsidRPr="00770882">
              <w:rPr>
                <w:rFonts w:ascii="Arial" w:eastAsia="Times New Roman" w:hAnsi="Arial" w:cs="Arial"/>
                <w:color w:val="000000"/>
                <w:kern w:val="0"/>
                <w:sz w:val="20"/>
                <w:szCs w:val="20"/>
                <w14:ligatures w14:val="none"/>
              </w:rPr>
              <w:t>0.037</w:t>
            </w:r>
          </w:p>
        </w:tc>
        <w:tc>
          <w:tcPr>
            <w:tcW w:w="958" w:type="dxa"/>
            <w:tcBorders>
              <w:top w:val="nil"/>
              <w:left w:val="single" w:sz="4" w:space="0" w:color="auto"/>
              <w:bottom w:val="single" w:sz="8" w:space="0" w:color="auto"/>
              <w:right w:val="single" w:sz="4" w:space="0" w:color="auto"/>
            </w:tcBorders>
            <w:vAlign w:val="center"/>
            <w:hideMark/>
          </w:tcPr>
          <w:p w14:paraId="5EEC924E" w14:textId="77777777" w:rsidR="00793DFB" w:rsidRPr="00770882" w:rsidRDefault="00793DFB" w:rsidP="009F1C88">
            <w:pPr>
              <w:spacing w:after="0" w:line="240" w:lineRule="auto"/>
              <w:jc w:val="right"/>
              <w:rPr>
                <w:rFonts w:ascii="Arial" w:eastAsia="Times New Roman" w:hAnsi="Arial" w:cs="Arial"/>
                <w:color w:val="000000"/>
                <w:kern w:val="0"/>
                <w:sz w:val="20"/>
                <w:szCs w:val="20"/>
                <w14:ligatures w14:val="none"/>
              </w:rPr>
            </w:pPr>
            <w:r w:rsidRPr="00770882">
              <w:rPr>
                <w:rFonts w:ascii="Arial" w:eastAsia="Times New Roman" w:hAnsi="Arial" w:cs="Arial"/>
                <w:color w:val="000000"/>
                <w:kern w:val="0"/>
                <w:sz w:val="20"/>
                <w:szCs w:val="20"/>
                <w14:ligatures w14:val="none"/>
              </w:rPr>
              <w:t>0.152</w:t>
            </w:r>
          </w:p>
        </w:tc>
        <w:tc>
          <w:tcPr>
            <w:tcW w:w="958" w:type="dxa"/>
            <w:tcBorders>
              <w:top w:val="nil"/>
              <w:left w:val="single" w:sz="4" w:space="0" w:color="auto"/>
              <w:bottom w:val="single" w:sz="8" w:space="0" w:color="auto"/>
              <w:right w:val="single" w:sz="4" w:space="0" w:color="auto"/>
            </w:tcBorders>
            <w:vAlign w:val="center"/>
            <w:hideMark/>
          </w:tcPr>
          <w:p w14:paraId="34B59BE5" w14:textId="77777777" w:rsidR="00793DFB" w:rsidRPr="00770882" w:rsidRDefault="00793DFB" w:rsidP="009F1C88">
            <w:pPr>
              <w:spacing w:after="0" w:line="240" w:lineRule="auto"/>
              <w:jc w:val="right"/>
              <w:rPr>
                <w:rFonts w:ascii="Arial" w:eastAsia="Times New Roman" w:hAnsi="Arial" w:cs="Arial"/>
                <w:color w:val="000000"/>
                <w:kern w:val="0"/>
                <w:sz w:val="20"/>
                <w:szCs w:val="20"/>
                <w14:ligatures w14:val="none"/>
              </w:rPr>
            </w:pPr>
            <w:r w:rsidRPr="00770882">
              <w:rPr>
                <w:rFonts w:ascii="Arial" w:eastAsia="Times New Roman" w:hAnsi="Arial" w:cs="Arial"/>
                <w:color w:val="000000"/>
                <w:kern w:val="0"/>
                <w:sz w:val="20"/>
                <w:szCs w:val="20"/>
                <w14:ligatures w14:val="none"/>
              </w:rPr>
              <w:t>3.506</w:t>
            </w:r>
          </w:p>
        </w:tc>
        <w:tc>
          <w:tcPr>
            <w:tcW w:w="958" w:type="dxa"/>
            <w:tcBorders>
              <w:top w:val="nil"/>
              <w:left w:val="single" w:sz="4" w:space="0" w:color="auto"/>
              <w:bottom w:val="single" w:sz="8" w:space="0" w:color="auto"/>
              <w:right w:val="single" w:sz="4" w:space="0" w:color="auto"/>
            </w:tcBorders>
            <w:vAlign w:val="center"/>
            <w:hideMark/>
          </w:tcPr>
          <w:p w14:paraId="362A66B3" w14:textId="77777777" w:rsidR="00793DFB" w:rsidRPr="00770882" w:rsidRDefault="00793DFB" w:rsidP="009F1C88">
            <w:pPr>
              <w:spacing w:after="0" w:line="240" w:lineRule="auto"/>
              <w:jc w:val="right"/>
              <w:rPr>
                <w:rFonts w:ascii="Arial" w:eastAsia="Times New Roman" w:hAnsi="Arial" w:cs="Arial"/>
                <w:color w:val="000000"/>
                <w:kern w:val="0"/>
                <w:sz w:val="20"/>
                <w:szCs w:val="20"/>
                <w14:ligatures w14:val="none"/>
              </w:rPr>
            </w:pPr>
            <w:r w:rsidRPr="00770882">
              <w:rPr>
                <w:rFonts w:ascii="Arial" w:eastAsia="Times New Roman" w:hAnsi="Arial" w:cs="Arial"/>
                <w:color w:val="000000"/>
                <w:kern w:val="0"/>
                <w:sz w:val="20"/>
                <w:szCs w:val="20"/>
                <w14:ligatures w14:val="none"/>
              </w:rPr>
              <w:t>0.001</w:t>
            </w:r>
          </w:p>
        </w:tc>
        <w:tc>
          <w:tcPr>
            <w:tcW w:w="975" w:type="dxa"/>
            <w:tcBorders>
              <w:top w:val="nil"/>
              <w:left w:val="single" w:sz="4" w:space="0" w:color="auto"/>
              <w:bottom w:val="single" w:sz="8" w:space="0" w:color="auto"/>
              <w:right w:val="single" w:sz="4" w:space="0" w:color="auto"/>
            </w:tcBorders>
            <w:vAlign w:val="center"/>
            <w:hideMark/>
          </w:tcPr>
          <w:p w14:paraId="13B2B7F2" w14:textId="77777777" w:rsidR="00793DFB" w:rsidRPr="00770882" w:rsidRDefault="00793DFB" w:rsidP="009F1C88">
            <w:pPr>
              <w:spacing w:after="0" w:line="240" w:lineRule="auto"/>
              <w:jc w:val="right"/>
              <w:rPr>
                <w:rFonts w:ascii="Arial" w:eastAsia="Times New Roman" w:hAnsi="Arial" w:cs="Arial"/>
                <w:color w:val="000000"/>
                <w:kern w:val="0"/>
                <w:sz w:val="20"/>
                <w:szCs w:val="20"/>
                <w14:ligatures w14:val="none"/>
              </w:rPr>
            </w:pPr>
            <w:r w:rsidRPr="00770882">
              <w:rPr>
                <w:rFonts w:ascii="Arial" w:eastAsia="Times New Roman" w:hAnsi="Arial" w:cs="Arial"/>
                <w:color w:val="000000"/>
                <w:kern w:val="0"/>
                <w:sz w:val="20"/>
                <w:szCs w:val="20"/>
                <w14:ligatures w14:val="none"/>
              </w:rPr>
              <w:t>0.278</w:t>
            </w:r>
          </w:p>
        </w:tc>
        <w:tc>
          <w:tcPr>
            <w:tcW w:w="958" w:type="dxa"/>
            <w:tcBorders>
              <w:top w:val="nil"/>
              <w:left w:val="single" w:sz="4" w:space="0" w:color="auto"/>
              <w:bottom w:val="single" w:sz="8" w:space="0" w:color="auto"/>
              <w:right w:val="single" w:sz="8" w:space="0" w:color="auto"/>
            </w:tcBorders>
            <w:vAlign w:val="center"/>
            <w:hideMark/>
          </w:tcPr>
          <w:p w14:paraId="4A478D5D" w14:textId="77777777" w:rsidR="00793DFB" w:rsidRPr="00770882" w:rsidRDefault="00793DFB" w:rsidP="009F1C88">
            <w:pPr>
              <w:spacing w:after="0" w:line="240" w:lineRule="auto"/>
              <w:jc w:val="right"/>
              <w:rPr>
                <w:rFonts w:ascii="Arial" w:eastAsia="Times New Roman" w:hAnsi="Arial" w:cs="Arial"/>
                <w:color w:val="000000"/>
                <w:kern w:val="0"/>
                <w:sz w:val="20"/>
                <w:szCs w:val="20"/>
                <w14:ligatures w14:val="none"/>
              </w:rPr>
            </w:pPr>
            <w:r w:rsidRPr="00770882">
              <w:rPr>
                <w:rFonts w:ascii="Arial" w:eastAsia="Times New Roman" w:hAnsi="Arial" w:cs="Arial"/>
                <w:color w:val="000000"/>
                <w:kern w:val="0"/>
                <w:sz w:val="20"/>
                <w:szCs w:val="20"/>
                <w14:ligatures w14:val="none"/>
              </w:rPr>
              <w:t>3.591</w:t>
            </w:r>
          </w:p>
        </w:tc>
      </w:tr>
    </w:tbl>
    <w:p w14:paraId="47021A07" w14:textId="77777777" w:rsidR="00793DFB" w:rsidRPr="00BE7FFB" w:rsidRDefault="00793DFB" w:rsidP="00793DFB">
      <w:pPr>
        <w:bidi/>
      </w:pPr>
      <w:r w:rsidRPr="00BE7FFB">
        <w:rPr>
          <w:rtl/>
        </w:rPr>
        <w:t>بلغ معامل المشاركة في اتخاذ القرار</w:t>
      </w:r>
      <w:r>
        <w:rPr>
          <w:rFonts w:hint="cs"/>
          <w:rtl/>
        </w:rPr>
        <w:t xml:space="preserve"> </w:t>
      </w:r>
      <w:r w:rsidRPr="00BE7FFB">
        <w:t>(B = 0.129)</w:t>
      </w:r>
      <w:r w:rsidRPr="00BE7FFB">
        <w:rPr>
          <w:rtl/>
        </w:rPr>
        <w:t>، بقيمة معيارية</w:t>
      </w:r>
      <w:r>
        <w:rPr>
          <w:rFonts w:hint="cs"/>
          <w:rtl/>
        </w:rPr>
        <w:t xml:space="preserve"> </w:t>
      </w:r>
      <w:r w:rsidRPr="00BE7FFB">
        <w:t>(Beta = 0.152)</w:t>
      </w:r>
      <w:r w:rsidRPr="00BE7FFB">
        <w:rPr>
          <w:rtl/>
        </w:rPr>
        <w:t>، وقيمة</w:t>
      </w:r>
      <w:r w:rsidRPr="00BE7FFB">
        <w:t xml:space="preserve"> t </w:t>
      </w:r>
      <w:r w:rsidRPr="00BE7FFB">
        <w:rPr>
          <w:rtl/>
        </w:rPr>
        <w:t>بلغت (3.506) ومستوى دلالة (0.001)، وهي أقل من 0.05، مما يؤكد معنوية التأثير</w:t>
      </w:r>
      <w:r w:rsidRPr="00BE7FFB">
        <w:t>.</w:t>
      </w:r>
    </w:p>
    <w:p w14:paraId="36AD608D" w14:textId="77777777" w:rsidR="00793DFB" w:rsidRPr="00BE7FFB" w:rsidRDefault="00793DFB" w:rsidP="00793DFB">
      <w:pPr>
        <w:bidi/>
      </w:pPr>
      <w:r w:rsidRPr="00BE7FFB">
        <w:rPr>
          <w:rtl/>
        </w:rPr>
        <w:t>يشير ذلك إلى أن ارتفاع مستوى المشاركة في اتخاذ القرار يؤدي إلى تحسن ملموس في الأداء الإبداعي. ويُفهم ذلك في ضوء أن إشراك العاملين في صياغة القرارات يعزز الشعور بالملكية النفسية والمسؤولية المهنية، مما ينعكس على إنتاج الأفكار الجديدة وتطبيقها</w:t>
      </w:r>
      <w:r w:rsidRPr="00BE7FFB">
        <w:t>.</w:t>
      </w:r>
    </w:p>
    <w:p w14:paraId="345DCB2E" w14:textId="77777777" w:rsidR="00793DFB" w:rsidRPr="00357BDD" w:rsidRDefault="00793DFB" w:rsidP="00793DFB">
      <w:pPr>
        <w:bidi/>
        <w:rPr>
          <w:lang w:val="en-GB"/>
        </w:rPr>
      </w:pPr>
      <w:r w:rsidRPr="00357BDD">
        <w:rPr>
          <w:rtl/>
        </w:rPr>
        <w:t>استنادًا إلى النتائج الإحصائية المعروضة، يمكننا صياغة الفقرة الختامية لتقييم الفرضية الرئيسية</w:t>
      </w:r>
      <w:r w:rsidRPr="00357BDD">
        <w:rPr>
          <w:lang w:val="en-GB"/>
        </w:rPr>
        <w:t xml:space="preserve"> (H₁) </w:t>
      </w:r>
      <w:r w:rsidRPr="00357BDD">
        <w:rPr>
          <w:rtl/>
        </w:rPr>
        <w:t>على النحو التالي</w:t>
      </w:r>
      <w:r w:rsidRPr="00357BDD">
        <w:rPr>
          <w:lang w:val="en-GB"/>
        </w:rPr>
        <w:t>:</w:t>
      </w:r>
    </w:p>
    <w:p w14:paraId="0D4861E8" w14:textId="77777777" w:rsidR="00793DFB" w:rsidRPr="00357BDD" w:rsidRDefault="00793DFB" w:rsidP="00793DFB">
      <w:pPr>
        <w:bidi/>
        <w:rPr>
          <w:lang w:val="en-GB"/>
        </w:rPr>
      </w:pPr>
      <w:r w:rsidRPr="00357BDD">
        <w:rPr>
          <w:rtl/>
        </w:rPr>
        <w:t>تشير نتائج التحليل الإحصائي إلى تحقق الفرضية الرئيسية</w:t>
      </w:r>
      <w:r w:rsidRPr="00357BDD">
        <w:rPr>
          <w:lang w:val="en-GB"/>
        </w:rPr>
        <w:t xml:space="preserve"> H₁</w:t>
      </w:r>
      <w:r w:rsidRPr="00357BDD">
        <w:rPr>
          <w:rtl/>
        </w:rPr>
        <w:t>، حيث أظهرت نتائج الانحدار المتعدد أن أنظمة العمل عالية الأداء تفسّر نسبة كبيرة من التباين في الأداء الإبداعي</w:t>
      </w:r>
      <w:r w:rsidRPr="00357BDD">
        <w:rPr>
          <w:lang w:val="en-GB"/>
        </w:rPr>
        <w:t xml:space="preserve"> (R² = 0.794)</w:t>
      </w:r>
      <w:r w:rsidRPr="00357BDD">
        <w:rPr>
          <w:rtl/>
        </w:rPr>
        <w:t>، مع دلالة إحصائية قوية للنموذج ككل</w:t>
      </w:r>
      <w:r w:rsidRPr="00357BDD">
        <w:rPr>
          <w:lang w:val="en-GB"/>
        </w:rPr>
        <w:t xml:space="preserve"> </w:t>
      </w:r>
      <w:r>
        <w:rPr>
          <w:rFonts w:hint="cs"/>
          <w:rtl/>
          <w:lang w:val="en-GB"/>
        </w:rPr>
        <w:t>(</w:t>
      </w:r>
      <w:r w:rsidRPr="00357BDD">
        <w:rPr>
          <w:lang w:val="en-GB"/>
        </w:rPr>
        <w:t>F = 215.25, p &lt; 0.001</w:t>
      </w:r>
      <w:r>
        <w:rPr>
          <w:rFonts w:hint="cs"/>
          <w:rtl/>
          <w:lang w:val="en-GB"/>
        </w:rPr>
        <w:t>).</w:t>
      </w:r>
      <w:r w:rsidRPr="00357BDD">
        <w:rPr>
          <w:lang w:val="en-GB"/>
        </w:rPr>
        <w:t xml:space="preserve"> </w:t>
      </w:r>
      <w:r w:rsidRPr="00357BDD">
        <w:rPr>
          <w:rtl/>
        </w:rPr>
        <w:t>كما أن معامل الارتباط بين أنظمة العمل عالية الأداء والإبداع الوظيفي كان قويًا وموجبًا</w:t>
      </w:r>
      <w:r w:rsidRPr="00357BDD">
        <w:rPr>
          <w:lang w:val="en-GB"/>
        </w:rPr>
        <w:t xml:space="preserve"> </w:t>
      </w:r>
      <w:r>
        <w:rPr>
          <w:rFonts w:hint="cs"/>
          <w:rtl/>
          <w:lang w:val="en-GB"/>
        </w:rPr>
        <w:t>(</w:t>
      </w:r>
      <w:r w:rsidRPr="00357BDD">
        <w:rPr>
          <w:lang w:val="en-GB"/>
        </w:rPr>
        <w:t>r = 0.884, p &lt; 0.001</w:t>
      </w:r>
      <w:r>
        <w:rPr>
          <w:rFonts w:hint="cs"/>
          <w:rtl/>
          <w:lang w:val="en-GB"/>
        </w:rPr>
        <w:t>)</w:t>
      </w:r>
      <w:r w:rsidRPr="00357BDD">
        <w:rPr>
          <w:rtl/>
        </w:rPr>
        <w:t>، مما يعزز من قوة العلاقة بين المتغيرين. وبناءً عليه، يمكن القول إن الفرضية</w:t>
      </w:r>
      <w:r w:rsidRPr="00357BDD">
        <w:rPr>
          <w:lang w:val="en-GB"/>
        </w:rPr>
        <w:t xml:space="preserve"> H₁ </w:t>
      </w:r>
      <w:r w:rsidRPr="00357BDD">
        <w:rPr>
          <w:rtl/>
        </w:rPr>
        <w:t>محققة، إذ توجد علاقة موجبة ذات دلالة إحصائية بين أنظمة العمل عالية الأداء والإبداع الوظيفي لدى أفراد العينة</w:t>
      </w:r>
      <w:r w:rsidRPr="00357BDD">
        <w:rPr>
          <w:lang w:val="en-GB"/>
        </w:rPr>
        <w:t>.</w:t>
      </w:r>
    </w:p>
    <w:p w14:paraId="2CE0AB9E" w14:textId="77777777" w:rsidR="00793DFB" w:rsidRPr="00357BDD" w:rsidRDefault="00793DFB" w:rsidP="00793DFB">
      <w:pPr>
        <w:bidi/>
        <w:rPr>
          <w:lang w:val="en-GB"/>
        </w:rPr>
      </w:pPr>
    </w:p>
    <w:p w14:paraId="422497ED" w14:textId="77777777" w:rsidR="00793DFB" w:rsidRPr="00770882" w:rsidRDefault="00793DFB" w:rsidP="00793DFB">
      <w:pPr>
        <w:bidi/>
        <w:rPr>
          <w:b/>
          <w:bCs/>
          <w:lang w:bidi="ar-EG"/>
        </w:rPr>
      </w:pPr>
      <w:r>
        <w:rPr>
          <w:rFonts w:hint="cs"/>
          <w:b/>
          <w:bCs/>
          <w:rtl/>
          <w:lang w:bidi="ar-EG"/>
        </w:rPr>
        <w:t>4.8.</w:t>
      </w:r>
      <w:r w:rsidRPr="00770882">
        <w:rPr>
          <w:b/>
          <w:bCs/>
          <w:lang w:bidi="ar-EG"/>
        </w:rPr>
        <w:t xml:space="preserve"> </w:t>
      </w:r>
      <w:r w:rsidRPr="00770882">
        <w:rPr>
          <w:b/>
          <w:bCs/>
          <w:rtl/>
        </w:rPr>
        <w:t>اختبار العلاقة بين</w:t>
      </w:r>
      <w:r w:rsidRPr="00770882">
        <w:rPr>
          <w:b/>
          <w:bCs/>
          <w:lang w:bidi="ar-EG"/>
        </w:rPr>
        <w:t xml:space="preserve"> HPWS </w:t>
      </w:r>
      <w:r w:rsidRPr="00770882">
        <w:rPr>
          <w:b/>
          <w:bCs/>
          <w:rtl/>
        </w:rPr>
        <w:t>والثقافة التنظيمية</w:t>
      </w:r>
      <w:r>
        <w:rPr>
          <w:rFonts w:hint="cs"/>
          <w:b/>
          <w:bCs/>
          <w:rtl/>
          <w:lang w:bidi="ar-EG"/>
        </w:rPr>
        <w:t xml:space="preserve"> -</w:t>
      </w:r>
      <w:r w:rsidRPr="00770882">
        <w:rPr>
          <w:b/>
          <w:bCs/>
          <w:lang w:bidi="ar-EG"/>
        </w:rPr>
        <w:t xml:space="preserve"> H₂</w:t>
      </w:r>
    </w:p>
    <w:p w14:paraId="10E53C89" w14:textId="77777777" w:rsidR="00793DFB" w:rsidRDefault="00793DFB" w:rsidP="00793DFB">
      <w:pPr>
        <w:bidi/>
        <w:rPr>
          <w:rtl/>
          <w:lang w:bidi="ar-EG"/>
        </w:rPr>
      </w:pPr>
      <w:r w:rsidRPr="00770882">
        <w:rPr>
          <w:b/>
          <w:bCs/>
          <w:lang w:bidi="ar-EG"/>
        </w:rPr>
        <w:t>H₂</w:t>
      </w:r>
      <w:r>
        <w:rPr>
          <w:rFonts w:hint="cs"/>
          <w:b/>
          <w:bCs/>
          <w:rtl/>
          <w:lang w:bidi="ar-EG"/>
        </w:rPr>
        <w:t>:</w:t>
      </w:r>
      <w:r w:rsidRPr="00770882">
        <w:rPr>
          <w:lang w:bidi="ar-EG"/>
        </w:rPr>
        <w:t xml:space="preserve"> </w:t>
      </w:r>
      <w:r w:rsidRPr="00770882">
        <w:rPr>
          <w:rtl/>
        </w:rPr>
        <w:t>توجد علاقة ذات دلالة إحصائية بين أنظمة العمل عالية الأداء والثقافة التنظيمية</w:t>
      </w:r>
      <w:r w:rsidRPr="00770882">
        <w:rPr>
          <w:lang w:bidi="ar-EG"/>
        </w:rPr>
        <w:t>.</w:t>
      </w:r>
    </w:p>
    <w:p w14:paraId="45501AA7" w14:textId="77777777" w:rsidR="00793DFB" w:rsidRDefault="00793DFB" w:rsidP="00793DFB">
      <w:pPr>
        <w:bidi/>
        <w:rPr>
          <w:lang w:bidi="ar-EG"/>
        </w:rPr>
      </w:pPr>
      <w:r>
        <w:rPr>
          <w:rFonts w:hint="cs"/>
          <w:rtl/>
          <w:lang w:bidi="ar-EG"/>
        </w:rPr>
        <w:t xml:space="preserve">جدول (4-13) مصفوفة الارتباط </w:t>
      </w:r>
      <w:r>
        <w:rPr>
          <w:lang w:bidi="ar-EG"/>
        </w:rPr>
        <w:t xml:space="preserve">Person co-relation </w:t>
      </w:r>
    </w:p>
    <w:tbl>
      <w:tblPr>
        <w:bidiVisual/>
        <w:tblW w:w="6442" w:type="dxa"/>
        <w:jc w:val="center"/>
        <w:tblLook w:val="04A0" w:firstRow="1" w:lastRow="0" w:firstColumn="1" w:lastColumn="0" w:noHBand="0" w:noVBand="1"/>
      </w:tblPr>
      <w:tblGrid>
        <w:gridCol w:w="1051"/>
        <w:gridCol w:w="1705"/>
        <w:gridCol w:w="1712"/>
        <w:gridCol w:w="1974"/>
      </w:tblGrid>
      <w:tr w:rsidR="00793DFB" w:rsidRPr="000141A4" w14:paraId="790C9F3E" w14:textId="77777777" w:rsidTr="009F1C88">
        <w:trPr>
          <w:trHeight w:val="540"/>
          <w:jc w:val="center"/>
        </w:trPr>
        <w:tc>
          <w:tcPr>
            <w:tcW w:w="1051" w:type="dxa"/>
            <w:tcBorders>
              <w:top w:val="single" w:sz="8" w:space="0" w:color="auto"/>
              <w:left w:val="single" w:sz="8" w:space="0" w:color="auto"/>
              <w:bottom w:val="single" w:sz="4" w:space="0" w:color="auto"/>
              <w:right w:val="single" w:sz="4" w:space="0" w:color="auto"/>
            </w:tcBorders>
            <w:vAlign w:val="center"/>
            <w:hideMark/>
          </w:tcPr>
          <w:p w14:paraId="2D1B4C11" w14:textId="77777777" w:rsidR="00793DFB" w:rsidRPr="000141A4"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0141A4">
              <w:rPr>
                <w:rFonts w:ascii="Arial" w:eastAsia="Times New Roman" w:hAnsi="Arial" w:cs="Arial"/>
                <w:b/>
                <w:bCs/>
                <w:color w:val="000000"/>
                <w:kern w:val="0"/>
                <w:sz w:val="20"/>
                <w:szCs w:val="20"/>
                <w:rtl/>
                <w14:ligatures w14:val="none"/>
              </w:rPr>
              <w:t>متغير / متغير</w:t>
            </w:r>
          </w:p>
        </w:tc>
        <w:tc>
          <w:tcPr>
            <w:tcW w:w="1705" w:type="dxa"/>
            <w:tcBorders>
              <w:top w:val="single" w:sz="8" w:space="0" w:color="auto"/>
              <w:left w:val="single" w:sz="4" w:space="0" w:color="auto"/>
              <w:bottom w:val="single" w:sz="4" w:space="0" w:color="auto"/>
              <w:right w:val="single" w:sz="4" w:space="0" w:color="auto"/>
            </w:tcBorders>
            <w:vAlign w:val="center"/>
            <w:hideMark/>
          </w:tcPr>
          <w:p w14:paraId="0B41E206" w14:textId="77777777" w:rsidR="00793DFB" w:rsidRPr="000141A4" w:rsidRDefault="00793DFB" w:rsidP="009F1C88">
            <w:pPr>
              <w:bidi/>
              <w:spacing w:after="0" w:line="240" w:lineRule="auto"/>
              <w:jc w:val="center"/>
              <w:rPr>
                <w:rFonts w:ascii="Arial" w:eastAsia="Times New Roman" w:hAnsi="Arial" w:cs="Arial"/>
                <w:b/>
                <w:bCs/>
                <w:color w:val="000000"/>
                <w:kern w:val="0"/>
                <w:sz w:val="20"/>
                <w:szCs w:val="20"/>
                <w:rtl/>
                <w14:ligatures w14:val="none"/>
              </w:rPr>
            </w:pPr>
            <w:r w:rsidRPr="000141A4">
              <w:rPr>
                <w:rFonts w:ascii="Arial" w:eastAsia="Times New Roman" w:hAnsi="Arial" w:cs="Arial"/>
                <w:b/>
                <w:bCs/>
                <w:color w:val="000000"/>
                <w:kern w:val="0"/>
                <w:sz w:val="20"/>
                <w:szCs w:val="20"/>
                <w:rtl/>
                <w14:ligatures w14:val="none"/>
              </w:rPr>
              <w:t>الأداء الإبداعي</w:t>
            </w:r>
          </w:p>
        </w:tc>
        <w:tc>
          <w:tcPr>
            <w:tcW w:w="1712" w:type="dxa"/>
            <w:tcBorders>
              <w:top w:val="single" w:sz="8" w:space="0" w:color="auto"/>
              <w:left w:val="single" w:sz="4" w:space="0" w:color="auto"/>
              <w:bottom w:val="single" w:sz="4" w:space="0" w:color="auto"/>
              <w:right w:val="single" w:sz="4" w:space="0" w:color="auto"/>
            </w:tcBorders>
            <w:vAlign w:val="center"/>
            <w:hideMark/>
          </w:tcPr>
          <w:p w14:paraId="7988BC58" w14:textId="77777777" w:rsidR="00793DFB" w:rsidRPr="000141A4"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0141A4">
              <w:rPr>
                <w:rFonts w:ascii="Arial" w:eastAsia="Times New Roman" w:hAnsi="Arial" w:cs="Arial"/>
                <w:b/>
                <w:bCs/>
                <w:color w:val="000000"/>
                <w:kern w:val="0"/>
                <w:sz w:val="20"/>
                <w:szCs w:val="20"/>
                <w14:ligatures w14:val="none"/>
              </w:rPr>
              <w:t>HPWS</w:t>
            </w:r>
          </w:p>
        </w:tc>
        <w:tc>
          <w:tcPr>
            <w:tcW w:w="1974" w:type="dxa"/>
            <w:tcBorders>
              <w:top w:val="single" w:sz="8" w:space="0" w:color="auto"/>
              <w:left w:val="single" w:sz="4" w:space="0" w:color="auto"/>
              <w:bottom w:val="single" w:sz="4" w:space="0" w:color="auto"/>
              <w:right w:val="single" w:sz="8" w:space="0" w:color="auto"/>
            </w:tcBorders>
            <w:vAlign w:val="center"/>
            <w:hideMark/>
          </w:tcPr>
          <w:p w14:paraId="0DAE76B4" w14:textId="77777777" w:rsidR="00793DFB" w:rsidRPr="000141A4"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0141A4">
              <w:rPr>
                <w:rFonts w:ascii="Arial" w:eastAsia="Times New Roman" w:hAnsi="Arial" w:cs="Arial"/>
                <w:b/>
                <w:bCs/>
                <w:color w:val="000000"/>
                <w:kern w:val="0"/>
                <w:sz w:val="20"/>
                <w:szCs w:val="20"/>
                <w:rtl/>
                <w14:ligatures w14:val="none"/>
              </w:rPr>
              <w:t>الثقافة التنظيمية</w:t>
            </w:r>
          </w:p>
        </w:tc>
      </w:tr>
      <w:tr w:rsidR="00793DFB" w:rsidRPr="000141A4" w14:paraId="465DAD60" w14:textId="77777777" w:rsidTr="009F1C88">
        <w:trPr>
          <w:trHeight w:val="552"/>
          <w:jc w:val="center"/>
        </w:trPr>
        <w:tc>
          <w:tcPr>
            <w:tcW w:w="1051" w:type="dxa"/>
            <w:tcBorders>
              <w:top w:val="nil"/>
              <w:left w:val="single" w:sz="8" w:space="0" w:color="auto"/>
              <w:bottom w:val="single" w:sz="4" w:space="0" w:color="auto"/>
              <w:right w:val="single" w:sz="4" w:space="0" w:color="auto"/>
            </w:tcBorders>
            <w:vAlign w:val="center"/>
            <w:hideMark/>
          </w:tcPr>
          <w:p w14:paraId="74461524" w14:textId="77777777" w:rsidR="00793DFB" w:rsidRPr="000141A4" w:rsidRDefault="00793DFB" w:rsidP="009F1C88">
            <w:pPr>
              <w:bidi/>
              <w:spacing w:after="0" w:line="240" w:lineRule="auto"/>
              <w:rPr>
                <w:rFonts w:ascii="Arial" w:eastAsia="Times New Roman" w:hAnsi="Arial" w:cs="Arial"/>
                <w:color w:val="000000"/>
                <w:kern w:val="0"/>
                <w:sz w:val="20"/>
                <w:szCs w:val="20"/>
                <w:rtl/>
                <w14:ligatures w14:val="none"/>
              </w:rPr>
            </w:pPr>
            <w:r w:rsidRPr="000141A4">
              <w:rPr>
                <w:rFonts w:ascii="Arial" w:eastAsia="Times New Roman" w:hAnsi="Arial" w:cs="Arial"/>
                <w:color w:val="000000"/>
                <w:kern w:val="0"/>
                <w:sz w:val="20"/>
                <w:szCs w:val="20"/>
                <w:rtl/>
                <w14:ligatures w14:val="none"/>
              </w:rPr>
              <w:t>الأداء الإبداعي</w:t>
            </w:r>
          </w:p>
        </w:tc>
        <w:tc>
          <w:tcPr>
            <w:tcW w:w="1705" w:type="dxa"/>
            <w:tcBorders>
              <w:top w:val="nil"/>
              <w:left w:val="single" w:sz="4" w:space="0" w:color="auto"/>
              <w:bottom w:val="single" w:sz="4" w:space="0" w:color="auto"/>
              <w:right w:val="single" w:sz="4" w:space="0" w:color="auto"/>
            </w:tcBorders>
            <w:vAlign w:val="center"/>
            <w:hideMark/>
          </w:tcPr>
          <w:p w14:paraId="3FA5FD97" w14:textId="77777777" w:rsidR="00793DFB" w:rsidRPr="000141A4" w:rsidRDefault="00793DFB" w:rsidP="009F1C88">
            <w:pPr>
              <w:spacing w:after="0" w:line="240" w:lineRule="auto"/>
              <w:jc w:val="center"/>
              <w:rPr>
                <w:rFonts w:ascii="Arial" w:eastAsia="Times New Roman" w:hAnsi="Arial" w:cs="Arial"/>
                <w:color w:val="000000"/>
                <w:kern w:val="0"/>
                <w:sz w:val="20"/>
                <w:szCs w:val="20"/>
                <w:rtl/>
                <w14:ligatures w14:val="none"/>
              </w:rPr>
            </w:pPr>
            <w:r w:rsidRPr="000141A4">
              <w:rPr>
                <w:rFonts w:ascii="Arial" w:eastAsia="Times New Roman" w:hAnsi="Arial" w:cs="Arial"/>
                <w:color w:val="000000"/>
                <w:kern w:val="0"/>
                <w:sz w:val="20"/>
                <w:szCs w:val="20"/>
                <w14:ligatures w14:val="none"/>
              </w:rPr>
              <w:t>1</w:t>
            </w:r>
          </w:p>
        </w:tc>
        <w:tc>
          <w:tcPr>
            <w:tcW w:w="1712" w:type="dxa"/>
            <w:tcBorders>
              <w:top w:val="nil"/>
              <w:left w:val="single" w:sz="4" w:space="0" w:color="auto"/>
              <w:bottom w:val="single" w:sz="4" w:space="0" w:color="auto"/>
              <w:right w:val="single" w:sz="4" w:space="0" w:color="auto"/>
            </w:tcBorders>
            <w:vAlign w:val="center"/>
            <w:hideMark/>
          </w:tcPr>
          <w:p w14:paraId="5DFE58E7" w14:textId="77777777" w:rsidR="00793DFB" w:rsidRPr="000141A4" w:rsidRDefault="00793DFB" w:rsidP="009F1C88">
            <w:pPr>
              <w:spacing w:after="0" w:line="240" w:lineRule="auto"/>
              <w:jc w:val="center"/>
              <w:rPr>
                <w:rFonts w:ascii="Arial" w:eastAsia="Times New Roman" w:hAnsi="Arial" w:cs="Arial"/>
                <w:b/>
                <w:bCs/>
                <w:color w:val="000000"/>
                <w:kern w:val="0"/>
                <w:sz w:val="20"/>
                <w:szCs w:val="20"/>
                <w14:ligatures w14:val="none"/>
              </w:rPr>
            </w:pPr>
            <w:r w:rsidRPr="000141A4">
              <w:rPr>
                <w:rFonts w:ascii="Arial" w:eastAsia="Times New Roman" w:hAnsi="Arial" w:cs="Arial"/>
                <w:b/>
                <w:bCs/>
                <w:color w:val="000000"/>
                <w:kern w:val="0"/>
                <w:sz w:val="20"/>
                <w:szCs w:val="20"/>
                <w14:ligatures w14:val="none"/>
              </w:rPr>
              <w:t>0.884</w:t>
            </w:r>
            <w:r w:rsidRPr="000141A4">
              <w:rPr>
                <w:rFonts w:ascii="Arial" w:eastAsia="Times New Roman" w:hAnsi="Arial" w:cs="Arial"/>
                <w:color w:val="000000"/>
                <w:kern w:val="0"/>
                <w:sz w:val="20"/>
                <w:szCs w:val="20"/>
                <w14:ligatures w14:val="none"/>
              </w:rPr>
              <w:t xml:space="preserve"> (p &lt; .001)</w:t>
            </w:r>
          </w:p>
        </w:tc>
        <w:tc>
          <w:tcPr>
            <w:tcW w:w="1974" w:type="dxa"/>
            <w:tcBorders>
              <w:top w:val="nil"/>
              <w:left w:val="single" w:sz="4" w:space="0" w:color="auto"/>
              <w:bottom w:val="single" w:sz="4" w:space="0" w:color="auto"/>
              <w:right w:val="single" w:sz="8" w:space="0" w:color="auto"/>
            </w:tcBorders>
            <w:vAlign w:val="center"/>
            <w:hideMark/>
          </w:tcPr>
          <w:p w14:paraId="01A587F7" w14:textId="77777777" w:rsidR="00793DFB" w:rsidRPr="000141A4" w:rsidRDefault="00793DFB" w:rsidP="009F1C88">
            <w:pPr>
              <w:spacing w:after="0" w:line="240" w:lineRule="auto"/>
              <w:jc w:val="center"/>
              <w:rPr>
                <w:rFonts w:ascii="Arial" w:eastAsia="Times New Roman" w:hAnsi="Arial" w:cs="Arial"/>
                <w:b/>
                <w:bCs/>
                <w:color w:val="000000"/>
                <w:kern w:val="0"/>
                <w:sz w:val="20"/>
                <w:szCs w:val="20"/>
                <w14:ligatures w14:val="none"/>
              </w:rPr>
            </w:pPr>
            <w:r w:rsidRPr="000141A4">
              <w:rPr>
                <w:rFonts w:ascii="Arial" w:eastAsia="Times New Roman" w:hAnsi="Arial" w:cs="Arial"/>
                <w:b/>
                <w:bCs/>
                <w:color w:val="000000"/>
                <w:kern w:val="0"/>
                <w:sz w:val="20"/>
                <w:szCs w:val="20"/>
                <w14:ligatures w14:val="none"/>
              </w:rPr>
              <w:t>0.880</w:t>
            </w:r>
            <w:r w:rsidRPr="000141A4">
              <w:rPr>
                <w:rFonts w:ascii="Arial" w:eastAsia="Times New Roman" w:hAnsi="Arial" w:cs="Arial"/>
                <w:color w:val="000000"/>
                <w:kern w:val="0"/>
                <w:sz w:val="20"/>
                <w:szCs w:val="20"/>
                <w14:ligatures w14:val="none"/>
              </w:rPr>
              <w:t xml:space="preserve"> (p &lt; .001)</w:t>
            </w:r>
          </w:p>
        </w:tc>
      </w:tr>
      <w:tr w:rsidR="00793DFB" w:rsidRPr="000141A4" w14:paraId="2B5FD30D" w14:textId="77777777" w:rsidTr="009F1C88">
        <w:trPr>
          <w:trHeight w:val="540"/>
          <w:jc w:val="center"/>
        </w:trPr>
        <w:tc>
          <w:tcPr>
            <w:tcW w:w="1051" w:type="dxa"/>
            <w:tcBorders>
              <w:top w:val="nil"/>
              <w:left w:val="single" w:sz="8" w:space="0" w:color="auto"/>
              <w:bottom w:val="single" w:sz="4" w:space="0" w:color="auto"/>
              <w:right w:val="single" w:sz="4" w:space="0" w:color="auto"/>
            </w:tcBorders>
            <w:vAlign w:val="center"/>
            <w:hideMark/>
          </w:tcPr>
          <w:p w14:paraId="12D120E2" w14:textId="77777777" w:rsidR="00793DFB" w:rsidRPr="000141A4" w:rsidRDefault="00793DFB" w:rsidP="009F1C88">
            <w:pPr>
              <w:spacing w:after="0" w:line="240" w:lineRule="auto"/>
              <w:rPr>
                <w:rFonts w:ascii="Arial" w:eastAsia="Times New Roman" w:hAnsi="Arial" w:cs="Arial"/>
                <w:color w:val="000000"/>
                <w:kern w:val="0"/>
                <w:sz w:val="20"/>
                <w:szCs w:val="20"/>
                <w14:ligatures w14:val="none"/>
              </w:rPr>
            </w:pPr>
            <w:r w:rsidRPr="000141A4">
              <w:rPr>
                <w:rFonts w:ascii="Arial" w:eastAsia="Times New Roman" w:hAnsi="Arial" w:cs="Arial"/>
                <w:color w:val="000000"/>
                <w:kern w:val="0"/>
                <w:sz w:val="20"/>
                <w:szCs w:val="20"/>
                <w14:ligatures w14:val="none"/>
              </w:rPr>
              <w:t>HPWS</w:t>
            </w:r>
          </w:p>
        </w:tc>
        <w:tc>
          <w:tcPr>
            <w:tcW w:w="1705" w:type="dxa"/>
            <w:tcBorders>
              <w:top w:val="nil"/>
              <w:left w:val="single" w:sz="4" w:space="0" w:color="auto"/>
              <w:bottom w:val="single" w:sz="4" w:space="0" w:color="auto"/>
              <w:right w:val="single" w:sz="4" w:space="0" w:color="auto"/>
            </w:tcBorders>
            <w:vAlign w:val="center"/>
            <w:hideMark/>
          </w:tcPr>
          <w:p w14:paraId="7BE73758" w14:textId="77777777" w:rsidR="00793DFB" w:rsidRPr="000141A4" w:rsidRDefault="00793DFB" w:rsidP="009F1C88">
            <w:pPr>
              <w:spacing w:after="0" w:line="240" w:lineRule="auto"/>
              <w:jc w:val="center"/>
              <w:rPr>
                <w:rFonts w:ascii="Arial" w:eastAsia="Times New Roman" w:hAnsi="Arial" w:cs="Arial"/>
                <w:b/>
                <w:bCs/>
                <w:color w:val="000000"/>
                <w:kern w:val="0"/>
                <w:sz w:val="20"/>
                <w:szCs w:val="20"/>
                <w14:ligatures w14:val="none"/>
              </w:rPr>
            </w:pPr>
            <w:r w:rsidRPr="000141A4">
              <w:rPr>
                <w:rFonts w:ascii="Arial" w:eastAsia="Times New Roman" w:hAnsi="Arial" w:cs="Arial"/>
                <w:b/>
                <w:bCs/>
                <w:color w:val="000000"/>
                <w:kern w:val="0"/>
                <w:sz w:val="20"/>
                <w:szCs w:val="20"/>
                <w14:ligatures w14:val="none"/>
              </w:rPr>
              <w:t>0.884</w:t>
            </w:r>
            <w:r w:rsidRPr="000141A4">
              <w:rPr>
                <w:rFonts w:ascii="Arial" w:eastAsia="Times New Roman" w:hAnsi="Arial" w:cs="Arial"/>
                <w:color w:val="000000"/>
                <w:kern w:val="0"/>
                <w:sz w:val="20"/>
                <w:szCs w:val="20"/>
                <w14:ligatures w14:val="none"/>
              </w:rPr>
              <w:t xml:space="preserve"> (p &lt; .001)</w:t>
            </w:r>
          </w:p>
        </w:tc>
        <w:tc>
          <w:tcPr>
            <w:tcW w:w="1712" w:type="dxa"/>
            <w:tcBorders>
              <w:top w:val="nil"/>
              <w:left w:val="single" w:sz="4" w:space="0" w:color="auto"/>
              <w:bottom w:val="single" w:sz="4" w:space="0" w:color="auto"/>
              <w:right w:val="single" w:sz="4" w:space="0" w:color="auto"/>
            </w:tcBorders>
            <w:vAlign w:val="center"/>
            <w:hideMark/>
          </w:tcPr>
          <w:p w14:paraId="7043227A" w14:textId="77777777" w:rsidR="00793DFB" w:rsidRPr="000141A4" w:rsidRDefault="00793DFB" w:rsidP="009F1C88">
            <w:pPr>
              <w:spacing w:after="0" w:line="240" w:lineRule="auto"/>
              <w:jc w:val="center"/>
              <w:rPr>
                <w:rFonts w:ascii="Arial" w:eastAsia="Times New Roman" w:hAnsi="Arial" w:cs="Arial"/>
                <w:color w:val="000000"/>
                <w:kern w:val="0"/>
                <w:sz w:val="20"/>
                <w:szCs w:val="20"/>
                <w14:ligatures w14:val="none"/>
              </w:rPr>
            </w:pPr>
            <w:r w:rsidRPr="000141A4">
              <w:rPr>
                <w:rFonts w:ascii="Arial" w:eastAsia="Times New Roman" w:hAnsi="Arial" w:cs="Arial"/>
                <w:color w:val="000000"/>
                <w:kern w:val="0"/>
                <w:sz w:val="20"/>
                <w:szCs w:val="20"/>
                <w14:ligatures w14:val="none"/>
              </w:rPr>
              <w:t>1</w:t>
            </w:r>
          </w:p>
        </w:tc>
        <w:tc>
          <w:tcPr>
            <w:tcW w:w="1974" w:type="dxa"/>
            <w:tcBorders>
              <w:top w:val="nil"/>
              <w:left w:val="single" w:sz="4" w:space="0" w:color="auto"/>
              <w:bottom w:val="single" w:sz="4" w:space="0" w:color="auto"/>
              <w:right w:val="single" w:sz="8" w:space="0" w:color="auto"/>
            </w:tcBorders>
            <w:vAlign w:val="center"/>
            <w:hideMark/>
          </w:tcPr>
          <w:p w14:paraId="5A8E97BB" w14:textId="77777777" w:rsidR="00793DFB" w:rsidRPr="000141A4" w:rsidRDefault="00793DFB" w:rsidP="009F1C88">
            <w:pPr>
              <w:spacing w:after="0" w:line="240" w:lineRule="auto"/>
              <w:jc w:val="center"/>
              <w:rPr>
                <w:rFonts w:ascii="Arial" w:eastAsia="Times New Roman" w:hAnsi="Arial" w:cs="Arial"/>
                <w:b/>
                <w:bCs/>
                <w:color w:val="000000"/>
                <w:kern w:val="0"/>
                <w:sz w:val="20"/>
                <w:szCs w:val="20"/>
                <w14:ligatures w14:val="none"/>
              </w:rPr>
            </w:pPr>
            <w:r w:rsidRPr="000141A4">
              <w:rPr>
                <w:rFonts w:ascii="Arial" w:eastAsia="Times New Roman" w:hAnsi="Arial" w:cs="Arial"/>
                <w:b/>
                <w:bCs/>
                <w:color w:val="000000"/>
                <w:kern w:val="0"/>
                <w:sz w:val="20"/>
                <w:szCs w:val="20"/>
                <w14:ligatures w14:val="none"/>
              </w:rPr>
              <w:t>0.925</w:t>
            </w:r>
            <w:r w:rsidRPr="000141A4">
              <w:rPr>
                <w:rFonts w:ascii="Arial" w:eastAsia="Times New Roman" w:hAnsi="Arial" w:cs="Arial"/>
                <w:color w:val="000000"/>
                <w:kern w:val="0"/>
                <w:sz w:val="20"/>
                <w:szCs w:val="20"/>
                <w14:ligatures w14:val="none"/>
              </w:rPr>
              <w:t xml:space="preserve"> (p &lt; .001)</w:t>
            </w:r>
          </w:p>
        </w:tc>
      </w:tr>
      <w:tr w:rsidR="00793DFB" w:rsidRPr="000141A4" w14:paraId="2C25F3FF" w14:textId="77777777" w:rsidTr="009F1C88">
        <w:trPr>
          <w:trHeight w:val="540"/>
          <w:jc w:val="center"/>
        </w:trPr>
        <w:tc>
          <w:tcPr>
            <w:tcW w:w="1051" w:type="dxa"/>
            <w:tcBorders>
              <w:top w:val="nil"/>
              <w:left w:val="single" w:sz="8" w:space="0" w:color="auto"/>
              <w:bottom w:val="single" w:sz="8" w:space="0" w:color="auto"/>
              <w:right w:val="single" w:sz="4" w:space="0" w:color="auto"/>
            </w:tcBorders>
            <w:vAlign w:val="center"/>
            <w:hideMark/>
          </w:tcPr>
          <w:p w14:paraId="163065B4" w14:textId="77777777" w:rsidR="00793DFB" w:rsidRPr="000141A4" w:rsidRDefault="00793DFB" w:rsidP="009F1C88">
            <w:pPr>
              <w:bidi/>
              <w:spacing w:after="0" w:line="240" w:lineRule="auto"/>
              <w:rPr>
                <w:rFonts w:ascii="Arial" w:eastAsia="Times New Roman" w:hAnsi="Arial" w:cs="Arial"/>
                <w:color w:val="000000"/>
                <w:kern w:val="0"/>
                <w:sz w:val="20"/>
                <w:szCs w:val="20"/>
                <w14:ligatures w14:val="none"/>
              </w:rPr>
            </w:pPr>
            <w:r w:rsidRPr="000141A4">
              <w:rPr>
                <w:rFonts w:ascii="Arial" w:eastAsia="Times New Roman" w:hAnsi="Arial" w:cs="Arial"/>
                <w:color w:val="000000"/>
                <w:kern w:val="0"/>
                <w:sz w:val="20"/>
                <w:szCs w:val="20"/>
                <w:rtl/>
                <w14:ligatures w14:val="none"/>
              </w:rPr>
              <w:t>الثقافة التنظيمية</w:t>
            </w:r>
          </w:p>
        </w:tc>
        <w:tc>
          <w:tcPr>
            <w:tcW w:w="1705" w:type="dxa"/>
            <w:tcBorders>
              <w:top w:val="nil"/>
              <w:left w:val="single" w:sz="4" w:space="0" w:color="auto"/>
              <w:bottom w:val="single" w:sz="8" w:space="0" w:color="auto"/>
              <w:right w:val="single" w:sz="4" w:space="0" w:color="auto"/>
            </w:tcBorders>
            <w:vAlign w:val="center"/>
            <w:hideMark/>
          </w:tcPr>
          <w:p w14:paraId="59BA64E9" w14:textId="77777777" w:rsidR="00793DFB" w:rsidRPr="000141A4"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0141A4">
              <w:rPr>
                <w:rFonts w:ascii="Arial" w:eastAsia="Times New Roman" w:hAnsi="Arial" w:cs="Arial"/>
                <w:b/>
                <w:bCs/>
                <w:color w:val="000000"/>
                <w:kern w:val="0"/>
                <w:sz w:val="20"/>
                <w:szCs w:val="20"/>
                <w14:ligatures w14:val="none"/>
              </w:rPr>
              <w:t>0.880</w:t>
            </w:r>
            <w:r w:rsidRPr="000141A4">
              <w:rPr>
                <w:rFonts w:ascii="Arial" w:eastAsia="Times New Roman" w:hAnsi="Arial" w:cs="Arial"/>
                <w:color w:val="000000"/>
                <w:kern w:val="0"/>
                <w:sz w:val="20"/>
                <w:szCs w:val="20"/>
                <w14:ligatures w14:val="none"/>
              </w:rPr>
              <w:t xml:space="preserve"> (p &lt; .001)</w:t>
            </w:r>
          </w:p>
        </w:tc>
        <w:tc>
          <w:tcPr>
            <w:tcW w:w="1712" w:type="dxa"/>
            <w:tcBorders>
              <w:top w:val="nil"/>
              <w:left w:val="single" w:sz="4" w:space="0" w:color="auto"/>
              <w:bottom w:val="single" w:sz="8" w:space="0" w:color="auto"/>
              <w:right w:val="single" w:sz="4" w:space="0" w:color="auto"/>
            </w:tcBorders>
            <w:vAlign w:val="center"/>
            <w:hideMark/>
          </w:tcPr>
          <w:p w14:paraId="5EBE1329" w14:textId="77777777" w:rsidR="00793DFB" w:rsidRPr="000141A4" w:rsidRDefault="00793DFB" w:rsidP="009F1C88">
            <w:pPr>
              <w:spacing w:after="0" w:line="240" w:lineRule="auto"/>
              <w:jc w:val="center"/>
              <w:rPr>
                <w:rFonts w:ascii="Arial" w:eastAsia="Times New Roman" w:hAnsi="Arial" w:cs="Arial"/>
                <w:b/>
                <w:bCs/>
                <w:color w:val="000000"/>
                <w:kern w:val="0"/>
                <w:sz w:val="20"/>
                <w:szCs w:val="20"/>
                <w14:ligatures w14:val="none"/>
              </w:rPr>
            </w:pPr>
            <w:r w:rsidRPr="000141A4">
              <w:rPr>
                <w:rFonts w:ascii="Arial" w:eastAsia="Times New Roman" w:hAnsi="Arial" w:cs="Arial"/>
                <w:b/>
                <w:bCs/>
                <w:color w:val="000000"/>
                <w:kern w:val="0"/>
                <w:sz w:val="20"/>
                <w:szCs w:val="20"/>
                <w14:ligatures w14:val="none"/>
              </w:rPr>
              <w:t>0.925</w:t>
            </w:r>
            <w:r w:rsidRPr="000141A4">
              <w:rPr>
                <w:rFonts w:ascii="Arial" w:eastAsia="Times New Roman" w:hAnsi="Arial" w:cs="Arial"/>
                <w:color w:val="000000"/>
                <w:kern w:val="0"/>
                <w:sz w:val="20"/>
                <w:szCs w:val="20"/>
                <w14:ligatures w14:val="none"/>
              </w:rPr>
              <w:t xml:space="preserve"> (p &lt; .001)</w:t>
            </w:r>
          </w:p>
        </w:tc>
        <w:tc>
          <w:tcPr>
            <w:tcW w:w="1974" w:type="dxa"/>
            <w:tcBorders>
              <w:top w:val="nil"/>
              <w:left w:val="single" w:sz="4" w:space="0" w:color="auto"/>
              <w:bottom w:val="single" w:sz="8" w:space="0" w:color="auto"/>
              <w:right w:val="single" w:sz="8" w:space="0" w:color="auto"/>
            </w:tcBorders>
            <w:vAlign w:val="center"/>
            <w:hideMark/>
          </w:tcPr>
          <w:p w14:paraId="3CF207E7" w14:textId="77777777" w:rsidR="00793DFB" w:rsidRPr="000141A4" w:rsidRDefault="00793DFB" w:rsidP="009F1C88">
            <w:pPr>
              <w:spacing w:after="0" w:line="240" w:lineRule="auto"/>
              <w:jc w:val="center"/>
              <w:rPr>
                <w:rFonts w:ascii="Arial" w:eastAsia="Times New Roman" w:hAnsi="Arial" w:cs="Arial"/>
                <w:color w:val="000000"/>
                <w:kern w:val="0"/>
                <w:sz w:val="20"/>
                <w:szCs w:val="20"/>
                <w14:ligatures w14:val="none"/>
              </w:rPr>
            </w:pPr>
            <w:r w:rsidRPr="000141A4">
              <w:rPr>
                <w:rFonts w:ascii="Arial" w:eastAsia="Times New Roman" w:hAnsi="Arial" w:cs="Arial"/>
                <w:color w:val="000000"/>
                <w:kern w:val="0"/>
                <w:sz w:val="20"/>
                <w:szCs w:val="20"/>
                <w14:ligatures w14:val="none"/>
              </w:rPr>
              <w:t>1</w:t>
            </w:r>
          </w:p>
        </w:tc>
      </w:tr>
    </w:tbl>
    <w:p w14:paraId="470E57A0" w14:textId="77777777" w:rsidR="00793DFB" w:rsidRPr="00770882" w:rsidRDefault="00793DFB" w:rsidP="00793DFB">
      <w:pPr>
        <w:bidi/>
        <w:rPr>
          <w:lang w:bidi="ar-EG"/>
        </w:rPr>
      </w:pPr>
    </w:p>
    <w:p w14:paraId="0C4474BD" w14:textId="77777777" w:rsidR="00793DFB" w:rsidRPr="00770882" w:rsidRDefault="00793DFB" w:rsidP="00793DFB">
      <w:pPr>
        <w:numPr>
          <w:ilvl w:val="0"/>
          <w:numId w:val="180"/>
        </w:numPr>
        <w:bidi/>
        <w:rPr>
          <w:lang w:bidi="ar-EG"/>
        </w:rPr>
      </w:pPr>
      <w:r w:rsidRPr="00770882">
        <w:rPr>
          <w:lang w:bidi="ar-EG"/>
        </w:rPr>
        <w:lastRenderedPageBreak/>
        <w:t>R</w:t>
      </w:r>
      <w:r>
        <w:rPr>
          <w:rFonts w:hint="cs"/>
          <w:rtl/>
          <w:lang w:bidi="ar-EG"/>
        </w:rPr>
        <w:t xml:space="preserve"> (</w:t>
      </w:r>
      <w:r w:rsidRPr="00770882">
        <w:rPr>
          <w:lang w:bidi="ar-EG"/>
        </w:rPr>
        <w:t>HPWS</w:t>
      </w:r>
      <w:r>
        <w:rPr>
          <w:rFonts w:hint="cs"/>
          <w:rtl/>
          <w:lang w:bidi="ar-EG"/>
        </w:rPr>
        <w:t>,</w:t>
      </w:r>
      <w:r w:rsidRPr="00770882">
        <w:rPr>
          <w:lang w:bidi="ar-EG"/>
        </w:rPr>
        <w:t xml:space="preserve"> </w:t>
      </w:r>
      <w:r w:rsidRPr="00770882">
        <w:rPr>
          <w:rtl/>
        </w:rPr>
        <w:t>الثقافة التنظيمية</w:t>
      </w:r>
      <w:r>
        <w:rPr>
          <w:rFonts w:hint="cs"/>
          <w:rtl/>
          <w:lang w:bidi="ar-EG"/>
        </w:rPr>
        <w:t>)</w:t>
      </w:r>
      <w:r w:rsidRPr="00770882">
        <w:rPr>
          <w:lang w:bidi="ar-EG"/>
        </w:rPr>
        <w:t xml:space="preserve"> </w:t>
      </w:r>
      <w:r>
        <w:rPr>
          <w:rFonts w:hint="cs"/>
          <w:rtl/>
          <w:lang w:bidi="ar-EG"/>
        </w:rPr>
        <w:t xml:space="preserve">= </w:t>
      </w:r>
      <w:r w:rsidRPr="00770882">
        <w:rPr>
          <w:b/>
          <w:bCs/>
          <w:lang w:bidi="ar-EG"/>
        </w:rPr>
        <w:t>0.925</w:t>
      </w:r>
      <w:r>
        <w:rPr>
          <w:rFonts w:hint="cs"/>
          <w:rtl/>
          <w:lang w:bidi="ar-EG"/>
        </w:rPr>
        <w:t>,</w:t>
      </w:r>
      <w:r w:rsidRPr="00770882">
        <w:rPr>
          <w:lang w:bidi="ar-EG"/>
        </w:rPr>
        <w:t xml:space="preserve"> p &lt; .001</w:t>
      </w:r>
    </w:p>
    <w:p w14:paraId="393F2172" w14:textId="77777777" w:rsidR="00793DFB" w:rsidRPr="00770882" w:rsidRDefault="00793DFB" w:rsidP="00793DFB">
      <w:pPr>
        <w:bidi/>
        <w:rPr>
          <w:lang w:bidi="ar-EG"/>
        </w:rPr>
      </w:pPr>
      <w:r w:rsidRPr="00770882">
        <w:rPr>
          <w:rtl/>
        </w:rPr>
        <w:t>الارتباط الإيجابي القوي جدًا (0.925) يدلّ على تقارب وثيق بين مستوى تطبيق ممارسات</w:t>
      </w:r>
      <w:r w:rsidRPr="00770882">
        <w:rPr>
          <w:lang w:bidi="ar-EG"/>
        </w:rPr>
        <w:t xml:space="preserve"> HPWS </w:t>
      </w:r>
      <w:r w:rsidRPr="00770882">
        <w:rPr>
          <w:rtl/>
        </w:rPr>
        <w:t>ودرجة إدراك الثقافة التنظيمية ضمن المؤسسات محل الدراسة. هذه النتيجة تؤكد أن المؤسسات التي تطبّق ممارسات عمل عالية الأداء تُقاس أيضًا على أنها تتمتع بثقافة تنظيمية أقوى — على مستوى الإدراك العام للعاملين</w:t>
      </w:r>
      <w:r w:rsidRPr="00770882">
        <w:rPr>
          <w:lang w:bidi="ar-EG"/>
        </w:rPr>
        <w:t>.</w:t>
      </w:r>
    </w:p>
    <w:p w14:paraId="45F2E163" w14:textId="77777777" w:rsidR="00793DFB" w:rsidRPr="00770882" w:rsidRDefault="00793DFB" w:rsidP="00793DFB">
      <w:pPr>
        <w:bidi/>
        <w:rPr>
          <w:lang w:bidi="ar-EG"/>
        </w:rPr>
      </w:pPr>
      <w:r w:rsidRPr="00770882">
        <w:rPr>
          <w:b/>
          <w:bCs/>
          <w:lang w:bidi="ar-EG"/>
        </w:rPr>
        <w:t xml:space="preserve"> </w:t>
      </w:r>
      <w:r>
        <w:rPr>
          <w:b/>
          <w:bCs/>
          <w:lang w:bidi="ar-EG"/>
        </w:rPr>
        <w:t>:</w:t>
      </w:r>
      <w:r w:rsidRPr="00770882">
        <w:rPr>
          <w:b/>
          <w:bCs/>
          <w:lang w:bidi="ar-EG"/>
        </w:rPr>
        <w:t>H₂</w:t>
      </w:r>
      <w:r w:rsidRPr="00770882">
        <w:rPr>
          <w:lang w:bidi="ar-EG"/>
        </w:rPr>
        <w:t xml:space="preserve"> </w:t>
      </w:r>
      <w:r w:rsidRPr="00770882">
        <w:rPr>
          <w:rtl/>
        </w:rPr>
        <w:t>تُقبل الفرضية</w:t>
      </w:r>
      <w:r w:rsidRPr="00770882">
        <w:rPr>
          <w:lang w:bidi="ar-EG"/>
        </w:rPr>
        <w:t xml:space="preserve"> H₂</w:t>
      </w:r>
      <w:r w:rsidRPr="00770882">
        <w:rPr>
          <w:rtl/>
        </w:rPr>
        <w:t>؛ علاقة</w:t>
      </w:r>
      <w:r w:rsidRPr="00770882">
        <w:rPr>
          <w:lang w:bidi="ar-EG"/>
        </w:rPr>
        <w:t xml:space="preserve"> HPWS — </w:t>
      </w:r>
      <w:r w:rsidRPr="00770882">
        <w:rPr>
          <w:rtl/>
        </w:rPr>
        <w:t>الثقافة التنظيمية معنوية وقوية جدًا إحصائيًا</w:t>
      </w:r>
      <w:r w:rsidRPr="00770882">
        <w:rPr>
          <w:lang w:bidi="ar-EG"/>
        </w:rPr>
        <w:t>.</w:t>
      </w:r>
    </w:p>
    <w:p w14:paraId="11BD7E0A" w14:textId="77777777" w:rsidR="00793DFB" w:rsidRPr="00770882" w:rsidRDefault="00793DFB" w:rsidP="00793DFB">
      <w:pPr>
        <w:bidi/>
        <w:rPr>
          <w:lang w:bidi="ar-EG"/>
        </w:rPr>
      </w:pPr>
    </w:p>
    <w:p w14:paraId="2D990EC4" w14:textId="77777777" w:rsidR="00793DFB" w:rsidRPr="00770882" w:rsidRDefault="00793DFB" w:rsidP="00793DFB">
      <w:pPr>
        <w:bidi/>
        <w:rPr>
          <w:b/>
          <w:bCs/>
          <w:lang w:bidi="ar-EG"/>
        </w:rPr>
      </w:pPr>
      <w:r>
        <w:rPr>
          <w:rFonts w:hint="cs"/>
          <w:b/>
          <w:bCs/>
          <w:rtl/>
          <w:lang w:bidi="ar-EG"/>
        </w:rPr>
        <w:t xml:space="preserve">4.9. </w:t>
      </w:r>
      <w:r w:rsidRPr="00770882">
        <w:rPr>
          <w:b/>
          <w:bCs/>
          <w:lang w:bidi="ar-EG"/>
        </w:rPr>
        <w:t xml:space="preserve"> </w:t>
      </w:r>
      <w:r w:rsidRPr="00770882">
        <w:rPr>
          <w:b/>
          <w:bCs/>
          <w:rtl/>
        </w:rPr>
        <w:t>تأثيرات أبعاد</w:t>
      </w:r>
      <w:r w:rsidRPr="00770882">
        <w:rPr>
          <w:b/>
          <w:bCs/>
          <w:lang w:bidi="ar-EG"/>
        </w:rPr>
        <w:t xml:space="preserve"> HPWS </w:t>
      </w:r>
      <w:r w:rsidRPr="00770882">
        <w:rPr>
          <w:b/>
          <w:bCs/>
          <w:rtl/>
        </w:rPr>
        <w:t xml:space="preserve">على الثقافة التنظيمية </w:t>
      </w:r>
    </w:p>
    <w:p w14:paraId="63D83377" w14:textId="77777777" w:rsidR="00793DFB" w:rsidRPr="00770882" w:rsidRDefault="00793DFB" w:rsidP="00793DFB">
      <w:pPr>
        <w:bidi/>
        <w:rPr>
          <w:b/>
          <w:bCs/>
          <w:lang w:bidi="ar-EG"/>
        </w:rPr>
      </w:pPr>
      <w:r w:rsidRPr="00770882">
        <w:rPr>
          <w:b/>
          <w:bCs/>
          <w:rtl/>
        </w:rPr>
        <w:t>(أ) بيانات وصفية للتأثير الاستنتاجي</w:t>
      </w:r>
    </w:p>
    <w:p w14:paraId="783B5A42" w14:textId="77777777" w:rsidR="00793DFB" w:rsidRPr="00770882" w:rsidRDefault="00793DFB" w:rsidP="00793DFB">
      <w:pPr>
        <w:bidi/>
        <w:rPr>
          <w:lang w:bidi="ar-EG"/>
        </w:rPr>
      </w:pPr>
      <w:r w:rsidRPr="00770882">
        <w:rPr>
          <w:rtl/>
        </w:rPr>
        <w:t>من نتائج الوصفي (التي أعددتها سابقًا) كانت المتوسطات المرجحة لأبعاد</w:t>
      </w:r>
      <w:r w:rsidRPr="00770882">
        <w:rPr>
          <w:lang w:bidi="ar-EG"/>
        </w:rPr>
        <w:t xml:space="preserve"> HPWS </w:t>
      </w:r>
      <w:r w:rsidRPr="00770882">
        <w:rPr>
          <w:rtl/>
        </w:rPr>
        <w:t>كالتالي (بناءً على توزيع البنود داخل كل بُعد)</w:t>
      </w:r>
      <w:r w:rsidRPr="00770882">
        <w:rPr>
          <w:lang w:bidi="ar-EG"/>
        </w:rPr>
        <w:t>:</w:t>
      </w:r>
    </w:p>
    <w:p w14:paraId="180283C0" w14:textId="77777777" w:rsidR="00793DFB" w:rsidRPr="00770882" w:rsidRDefault="00793DFB" w:rsidP="00793DFB">
      <w:pPr>
        <w:numPr>
          <w:ilvl w:val="0"/>
          <w:numId w:val="181"/>
        </w:numPr>
        <w:bidi/>
        <w:rPr>
          <w:lang w:bidi="ar-EG"/>
        </w:rPr>
      </w:pPr>
      <w:r w:rsidRPr="00770882">
        <w:rPr>
          <w:rtl/>
        </w:rPr>
        <w:t>التوظيف الانتقائي</w:t>
      </w:r>
      <w:r w:rsidRPr="00770882">
        <w:rPr>
          <w:lang w:bidi="ar-EG"/>
        </w:rPr>
        <w:t xml:space="preserve"> </w:t>
      </w:r>
      <w:r>
        <w:rPr>
          <w:rFonts w:hint="cs"/>
          <w:rtl/>
          <w:lang w:bidi="ar-EG"/>
        </w:rPr>
        <w:t>=</w:t>
      </w:r>
      <w:r w:rsidRPr="00770882">
        <w:rPr>
          <w:lang w:bidi="ar-EG"/>
        </w:rPr>
        <w:t xml:space="preserve"> </w:t>
      </w:r>
      <w:r w:rsidRPr="00770882">
        <w:rPr>
          <w:b/>
          <w:bCs/>
          <w:lang w:bidi="ar-EG"/>
        </w:rPr>
        <w:t>3.795</w:t>
      </w:r>
      <w:r w:rsidRPr="00770882">
        <w:rPr>
          <w:lang w:bidi="ar-EG"/>
        </w:rPr>
        <w:t xml:space="preserve"> </w:t>
      </w:r>
      <w:r>
        <w:rPr>
          <w:rFonts w:hint="cs"/>
          <w:rtl/>
          <w:lang w:bidi="ar-EG"/>
        </w:rPr>
        <w:t>(</w:t>
      </w:r>
      <w:r w:rsidRPr="00770882">
        <w:rPr>
          <w:rtl/>
        </w:rPr>
        <w:t>أعلى متوسط</w:t>
      </w:r>
      <w:r>
        <w:rPr>
          <w:rFonts w:hint="cs"/>
          <w:rtl/>
          <w:lang w:bidi="ar-EG"/>
        </w:rPr>
        <w:t>)</w:t>
      </w:r>
    </w:p>
    <w:p w14:paraId="33851446" w14:textId="77777777" w:rsidR="00793DFB" w:rsidRPr="00770882" w:rsidRDefault="00793DFB" w:rsidP="00793DFB">
      <w:pPr>
        <w:numPr>
          <w:ilvl w:val="0"/>
          <w:numId w:val="181"/>
        </w:numPr>
        <w:bidi/>
        <w:rPr>
          <w:lang w:bidi="ar-EG"/>
        </w:rPr>
      </w:pPr>
      <w:r w:rsidRPr="00770882">
        <w:rPr>
          <w:rtl/>
        </w:rPr>
        <w:t>التدريب والتطوير</w:t>
      </w:r>
      <w:r w:rsidRPr="00770882">
        <w:rPr>
          <w:lang w:bidi="ar-EG"/>
        </w:rPr>
        <w:t xml:space="preserve"> </w:t>
      </w:r>
      <w:r>
        <w:rPr>
          <w:rFonts w:hint="cs"/>
          <w:rtl/>
          <w:lang w:bidi="ar-EG"/>
        </w:rPr>
        <w:t xml:space="preserve">= </w:t>
      </w:r>
      <w:r w:rsidRPr="00770882">
        <w:rPr>
          <w:b/>
          <w:bCs/>
          <w:lang w:bidi="ar-EG"/>
        </w:rPr>
        <w:t>3.548</w:t>
      </w:r>
    </w:p>
    <w:p w14:paraId="13678BC3" w14:textId="77777777" w:rsidR="00793DFB" w:rsidRPr="00770882" w:rsidRDefault="00793DFB" w:rsidP="00793DFB">
      <w:pPr>
        <w:numPr>
          <w:ilvl w:val="0"/>
          <w:numId w:val="181"/>
        </w:numPr>
        <w:bidi/>
        <w:rPr>
          <w:lang w:bidi="ar-EG"/>
        </w:rPr>
      </w:pPr>
      <w:r w:rsidRPr="00770882">
        <w:rPr>
          <w:rtl/>
        </w:rPr>
        <w:t>نظم الحوافز والمكافآت</w:t>
      </w:r>
      <w:r w:rsidRPr="00770882">
        <w:rPr>
          <w:lang w:bidi="ar-EG"/>
        </w:rPr>
        <w:t xml:space="preserve"> </w:t>
      </w:r>
      <w:r>
        <w:rPr>
          <w:rFonts w:hint="cs"/>
          <w:rtl/>
          <w:lang w:bidi="ar-EG"/>
        </w:rPr>
        <w:t xml:space="preserve">= </w:t>
      </w:r>
      <w:r w:rsidRPr="00770882">
        <w:rPr>
          <w:b/>
          <w:bCs/>
          <w:lang w:bidi="ar-EG"/>
        </w:rPr>
        <w:t>3.529</w:t>
      </w:r>
    </w:p>
    <w:p w14:paraId="06697283" w14:textId="77777777" w:rsidR="00793DFB" w:rsidRPr="00770882" w:rsidRDefault="00793DFB" w:rsidP="00793DFB">
      <w:pPr>
        <w:numPr>
          <w:ilvl w:val="0"/>
          <w:numId w:val="181"/>
        </w:numPr>
        <w:bidi/>
        <w:rPr>
          <w:lang w:bidi="ar-EG"/>
        </w:rPr>
      </w:pPr>
      <w:r w:rsidRPr="00770882">
        <w:rPr>
          <w:rtl/>
        </w:rPr>
        <w:t>المشاركة في اتخاذ القرار</w:t>
      </w:r>
      <w:r w:rsidRPr="00770882">
        <w:rPr>
          <w:lang w:bidi="ar-EG"/>
        </w:rPr>
        <w:t xml:space="preserve"> </w:t>
      </w:r>
      <w:r>
        <w:rPr>
          <w:rFonts w:hint="cs"/>
          <w:rtl/>
          <w:lang w:bidi="ar-EG"/>
        </w:rPr>
        <w:t xml:space="preserve">= </w:t>
      </w:r>
      <w:r w:rsidRPr="00770882">
        <w:rPr>
          <w:b/>
          <w:bCs/>
          <w:lang w:bidi="ar-EG"/>
        </w:rPr>
        <w:t>3.449</w:t>
      </w:r>
    </w:p>
    <w:p w14:paraId="165AC7AF" w14:textId="77777777" w:rsidR="00793DFB" w:rsidRPr="00770882" w:rsidRDefault="00793DFB" w:rsidP="00793DFB">
      <w:pPr>
        <w:bidi/>
        <w:rPr>
          <w:b/>
          <w:bCs/>
          <w:lang w:bidi="ar-EG"/>
        </w:rPr>
      </w:pPr>
      <w:r w:rsidRPr="00770882">
        <w:rPr>
          <w:b/>
          <w:bCs/>
          <w:rtl/>
        </w:rPr>
        <w:t>(ب) تفسير استقرائي بنيوي</w:t>
      </w:r>
    </w:p>
    <w:p w14:paraId="33AB51FA" w14:textId="77777777" w:rsidR="00793DFB" w:rsidRPr="00770882" w:rsidRDefault="00793DFB" w:rsidP="00793DFB">
      <w:pPr>
        <w:numPr>
          <w:ilvl w:val="0"/>
          <w:numId w:val="182"/>
        </w:numPr>
        <w:bidi/>
        <w:rPr>
          <w:lang w:bidi="ar-EG"/>
        </w:rPr>
      </w:pPr>
      <w:r w:rsidRPr="00770882">
        <w:rPr>
          <w:rtl/>
        </w:rPr>
        <w:t>اتساقًا مع الارتباط العالي الكلي</w:t>
      </w:r>
      <w:r w:rsidRPr="00770882">
        <w:rPr>
          <w:lang w:bidi="ar-EG"/>
        </w:rPr>
        <w:t xml:space="preserve"> </w:t>
      </w:r>
      <w:r>
        <w:rPr>
          <w:rFonts w:hint="cs"/>
          <w:rtl/>
          <w:lang w:bidi="ar-EG"/>
        </w:rPr>
        <w:t>(</w:t>
      </w:r>
      <w:r w:rsidRPr="00770882">
        <w:rPr>
          <w:lang w:bidi="ar-EG"/>
        </w:rPr>
        <w:t>HPWS</w:t>
      </w:r>
      <w:r>
        <w:rPr>
          <w:rFonts w:hint="cs"/>
          <w:rtl/>
          <w:lang w:bidi="ar-EG"/>
        </w:rPr>
        <w:t xml:space="preserve"> </w:t>
      </w:r>
      <w:r w:rsidRPr="00770882">
        <w:rPr>
          <w:lang w:bidi="ar-EG"/>
        </w:rPr>
        <w:t xml:space="preserve">↔ </w:t>
      </w:r>
      <w:r w:rsidRPr="00770882">
        <w:rPr>
          <w:rtl/>
        </w:rPr>
        <w:t xml:space="preserve">الثقافة = </w:t>
      </w:r>
      <w:r>
        <w:rPr>
          <w:rFonts w:hint="cs"/>
          <w:rtl/>
        </w:rPr>
        <w:t>0.925</w:t>
      </w:r>
      <w:r>
        <w:rPr>
          <w:rFonts w:hint="cs"/>
          <w:rtl/>
          <w:lang w:bidi="ar-EG"/>
        </w:rPr>
        <w:t>)</w:t>
      </w:r>
      <w:r w:rsidRPr="00770882">
        <w:rPr>
          <w:rtl/>
        </w:rPr>
        <w:t>، يُستنتج أن كل بُعد من أبعاد</w:t>
      </w:r>
      <w:r w:rsidRPr="00770882">
        <w:rPr>
          <w:lang w:bidi="ar-EG"/>
        </w:rPr>
        <w:t xml:space="preserve"> HPWS </w:t>
      </w:r>
      <w:r w:rsidRPr="00770882">
        <w:rPr>
          <w:rtl/>
        </w:rPr>
        <w:t>يساهم إيجابيًا في بنية الثقافة التنظيمية</w:t>
      </w:r>
      <w:r>
        <w:rPr>
          <w:rFonts w:hint="cs"/>
          <w:rtl/>
        </w:rPr>
        <w:t>.</w:t>
      </w:r>
    </w:p>
    <w:p w14:paraId="4E74AFA6" w14:textId="77777777" w:rsidR="00793DFB" w:rsidRPr="00770882" w:rsidRDefault="00793DFB" w:rsidP="00793DFB">
      <w:pPr>
        <w:numPr>
          <w:ilvl w:val="0"/>
          <w:numId w:val="182"/>
        </w:numPr>
        <w:bidi/>
        <w:rPr>
          <w:lang w:bidi="ar-EG"/>
        </w:rPr>
      </w:pPr>
      <w:r w:rsidRPr="00770882">
        <w:rPr>
          <w:rtl/>
        </w:rPr>
        <w:t xml:space="preserve">بالنظر إلى المتوسطات، نُشير استنتاجيًا إلى أن </w:t>
      </w:r>
      <w:r w:rsidRPr="00770882">
        <w:rPr>
          <w:b/>
          <w:bCs/>
          <w:rtl/>
        </w:rPr>
        <w:t>التوظيف الانتقائي</w:t>
      </w:r>
      <w:r w:rsidRPr="00770882">
        <w:rPr>
          <w:rtl/>
        </w:rPr>
        <w:t xml:space="preserve"> يظهر كأقوى بعد من حيث وجوده الإدراكي في العيّنة، ومن ثم يحتمل أن يكون من أهم عوامل دعم الثقافة التنظيمية في سياق الدراسة. يلي ذلك </w:t>
      </w:r>
      <w:r w:rsidRPr="00770882">
        <w:rPr>
          <w:rFonts w:hint="cs"/>
          <w:rtl/>
        </w:rPr>
        <w:t>التدريب،</w:t>
      </w:r>
      <w:r w:rsidRPr="00770882">
        <w:rPr>
          <w:rtl/>
        </w:rPr>
        <w:t xml:space="preserve"> ثم الحوافز ثم المشاركة (من حيث المتوسطات الوصفية)</w:t>
      </w:r>
      <w:r w:rsidRPr="00770882">
        <w:rPr>
          <w:lang w:bidi="ar-EG"/>
        </w:rPr>
        <w:t>.</w:t>
      </w:r>
    </w:p>
    <w:p w14:paraId="6D83463F" w14:textId="77777777" w:rsidR="00793DFB" w:rsidRPr="00770882" w:rsidRDefault="00793DFB" w:rsidP="00793DFB">
      <w:pPr>
        <w:numPr>
          <w:ilvl w:val="0"/>
          <w:numId w:val="182"/>
        </w:numPr>
        <w:bidi/>
        <w:rPr>
          <w:lang w:bidi="ar-EG"/>
        </w:rPr>
      </w:pPr>
      <w:r w:rsidRPr="00770882">
        <w:rPr>
          <w:rtl/>
        </w:rPr>
        <w:t xml:space="preserve">مع ذلك، </w:t>
      </w:r>
      <w:r w:rsidRPr="00770882">
        <w:rPr>
          <w:b/>
          <w:bCs/>
          <w:rtl/>
        </w:rPr>
        <w:t>هذا استنتاج وصفيفي</w:t>
      </w:r>
      <w:r w:rsidRPr="00770882">
        <w:rPr>
          <w:rtl/>
        </w:rPr>
        <w:t xml:space="preserve"> (يعتمد على حجم المتوسطات) وليس بديلًا عن تحليل انحدار مستقل. قد تُظهر نتائج انحدار متعددة أن بُعدًا ذا متوسط أقل يعطي سهمًا أكبر في تفسير الثقافة إذا كان تغايرُه مع الثقافة أكبر</w:t>
      </w:r>
      <w:r w:rsidRPr="00770882">
        <w:rPr>
          <w:lang w:bidi="ar-EG"/>
        </w:rPr>
        <w:t>.</w:t>
      </w:r>
    </w:p>
    <w:p w14:paraId="602AE202" w14:textId="77777777" w:rsidR="00793DFB" w:rsidRPr="00770882" w:rsidRDefault="00793DFB" w:rsidP="00793DFB">
      <w:pPr>
        <w:bidi/>
        <w:rPr>
          <w:b/>
          <w:bCs/>
          <w:lang w:bidi="ar-EG"/>
        </w:rPr>
      </w:pPr>
      <w:r>
        <w:rPr>
          <w:rFonts w:hint="cs"/>
          <w:b/>
          <w:bCs/>
          <w:rtl/>
          <w:lang w:bidi="ar-EG"/>
        </w:rPr>
        <w:t xml:space="preserve">4.10. </w:t>
      </w:r>
      <w:r w:rsidRPr="00770882">
        <w:rPr>
          <w:b/>
          <w:bCs/>
          <w:rtl/>
        </w:rPr>
        <w:t xml:space="preserve">اختبار العلاقة بين الثقافة التنظيمية والإبداع </w:t>
      </w:r>
      <w:r w:rsidRPr="00770882">
        <w:rPr>
          <w:rFonts w:hint="cs"/>
          <w:b/>
          <w:bCs/>
          <w:rtl/>
        </w:rPr>
        <w:t>الوظيفي</w:t>
      </w:r>
      <w:r w:rsidRPr="00770882">
        <w:rPr>
          <w:b/>
          <w:bCs/>
          <w:lang w:bidi="ar-EG"/>
        </w:rPr>
        <w:t xml:space="preserve"> </w:t>
      </w:r>
      <w:proofErr w:type="gramStart"/>
      <w:r>
        <w:rPr>
          <w:rFonts w:hint="cs"/>
          <w:b/>
          <w:bCs/>
          <w:rtl/>
          <w:lang w:bidi="ar-EG"/>
        </w:rPr>
        <w:t xml:space="preserve">-- </w:t>
      </w:r>
      <w:r w:rsidRPr="00770882">
        <w:rPr>
          <w:b/>
          <w:bCs/>
          <w:lang w:bidi="ar-EG"/>
        </w:rPr>
        <w:t xml:space="preserve"> H</w:t>
      </w:r>
      <w:proofErr w:type="gramEnd"/>
      <w:r w:rsidRPr="00770882">
        <w:rPr>
          <w:b/>
          <w:bCs/>
          <w:lang w:bidi="ar-EG"/>
        </w:rPr>
        <w:t>₃</w:t>
      </w:r>
    </w:p>
    <w:p w14:paraId="682D6222" w14:textId="77777777" w:rsidR="00793DFB" w:rsidRPr="00770882" w:rsidRDefault="00793DFB" w:rsidP="00793DFB">
      <w:pPr>
        <w:bidi/>
        <w:rPr>
          <w:lang w:bidi="ar-EG"/>
        </w:rPr>
      </w:pPr>
      <w:r w:rsidRPr="00770882">
        <w:rPr>
          <w:b/>
          <w:bCs/>
          <w:lang w:bidi="ar-EG"/>
        </w:rPr>
        <w:t>H₃</w:t>
      </w:r>
      <w:r>
        <w:rPr>
          <w:rFonts w:hint="cs"/>
          <w:b/>
          <w:bCs/>
          <w:rtl/>
          <w:lang w:bidi="ar-EG"/>
        </w:rPr>
        <w:t>:</w:t>
      </w:r>
      <w:r w:rsidRPr="00770882">
        <w:rPr>
          <w:lang w:bidi="ar-EG"/>
        </w:rPr>
        <w:t xml:space="preserve"> </w:t>
      </w:r>
      <w:r w:rsidRPr="00770882">
        <w:rPr>
          <w:rtl/>
        </w:rPr>
        <w:t>توجد علاقة ذات دلالة إحصائية بين الثقافة التنظيمية والإبداع الوظيفي</w:t>
      </w:r>
      <w:r w:rsidRPr="00770882">
        <w:rPr>
          <w:lang w:bidi="ar-EG"/>
        </w:rPr>
        <w:t>.</w:t>
      </w:r>
    </w:p>
    <w:p w14:paraId="301A9269" w14:textId="77777777" w:rsidR="00793DFB" w:rsidRPr="00770882" w:rsidRDefault="00793DFB" w:rsidP="00793DFB">
      <w:pPr>
        <w:bidi/>
        <w:rPr>
          <w:b/>
          <w:bCs/>
          <w:lang w:bidi="ar-EG"/>
        </w:rPr>
      </w:pPr>
      <w:r w:rsidRPr="00770882">
        <w:rPr>
          <w:b/>
          <w:bCs/>
          <w:rtl/>
        </w:rPr>
        <w:t>النتائج (ارتباط)</w:t>
      </w:r>
    </w:p>
    <w:p w14:paraId="066F9ABE" w14:textId="77777777" w:rsidR="00793DFB" w:rsidRPr="00770882" w:rsidRDefault="00793DFB" w:rsidP="00793DFB">
      <w:pPr>
        <w:numPr>
          <w:ilvl w:val="0"/>
          <w:numId w:val="183"/>
        </w:numPr>
        <w:bidi/>
        <w:rPr>
          <w:lang w:bidi="ar-EG"/>
        </w:rPr>
      </w:pPr>
      <w:r w:rsidRPr="00770882">
        <w:rPr>
          <w:lang w:bidi="ar-EG"/>
        </w:rPr>
        <w:t>R</w:t>
      </w:r>
      <w:r>
        <w:rPr>
          <w:rFonts w:hint="cs"/>
          <w:rtl/>
          <w:lang w:bidi="ar-EG"/>
        </w:rPr>
        <w:t xml:space="preserve"> (</w:t>
      </w:r>
      <w:r w:rsidRPr="00770882">
        <w:rPr>
          <w:rtl/>
        </w:rPr>
        <w:t>الثقافة التنظيمية, الأداء الإبداعي</w:t>
      </w:r>
      <w:r>
        <w:rPr>
          <w:rFonts w:hint="cs"/>
          <w:rtl/>
          <w:lang w:bidi="ar-EG"/>
        </w:rPr>
        <w:t>)</w:t>
      </w:r>
      <w:r w:rsidRPr="00770882">
        <w:rPr>
          <w:lang w:bidi="ar-EG"/>
        </w:rPr>
        <w:t xml:space="preserve"> </w:t>
      </w:r>
      <w:r>
        <w:rPr>
          <w:rFonts w:hint="cs"/>
          <w:rtl/>
          <w:lang w:bidi="ar-EG"/>
        </w:rPr>
        <w:t xml:space="preserve">= </w:t>
      </w:r>
      <w:r w:rsidRPr="00770882">
        <w:rPr>
          <w:b/>
          <w:bCs/>
          <w:lang w:bidi="ar-EG"/>
        </w:rPr>
        <w:t>0.880</w:t>
      </w:r>
      <w:r>
        <w:rPr>
          <w:rFonts w:hint="cs"/>
          <w:rtl/>
          <w:lang w:bidi="ar-EG"/>
        </w:rPr>
        <w:t xml:space="preserve">, </w:t>
      </w:r>
      <w:r w:rsidRPr="00770882">
        <w:rPr>
          <w:lang w:bidi="ar-EG"/>
        </w:rPr>
        <w:t xml:space="preserve">p &lt; </w:t>
      </w:r>
      <w:r>
        <w:rPr>
          <w:lang w:bidi="ar-EG"/>
        </w:rPr>
        <w:t>0</w:t>
      </w:r>
      <w:r w:rsidRPr="00770882">
        <w:rPr>
          <w:lang w:bidi="ar-EG"/>
        </w:rPr>
        <w:t>.001</w:t>
      </w:r>
    </w:p>
    <w:p w14:paraId="02902147" w14:textId="77777777" w:rsidR="00793DFB" w:rsidRPr="00770882" w:rsidRDefault="00793DFB" w:rsidP="00793DFB">
      <w:pPr>
        <w:bidi/>
        <w:rPr>
          <w:lang w:bidi="ar-EG"/>
        </w:rPr>
      </w:pPr>
      <w:r w:rsidRPr="00770882">
        <w:rPr>
          <w:rtl/>
        </w:rPr>
        <w:t>العلاقة موجبة قوية ودالة إحصائيًا. هذا يعني أن الأفراد الذين يدركون ثقافة تنظيمية أقوى يميلون إلى تسجيل درجات أعلى في مقاييس الإبداع الوظيفي. الارتباط القوي يدعم فرضية وجود علاقة وثيقة بين المناخ الثقافي داخل المؤسسة وسلوكيات الابتكار عند الموظفين</w:t>
      </w:r>
      <w:r w:rsidRPr="00770882">
        <w:rPr>
          <w:lang w:bidi="ar-EG"/>
        </w:rPr>
        <w:t>.</w:t>
      </w:r>
    </w:p>
    <w:p w14:paraId="6E594162" w14:textId="77777777" w:rsidR="00793DFB" w:rsidRPr="00770882" w:rsidRDefault="00793DFB" w:rsidP="00793DFB">
      <w:pPr>
        <w:bidi/>
        <w:rPr>
          <w:lang w:bidi="ar-EG"/>
        </w:rPr>
      </w:pPr>
      <w:r w:rsidRPr="00770882">
        <w:rPr>
          <w:b/>
          <w:bCs/>
          <w:rtl/>
        </w:rPr>
        <w:lastRenderedPageBreak/>
        <w:t>خلاصة</w:t>
      </w:r>
      <w:r>
        <w:rPr>
          <w:rFonts w:hint="cs"/>
          <w:b/>
          <w:bCs/>
          <w:rtl/>
          <w:lang w:bidi="ar-EG"/>
        </w:rPr>
        <w:t xml:space="preserve"> </w:t>
      </w:r>
      <w:r w:rsidRPr="00770882">
        <w:rPr>
          <w:b/>
          <w:bCs/>
          <w:lang w:bidi="ar-EG"/>
        </w:rPr>
        <w:t>H₃</w:t>
      </w:r>
      <w:r>
        <w:rPr>
          <w:rFonts w:hint="cs"/>
          <w:b/>
          <w:bCs/>
          <w:rtl/>
          <w:lang w:bidi="ar-EG"/>
        </w:rPr>
        <w:t>:</w:t>
      </w:r>
      <w:r w:rsidRPr="00770882">
        <w:rPr>
          <w:lang w:bidi="ar-EG"/>
        </w:rPr>
        <w:t xml:space="preserve"> </w:t>
      </w:r>
      <w:r w:rsidRPr="00770882">
        <w:rPr>
          <w:rtl/>
        </w:rPr>
        <w:t>تُقبل الفرضية؛ الثقافة التنظيمية مرتبطة إيجابيًا ومعنويًا بالإبداع الوظيفي</w:t>
      </w:r>
      <w:r w:rsidRPr="00770882">
        <w:rPr>
          <w:lang w:bidi="ar-EG"/>
        </w:rPr>
        <w:t>.</w:t>
      </w:r>
    </w:p>
    <w:p w14:paraId="712E4D54" w14:textId="77777777" w:rsidR="00793DFB" w:rsidRPr="00695A2C" w:rsidRDefault="00793DFB" w:rsidP="00793DFB">
      <w:pPr>
        <w:bidi/>
        <w:rPr>
          <w:b/>
          <w:bCs/>
          <w:lang w:bidi="ar-EG"/>
        </w:rPr>
      </w:pPr>
      <w:r>
        <w:rPr>
          <w:rFonts w:hint="cs"/>
          <w:b/>
          <w:bCs/>
          <w:rtl/>
          <w:lang w:bidi="ar-EG"/>
        </w:rPr>
        <w:t xml:space="preserve">4.11. </w:t>
      </w:r>
      <w:r w:rsidRPr="00695A2C">
        <w:rPr>
          <w:b/>
          <w:bCs/>
          <w:rtl/>
        </w:rPr>
        <w:t>تحليل الانحدار المتعدد: أثر أبعاد الثقافة التنظيمية على الأداء الإبداعي</w:t>
      </w:r>
    </w:p>
    <w:p w14:paraId="185982AF" w14:textId="77777777" w:rsidR="00793DFB" w:rsidRPr="00695A2C" w:rsidRDefault="00793DFB" w:rsidP="00793DFB">
      <w:pPr>
        <w:bidi/>
        <w:rPr>
          <w:lang w:bidi="ar-EG"/>
        </w:rPr>
      </w:pPr>
      <w:r w:rsidRPr="00695A2C">
        <w:rPr>
          <w:rtl/>
        </w:rPr>
        <w:t>فيما يلي عرض منظم ومتكامل لنتائج نموذج الانحدار الذي اختبر مدى مساهمة أبعاد الثقافة التنظيمية (التكيّف، المهمة، الاتساق الداخلي، إشراك الموظفين) في تفسير التباين في الأداء الإبداعي. الجدولان المرفقان يلخصان النتائج الإحصائية الرئيسة، يلي كل جدول تفسير تحليلي موجز بنبرة أكاديمية مناسبة لفصل النتائج في رسالة ماجستير/دكتوراه</w:t>
      </w:r>
      <w:r w:rsidRPr="00695A2C">
        <w:rPr>
          <w:lang w:bidi="ar-EG"/>
        </w:rPr>
        <w:t>.</w:t>
      </w:r>
    </w:p>
    <w:p w14:paraId="3CF72E18" w14:textId="77777777" w:rsidR="00793DFB" w:rsidRPr="00695A2C" w:rsidRDefault="00793DFB" w:rsidP="00793DFB">
      <w:pPr>
        <w:bidi/>
        <w:rPr>
          <w:b/>
          <w:bCs/>
          <w:lang w:bidi="ar-EG"/>
        </w:rPr>
      </w:pPr>
      <w:r w:rsidRPr="00695A2C">
        <w:rPr>
          <w:b/>
          <w:bCs/>
          <w:rtl/>
        </w:rPr>
        <w:t xml:space="preserve">جدول </w:t>
      </w:r>
      <w:r>
        <w:rPr>
          <w:rFonts w:hint="cs"/>
          <w:b/>
          <w:bCs/>
          <w:rtl/>
          <w:lang w:bidi="ar-EG"/>
        </w:rPr>
        <w:t>(4-14):</w:t>
      </w:r>
      <w:r w:rsidRPr="00695A2C">
        <w:rPr>
          <w:b/>
          <w:bCs/>
          <w:lang w:bidi="ar-EG"/>
        </w:rPr>
        <w:t xml:space="preserve"> </w:t>
      </w:r>
      <w:r w:rsidRPr="00695A2C">
        <w:rPr>
          <w:b/>
          <w:bCs/>
          <w:rtl/>
        </w:rPr>
        <w:t>ملخّص النموذج</w:t>
      </w:r>
      <w:r>
        <w:rPr>
          <w:rFonts w:hint="cs"/>
          <w:b/>
          <w:bCs/>
          <w:rtl/>
          <w:lang w:bidi="ar-EG"/>
        </w:rPr>
        <w:t xml:space="preserve"> </w:t>
      </w:r>
      <w:r w:rsidRPr="00695A2C">
        <w:rPr>
          <w:b/>
          <w:bCs/>
          <w:lang w:bidi="ar-EG"/>
        </w:rPr>
        <w:t>(Model Summary)</w:t>
      </w:r>
    </w:p>
    <w:tbl>
      <w:tblPr>
        <w:bidiVisual/>
        <w:tblW w:w="5760" w:type="dxa"/>
        <w:tblInd w:w="1794" w:type="dxa"/>
        <w:tblLook w:val="04A0" w:firstRow="1" w:lastRow="0" w:firstColumn="1" w:lastColumn="0" w:noHBand="0" w:noVBand="1"/>
      </w:tblPr>
      <w:tblGrid>
        <w:gridCol w:w="945"/>
        <w:gridCol w:w="945"/>
        <w:gridCol w:w="945"/>
        <w:gridCol w:w="995"/>
        <w:gridCol w:w="995"/>
        <w:gridCol w:w="935"/>
      </w:tblGrid>
      <w:tr w:rsidR="00793DFB" w:rsidRPr="00663028" w14:paraId="5125BA9D" w14:textId="77777777" w:rsidTr="009F1C88">
        <w:trPr>
          <w:trHeight w:val="1056"/>
        </w:trPr>
        <w:tc>
          <w:tcPr>
            <w:tcW w:w="945" w:type="dxa"/>
            <w:tcBorders>
              <w:top w:val="single" w:sz="8" w:space="0" w:color="auto"/>
              <w:left w:val="single" w:sz="8" w:space="0" w:color="auto"/>
              <w:bottom w:val="single" w:sz="4" w:space="0" w:color="auto"/>
              <w:right w:val="single" w:sz="4" w:space="0" w:color="auto"/>
            </w:tcBorders>
            <w:vAlign w:val="center"/>
            <w:hideMark/>
          </w:tcPr>
          <w:p w14:paraId="71B0233C" w14:textId="77777777" w:rsidR="00793DFB" w:rsidRPr="00663028"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663028">
              <w:rPr>
                <w:rFonts w:ascii="Arial" w:eastAsia="Times New Roman" w:hAnsi="Arial" w:cs="Arial"/>
                <w:b/>
                <w:bCs/>
                <w:color w:val="000000"/>
                <w:kern w:val="0"/>
                <w:sz w:val="20"/>
                <w:szCs w:val="20"/>
                <w:rtl/>
                <w14:ligatures w14:val="none"/>
              </w:rPr>
              <w:t>المؤشر</w:t>
            </w:r>
          </w:p>
        </w:tc>
        <w:tc>
          <w:tcPr>
            <w:tcW w:w="945" w:type="dxa"/>
            <w:tcBorders>
              <w:top w:val="single" w:sz="8" w:space="0" w:color="auto"/>
              <w:left w:val="single" w:sz="4" w:space="0" w:color="auto"/>
              <w:bottom w:val="single" w:sz="4" w:space="0" w:color="auto"/>
              <w:right w:val="single" w:sz="4" w:space="0" w:color="auto"/>
            </w:tcBorders>
            <w:vAlign w:val="center"/>
            <w:hideMark/>
          </w:tcPr>
          <w:p w14:paraId="0D44B0CE" w14:textId="77777777" w:rsidR="00793DFB" w:rsidRPr="00663028" w:rsidRDefault="00793DFB" w:rsidP="009F1C88">
            <w:pPr>
              <w:spacing w:after="0" w:line="240" w:lineRule="auto"/>
              <w:rPr>
                <w:rFonts w:ascii="Arial" w:eastAsia="Times New Roman" w:hAnsi="Arial" w:cs="Arial"/>
                <w:color w:val="000000"/>
                <w:kern w:val="0"/>
                <w:sz w:val="20"/>
                <w:szCs w:val="20"/>
                <w:rtl/>
                <w14:ligatures w14:val="none"/>
              </w:rPr>
            </w:pPr>
            <w:r w:rsidRPr="00663028">
              <w:rPr>
                <w:rFonts w:ascii="Arial" w:eastAsia="Times New Roman" w:hAnsi="Arial" w:cs="Arial"/>
                <w:color w:val="000000"/>
                <w:kern w:val="0"/>
                <w:sz w:val="20"/>
                <w:szCs w:val="20"/>
                <w14:ligatures w14:val="none"/>
              </w:rPr>
              <w:t>R</w:t>
            </w:r>
          </w:p>
        </w:tc>
        <w:tc>
          <w:tcPr>
            <w:tcW w:w="945" w:type="dxa"/>
            <w:tcBorders>
              <w:top w:val="single" w:sz="8" w:space="0" w:color="auto"/>
              <w:left w:val="single" w:sz="4" w:space="0" w:color="auto"/>
              <w:bottom w:val="single" w:sz="4" w:space="0" w:color="auto"/>
              <w:right w:val="single" w:sz="4" w:space="0" w:color="auto"/>
            </w:tcBorders>
            <w:vAlign w:val="center"/>
            <w:hideMark/>
          </w:tcPr>
          <w:p w14:paraId="1F3F99FE" w14:textId="77777777" w:rsidR="00793DFB" w:rsidRPr="00663028" w:rsidRDefault="00793DFB" w:rsidP="009F1C88">
            <w:pPr>
              <w:spacing w:after="0" w:line="240" w:lineRule="auto"/>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R²</w:t>
            </w:r>
          </w:p>
        </w:tc>
        <w:tc>
          <w:tcPr>
            <w:tcW w:w="995" w:type="dxa"/>
            <w:tcBorders>
              <w:top w:val="single" w:sz="8" w:space="0" w:color="auto"/>
              <w:left w:val="single" w:sz="4" w:space="0" w:color="auto"/>
              <w:bottom w:val="single" w:sz="4" w:space="0" w:color="auto"/>
              <w:right w:val="single" w:sz="4" w:space="0" w:color="auto"/>
            </w:tcBorders>
            <w:vAlign w:val="center"/>
            <w:hideMark/>
          </w:tcPr>
          <w:p w14:paraId="66035FDE" w14:textId="77777777" w:rsidR="00793DFB" w:rsidRPr="00663028" w:rsidRDefault="00793DFB" w:rsidP="009F1C88">
            <w:pPr>
              <w:spacing w:after="0" w:line="240" w:lineRule="auto"/>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Adjusted R²</w:t>
            </w:r>
          </w:p>
        </w:tc>
        <w:tc>
          <w:tcPr>
            <w:tcW w:w="995" w:type="dxa"/>
            <w:tcBorders>
              <w:top w:val="single" w:sz="8" w:space="0" w:color="auto"/>
              <w:left w:val="single" w:sz="4" w:space="0" w:color="auto"/>
              <w:bottom w:val="single" w:sz="4" w:space="0" w:color="auto"/>
              <w:right w:val="single" w:sz="4" w:space="0" w:color="auto"/>
            </w:tcBorders>
            <w:vAlign w:val="center"/>
            <w:hideMark/>
          </w:tcPr>
          <w:p w14:paraId="2A81A323" w14:textId="77777777" w:rsidR="00793DFB" w:rsidRPr="00663028" w:rsidRDefault="00793DFB" w:rsidP="009F1C88">
            <w:pPr>
              <w:spacing w:after="0" w:line="240" w:lineRule="auto"/>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Std. Error of the Estimate</w:t>
            </w:r>
          </w:p>
        </w:tc>
        <w:tc>
          <w:tcPr>
            <w:tcW w:w="935" w:type="dxa"/>
            <w:tcBorders>
              <w:top w:val="single" w:sz="8" w:space="0" w:color="auto"/>
              <w:left w:val="single" w:sz="4" w:space="0" w:color="auto"/>
              <w:bottom w:val="single" w:sz="4" w:space="0" w:color="auto"/>
              <w:right w:val="single" w:sz="8" w:space="0" w:color="auto"/>
            </w:tcBorders>
            <w:vAlign w:val="center"/>
            <w:hideMark/>
          </w:tcPr>
          <w:p w14:paraId="4A5C473D" w14:textId="77777777" w:rsidR="00793DFB" w:rsidRPr="00663028" w:rsidRDefault="00793DFB" w:rsidP="009F1C88">
            <w:pPr>
              <w:spacing w:after="0" w:line="240" w:lineRule="auto"/>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N</w:t>
            </w:r>
          </w:p>
        </w:tc>
      </w:tr>
      <w:tr w:rsidR="00793DFB" w:rsidRPr="00663028" w14:paraId="5F4EF92B" w14:textId="77777777" w:rsidTr="009F1C88">
        <w:trPr>
          <w:trHeight w:val="276"/>
        </w:trPr>
        <w:tc>
          <w:tcPr>
            <w:tcW w:w="945" w:type="dxa"/>
            <w:tcBorders>
              <w:top w:val="nil"/>
              <w:left w:val="single" w:sz="8" w:space="0" w:color="auto"/>
              <w:bottom w:val="single" w:sz="8" w:space="0" w:color="auto"/>
              <w:right w:val="single" w:sz="4" w:space="0" w:color="auto"/>
            </w:tcBorders>
            <w:vAlign w:val="center"/>
            <w:hideMark/>
          </w:tcPr>
          <w:p w14:paraId="2F74EF81" w14:textId="77777777" w:rsidR="00793DFB" w:rsidRPr="00663028"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663028">
              <w:rPr>
                <w:rFonts w:ascii="Arial" w:eastAsia="Times New Roman" w:hAnsi="Arial" w:cs="Arial"/>
                <w:b/>
                <w:bCs/>
                <w:color w:val="000000"/>
                <w:kern w:val="0"/>
                <w:sz w:val="20"/>
                <w:szCs w:val="20"/>
                <w:rtl/>
                <w14:ligatures w14:val="none"/>
              </w:rPr>
              <w:t>القيمة</w:t>
            </w:r>
          </w:p>
        </w:tc>
        <w:tc>
          <w:tcPr>
            <w:tcW w:w="945" w:type="dxa"/>
            <w:tcBorders>
              <w:top w:val="nil"/>
              <w:left w:val="single" w:sz="4" w:space="0" w:color="auto"/>
              <w:bottom w:val="single" w:sz="8" w:space="0" w:color="auto"/>
              <w:right w:val="single" w:sz="4" w:space="0" w:color="auto"/>
            </w:tcBorders>
            <w:vAlign w:val="center"/>
            <w:hideMark/>
          </w:tcPr>
          <w:p w14:paraId="3414F2DE" w14:textId="77777777" w:rsidR="00793DFB" w:rsidRPr="00663028" w:rsidRDefault="00793DFB" w:rsidP="009F1C88">
            <w:pPr>
              <w:spacing w:after="0" w:line="240" w:lineRule="auto"/>
              <w:jc w:val="right"/>
              <w:rPr>
                <w:rFonts w:ascii="Arial" w:eastAsia="Times New Roman" w:hAnsi="Arial" w:cs="Arial"/>
                <w:color w:val="000000"/>
                <w:kern w:val="0"/>
                <w:sz w:val="20"/>
                <w:szCs w:val="20"/>
                <w:rtl/>
                <w14:ligatures w14:val="none"/>
              </w:rPr>
            </w:pPr>
            <w:r w:rsidRPr="00663028">
              <w:rPr>
                <w:rFonts w:ascii="Arial" w:eastAsia="Times New Roman" w:hAnsi="Arial" w:cs="Arial"/>
                <w:color w:val="000000"/>
                <w:kern w:val="0"/>
                <w:sz w:val="20"/>
                <w:szCs w:val="20"/>
                <w14:ligatures w14:val="none"/>
              </w:rPr>
              <w:t>0.881</w:t>
            </w:r>
          </w:p>
        </w:tc>
        <w:tc>
          <w:tcPr>
            <w:tcW w:w="945" w:type="dxa"/>
            <w:tcBorders>
              <w:top w:val="nil"/>
              <w:left w:val="single" w:sz="4" w:space="0" w:color="auto"/>
              <w:bottom w:val="single" w:sz="8" w:space="0" w:color="auto"/>
              <w:right w:val="single" w:sz="4" w:space="0" w:color="auto"/>
            </w:tcBorders>
            <w:vAlign w:val="center"/>
            <w:hideMark/>
          </w:tcPr>
          <w:p w14:paraId="22B601AC" w14:textId="77777777" w:rsidR="00793DFB" w:rsidRPr="00663028" w:rsidRDefault="00793DFB" w:rsidP="009F1C88">
            <w:pPr>
              <w:spacing w:after="0" w:line="240" w:lineRule="auto"/>
              <w:jc w:val="right"/>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0.777</w:t>
            </w:r>
          </w:p>
        </w:tc>
        <w:tc>
          <w:tcPr>
            <w:tcW w:w="995" w:type="dxa"/>
            <w:tcBorders>
              <w:top w:val="nil"/>
              <w:left w:val="single" w:sz="4" w:space="0" w:color="auto"/>
              <w:bottom w:val="single" w:sz="8" w:space="0" w:color="auto"/>
              <w:right w:val="single" w:sz="4" w:space="0" w:color="auto"/>
            </w:tcBorders>
            <w:vAlign w:val="center"/>
            <w:hideMark/>
          </w:tcPr>
          <w:p w14:paraId="3B6AE0DA" w14:textId="77777777" w:rsidR="00793DFB" w:rsidRPr="00663028" w:rsidRDefault="00793DFB" w:rsidP="009F1C88">
            <w:pPr>
              <w:spacing w:after="0" w:line="240" w:lineRule="auto"/>
              <w:jc w:val="right"/>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0.774</w:t>
            </w:r>
          </w:p>
        </w:tc>
        <w:tc>
          <w:tcPr>
            <w:tcW w:w="995" w:type="dxa"/>
            <w:tcBorders>
              <w:top w:val="nil"/>
              <w:left w:val="single" w:sz="4" w:space="0" w:color="auto"/>
              <w:bottom w:val="single" w:sz="8" w:space="0" w:color="auto"/>
              <w:right w:val="single" w:sz="4" w:space="0" w:color="auto"/>
            </w:tcBorders>
            <w:vAlign w:val="center"/>
            <w:hideMark/>
          </w:tcPr>
          <w:p w14:paraId="0E40DBF9" w14:textId="77777777" w:rsidR="00793DFB" w:rsidRPr="00663028" w:rsidRDefault="00793DFB" w:rsidP="009F1C88">
            <w:pPr>
              <w:spacing w:after="0" w:line="240" w:lineRule="auto"/>
              <w:jc w:val="right"/>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0.36344</w:t>
            </w:r>
          </w:p>
        </w:tc>
        <w:tc>
          <w:tcPr>
            <w:tcW w:w="935" w:type="dxa"/>
            <w:tcBorders>
              <w:top w:val="nil"/>
              <w:left w:val="single" w:sz="4" w:space="0" w:color="auto"/>
              <w:bottom w:val="single" w:sz="8" w:space="0" w:color="auto"/>
              <w:right w:val="single" w:sz="8" w:space="0" w:color="auto"/>
            </w:tcBorders>
            <w:vAlign w:val="center"/>
            <w:hideMark/>
          </w:tcPr>
          <w:p w14:paraId="69438B96" w14:textId="77777777" w:rsidR="00793DFB" w:rsidRPr="00663028" w:rsidRDefault="00793DFB" w:rsidP="009F1C88">
            <w:pPr>
              <w:spacing w:after="0" w:line="240" w:lineRule="auto"/>
              <w:jc w:val="right"/>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400</w:t>
            </w:r>
          </w:p>
        </w:tc>
      </w:tr>
    </w:tbl>
    <w:p w14:paraId="73B9D43D" w14:textId="77777777" w:rsidR="00793DFB" w:rsidRPr="00663028" w:rsidRDefault="00793DFB" w:rsidP="00793DFB">
      <w:pPr>
        <w:bidi/>
        <w:rPr>
          <w:b/>
          <w:bCs/>
          <w:rtl/>
        </w:rPr>
      </w:pPr>
    </w:p>
    <w:p w14:paraId="3B101E66" w14:textId="77777777" w:rsidR="00793DFB" w:rsidRPr="00695A2C" w:rsidRDefault="00793DFB" w:rsidP="00793DFB">
      <w:pPr>
        <w:bidi/>
        <w:rPr>
          <w:lang w:bidi="ar-EG"/>
        </w:rPr>
      </w:pPr>
      <w:r w:rsidRPr="00695A2C">
        <w:rPr>
          <w:rtl/>
        </w:rPr>
        <w:t xml:space="preserve">يبين معامل التحديد أن نحو </w:t>
      </w:r>
      <w:r w:rsidRPr="00695A2C">
        <w:rPr>
          <w:b/>
          <w:bCs/>
          <w:lang w:bidi="ar-EG"/>
        </w:rPr>
        <w:t>77.7%</w:t>
      </w:r>
      <w:r>
        <w:rPr>
          <w:rFonts w:hint="cs"/>
          <w:rtl/>
          <w:lang w:bidi="ar-EG"/>
        </w:rPr>
        <w:t xml:space="preserve"> </w:t>
      </w:r>
      <w:r w:rsidRPr="00695A2C">
        <w:rPr>
          <w:rtl/>
        </w:rPr>
        <w:t>من تباين الأداء الإبداعي مفسَّر من خلال الأبعاد الأربعة للثقافة التنظيمية عند هذه العيِّنة. قيمة</w:t>
      </w:r>
      <w:r w:rsidRPr="00695A2C">
        <w:rPr>
          <w:lang w:bidi="ar-EG"/>
        </w:rPr>
        <w:t xml:space="preserve"> Adjusted R² </w:t>
      </w:r>
      <w:r w:rsidRPr="00695A2C">
        <w:rPr>
          <w:rtl/>
        </w:rPr>
        <w:t>القريبة من</w:t>
      </w:r>
      <w:r w:rsidRPr="00695A2C">
        <w:rPr>
          <w:lang w:bidi="ar-EG"/>
        </w:rPr>
        <w:t xml:space="preserve"> R² </w:t>
      </w:r>
      <w:r w:rsidRPr="00695A2C">
        <w:rPr>
          <w:rtl/>
        </w:rPr>
        <w:t>تدعم استقرار التقدير عند تصحيح عدد المتغيرات التفسيرية</w:t>
      </w:r>
      <w:r w:rsidRPr="00695A2C">
        <w:rPr>
          <w:lang w:bidi="ar-EG"/>
        </w:rPr>
        <w:t>.</w:t>
      </w:r>
    </w:p>
    <w:p w14:paraId="746AFACE" w14:textId="77777777" w:rsidR="00793DFB" w:rsidRPr="00695A2C" w:rsidRDefault="00793DFB" w:rsidP="00793DFB">
      <w:pPr>
        <w:bidi/>
        <w:rPr>
          <w:b/>
          <w:bCs/>
          <w:lang w:bidi="ar-EG"/>
        </w:rPr>
      </w:pPr>
      <w:proofErr w:type="gramStart"/>
      <w:r w:rsidRPr="00695A2C">
        <w:rPr>
          <w:b/>
          <w:bCs/>
          <w:rtl/>
        </w:rPr>
        <w:t>جدول</w:t>
      </w:r>
      <w:r>
        <w:rPr>
          <w:rFonts w:hint="cs"/>
          <w:b/>
          <w:bCs/>
          <w:rtl/>
        </w:rPr>
        <w:t>(</w:t>
      </w:r>
      <w:proofErr w:type="gramEnd"/>
      <w:r>
        <w:rPr>
          <w:rFonts w:hint="cs"/>
          <w:b/>
          <w:bCs/>
          <w:rtl/>
        </w:rPr>
        <w:t>4-15)</w:t>
      </w:r>
      <w:r w:rsidRPr="00695A2C">
        <w:rPr>
          <w:b/>
          <w:bCs/>
          <w:lang w:bidi="ar-EG"/>
        </w:rPr>
        <w:t xml:space="preserve">: </w:t>
      </w:r>
      <w:r w:rsidRPr="00695A2C">
        <w:rPr>
          <w:b/>
          <w:bCs/>
          <w:rtl/>
        </w:rPr>
        <w:t>تحليل التباين</w:t>
      </w:r>
      <w:r>
        <w:rPr>
          <w:rFonts w:hint="cs"/>
          <w:b/>
          <w:bCs/>
          <w:rtl/>
          <w:lang w:bidi="ar-EG"/>
        </w:rPr>
        <w:t xml:space="preserve"> </w:t>
      </w:r>
      <w:r w:rsidRPr="00695A2C">
        <w:rPr>
          <w:b/>
          <w:bCs/>
          <w:lang w:bidi="ar-EG"/>
        </w:rPr>
        <w:t>(ANOVA)</w:t>
      </w:r>
    </w:p>
    <w:tbl>
      <w:tblPr>
        <w:bidiVisual/>
        <w:tblW w:w="5760" w:type="dxa"/>
        <w:jc w:val="center"/>
        <w:tblLook w:val="04A0" w:firstRow="1" w:lastRow="0" w:firstColumn="1" w:lastColumn="0" w:noHBand="0" w:noVBand="1"/>
      </w:tblPr>
      <w:tblGrid>
        <w:gridCol w:w="1228"/>
        <w:gridCol w:w="1006"/>
        <w:gridCol w:w="723"/>
        <w:gridCol w:w="919"/>
        <w:gridCol w:w="950"/>
        <w:gridCol w:w="934"/>
      </w:tblGrid>
      <w:tr w:rsidR="00793DFB" w:rsidRPr="00663028" w14:paraId="7F401B75" w14:textId="77777777" w:rsidTr="009F1C88">
        <w:trPr>
          <w:trHeight w:val="528"/>
          <w:jc w:val="center"/>
        </w:trPr>
        <w:tc>
          <w:tcPr>
            <w:tcW w:w="1043" w:type="dxa"/>
            <w:tcBorders>
              <w:top w:val="single" w:sz="4" w:space="0" w:color="auto"/>
              <w:left w:val="single" w:sz="4" w:space="0" w:color="auto"/>
              <w:bottom w:val="single" w:sz="4" w:space="0" w:color="auto"/>
              <w:right w:val="single" w:sz="4" w:space="0" w:color="auto"/>
            </w:tcBorders>
            <w:vAlign w:val="center"/>
            <w:hideMark/>
          </w:tcPr>
          <w:p w14:paraId="4724A32D" w14:textId="77777777" w:rsidR="00793DFB" w:rsidRPr="00663028"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663028">
              <w:rPr>
                <w:rFonts w:ascii="Arial" w:eastAsia="Times New Roman" w:hAnsi="Arial" w:cs="Arial"/>
                <w:b/>
                <w:bCs/>
                <w:color w:val="000000"/>
                <w:kern w:val="0"/>
                <w:sz w:val="20"/>
                <w:szCs w:val="20"/>
                <w:rtl/>
                <w14:ligatures w14:val="none"/>
              </w:rPr>
              <w:t>مصدر التباين</w:t>
            </w:r>
          </w:p>
        </w:tc>
        <w:tc>
          <w:tcPr>
            <w:tcW w:w="953" w:type="dxa"/>
            <w:tcBorders>
              <w:top w:val="single" w:sz="4" w:space="0" w:color="auto"/>
              <w:left w:val="single" w:sz="4" w:space="0" w:color="auto"/>
              <w:bottom w:val="single" w:sz="4" w:space="0" w:color="auto"/>
              <w:right w:val="single" w:sz="4" w:space="0" w:color="auto"/>
            </w:tcBorders>
            <w:vAlign w:val="center"/>
            <w:hideMark/>
          </w:tcPr>
          <w:p w14:paraId="6394D661" w14:textId="77777777" w:rsidR="00793DFB" w:rsidRPr="00663028"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663028">
              <w:rPr>
                <w:rFonts w:ascii="Arial" w:eastAsia="Times New Roman" w:hAnsi="Arial" w:cs="Arial"/>
                <w:b/>
                <w:bCs/>
                <w:color w:val="000000"/>
                <w:kern w:val="0"/>
                <w:sz w:val="20"/>
                <w:szCs w:val="20"/>
                <w14:ligatures w14:val="none"/>
              </w:rPr>
              <w:t>Sum of Squares</w:t>
            </w:r>
          </w:p>
        </w:tc>
        <w:tc>
          <w:tcPr>
            <w:tcW w:w="932" w:type="dxa"/>
            <w:tcBorders>
              <w:top w:val="single" w:sz="4" w:space="0" w:color="auto"/>
              <w:left w:val="single" w:sz="4" w:space="0" w:color="auto"/>
              <w:bottom w:val="single" w:sz="4" w:space="0" w:color="auto"/>
              <w:right w:val="single" w:sz="4" w:space="0" w:color="auto"/>
            </w:tcBorders>
            <w:vAlign w:val="center"/>
            <w:hideMark/>
          </w:tcPr>
          <w:p w14:paraId="5FF129B1" w14:textId="77777777" w:rsidR="00793DFB" w:rsidRPr="00663028" w:rsidRDefault="00793DFB" w:rsidP="009F1C88">
            <w:pPr>
              <w:spacing w:after="0" w:line="240" w:lineRule="auto"/>
              <w:jc w:val="center"/>
              <w:rPr>
                <w:rFonts w:ascii="Arial" w:eastAsia="Times New Roman" w:hAnsi="Arial" w:cs="Arial"/>
                <w:b/>
                <w:bCs/>
                <w:color w:val="000000"/>
                <w:kern w:val="0"/>
                <w:sz w:val="20"/>
                <w:szCs w:val="20"/>
                <w14:ligatures w14:val="none"/>
              </w:rPr>
            </w:pPr>
            <w:proofErr w:type="spellStart"/>
            <w:r w:rsidRPr="00663028">
              <w:rPr>
                <w:rFonts w:ascii="Arial" w:eastAsia="Times New Roman" w:hAnsi="Arial" w:cs="Arial"/>
                <w:b/>
                <w:bCs/>
                <w:color w:val="000000"/>
                <w:kern w:val="0"/>
                <w:sz w:val="20"/>
                <w:szCs w:val="20"/>
                <w14:ligatures w14:val="none"/>
              </w:rPr>
              <w:t>df</w:t>
            </w:r>
            <w:proofErr w:type="spellEnd"/>
          </w:p>
        </w:tc>
        <w:tc>
          <w:tcPr>
            <w:tcW w:w="948" w:type="dxa"/>
            <w:tcBorders>
              <w:top w:val="single" w:sz="4" w:space="0" w:color="auto"/>
              <w:left w:val="single" w:sz="4" w:space="0" w:color="auto"/>
              <w:bottom w:val="single" w:sz="4" w:space="0" w:color="auto"/>
              <w:right w:val="single" w:sz="4" w:space="0" w:color="auto"/>
            </w:tcBorders>
            <w:vAlign w:val="center"/>
            <w:hideMark/>
          </w:tcPr>
          <w:p w14:paraId="41D95F11" w14:textId="77777777" w:rsidR="00793DFB" w:rsidRPr="00663028" w:rsidRDefault="00793DFB" w:rsidP="009F1C88">
            <w:pPr>
              <w:spacing w:after="0" w:line="240" w:lineRule="auto"/>
              <w:jc w:val="center"/>
              <w:rPr>
                <w:rFonts w:ascii="Arial" w:eastAsia="Times New Roman" w:hAnsi="Arial" w:cs="Arial"/>
                <w:b/>
                <w:bCs/>
                <w:color w:val="000000"/>
                <w:kern w:val="0"/>
                <w:sz w:val="20"/>
                <w:szCs w:val="20"/>
                <w14:ligatures w14:val="none"/>
              </w:rPr>
            </w:pPr>
            <w:r w:rsidRPr="00663028">
              <w:rPr>
                <w:rFonts w:ascii="Arial" w:eastAsia="Times New Roman" w:hAnsi="Arial" w:cs="Arial"/>
                <w:b/>
                <w:bCs/>
                <w:color w:val="000000"/>
                <w:kern w:val="0"/>
                <w:sz w:val="20"/>
                <w:szCs w:val="20"/>
                <w14:ligatures w14:val="none"/>
              </w:rPr>
              <w:t>Mean Square</w:t>
            </w:r>
          </w:p>
        </w:tc>
        <w:tc>
          <w:tcPr>
            <w:tcW w:w="950" w:type="dxa"/>
            <w:tcBorders>
              <w:top w:val="single" w:sz="4" w:space="0" w:color="auto"/>
              <w:left w:val="single" w:sz="4" w:space="0" w:color="auto"/>
              <w:bottom w:val="single" w:sz="4" w:space="0" w:color="auto"/>
              <w:right w:val="single" w:sz="4" w:space="0" w:color="auto"/>
            </w:tcBorders>
            <w:vAlign w:val="center"/>
            <w:hideMark/>
          </w:tcPr>
          <w:p w14:paraId="4B20DB01" w14:textId="77777777" w:rsidR="00793DFB" w:rsidRPr="00663028" w:rsidRDefault="00793DFB" w:rsidP="009F1C88">
            <w:pPr>
              <w:spacing w:after="0" w:line="240" w:lineRule="auto"/>
              <w:jc w:val="center"/>
              <w:rPr>
                <w:rFonts w:ascii="Arial" w:eastAsia="Times New Roman" w:hAnsi="Arial" w:cs="Arial"/>
                <w:b/>
                <w:bCs/>
                <w:color w:val="000000"/>
                <w:kern w:val="0"/>
                <w:sz w:val="20"/>
                <w:szCs w:val="20"/>
                <w14:ligatures w14:val="none"/>
              </w:rPr>
            </w:pPr>
            <w:r w:rsidRPr="00663028">
              <w:rPr>
                <w:rFonts w:ascii="Arial" w:eastAsia="Times New Roman" w:hAnsi="Arial" w:cs="Arial"/>
                <w:b/>
                <w:bCs/>
                <w:color w:val="000000"/>
                <w:kern w:val="0"/>
                <w:sz w:val="20"/>
                <w:szCs w:val="20"/>
                <w14:ligatures w14:val="none"/>
              </w:rPr>
              <w:t>F</w:t>
            </w:r>
          </w:p>
        </w:tc>
        <w:tc>
          <w:tcPr>
            <w:tcW w:w="934" w:type="dxa"/>
            <w:tcBorders>
              <w:top w:val="single" w:sz="4" w:space="0" w:color="auto"/>
              <w:left w:val="single" w:sz="4" w:space="0" w:color="auto"/>
              <w:bottom w:val="single" w:sz="4" w:space="0" w:color="auto"/>
              <w:right w:val="single" w:sz="4" w:space="0" w:color="auto"/>
            </w:tcBorders>
            <w:vAlign w:val="center"/>
            <w:hideMark/>
          </w:tcPr>
          <w:p w14:paraId="467E884F" w14:textId="77777777" w:rsidR="00793DFB" w:rsidRPr="00663028" w:rsidRDefault="00793DFB" w:rsidP="009F1C88">
            <w:pPr>
              <w:spacing w:after="0" w:line="240" w:lineRule="auto"/>
              <w:jc w:val="center"/>
              <w:rPr>
                <w:rFonts w:ascii="Arial" w:eastAsia="Times New Roman" w:hAnsi="Arial" w:cs="Arial"/>
                <w:b/>
                <w:bCs/>
                <w:color w:val="000000"/>
                <w:kern w:val="0"/>
                <w:sz w:val="20"/>
                <w:szCs w:val="20"/>
                <w14:ligatures w14:val="none"/>
              </w:rPr>
            </w:pPr>
            <w:r w:rsidRPr="00663028">
              <w:rPr>
                <w:rFonts w:ascii="Arial" w:eastAsia="Times New Roman" w:hAnsi="Arial" w:cs="Arial"/>
                <w:b/>
                <w:bCs/>
                <w:color w:val="000000"/>
                <w:kern w:val="0"/>
                <w:sz w:val="20"/>
                <w:szCs w:val="20"/>
                <w14:ligatures w14:val="none"/>
              </w:rPr>
              <w:t>Sig.</w:t>
            </w:r>
          </w:p>
        </w:tc>
      </w:tr>
      <w:tr w:rsidR="00793DFB" w:rsidRPr="00663028" w14:paraId="288E61A3" w14:textId="77777777" w:rsidTr="009F1C88">
        <w:trPr>
          <w:trHeight w:val="528"/>
          <w:jc w:val="center"/>
        </w:trPr>
        <w:tc>
          <w:tcPr>
            <w:tcW w:w="1043" w:type="dxa"/>
            <w:tcBorders>
              <w:top w:val="nil"/>
              <w:left w:val="single" w:sz="4" w:space="0" w:color="auto"/>
              <w:bottom w:val="single" w:sz="4" w:space="0" w:color="auto"/>
              <w:right w:val="single" w:sz="4" w:space="0" w:color="auto"/>
            </w:tcBorders>
            <w:vAlign w:val="center"/>
            <w:hideMark/>
          </w:tcPr>
          <w:p w14:paraId="596A52C2"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Regression</w:t>
            </w:r>
          </w:p>
        </w:tc>
        <w:tc>
          <w:tcPr>
            <w:tcW w:w="953" w:type="dxa"/>
            <w:tcBorders>
              <w:top w:val="nil"/>
              <w:left w:val="single" w:sz="4" w:space="0" w:color="auto"/>
              <w:bottom w:val="single" w:sz="4" w:space="0" w:color="auto"/>
              <w:right w:val="single" w:sz="4" w:space="0" w:color="auto"/>
            </w:tcBorders>
            <w:vAlign w:val="center"/>
            <w:hideMark/>
          </w:tcPr>
          <w:p w14:paraId="5EF5D509"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181.301</w:t>
            </w:r>
          </w:p>
        </w:tc>
        <w:tc>
          <w:tcPr>
            <w:tcW w:w="932" w:type="dxa"/>
            <w:tcBorders>
              <w:top w:val="nil"/>
              <w:left w:val="single" w:sz="4" w:space="0" w:color="auto"/>
              <w:bottom w:val="single" w:sz="4" w:space="0" w:color="auto"/>
              <w:right w:val="single" w:sz="4" w:space="0" w:color="auto"/>
            </w:tcBorders>
            <w:vAlign w:val="center"/>
            <w:hideMark/>
          </w:tcPr>
          <w:p w14:paraId="17FA9E14"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4</w:t>
            </w:r>
          </w:p>
        </w:tc>
        <w:tc>
          <w:tcPr>
            <w:tcW w:w="948" w:type="dxa"/>
            <w:tcBorders>
              <w:top w:val="nil"/>
              <w:left w:val="single" w:sz="4" w:space="0" w:color="auto"/>
              <w:bottom w:val="single" w:sz="4" w:space="0" w:color="auto"/>
              <w:right w:val="single" w:sz="4" w:space="0" w:color="auto"/>
            </w:tcBorders>
            <w:vAlign w:val="center"/>
            <w:hideMark/>
          </w:tcPr>
          <w:p w14:paraId="048F16A6"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45.325</w:t>
            </w:r>
          </w:p>
        </w:tc>
        <w:tc>
          <w:tcPr>
            <w:tcW w:w="950" w:type="dxa"/>
            <w:tcBorders>
              <w:top w:val="nil"/>
              <w:left w:val="single" w:sz="4" w:space="0" w:color="auto"/>
              <w:bottom w:val="single" w:sz="4" w:space="0" w:color="auto"/>
              <w:right w:val="single" w:sz="4" w:space="0" w:color="auto"/>
            </w:tcBorders>
            <w:vAlign w:val="center"/>
            <w:hideMark/>
          </w:tcPr>
          <w:p w14:paraId="00648652"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343.135</w:t>
            </w:r>
          </w:p>
        </w:tc>
        <w:tc>
          <w:tcPr>
            <w:tcW w:w="934" w:type="dxa"/>
            <w:tcBorders>
              <w:top w:val="nil"/>
              <w:left w:val="single" w:sz="4" w:space="0" w:color="auto"/>
              <w:bottom w:val="single" w:sz="4" w:space="0" w:color="auto"/>
              <w:right w:val="single" w:sz="4" w:space="0" w:color="auto"/>
            </w:tcBorders>
            <w:vAlign w:val="center"/>
            <w:hideMark/>
          </w:tcPr>
          <w:p w14:paraId="2B81AB1E"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0</w:t>
            </w:r>
          </w:p>
        </w:tc>
      </w:tr>
      <w:tr w:rsidR="00793DFB" w:rsidRPr="00663028" w14:paraId="25D7BADC" w14:textId="77777777" w:rsidTr="009F1C88">
        <w:trPr>
          <w:trHeight w:val="264"/>
          <w:jc w:val="center"/>
        </w:trPr>
        <w:tc>
          <w:tcPr>
            <w:tcW w:w="1043" w:type="dxa"/>
            <w:tcBorders>
              <w:top w:val="nil"/>
              <w:left w:val="single" w:sz="4" w:space="0" w:color="auto"/>
              <w:bottom w:val="single" w:sz="4" w:space="0" w:color="auto"/>
              <w:right w:val="single" w:sz="4" w:space="0" w:color="auto"/>
            </w:tcBorders>
            <w:vAlign w:val="center"/>
            <w:hideMark/>
          </w:tcPr>
          <w:p w14:paraId="794473DE"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Residual</w:t>
            </w:r>
          </w:p>
        </w:tc>
        <w:tc>
          <w:tcPr>
            <w:tcW w:w="953" w:type="dxa"/>
            <w:tcBorders>
              <w:top w:val="nil"/>
              <w:left w:val="single" w:sz="4" w:space="0" w:color="auto"/>
              <w:bottom w:val="single" w:sz="4" w:space="0" w:color="auto"/>
              <w:right w:val="single" w:sz="4" w:space="0" w:color="auto"/>
            </w:tcBorders>
            <w:vAlign w:val="center"/>
            <w:hideMark/>
          </w:tcPr>
          <w:p w14:paraId="521DFAB1"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52.176</w:t>
            </w:r>
          </w:p>
        </w:tc>
        <w:tc>
          <w:tcPr>
            <w:tcW w:w="932" w:type="dxa"/>
            <w:tcBorders>
              <w:top w:val="nil"/>
              <w:left w:val="single" w:sz="4" w:space="0" w:color="auto"/>
              <w:bottom w:val="single" w:sz="4" w:space="0" w:color="auto"/>
              <w:right w:val="single" w:sz="4" w:space="0" w:color="auto"/>
            </w:tcBorders>
            <w:vAlign w:val="center"/>
            <w:hideMark/>
          </w:tcPr>
          <w:p w14:paraId="632739A1"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395</w:t>
            </w:r>
          </w:p>
        </w:tc>
        <w:tc>
          <w:tcPr>
            <w:tcW w:w="948" w:type="dxa"/>
            <w:tcBorders>
              <w:top w:val="nil"/>
              <w:left w:val="single" w:sz="4" w:space="0" w:color="auto"/>
              <w:bottom w:val="single" w:sz="4" w:space="0" w:color="auto"/>
              <w:right w:val="single" w:sz="4" w:space="0" w:color="auto"/>
            </w:tcBorders>
            <w:vAlign w:val="center"/>
            <w:hideMark/>
          </w:tcPr>
          <w:p w14:paraId="72DAD3D1"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0.132</w:t>
            </w:r>
          </w:p>
        </w:tc>
        <w:tc>
          <w:tcPr>
            <w:tcW w:w="950" w:type="dxa"/>
            <w:tcBorders>
              <w:top w:val="nil"/>
              <w:left w:val="single" w:sz="4" w:space="0" w:color="auto"/>
              <w:bottom w:val="single" w:sz="4" w:space="0" w:color="auto"/>
              <w:right w:val="single" w:sz="4" w:space="0" w:color="auto"/>
            </w:tcBorders>
            <w:vAlign w:val="center"/>
            <w:hideMark/>
          </w:tcPr>
          <w:p w14:paraId="4FFCDC35"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 </w:t>
            </w:r>
          </w:p>
        </w:tc>
        <w:tc>
          <w:tcPr>
            <w:tcW w:w="934" w:type="dxa"/>
            <w:tcBorders>
              <w:top w:val="nil"/>
              <w:left w:val="single" w:sz="4" w:space="0" w:color="auto"/>
              <w:bottom w:val="single" w:sz="4" w:space="0" w:color="auto"/>
              <w:right w:val="single" w:sz="4" w:space="0" w:color="auto"/>
            </w:tcBorders>
            <w:vAlign w:val="center"/>
            <w:hideMark/>
          </w:tcPr>
          <w:p w14:paraId="3298AAA8"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 </w:t>
            </w:r>
          </w:p>
        </w:tc>
      </w:tr>
      <w:tr w:rsidR="00793DFB" w:rsidRPr="00663028" w14:paraId="5DB007F3" w14:textId="77777777" w:rsidTr="009F1C88">
        <w:trPr>
          <w:trHeight w:val="264"/>
          <w:jc w:val="center"/>
        </w:trPr>
        <w:tc>
          <w:tcPr>
            <w:tcW w:w="1043" w:type="dxa"/>
            <w:tcBorders>
              <w:top w:val="nil"/>
              <w:left w:val="single" w:sz="4" w:space="0" w:color="auto"/>
              <w:bottom w:val="single" w:sz="4" w:space="0" w:color="auto"/>
              <w:right w:val="single" w:sz="4" w:space="0" w:color="auto"/>
            </w:tcBorders>
            <w:vAlign w:val="center"/>
            <w:hideMark/>
          </w:tcPr>
          <w:p w14:paraId="60285CDE"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Total</w:t>
            </w:r>
          </w:p>
        </w:tc>
        <w:tc>
          <w:tcPr>
            <w:tcW w:w="953" w:type="dxa"/>
            <w:tcBorders>
              <w:top w:val="nil"/>
              <w:left w:val="single" w:sz="4" w:space="0" w:color="auto"/>
              <w:bottom w:val="single" w:sz="4" w:space="0" w:color="auto"/>
              <w:right w:val="single" w:sz="4" w:space="0" w:color="auto"/>
            </w:tcBorders>
            <w:vAlign w:val="center"/>
            <w:hideMark/>
          </w:tcPr>
          <w:p w14:paraId="077F8D6A"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233.477</w:t>
            </w:r>
          </w:p>
        </w:tc>
        <w:tc>
          <w:tcPr>
            <w:tcW w:w="932" w:type="dxa"/>
            <w:tcBorders>
              <w:top w:val="nil"/>
              <w:left w:val="single" w:sz="4" w:space="0" w:color="auto"/>
              <w:bottom w:val="single" w:sz="4" w:space="0" w:color="auto"/>
              <w:right w:val="single" w:sz="4" w:space="0" w:color="auto"/>
            </w:tcBorders>
            <w:vAlign w:val="center"/>
            <w:hideMark/>
          </w:tcPr>
          <w:p w14:paraId="4360CA0A"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399</w:t>
            </w:r>
          </w:p>
        </w:tc>
        <w:tc>
          <w:tcPr>
            <w:tcW w:w="948" w:type="dxa"/>
            <w:tcBorders>
              <w:top w:val="nil"/>
              <w:left w:val="single" w:sz="4" w:space="0" w:color="auto"/>
              <w:bottom w:val="single" w:sz="4" w:space="0" w:color="auto"/>
              <w:right w:val="single" w:sz="4" w:space="0" w:color="auto"/>
            </w:tcBorders>
            <w:vAlign w:val="center"/>
            <w:hideMark/>
          </w:tcPr>
          <w:p w14:paraId="7333B3C0"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 </w:t>
            </w:r>
          </w:p>
        </w:tc>
        <w:tc>
          <w:tcPr>
            <w:tcW w:w="950" w:type="dxa"/>
            <w:tcBorders>
              <w:top w:val="nil"/>
              <w:left w:val="single" w:sz="4" w:space="0" w:color="auto"/>
              <w:bottom w:val="single" w:sz="4" w:space="0" w:color="auto"/>
              <w:right w:val="single" w:sz="4" w:space="0" w:color="auto"/>
            </w:tcBorders>
            <w:noWrap/>
            <w:vAlign w:val="bottom"/>
            <w:hideMark/>
          </w:tcPr>
          <w:p w14:paraId="2183CFF4"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 </w:t>
            </w:r>
          </w:p>
        </w:tc>
        <w:tc>
          <w:tcPr>
            <w:tcW w:w="934" w:type="dxa"/>
            <w:tcBorders>
              <w:top w:val="nil"/>
              <w:left w:val="single" w:sz="4" w:space="0" w:color="auto"/>
              <w:bottom w:val="single" w:sz="4" w:space="0" w:color="auto"/>
              <w:right w:val="single" w:sz="4" w:space="0" w:color="auto"/>
            </w:tcBorders>
            <w:noWrap/>
            <w:vAlign w:val="bottom"/>
            <w:hideMark/>
          </w:tcPr>
          <w:p w14:paraId="58CD7937" w14:textId="77777777" w:rsidR="00793DFB" w:rsidRPr="00663028" w:rsidRDefault="00793DFB" w:rsidP="009F1C88">
            <w:pPr>
              <w:spacing w:after="0" w:line="240" w:lineRule="auto"/>
              <w:jc w:val="center"/>
              <w:rPr>
                <w:rFonts w:ascii="Arial" w:eastAsia="Times New Roman" w:hAnsi="Arial" w:cs="Arial"/>
                <w:color w:val="000000"/>
                <w:kern w:val="0"/>
                <w:sz w:val="20"/>
                <w:szCs w:val="20"/>
                <w14:ligatures w14:val="none"/>
              </w:rPr>
            </w:pPr>
            <w:r w:rsidRPr="00663028">
              <w:rPr>
                <w:rFonts w:ascii="Arial" w:eastAsia="Times New Roman" w:hAnsi="Arial" w:cs="Arial"/>
                <w:color w:val="000000"/>
                <w:kern w:val="0"/>
                <w:sz w:val="20"/>
                <w:szCs w:val="20"/>
                <w14:ligatures w14:val="none"/>
              </w:rPr>
              <w:t> </w:t>
            </w:r>
          </w:p>
        </w:tc>
      </w:tr>
    </w:tbl>
    <w:p w14:paraId="452DCE5E" w14:textId="77777777" w:rsidR="00793DFB" w:rsidRDefault="00793DFB" w:rsidP="00793DFB">
      <w:pPr>
        <w:bidi/>
        <w:rPr>
          <w:b/>
          <w:bCs/>
          <w:rtl/>
        </w:rPr>
      </w:pPr>
    </w:p>
    <w:p w14:paraId="0952C4DE" w14:textId="77777777" w:rsidR="00793DFB" w:rsidRPr="00695A2C" w:rsidRDefault="00793DFB" w:rsidP="00793DFB">
      <w:pPr>
        <w:bidi/>
        <w:rPr>
          <w:lang w:bidi="ar-EG"/>
        </w:rPr>
      </w:pPr>
      <w:r w:rsidRPr="00695A2C">
        <w:rPr>
          <w:rtl/>
        </w:rPr>
        <w:t>قيمة</w:t>
      </w:r>
      <w:r w:rsidRPr="00695A2C">
        <w:rPr>
          <w:lang w:bidi="ar-EG"/>
        </w:rPr>
        <w:t xml:space="preserve"> F </w:t>
      </w:r>
      <w:r w:rsidRPr="00695A2C">
        <w:rPr>
          <w:rtl/>
        </w:rPr>
        <w:t xml:space="preserve">المحسوبة (343.135، </w:t>
      </w:r>
      <w:r w:rsidRPr="00695A2C">
        <w:rPr>
          <w:lang w:bidi="ar-EG"/>
        </w:rPr>
        <w:t>p &lt; .001</w:t>
      </w:r>
      <w:r>
        <w:rPr>
          <w:rFonts w:hint="cs"/>
          <w:rtl/>
          <w:lang w:bidi="ar-EG"/>
        </w:rPr>
        <w:t>)</w:t>
      </w:r>
      <w:r w:rsidRPr="00695A2C">
        <w:rPr>
          <w:lang w:bidi="ar-EG"/>
        </w:rPr>
        <w:t xml:space="preserve"> </w:t>
      </w:r>
      <w:r w:rsidRPr="00695A2C">
        <w:rPr>
          <w:rtl/>
        </w:rPr>
        <w:t>تدل على أن النموذج التفسيري كاملاً ذو دلالة إحصائية عالية، أي أن الأبعاد الأربع للثقافة التنظيمية مجتمعة تفسّر فرْقًا ذا دلالة في الأداء الإبداعي</w:t>
      </w:r>
      <w:r w:rsidRPr="00695A2C">
        <w:rPr>
          <w:lang w:bidi="ar-EG"/>
        </w:rPr>
        <w:t>.</w:t>
      </w:r>
    </w:p>
    <w:p w14:paraId="47572E86" w14:textId="77777777" w:rsidR="00793DFB" w:rsidRPr="00695A2C" w:rsidRDefault="00793DFB" w:rsidP="00793DFB">
      <w:pPr>
        <w:bidi/>
        <w:rPr>
          <w:b/>
          <w:bCs/>
          <w:lang w:bidi="ar-EG"/>
        </w:rPr>
      </w:pPr>
      <w:r w:rsidRPr="00695A2C">
        <w:rPr>
          <w:b/>
          <w:bCs/>
          <w:rtl/>
        </w:rPr>
        <w:t xml:space="preserve">جدول </w:t>
      </w:r>
      <w:r>
        <w:rPr>
          <w:rFonts w:hint="cs"/>
          <w:b/>
          <w:bCs/>
          <w:rtl/>
        </w:rPr>
        <w:t xml:space="preserve">(4-16) </w:t>
      </w:r>
      <w:r w:rsidRPr="00695A2C">
        <w:rPr>
          <w:b/>
          <w:bCs/>
          <w:rtl/>
        </w:rPr>
        <w:t>معاملات الانحدار</w:t>
      </w:r>
      <w:r w:rsidRPr="00695A2C">
        <w:rPr>
          <w:b/>
          <w:bCs/>
          <w:lang w:bidi="ar-EG"/>
        </w:rPr>
        <w:t xml:space="preserve"> (Coefficients)</w:t>
      </w:r>
    </w:p>
    <w:tbl>
      <w:tblPr>
        <w:bidiVisual/>
        <w:tblW w:w="7680" w:type="dxa"/>
        <w:jc w:val="center"/>
        <w:tblLook w:val="04A0" w:firstRow="1" w:lastRow="0" w:firstColumn="1" w:lastColumn="0" w:noHBand="0" w:noVBand="1"/>
      </w:tblPr>
      <w:tblGrid>
        <w:gridCol w:w="1150"/>
        <w:gridCol w:w="903"/>
        <w:gridCol w:w="895"/>
        <w:gridCol w:w="922"/>
        <w:gridCol w:w="895"/>
        <w:gridCol w:w="859"/>
        <w:gridCol w:w="1161"/>
        <w:gridCol w:w="895"/>
      </w:tblGrid>
      <w:tr w:rsidR="00793DFB" w:rsidRPr="002321EF" w14:paraId="59D02FAB" w14:textId="77777777" w:rsidTr="009F1C88">
        <w:trPr>
          <w:trHeight w:val="528"/>
          <w:jc w:val="center"/>
        </w:trPr>
        <w:tc>
          <w:tcPr>
            <w:tcW w:w="964" w:type="dxa"/>
            <w:tcBorders>
              <w:top w:val="single" w:sz="8" w:space="0" w:color="auto"/>
              <w:left w:val="single" w:sz="8" w:space="0" w:color="auto"/>
              <w:bottom w:val="single" w:sz="4" w:space="0" w:color="auto"/>
              <w:right w:val="single" w:sz="4" w:space="0" w:color="auto"/>
            </w:tcBorders>
            <w:vAlign w:val="center"/>
            <w:hideMark/>
          </w:tcPr>
          <w:p w14:paraId="76A09528" w14:textId="77777777" w:rsidR="00793DFB" w:rsidRPr="002321EF"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2321EF">
              <w:rPr>
                <w:rFonts w:ascii="Arial" w:eastAsia="Times New Roman" w:hAnsi="Arial" w:cs="Arial"/>
                <w:b/>
                <w:bCs/>
                <w:color w:val="000000"/>
                <w:kern w:val="0"/>
                <w:sz w:val="20"/>
                <w:szCs w:val="20"/>
                <w:rtl/>
                <w14:ligatures w14:val="none"/>
              </w:rPr>
              <w:t>البند</w:t>
            </w:r>
          </w:p>
        </w:tc>
        <w:tc>
          <w:tcPr>
            <w:tcW w:w="956" w:type="dxa"/>
            <w:tcBorders>
              <w:top w:val="single" w:sz="8" w:space="0" w:color="auto"/>
              <w:left w:val="single" w:sz="4" w:space="0" w:color="auto"/>
              <w:bottom w:val="single" w:sz="4" w:space="0" w:color="auto"/>
              <w:right w:val="single" w:sz="4" w:space="0" w:color="auto"/>
            </w:tcBorders>
            <w:vAlign w:val="center"/>
            <w:hideMark/>
          </w:tcPr>
          <w:p w14:paraId="09870E81" w14:textId="77777777" w:rsidR="00793DFB" w:rsidRPr="002321EF"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2321EF">
              <w:rPr>
                <w:rFonts w:ascii="Arial" w:eastAsia="Times New Roman" w:hAnsi="Arial" w:cs="Arial"/>
                <w:b/>
                <w:bCs/>
                <w:color w:val="000000"/>
                <w:kern w:val="0"/>
                <w:sz w:val="20"/>
                <w:szCs w:val="20"/>
                <w14:ligatures w14:val="none"/>
              </w:rPr>
              <w:t>B (</w:t>
            </w:r>
            <w:r w:rsidRPr="002321EF">
              <w:rPr>
                <w:rFonts w:ascii="Arial" w:eastAsia="Times New Roman" w:hAnsi="Arial" w:cs="Arial"/>
                <w:b/>
                <w:bCs/>
                <w:color w:val="000000"/>
                <w:kern w:val="0"/>
                <w:sz w:val="20"/>
                <w:szCs w:val="20"/>
                <w:rtl/>
                <w14:ligatures w14:val="none"/>
              </w:rPr>
              <w:t>غير معياري</w:t>
            </w:r>
            <w:r w:rsidRPr="002321EF">
              <w:rPr>
                <w:rFonts w:ascii="Arial" w:eastAsia="Times New Roman" w:hAnsi="Arial" w:cs="Arial"/>
                <w:b/>
                <w:bCs/>
                <w:color w:val="000000"/>
                <w:kern w:val="0"/>
                <w:sz w:val="20"/>
                <w:szCs w:val="20"/>
                <w14:ligatures w14:val="none"/>
              </w:rPr>
              <w:t>)</w:t>
            </w:r>
          </w:p>
        </w:tc>
        <w:tc>
          <w:tcPr>
            <w:tcW w:w="957" w:type="dxa"/>
            <w:tcBorders>
              <w:top w:val="single" w:sz="8" w:space="0" w:color="auto"/>
              <w:left w:val="single" w:sz="4" w:space="0" w:color="auto"/>
              <w:bottom w:val="single" w:sz="4" w:space="0" w:color="auto"/>
              <w:right w:val="single" w:sz="4" w:space="0" w:color="auto"/>
            </w:tcBorders>
            <w:vAlign w:val="center"/>
            <w:hideMark/>
          </w:tcPr>
          <w:p w14:paraId="1D441ECB" w14:textId="77777777" w:rsidR="00793DFB" w:rsidRPr="002321EF" w:rsidRDefault="00793DFB" w:rsidP="009F1C88">
            <w:pPr>
              <w:spacing w:after="0" w:line="240" w:lineRule="auto"/>
              <w:jc w:val="center"/>
              <w:rPr>
                <w:rFonts w:ascii="Arial" w:eastAsia="Times New Roman" w:hAnsi="Arial" w:cs="Arial"/>
                <w:b/>
                <w:bCs/>
                <w:color w:val="000000"/>
                <w:kern w:val="0"/>
                <w:sz w:val="20"/>
                <w:szCs w:val="20"/>
                <w14:ligatures w14:val="none"/>
              </w:rPr>
            </w:pPr>
            <w:r w:rsidRPr="002321EF">
              <w:rPr>
                <w:rFonts w:ascii="Arial" w:eastAsia="Times New Roman" w:hAnsi="Arial" w:cs="Arial"/>
                <w:b/>
                <w:bCs/>
                <w:color w:val="000000"/>
                <w:kern w:val="0"/>
                <w:sz w:val="20"/>
                <w:szCs w:val="20"/>
                <w14:ligatures w14:val="none"/>
              </w:rPr>
              <w:t>Std. Error</w:t>
            </w:r>
          </w:p>
        </w:tc>
        <w:tc>
          <w:tcPr>
            <w:tcW w:w="958" w:type="dxa"/>
            <w:tcBorders>
              <w:top w:val="single" w:sz="8" w:space="0" w:color="auto"/>
              <w:left w:val="single" w:sz="4" w:space="0" w:color="auto"/>
              <w:bottom w:val="single" w:sz="4" w:space="0" w:color="auto"/>
              <w:right w:val="single" w:sz="4" w:space="0" w:color="auto"/>
            </w:tcBorders>
            <w:vAlign w:val="center"/>
            <w:hideMark/>
          </w:tcPr>
          <w:p w14:paraId="595E0080" w14:textId="77777777" w:rsidR="00793DFB" w:rsidRPr="002321EF" w:rsidRDefault="00793DFB" w:rsidP="009F1C88">
            <w:pPr>
              <w:spacing w:after="0" w:line="240" w:lineRule="auto"/>
              <w:jc w:val="center"/>
              <w:rPr>
                <w:rFonts w:ascii="Arial" w:eastAsia="Times New Roman" w:hAnsi="Arial" w:cs="Arial"/>
                <w:b/>
                <w:bCs/>
                <w:color w:val="000000"/>
                <w:kern w:val="0"/>
                <w:sz w:val="20"/>
                <w:szCs w:val="20"/>
                <w14:ligatures w14:val="none"/>
              </w:rPr>
            </w:pPr>
            <w:r w:rsidRPr="002321EF">
              <w:rPr>
                <w:rFonts w:ascii="Arial" w:eastAsia="Times New Roman" w:hAnsi="Arial" w:cs="Arial"/>
                <w:b/>
                <w:bCs/>
                <w:color w:val="000000"/>
                <w:kern w:val="0"/>
                <w:sz w:val="20"/>
                <w:szCs w:val="20"/>
                <w14:ligatures w14:val="none"/>
              </w:rPr>
              <w:t>Beta (</w:t>
            </w:r>
            <w:r w:rsidRPr="002321EF">
              <w:rPr>
                <w:rFonts w:ascii="Arial" w:eastAsia="Times New Roman" w:hAnsi="Arial" w:cs="Arial"/>
                <w:b/>
                <w:bCs/>
                <w:color w:val="000000"/>
                <w:kern w:val="0"/>
                <w:sz w:val="20"/>
                <w:szCs w:val="20"/>
                <w:rtl/>
                <w14:ligatures w14:val="none"/>
              </w:rPr>
              <w:t>معياري</w:t>
            </w:r>
            <w:r w:rsidRPr="002321EF">
              <w:rPr>
                <w:rFonts w:ascii="Arial" w:eastAsia="Times New Roman" w:hAnsi="Arial" w:cs="Arial"/>
                <w:b/>
                <w:bCs/>
                <w:color w:val="000000"/>
                <w:kern w:val="0"/>
                <w:sz w:val="20"/>
                <w:szCs w:val="20"/>
                <w14:ligatures w14:val="none"/>
              </w:rPr>
              <w:t>)</w:t>
            </w:r>
          </w:p>
        </w:tc>
        <w:tc>
          <w:tcPr>
            <w:tcW w:w="957" w:type="dxa"/>
            <w:tcBorders>
              <w:top w:val="single" w:sz="8" w:space="0" w:color="auto"/>
              <w:left w:val="single" w:sz="4" w:space="0" w:color="auto"/>
              <w:bottom w:val="single" w:sz="4" w:space="0" w:color="auto"/>
              <w:right w:val="single" w:sz="4" w:space="0" w:color="auto"/>
            </w:tcBorders>
            <w:vAlign w:val="center"/>
            <w:hideMark/>
          </w:tcPr>
          <w:p w14:paraId="06461588" w14:textId="77777777" w:rsidR="00793DFB" w:rsidRPr="002321EF" w:rsidRDefault="00793DFB" w:rsidP="009F1C88">
            <w:pPr>
              <w:spacing w:after="0" w:line="240" w:lineRule="auto"/>
              <w:jc w:val="center"/>
              <w:rPr>
                <w:rFonts w:ascii="Arial" w:eastAsia="Times New Roman" w:hAnsi="Arial" w:cs="Arial"/>
                <w:b/>
                <w:bCs/>
                <w:color w:val="000000"/>
                <w:kern w:val="0"/>
                <w:sz w:val="20"/>
                <w:szCs w:val="20"/>
                <w14:ligatures w14:val="none"/>
              </w:rPr>
            </w:pPr>
            <w:r w:rsidRPr="002321EF">
              <w:rPr>
                <w:rFonts w:ascii="Arial" w:eastAsia="Times New Roman" w:hAnsi="Arial" w:cs="Arial"/>
                <w:b/>
                <w:bCs/>
                <w:color w:val="000000"/>
                <w:kern w:val="0"/>
                <w:sz w:val="20"/>
                <w:szCs w:val="20"/>
                <w14:ligatures w14:val="none"/>
              </w:rPr>
              <w:t>t</w:t>
            </w:r>
          </w:p>
        </w:tc>
        <w:tc>
          <w:tcPr>
            <w:tcW w:w="956" w:type="dxa"/>
            <w:tcBorders>
              <w:top w:val="single" w:sz="8" w:space="0" w:color="auto"/>
              <w:left w:val="single" w:sz="4" w:space="0" w:color="auto"/>
              <w:bottom w:val="single" w:sz="4" w:space="0" w:color="auto"/>
              <w:right w:val="single" w:sz="4" w:space="0" w:color="auto"/>
            </w:tcBorders>
            <w:vAlign w:val="center"/>
            <w:hideMark/>
          </w:tcPr>
          <w:p w14:paraId="49B4AC84" w14:textId="77777777" w:rsidR="00793DFB" w:rsidRPr="002321EF" w:rsidRDefault="00793DFB" w:rsidP="009F1C88">
            <w:pPr>
              <w:spacing w:after="0" w:line="240" w:lineRule="auto"/>
              <w:jc w:val="center"/>
              <w:rPr>
                <w:rFonts w:ascii="Arial" w:eastAsia="Times New Roman" w:hAnsi="Arial" w:cs="Arial"/>
                <w:b/>
                <w:bCs/>
                <w:color w:val="000000"/>
                <w:kern w:val="0"/>
                <w:sz w:val="20"/>
                <w:szCs w:val="20"/>
                <w14:ligatures w14:val="none"/>
              </w:rPr>
            </w:pPr>
            <w:r w:rsidRPr="002321EF">
              <w:rPr>
                <w:rFonts w:ascii="Arial" w:eastAsia="Times New Roman" w:hAnsi="Arial" w:cs="Arial"/>
                <w:b/>
                <w:bCs/>
                <w:color w:val="000000"/>
                <w:kern w:val="0"/>
                <w:sz w:val="20"/>
                <w:szCs w:val="20"/>
                <w14:ligatures w14:val="none"/>
              </w:rPr>
              <w:t>Sig.</w:t>
            </w:r>
          </w:p>
        </w:tc>
        <w:tc>
          <w:tcPr>
            <w:tcW w:w="975" w:type="dxa"/>
            <w:tcBorders>
              <w:top w:val="single" w:sz="8" w:space="0" w:color="auto"/>
              <w:left w:val="single" w:sz="4" w:space="0" w:color="auto"/>
              <w:bottom w:val="single" w:sz="4" w:space="0" w:color="auto"/>
              <w:right w:val="single" w:sz="4" w:space="0" w:color="auto"/>
            </w:tcBorders>
            <w:vAlign w:val="center"/>
            <w:hideMark/>
          </w:tcPr>
          <w:p w14:paraId="334B20F1" w14:textId="77777777" w:rsidR="00793DFB" w:rsidRPr="002321EF" w:rsidRDefault="00793DFB" w:rsidP="009F1C88">
            <w:pPr>
              <w:spacing w:after="0" w:line="240" w:lineRule="auto"/>
              <w:jc w:val="center"/>
              <w:rPr>
                <w:rFonts w:ascii="Arial" w:eastAsia="Times New Roman" w:hAnsi="Arial" w:cs="Arial"/>
                <w:b/>
                <w:bCs/>
                <w:color w:val="000000"/>
                <w:kern w:val="0"/>
                <w:sz w:val="20"/>
                <w:szCs w:val="20"/>
                <w14:ligatures w14:val="none"/>
              </w:rPr>
            </w:pPr>
            <w:r w:rsidRPr="002321EF">
              <w:rPr>
                <w:rFonts w:ascii="Arial" w:eastAsia="Times New Roman" w:hAnsi="Arial" w:cs="Arial"/>
                <w:b/>
                <w:bCs/>
                <w:color w:val="000000"/>
                <w:kern w:val="0"/>
                <w:sz w:val="20"/>
                <w:szCs w:val="20"/>
                <w14:ligatures w14:val="none"/>
              </w:rPr>
              <w:t>Tolerance</w:t>
            </w:r>
          </w:p>
        </w:tc>
        <w:tc>
          <w:tcPr>
            <w:tcW w:w="957" w:type="dxa"/>
            <w:tcBorders>
              <w:top w:val="single" w:sz="8" w:space="0" w:color="auto"/>
              <w:left w:val="single" w:sz="4" w:space="0" w:color="auto"/>
              <w:bottom w:val="single" w:sz="4" w:space="0" w:color="auto"/>
              <w:right w:val="single" w:sz="8" w:space="0" w:color="auto"/>
            </w:tcBorders>
            <w:vAlign w:val="center"/>
            <w:hideMark/>
          </w:tcPr>
          <w:p w14:paraId="643B80FC" w14:textId="77777777" w:rsidR="00793DFB" w:rsidRPr="002321EF" w:rsidRDefault="00793DFB" w:rsidP="009F1C88">
            <w:pPr>
              <w:spacing w:after="0" w:line="240" w:lineRule="auto"/>
              <w:jc w:val="center"/>
              <w:rPr>
                <w:rFonts w:ascii="Arial" w:eastAsia="Times New Roman" w:hAnsi="Arial" w:cs="Arial"/>
                <w:b/>
                <w:bCs/>
                <w:color w:val="000000"/>
                <w:kern w:val="0"/>
                <w:sz w:val="20"/>
                <w:szCs w:val="20"/>
                <w14:ligatures w14:val="none"/>
              </w:rPr>
            </w:pPr>
            <w:r w:rsidRPr="002321EF">
              <w:rPr>
                <w:rFonts w:ascii="Arial" w:eastAsia="Times New Roman" w:hAnsi="Arial" w:cs="Arial"/>
                <w:b/>
                <w:bCs/>
                <w:color w:val="000000"/>
                <w:kern w:val="0"/>
                <w:sz w:val="20"/>
                <w:szCs w:val="20"/>
                <w14:ligatures w14:val="none"/>
              </w:rPr>
              <w:t>VIF</w:t>
            </w:r>
          </w:p>
        </w:tc>
      </w:tr>
      <w:tr w:rsidR="00793DFB" w:rsidRPr="002321EF" w14:paraId="0E75CF69" w14:textId="77777777" w:rsidTr="009F1C88">
        <w:trPr>
          <w:trHeight w:val="792"/>
          <w:jc w:val="center"/>
        </w:trPr>
        <w:tc>
          <w:tcPr>
            <w:tcW w:w="964" w:type="dxa"/>
            <w:tcBorders>
              <w:top w:val="nil"/>
              <w:left w:val="single" w:sz="8" w:space="0" w:color="auto"/>
              <w:bottom w:val="single" w:sz="4" w:space="0" w:color="auto"/>
              <w:right w:val="single" w:sz="4" w:space="0" w:color="auto"/>
            </w:tcBorders>
            <w:vAlign w:val="center"/>
            <w:hideMark/>
          </w:tcPr>
          <w:p w14:paraId="22C19115" w14:textId="77777777" w:rsidR="00793DFB" w:rsidRPr="002321EF" w:rsidRDefault="00793DFB" w:rsidP="009F1C88">
            <w:pPr>
              <w:bidi/>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rtl/>
                <w14:ligatures w14:val="none"/>
              </w:rPr>
              <w:t>ثابت (</w:t>
            </w:r>
            <w:r w:rsidRPr="002321EF">
              <w:rPr>
                <w:rFonts w:ascii="Arial" w:eastAsia="Times New Roman" w:hAnsi="Arial" w:cs="Arial"/>
                <w:color w:val="000000"/>
                <w:kern w:val="0"/>
                <w:sz w:val="20"/>
                <w:szCs w:val="20"/>
                <w14:ligatures w14:val="none"/>
              </w:rPr>
              <w:t>Constant</w:t>
            </w:r>
            <w:r w:rsidRPr="002321EF">
              <w:rPr>
                <w:rFonts w:ascii="Arial" w:eastAsia="Times New Roman" w:hAnsi="Arial" w:cs="Arial"/>
                <w:color w:val="000000"/>
                <w:kern w:val="0"/>
                <w:sz w:val="20"/>
                <w:szCs w:val="20"/>
                <w:rtl/>
                <w14:ligatures w14:val="none"/>
              </w:rPr>
              <w:t>)</w:t>
            </w:r>
          </w:p>
        </w:tc>
        <w:tc>
          <w:tcPr>
            <w:tcW w:w="956" w:type="dxa"/>
            <w:tcBorders>
              <w:top w:val="nil"/>
              <w:left w:val="single" w:sz="4" w:space="0" w:color="auto"/>
              <w:bottom w:val="single" w:sz="4" w:space="0" w:color="auto"/>
              <w:right w:val="single" w:sz="4" w:space="0" w:color="auto"/>
            </w:tcBorders>
            <w:vAlign w:val="center"/>
            <w:hideMark/>
          </w:tcPr>
          <w:p w14:paraId="76E7A3EC" w14:textId="77777777" w:rsidR="00793DFB" w:rsidRPr="002321EF" w:rsidRDefault="00793DFB" w:rsidP="009F1C88">
            <w:pPr>
              <w:spacing w:after="0" w:line="240" w:lineRule="auto"/>
              <w:jc w:val="center"/>
              <w:rPr>
                <w:rFonts w:ascii="Arial" w:eastAsia="Times New Roman" w:hAnsi="Arial" w:cs="Arial"/>
                <w:color w:val="000000"/>
                <w:kern w:val="0"/>
                <w:sz w:val="20"/>
                <w:szCs w:val="20"/>
                <w:rtl/>
                <w14:ligatures w14:val="none"/>
              </w:rPr>
            </w:pPr>
            <w:r w:rsidRPr="002321EF">
              <w:rPr>
                <w:rFonts w:ascii="Arial" w:eastAsia="Times New Roman" w:hAnsi="Arial" w:cs="Arial"/>
                <w:color w:val="000000"/>
                <w:kern w:val="0"/>
                <w:sz w:val="20"/>
                <w:szCs w:val="20"/>
                <w14:ligatures w14:val="none"/>
              </w:rPr>
              <w:t>0.607</w:t>
            </w:r>
          </w:p>
        </w:tc>
        <w:tc>
          <w:tcPr>
            <w:tcW w:w="957" w:type="dxa"/>
            <w:tcBorders>
              <w:top w:val="nil"/>
              <w:left w:val="single" w:sz="4" w:space="0" w:color="auto"/>
              <w:bottom w:val="single" w:sz="4" w:space="0" w:color="auto"/>
              <w:right w:val="single" w:sz="4" w:space="0" w:color="auto"/>
            </w:tcBorders>
            <w:vAlign w:val="center"/>
            <w:hideMark/>
          </w:tcPr>
          <w:p w14:paraId="2F889803"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0.082</w:t>
            </w:r>
          </w:p>
        </w:tc>
        <w:tc>
          <w:tcPr>
            <w:tcW w:w="958" w:type="dxa"/>
            <w:tcBorders>
              <w:top w:val="nil"/>
              <w:left w:val="single" w:sz="4" w:space="0" w:color="auto"/>
              <w:bottom w:val="single" w:sz="4" w:space="0" w:color="auto"/>
              <w:right w:val="single" w:sz="4" w:space="0" w:color="auto"/>
            </w:tcBorders>
            <w:vAlign w:val="center"/>
            <w:hideMark/>
          </w:tcPr>
          <w:p w14:paraId="263C678F"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w:t>
            </w:r>
          </w:p>
        </w:tc>
        <w:tc>
          <w:tcPr>
            <w:tcW w:w="957" w:type="dxa"/>
            <w:tcBorders>
              <w:top w:val="nil"/>
              <w:left w:val="single" w:sz="4" w:space="0" w:color="auto"/>
              <w:bottom w:val="single" w:sz="4" w:space="0" w:color="auto"/>
              <w:right w:val="single" w:sz="4" w:space="0" w:color="auto"/>
            </w:tcBorders>
            <w:vAlign w:val="center"/>
            <w:hideMark/>
          </w:tcPr>
          <w:p w14:paraId="765DA2D3"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7.368</w:t>
            </w:r>
          </w:p>
        </w:tc>
        <w:tc>
          <w:tcPr>
            <w:tcW w:w="956" w:type="dxa"/>
            <w:tcBorders>
              <w:top w:val="nil"/>
              <w:left w:val="single" w:sz="4" w:space="0" w:color="auto"/>
              <w:bottom w:val="single" w:sz="4" w:space="0" w:color="auto"/>
              <w:right w:val="single" w:sz="4" w:space="0" w:color="auto"/>
            </w:tcBorders>
            <w:vAlign w:val="center"/>
            <w:hideMark/>
          </w:tcPr>
          <w:p w14:paraId="013C7C9B"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w:t>
            </w:r>
          </w:p>
        </w:tc>
        <w:tc>
          <w:tcPr>
            <w:tcW w:w="975" w:type="dxa"/>
            <w:tcBorders>
              <w:top w:val="nil"/>
              <w:left w:val="single" w:sz="4" w:space="0" w:color="auto"/>
              <w:bottom w:val="single" w:sz="4" w:space="0" w:color="auto"/>
              <w:right w:val="single" w:sz="4" w:space="0" w:color="auto"/>
            </w:tcBorders>
            <w:vAlign w:val="center"/>
            <w:hideMark/>
          </w:tcPr>
          <w:p w14:paraId="0884F4D8"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w:t>
            </w:r>
          </w:p>
        </w:tc>
        <w:tc>
          <w:tcPr>
            <w:tcW w:w="957" w:type="dxa"/>
            <w:tcBorders>
              <w:top w:val="nil"/>
              <w:left w:val="single" w:sz="4" w:space="0" w:color="auto"/>
              <w:bottom w:val="single" w:sz="4" w:space="0" w:color="auto"/>
              <w:right w:val="single" w:sz="8" w:space="0" w:color="auto"/>
            </w:tcBorders>
            <w:vAlign w:val="center"/>
            <w:hideMark/>
          </w:tcPr>
          <w:p w14:paraId="6FB1AE3A"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w:t>
            </w:r>
          </w:p>
        </w:tc>
      </w:tr>
      <w:tr w:rsidR="00793DFB" w:rsidRPr="002321EF" w14:paraId="04EFCA6C" w14:textId="77777777" w:rsidTr="009F1C88">
        <w:trPr>
          <w:trHeight w:val="264"/>
          <w:jc w:val="center"/>
        </w:trPr>
        <w:tc>
          <w:tcPr>
            <w:tcW w:w="964" w:type="dxa"/>
            <w:tcBorders>
              <w:top w:val="nil"/>
              <w:left w:val="single" w:sz="8" w:space="0" w:color="auto"/>
              <w:bottom w:val="single" w:sz="4" w:space="0" w:color="auto"/>
              <w:right w:val="single" w:sz="4" w:space="0" w:color="auto"/>
            </w:tcBorders>
            <w:vAlign w:val="center"/>
            <w:hideMark/>
          </w:tcPr>
          <w:p w14:paraId="58A2B367" w14:textId="77777777" w:rsidR="00793DFB" w:rsidRPr="002321EF" w:rsidRDefault="00793DFB" w:rsidP="009F1C88">
            <w:pPr>
              <w:bidi/>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rtl/>
                <w14:ligatures w14:val="none"/>
              </w:rPr>
              <w:t>أولاً: التكيّف</w:t>
            </w:r>
          </w:p>
        </w:tc>
        <w:tc>
          <w:tcPr>
            <w:tcW w:w="956" w:type="dxa"/>
            <w:tcBorders>
              <w:top w:val="nil"/>
              <w:left w:val="single" w:sz="4" w:space="0" w:color="auto"/>
              <w:bottom w:val="single" w:sz="4" w:space="0" w:color="auto"/>
              <w:right w:val="single" w:sz="4" w:space="0" w:color="auto"/>
            </w:tcBorders>
            <w:vAlign w:val="center"/>
            <w:hideMark/>
          </w:tcPr>
          <w:p w14:paraId="74C96276" w14:textId="77777777" w:rsidR="00793DFB" w:rsidRPr="002321EF" w:rsidRDefault="00793DFB" w:rsidP="009F1C88">
            <w:pPr>
              <w:spacing w:after="0" w:line="240" w:lineRule="auto"/>
              <w:jc w:val="center"/>
              <w:rPr>
                <w:rFonts w:ascii="Arial" w:eastAsia="Times New Roman" w:hAnsi="Arial" w:cs="Arial"/>
                <w:color w:val="000000"/>
                <w:kern w:val="0"/>
                <w:sz w:val="20"/>
                <w:szCs w:val="20"/>
                <w:rtl/>
                <w14:ligatures w14:val="none"/>
              </w:rPr>
            </w:pPr>
            <w:r w:rsidRPr="002321EF">
              <w:rPr>
                <w:rFonts w:ascii="Arial" w:eastAsia="Times New Roman" w:hAnsi="Arial" w:cs="Arial"/>
                <w:color w:val="000000"/>
                <w:kern w:val="0"/>
                <w:sz w:val="20"/>
                <w:szCs w:val="20"/>
                <w14:ligatures w14:val="none"/>
              </w:rPr>
              <w:t>0.186</w:t>
            </w:r>
          </w:p>
        </w:tc>
        <w:tc>
          <w:tcPr>
            <w:tcW w:w="957" w:type="dxa"/>
            <w:tcBorders>
              <w:top w:val="nil"/>
              <w:left w:val="single" w:sz="4" w:space="0" w:color="auto"/>
              <w:bottom w:val="single" w:sz="4" w:space="0" w:color="auto"/>
              <w:right w:val="single" w:sz="4" w:space="0" w:color="auto"/>
            </w:tcBorders>
            <w:vAlign w:val="center"/>
            <w:hideMark/>
          </w:tcPr>
          <w:p w14:paraId="6CD34638"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0.033</w:t>
            </w:r>
          </w:p>
        </w:tc>
        <w:tc>
          <w:tcPr>
            <w:tcW w:w="958" w:type="dxa"/>
            <w:tcBorders>
              <w:top w:val="nil"/>
              <w:left w:val="single" w:sz="4" w:space="0" w:color="auto"/>
              <w:bottom w:val="single" w:sz="4" w:space="0" w:color="auto"/>
              <w:right w:val="single" w:sz="4" w:space="0" w:color="auto"/>
            </w:tcBorders>
            <w:vAlign w:val="center"/>
            <w:hideMark/>
          </w:tcPr>
          <w:p w14:paraId="0039CE34"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0.203</w:t>
            </w:r>
          </w:p>
        </w:tc>
        <w:tc>
          <w:tcPr>
            <w:tcW w:w="957" w:type="dxa"/>
            <w:tcBorders>
              <w:top w:val="nil"/>
              <w:left w:val="single" w:sz="4" w:space="0" w:color="auto"/>
              <w:bottom w:val="single" w:sz="4" w:space="0" w:color="auto"/>
              <w:right w:val="single" w:sz="4" w:space="0" w:color="auto"/>
            </w:tcBorders>
            <w:vAlign w:val="center"/>
            <w:hideMark/>
          </w:tcPr>
          <w:p w14:paraId="44A85E1B"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5.558</w:t>
            </w:r>
          </w:p>
        </w:tc>
        <w:tc>
          <w:tcPr>
            <w:tcW w:w="956" w:type="dxa"/>
            <w:tcBorders>
              <w:top w:val="nil"/>
              <w:left w:val="single" w:sz="4" w:space="0" w:color="auto"/>
              <w:bottom w:val="single" w:sz="4" w:space="0" w:color="auto"/>
              <w:right w:val="single" w:sz="4" w:space="0" w:color="auto"/>
            </w:tcBorders>
            <w:vAlign w:val="center"/>
            <w:hideMark/>
          </w:tcPr>
          <w:p w14:paraId="0A2F1B03"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w:t>
            </w:r>
          </w:p>
        </w:tc>
        <w:tc>
          <w:tcPr>
            <w:tcW w:w="975" w:type="dxa"/>
            <w:tcBorders>
              <w:top w:val="nil"/>
              <w:left w:val="single" w:sz="4" w:space="0" w:color="auto"/>
              <w:bottom w:val="single" w:sz="4" w:space="0" w:color="auto"/>
              <w:right w:val="single" w:sz="4" w:space="0" w:color="auto"/>
            </w:tcBorders>
            <w:vAlign w:val="center"/>
            <w:hideMark/>
          </w:tcPr>
          <w:p w14:paraId="4C2C04DA"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0.425</w:t>
            </w:r>
          </w:p>
        </w:tc>
        <w:tc>
          <w:tcPr>
            <w:tcW w:w="957" w:type="dxa"/>
            <w:tcBorders>
              <w:top w:val="nil"/>
              <w:left w:val="single" w:sz="4" w:space="0" w:color="auto"/>
              <w:bottom w:val="single" w:sz="4" w:space="0" w:color="auto"/>
              <w:right w:val="single" w:sz="8" w:space="0" w:color="auto"/>
            </w:tcBorders>
            <w:vAlign w:val="center"/>
            <w:hideMark/>
          </w:tcPr>
          <w:p w14:paraId="4FC2F2F7"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2.355</w:t>
            </w:r>
          </w:p>
        </w:tc>
      </w:tr>
      <w:tr w:rsidR="00793DFB" w:rsidRPr="002321EF" w14:paraId="062C9130" w14:textId="77777777" w:rsidTr="009F1C88">
        <w:trPr>
          <w:trHeight w:val="264"/>
          <w:jc w:val="center"/>
        </w:trPr>
        <w:tc>
          <w:tcPr>
            <w:tcW w:w="964" w:type="dxa"/>
            <w:tcBorders>
              <w:top w:val="nil"/>
              <w:left w:val="single" w:sz="8" w:space="0" w:color="auto"/>
              <w:bottom w:val="single" w:sz="4" w:space="0" w:color="auto"/>
              <w:right w:val="single" w:sz="4" w:space="0" w:color="auto"/>
            </w:tcBorders>
            <w:vAlign w:val="center"/>
            <w:hideMark/>
          </w:tcPr>
          <w:p w14:paraId="7E3538CB" w14:textId="77777777" w:rsidR="00793DFB" w:rsidRPr="002321EF" w:rsidRDefault="00793DFB" w:rsidP="009F1C88">
            <w:pPr>
              <w:bidi/>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rtl/>
                <w14:ligatures w14:val="none"/>
              </w:rPr>
              <w:t>ثانيًا: المهمة</w:t>
            </w:r>
          </w:p>
        </w:tc>
        <w:tc>
          <w:tcPr>
            <w:tcW w:w="956" w:type="dxa"/>
            <w:tcBorders>
              <w:top w:val="nil"/>
              <w:left w:val="single" w:sz="4" w:space="0" w:color="auto"/>
              <w:bottom w:val="single" w:sz="4" w:space="0" w:color="auto"/>
              <w:right w:val="single" w:sz="4" w:space="0" w:color="auto"/>
            </w:tcBorders>
            <w:vAlign w:val="center"/>
            <w:hideMark/>
          </w:tcPr>
          <w:p w14:paraId="5AD0C05A" w14:textId="77777777" w:rsidR="00793DFB" w:rsidRPr="002321EF" w:rsidRDefault="00793DFB" w:rsidP="009F1C88">
            <w:pPr>
              <w:spacing w:after="0" w:line="240" w:lineRule="auto"/>
              <w:jc w:val="center"/>
              <w:rPr>
                <w:rFonts w:ascii="Arial" w:eastAsia="Times New Roman" w:hAnsi="Arial" w:cs="Arial"/>
                <w:color w:val="000000"/>
                <w:kern w:val="0"/>
                <w:sz w:val="20"/>
                <w:szCs w:val="20"/>
                <w:rtl/>
                <w14:ligatures w14:val="none"/>
              </w:rPr>
            </w:pPr>
            <w:r w:rsidRPr="002321EF">
              <w:rPr>
                <w:rFonts w:ascii="Arial" w:eastAsia="Times New Roman" w:hAnsi="Arial" w:cs="Arial"/>
                <w:color w:val="000000"/>
                <w:kern w:val="0"/>
                <w:sz w:val="20"/>
                <w:szCs w:val="20"/>
                <w14:ligatures w14:val="none"/>
              </w:rPr>
              <w:t>0.113</w:t>
            </w:r>
          </w:p>
        </w:tc>
        <w:tc>
          <w:tcPr>
            <w:tcW w:w="957" w:type="dxa"/>
            <w:tcBorders>
              <w:top w:val="nil"/>
              <w:left w:val="single" w:sz="4" w:space="0" w:color="auto"/>
              <w:bottom w:val="single" w:sz="4" w:space="0" w:color="auto"/>
              <w:right w:val="single" w:sz="4" w:space="0" w:color="auto"/>
            </w:tcBorders>
            <w:vAlign w:val="center"/>
            <w:hideMark/>
          </w:tcPr>
          <w:p w14:paraId="1570193C"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0.032</w:t>
            </w:r>
          </w:p>
        </w:tc>
        <w:tc>
          <w:tcPr>
            <w:tcW w:w="958" w:type="dxa"/>
            <w:tcBorders>
              <w:top w:val="nil"/>
              <w:left w:val="single" w:sz="4" w:space="0" w:color="auto"/>
              <w:bottom w:val="single" w:sz="4" w:space="0" w:color="auto"/>
              <w:right w:val="single" w:sz="4" w:space="0" w:color="auto"/>
            </w:tcBorders>
            <w:vAlign w:val="center"/>
            <w:hideMark/>
          </w:tcPr>
          <w:p w14:paraId="0884D2CA"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0.129</w:t>
            </w:r>
          </w:p>
        </w:tc>
        <w:tc>
          <w:tcPr>
            <w:tcW w:w="957" w:type="dxa"/>
            <w:tcBorders>
              <w:top w:val="nil"/>
              <w:left w:val="single" w:sz="4" w:space="0" w:color="auto"/>
              <w:bottom w:val="single" w:sz="4" w:space="0" w:color="auto"/>
              <w:right w:val="single" w:sz="4" w:space="0" w:color="auto"/>
            </w:tcBorders>
            <w:vAlign w:val="center"/>
            <w:hideMark/>
          </w:tcPr>
          <w:p w14:paraId="6A974780"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3.516</w:t>
            </w:r>
          </w:p>
        </w:tc>
        <w:tc>
          <w:tcPr>
            <w:tcW w:w="956" w:type="dxa"/>
            <w:tcBorders>
              <w:top w:val="nil"/>
              <w:left w:val="single" w:sz="4" w:space="0" w:color="auto"/>
              <w:bottom w:val="single" w:sz="4" w:space="0" w:color="auto"/>
              <w:right w:val="single" w:sz="4" w:space="0" w:color="auto"/>
            </w:tcBorders>
            <w:vAlign w:val="center"/>
            <w:hideMark/>
          </w:tcPr>
          <w:p w14:paraId="489EFB93"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w:t>
            </w:r>
          </w:p>
        </w:tc>
        <w:tc>
          <w:tcPr>
            <w:tcW w:w="975" w:type="dxa"/>
            <w:tcBorders>
              <w:top w:val="nil"/>
              <w:left w:val="single" w:sz="4" w:space="0" w:color="auto"/>
              <w:bottom w:val="single" w:sz="4" w:space="0" w:color="auto"/>
              <w:right w:val="single" w:sz="4" w:space="0" w:color="auto"/>
            </w:tcBorders>
            <w:vAlign w:val="center"/>
            <w:hideMark/>
          </w:tcPr>
          <w:p w14:paraId="16261CD5"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0.417</w:t>
            </w:r>
          </w:p>
        </w:tc>
        <w:tc>
          <w:tcPr>
            <w:tcW w:w="957" w:type="dxa"/>
            <w:tcBorders>
              <w:top w:val="nil"/>
              <w:left w:val="single" w:sz="4" w:space="0" w:color="auto"/>
              <w:bottom w:val="single" w:sz="4" w:space="0" w:color="auto"/>
              <w:right w:val="single" w:sz="8" w:space="0" w:color="auto"/>
            </w:tcBorders>
            <w:vAlign w:val="center"/>
            <w:hideMark/>
          </w:tcPr>
          <w:p w14:paraId="4F2CD678"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2.396</w:t>
            </w:r>
          </w:p>
        </w:tc>
      </w:tr>
      <w:tr w:rsidR="00793DFB" w:rsidRPr="002321EF" w14:paraId="10C403C5" w14:textId="77777777" w:rsidTr="009F1C88">
        <w:trPr>
          <w:trHeight w:val="792"/>
          <w:jc w:val="center"/>
        </w:trPr>
        <w:tc>
          <w:tcPr>
            <w:tcW w:w="964" w:type="dxa"/>
            <w:tcBorders>
              <w:top w:val="nil"/>
              <w:left w:val="single" w:sz="8" w:space="0" w:color="auto"/>
              <w:bottom w:val="single" w:sz="4" w:space="0" w:color="auto"/>
              <w:right w:val="single" w:sz="4" w:space="0" w:color="auto"/>
            </w:tcBorders>
            <w:vAlign w:val="center"/>
            <w:hideMark/>
          </w:tcPr>
          <w:p w14:paraId="76CA9EDF" w14:textId="77777777" w:rsidR="00793DFB" w:rsidRPr="002321EF" w:rsidRDefault="00793DFB" w:rsidP="009F1C88">
            <w:pPr>
              <w:bidi/>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rtl/>
                <w14:ligatures w14:val="none"/>
              </w:rPr>
              <w:t>ثالثًا: الاتساق الداخلي</w:t>
            </w:r>
          </w:p>
        </w:tc>
        <w:tc>
          <w:tcPr>
            <w:tcW w:w="956" w:type="dxa"/>
            <w:tcBorders>
              <w:top w:val="nil"/>
              <w:left w:val="single" w:sz="4" w:space="0" w:color="auto"/>
              <w:bottom w:val="single" w:sz="4" w:space="0" w:color="auto"/>
              <w:right w:val="single" w:sz="4" w:space="0" w:color="auto"/>
            </w:tcBorders>
            <w:vAlign w:val="center"/>
            <w:hideMark/>
          </w:tcPr>
          <w:p w14:paraId="563DD94E" w14:textId="77777777" w:rsidR="00793DFB" w:rsidRPr="002321EF" w:rsidRDefault="00793DFB" w:rsidP="009F1C88">
            <w:pPr>
              <w:spacing w:after="0" w:line="240" w:lineRule="auto"/>
              <w:jc w:val="center"/>
              <w:rPr>
                <w:rFonts w:ascii="Arial" w:eastAsia="Times New Roman" w:hAnsi="Arial" w:cs="Arial"/>
                <w:color w:val="000000"/>
                <w:kern w:val="0"/>
                <w:sz w:val="20"/>
                <w:szCs w:val="20"/>
                <w:rtl/>
                <w14:ligatures w14:val="none"/>
              </w:rPr>
            </w:pPr>
            <w:r w:rsidRPr="002321EF">
              <w:rPr>
                <w:rFonts w:ascii="Arial" w:eastAsia="Times New Roman" w:hAnsi="Arial" w:cs="Arial"/>
                <w:color w:val="000000"/>
                <w:kern w:val="0"/>
                <w:sz w:val="20"/>
                <w:szCs w:val="20"/>
                <w14:ligatures w14:val="none"/>
              </w:rPr>
              <w:t>0.218</w:t>
            </w:r>
          </w:p>
        </w:tc>
        <w:tc>
          <w:tcPr>
            <w:tcW w:w="957" w:type="dxa"/>
            <w:tcBorders>
              <w:top w:val="nil"/>
              <w:left w:val="single" w:sz="4" w:space="0" w:color="auto"/>
              <w:bottom w:val="single" w:sz="4" w:space="0" w:color="auto"/>
              <w:right w:val="single" w:sz="4" w:space="0" w:color="auto"/>
            </w:tcBorders>
            <w:vAlign w:val="center"/>
            <w:hideMark/>
          </w:tcPr>
          <w:p w14:paraId="1DC66EC3"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0.034</w:t>
            </w:r>
          </w:p>
        </w:tc>
        <w:tc>
          <w:tcPr>
            <w:tcW w:w="958" w:type="dxa"/>
            <w:tcBorders>
              <w:top w:val="nil"/>
              <w:left w:val="single" w:sz="4" w:space="0" w:color="auto"/>
              <w:bottom w:val="single" w:sz="4" w:space="0" w:color="auto"/>
              <w:right w:val="single" w:sz="4" w:space="0" w:color="auto"/>
            </w:tcBorders>
            <w:vAlign w:val="center"/>
            <w:hideMark/>
          </w:tcPr>
          <w:p w14:paraId="6093F81E"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0.275</w:t>
            </w:r>
          </w:p>
        </w:tc>
        <w:tc>
          <w:tcPr>
            <w:tcW w:w="957" w:type="dxa"/>
            <w:tcBorders>
              <w:top w:val="nil"/>
              <w:left w:val="single" w:sz="4" w:space="0" w:color="auto"/>
              <w:bottom w:val="single" w:sz="4" w:space="0" w:color="auto"/>
              <w:right w:val="single" w:sz="4" w:space="0" w:color="auto"/>
            </w:tcBorders>
            <w:vAlign w:val="center"/>
            <w:hideMark/>
          </w:tcPr>
          <w:p w14:paraId="27A28977"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6.397</w:t>
            </w:r>
          </w:p>
        </w:tc>
        <w:tc>
          <w:tcPr>
            <w:tcW w:w="956" w:type="dxa"/>
            <w:tcBorders>
              <w:top w:val="nil"/>
              <w:left w:val="single" w:sz="4" w:space="0" w:color="auto"/>
              <w:bottom w:val="single" w:sz="4" w:space="0" w:color="auto"/>
              <w:right w:val="single" w:sz="4" w:space="0" w:color="auto"/>
            </w:tcBorders>
            <w:vAlign w:val="center"/>
            <w:hideMark/>
          </w:tcPr>
          <w:p w14:paraId="218069A8"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w:t>
            </w:r>
          </w:p>
        </w:tc>
        <w:tc>
          <w:tcPr>
            <w:tcW w:w="975" w:type="dxa"/>
            <w:tcBorders>
              <w:top w:val="nil"/>
              <w:left w:val="single" w:sz="4" w:space="0" w:color="auto"/>
              <w:bottom w:val="single" w:sz="4" w:space="0" w:color="auto"/>
              <w:right w:val="single" w:sz="4" w:space="0" w:color="auto"/>
            </w:tcBorders>
            <w:vAlign w:val="center"/>
            <w:hideMark/>
          </w:tcPr>
          <w:p w14:paraId="56621A30"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0.307</w:t>
            </w:r>
          </w:p>
        </w:tc>
        <w:tc>
          <w:tcPr>
            <w:tcW w:w="957" w:type="dxa"/>
            <w:tcBorders>
              <w:top w:val="nil"/>
              <w:left w:val="single" w:sz="4" w:space="0" w:color="auto"/>
              <w:bottom w:val="single" w:sz="4" w:space="0" w:color="auto"/>
              <w:right w:val="single" w:sz="8" w:space="0" w:color="auto"/>
            </w:tcBorders>
            <w:vAlign w:val="center"/>
            <w:hideMark/>
          </w:tcPr>
          <w:p w14:paraId="0C937A35"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3.26</w:t>
            </w:r>
          </w:p>
        </w:tc>
      </w:tr>
      <w:tr w:rsidR="00793DFB" w:rsidRPr="002321EF" w14:paraId="60FAD0B4" w14:textId="77777777" w:rsidTr="009F1C88">
        <w:trPr>
          <w:trHeight w:val="804"/>
          <w:jc w:val="center"/>
        </w:trPr>
        <w:tc>
          <w:tcPr>
            <w:tcW w:w="964" w:type="dxa"/>
            <w:tcBorders>
              <w:top w:val="nil"/>
              <w:left w:val="single" w:sz="8" w:space="0" w:color="auto"/>
              <w:bottom w:val="single" w:sz="8" w:space="0" w:color="auto"/>
              <w:right w:val="single" w:sz="4" w:space="0" w:color="auto"/>
            </w:tcBorders>
            <w:vAlign w:val="center"/>
            <w:hideMark/>
          </w:tcPr>
          <w:p w14:paraId="4AD15F1A" w14:textId="77777777" w:rsidR="00793DFB" w:rsidRPr="002321EF" w:rsidRDefault="00793DFB" w:rsidP="009F1C88">
            <w:pPr>
              <w:bidi/>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rtl/>
                <w14:ligatures w14:val="none"/>
              </w:rPr>
              <w:t>رابعًا: إشراك الموظفين</w:t>
            </w:r>
          </w:p>
        </w:tc>
        <w:tc>
          <w:tcPr>
            <w:tcW w:w="956" w:type="dxa"/>
            <w:tcBorders>
              <w:top w:val="nil"/>
              <w:left w:val="single" w:sz="4" w:space="0" w:color="auto"/>
              <w:bottom w:val="single" w:sz="8" w:space="0" w:color="auto"/>
              <w:right w:val="single" w:sz="4" w:space="0" w:color="auto"/>
            </w:tcBorders>
            <w:vAlign w:val="center"/>
            <w:hideMark/>
          </w:tcPr>
          <w:p w14:paraId="5D3A4DAC" w14:textId="77777777" w:rsidR="00793DFB" w:rsidRPr="002321EF" w:rsidRDefault="00793DFB" w:rsidP="009F1C88">
            <w:pPr>
              <w:spacing w:after="0" w:line="240" w:lineRule="auto"/>
              <w:jc w:val="center"/>
              <w:rPr>
                <w:rFonts w:ascii="Arial" w:eastAsia="Times New Roman" w:hAnsi="Arial" w:cs="Arial"/>
                <w:color w:val="000000"/>
                <w:kern w:val="0"/>
                <w:sz w:val="20"/>
                <w:szCs w:val="20"/>
                <w:rtl/>
                <w14:ligatures w14:val="none"/>
              </w:rPr>
            </w:pPr>
            <w:r w:rsidRPr="002321EF">
              <w:rPr>
                <w:rFonts w:ascii="Arial" w:eastAsia="Times New Roman" w:hAnsi="Arial" w:cs="Arial"/>
                <w:color w:val="000000"/>
                <w:kern w:val="0"/>
                <w:sz w:val="20"/>
                <w:szCs w:val="20"/>
                <w14:ligatures w14:val="none"/>
              </w:rPr>
              <w:t>0.307</w:t>
            </w:r>
          </w:p>
        </w:tc>
        <w:tc>
          <w:tcPr>
            <w:tcW w:w="957" w:type="dxa"/>
            <w:tcBorders>
              <w:top w:val="nil"/>
              <w:left w:val="single" w:sz="4" w:space="0" w:color="auto"/>
              <w:bottom w:val="single" w:sz="8" w:space="0" w:color="auto"/>
              <w:right w:val="single" w:sz="4" w:space="0" w:color="auto"/>
            </w:tcBorders>
            <w:vAlign w:val="center"/>
            <w:hideMark/>
          </w:tcPr>
          <w:p w14:paraId="20C2A889"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0.037</w:t>
            </w:r>
          </w:p>
        </w:tc>
        <w:tc>
          <w:tcPr>
            <w:tcW w:w="958" w:type="dxa"/>
            <w:tcBorders>
              <w:top w:val="nil"/>
              <w:left w:val="single" w:sz="4" w:space="0" w:color="auto"/>
              <w:bottom w:val="single" w:sz="8" w:space="0" w:color="auto"/>
              <w:right w:val="single" w:sz="4" w:space="0" w:color="auto"/>
            </w:tcBorders>
            <w:vAlign w:val="center"/>
            <w:hideMark/>
          </w:tcPr>
          <w:p w14:paraId="66C85C92"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0.372</w:t>
            </w:r>
          </w:p>
        </w:tc>
        <w:tc>
          <w:tcPr>
            <w:tcW w:w="957" w:type="dxa"/>
            <w:tcBorders>
              <w:top w:val="nil"/>
              <w:left w:val="single" w:sz="4" w:space="0" w:color="auto"/>
              <w:bottom w:val="single" w:sz="8" w:space="0" w:color="auto"/>
              <w:right w:val="single" w:sz="4" w:space="0" w:color="auto"/>
            </w:tcBorders>
            <w:vAlign w:val="center"/>
            <w:hideMark/>
          </w:tcPr>
          <w:p w14:paraId="2F942DD9"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8.257</w:t>
            </w:r>
          </w:p>
        </w:tc>
        <w:tc>
          <w:tcPr>
            <w:tcW w:w="956" w:type="dxa"/>
            <w:tcBorders>
              <w:top w:val="nil"/>
              <w:left w:val="single" w:sz="4" w:space="0" w:color="auto"/>
              <w:bottom w:val="single" w:sz="8" w:space="0" w:color="auto"/>
              <w:right w:val="single" w:sz="4" w:space="0" w:color="auto"/>
            </w:tcBorders>
            <w:vAlign w:val="center"/>
            <w:hideMark/>
          </w:tcPr>
          <w:p w14:paraId="62AFAB62"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w:t>
            </w:r>
          </w:p>
        </w:tc>
        <w:tc>
          <w:tcPr>
            <w:tcW w:w="975" w:type="dxa"/>
            <w:tcBorders>
              <w:top w:val="nil"/>
              <w:left w:val="single" w:sz="4" w:space="0" w:color="auto"/>
              <w:bottom w:val="single" w:sz="8" w:space="0" w:color="auto"/>
              <w:right w:val="single" w:sz="4" w:space="0" w:color="auto"/>
            </w:tcBorders>
            <w:vAlign w:val="center"/>
            <w:hideMark/>
          </w:tcPr>
          <w:p w14:paraId="084EA85F"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0.279</w:t>
            </w:r>
          </w:p>
        </w:tc>
        <w:tc>
          <w:tcPr>
            <w:tcW w:w="957" w:type="dxa"/>
            <w:tcBorders>
              <w:top w:val="nil"/>
              <w:left w:val="single" w:sz="4" w:space="0" w:color="auto"/>
              <w:bottom w:val="single" w:sz="8" w:space="0" w:color="auto"/>
              <w:right w:val="single" w:sz="8" w:space="0" w:color="auto"/>
            </w:tcBorders>
            <w:vAlign w:val="center"/>
            <w:hideMark/>
          </w:tcPr>
          <w:p w14:paraId="4C9DE8DA" w14:textId="77777777" w:rsidR="00793DFB" w:rsidRPr="002321EF" w:rsidRDefault="00793DFB" w:rsidP="009F1C88">
            <w:pPr>
              <w:spacing w:after="0" w:line="240" w:lineRule="auto"/>
              <w:jc w:val="center"/>
              <w:rPr>
                <w:rFonts w:ascii="Arial" w:eastAsia="Times New Roman" w:hAnsi="Arial" w:cs="Arial"/>
                <w:color w:val="000000"/>
                <w:kern w:val="0"/>
                <w:sz w:val="20"/>
                <w:szCs w:val="20"/>
                <w14:ligatures w14:val="none"/>
              </w:rPr>
            </w:pPr>
            <w:r w:rsidRPr="002321EF">
              <w:rPr>
                <w:rFonts w:ascii="Arial" w:eastAsia="Times New Roman" w:hAnsi="Arial" w:cs="Arial"/>
                <w:color w:val="000000"/>
                <w:kern w:val="0"/>
                <w:sz w:val="20"/>
                <w:szCs w:val="20"/>
                <w14:ligatures w14:val="none"/>
              </w:rPr>
              <w:t>3.59</w:t>
            </w:r>
          </w:p>
        </w:tc>
      </w:tr>
    </w:tbl>
    <w:p w14:paraId="11257D9C" w14:textId="77777777" w:rsidR="00793DFB" w:rsidRPr="00695A2C" w:rsidRDefault="00793DFB" w:rsidP="00793DFB">
      <w:pPr>
        <w:numPr>
          <w:ilvl w:val="0"/>
          <w:numId w:val="184"/>
        </w:numPr>
        <w:bidi/>
        <w:rPr>
          <w:lang w:bidi="ar-EG"/>
        </w:rPr>
      </w:pPr>
      <w:r w:rsidRPr="00695A2C">
        <w:rPr>
          <w:b/>
          <w:bCs/>
          <w:rtl/>
        </w:rPr>
        <w:lastRenderedPageBreak/>
        <w:t>إشراك الموظفين</w:t>
      </w:r>
      <w:r>
        <w:rPr>
          <w:rFonts w:hint="cs"/>
          <w:b/>
          <w:bCs/>
          <w:rtl/>
          <w:lang w:bidi="ar-EG"/>
        </w:rPr>
        <w:t>:</w:t>
      </w:r>
      <w:r w:rsidRPr="00695A2C">
        <w:rPr>
          <w:lang w:bidi="ar-EG"/>
        </w:rPr>
        <w:t xml:space="preserve"> </w:t>
      </w:r>
      <w:r w:rsidRPr="00695A2C">
        <w:rPr>
          <w:rtl/>
        </w:rPr>
        <w:t>أعظم العوامل تأثيرًا؛ معامله المعياري</w:t>
      </w:r>
      <w:r w:rsidRPr="00695A2C">
        <w:rPr>
          <w:lang w:bidi="ar-EG"/>
        </w:rPr>
        <w:t xml:space="preserve"> (β = 0.372) </w:t>
      </w:r>
      <w:r w:rsidRPr="00695A2C">
        <w:rPr>
          <w:rtl/>
        </w:rPr>
        <w:t>يبيّن أن ارتفاع مستوى إشراك العاملين يرتبط بزيادة جوهرية في الأداء الإبداعي. أثره معنوي عند</w:t>
      </w:r>
      <w:r>
        <w:rPr>
          <w:rFonts w:hint="cs"/>
          <w:rtl/>
          <w:lang w:bidi="ar-EG"/>
        </w:rPr>
        <w:t xml:space="preserve"> </w:t>
      </w:r>
      <w:r w:rsidRPr="00695A2C">
        <w:rPr>
          <w:lang w:bidi="ar-EG"/>
        </w:rPr>
        <w:t xml:space="preserve">p &lt; </w:t>
      </w:r>
      <w:r>
        <w:rPr>
          <w:lang w:bidi="ar-EG"/>
        </w:rPr>
        <w:t>0</w:t>
      </w:r>
      <w:r w:rsidRPr="00695A2C">
        <w:rPr>
          <w:lang w:bidi="ar-EG"/>
        </w:rPr>
        <w:t>.001</w:t>
      </w:r>
      <w:r w:rsidRPr="00695A2C">
        <w:rPr>
          <w:rtl/>
        </w:rPr>
        <w:t>، ويظل مؤثرًا بعد ضبط بقية الأبعاد</w:t>
      </w:r>
      <w:r w:rsidRPr="00695A2C">
        <w:rPr>
          <w:lang w:bidi="ar-EG"/>
        </w:rPr>
        <w:t>.</w:t>
      </w:r>
    </w:p>
    <w:p w14:paraId="66507295" w14:textId="77777777" w:rsidR="00793DFB" w:rsidRPr="00695A2C" w:rsidRDefault="00793DFB" w:rsidP="00793DFB">
      <w:pPr>
        <w:numPr>
          <w:ilvl w:val="0"/>
          <w:numId w:val="184"/>
        </w:numPr>
        <w:bidi/>
        <w:rPr>
          <w:lang w:bidi="ar-EG"/>
        </w:rPr>
      </w:pPr>
      <w:r w:rsidRPr="00695A2C">
        <w:rPr>
          <w:b/>
          <w:bCs/>
          <w:rtl/>
        </w:rPr>
        <w:t>الاتساق الداخلي</w:t>
      </w:r>
      <w:r>
        <w:rPr>
          <w:rFonts w:hint="cs"/>
          <w:b/>
          <w:bCs/>
          <w:rtl/>
          <w:lang w:bidi="ar-EG"/>
        </w:rPr>
        <w:t>:</w:t>
      </w:r>
      <w:r w:rsidRPr="00695A2C">
        <w:rPr>
          <w:lang w:bidi="ar-EG"/>
        </w:rPr>
        <w:t xml:space="preserve"> </w:t>
      </w:r>
      <w:r w:rsidRPr="00695A2C">
        <w:rPr>
          <w:rtl/>
        </w:rPr>
        <w:t>يكتسب مرتبة ثانية في الأهمية</w:t>
      </w:r>
      <w:r>
        <w:rPr>
          <w:rFonts w:hint="cs"/>
          <w:rtl/>
          <w:lang w:bidi="ar-EG"/>
        </w:rPr>
        <w:t xml:space="preserve"> </w:t>
      </w:r>
      <w:r w:rsidRPr="00695A2C">
        <w:rPr>
          <w:lang w:bidi="ar-EG"/>
        </w:rPr>
        <w:t>(β = 0.275)</w:t>
      </w:r>
      <w:r w:rsidRPr="00695A2C">
        <w:rPr>
          <w:rtl/>
        </w:rPr>
        <w:t>، مما يعكس دور القيم المشتركة، والمعايير السلوكية المتجانسة، في تمكين سلوكيات الابتكار</w:t>
      </w:r>
      <w:r w:rsidRPr="00695A2C">
        <w:rPr>
          <w:lang w:bidi="ar-EG"/>
        </w:rPr>
        <w:t>.</w:t>
      </w:r>
    </w:p>
    <w:p w14:paraId="37489EB6" w14:textId="77777777" w:rsidR="00793DFB" w:rsidRPr="00695A2C" w:rsidRDefault="00793DFB" w:rsidP="00793DFB">
      <w:pPr>
        <w:numPr>
          <w:ilvl w:val="0"/>
          <w:numId w:val="184"/>
        </w:numPr>
        <w:bidi/>
        <w:rPr>
          <w:lang w:bidi="ar-EG"/>
        </w:rPr>
      </w:pPr>
      <w:r w:rsidRPr="00695A2C">
        <w:rPr>
          <w:b/>
          <w:bCs/>
          <w:rtl/>
        </w:rPr>
        <w:t>التكيّف</w:t>
      </w:r>
      <w:r>
        <w:rPr>
          <w:rFonts w:hint="cs"/>
          <w:b/>
          <w:bCs/>
          <w:rtl/>
          <w:lang w:bidi="ar-EG"/>
        </w:rPr>
        <w:t>:</w:t>
      </w:r>
      <w:r w:rsidRPr="00695A2C">
        <w:rPr>
          <w:lang w:bidi="ar-EG"/>
        </w:rPr>
        <w:t xml:space="preserve"> </w:t>
      </w:r>
      <w:r w:rsidRPr="00695A2C">
        <w:rPr>
          <w:rtl/>
        </w:rPr>
        <w:t>أثر إيجابي ومهم إحصائيًا</w:t>
      </w:r>
      <w:r>
        <w:rPr>
          <w:rFonts w:hint="cs"/>
          <w:rtl/>
          <w:lang w:bidi="ar-EG"/>
        </w:rPr>
        <w:t xml:space="preserve"> </w:t>
      </w:r>
      <w:r w:rsidRPr="00695A2C">
        <w:rPr>
          <w:lang w:bidi="ar-EG"/>
        </w:rPr>
        <w:t>(β = 0.203)</w:t>
      </w:r>
      <w:r w:rsidRPr="00695A2C">
        <w:rPr>
          <w:rtl/>
        </w:rPr>
        <w:t>، ما يشير إلى أن قدرة المؤسسة على الاستجابة للتغيير تسهم في تعزيز الإبداع الوظيفي</w:t>
      </w:r>
      <w:r w:rsidRPr="00695A2C">
        <w:rPr>
          <w:lang w:bidi="ar-EG"/>
        </w:rPr>
        <w:t>.</w:t>
      </w:r>
    </w:p>
    <w:p w14:paraId="77FD8B20" w14:textId="77777777" w:rsidR="00793DFB" w:rsidRPr="00695A2C" w:rsidRDefault="00793DFB" w:rsidP="00793DFB">
      <w:pPr>
        <w:numPr>
          <w:ilvl w:val="0"/>
          <w:numId w:val="184"/>
        </w:numPr>
        <w:bidi/>
        <w:rPr>
          <w:lang w:bidi="ar-EG"/>
        </w:rPr>
      </w:pPr>
      <w:r w:rsidRPr="00695A2C">
        <w:rPr>
          <w:b/>
          <w:bCs/>
          <w:rtl/>
        </w:rPr>
        <w:t>المهمة</w:t>
      </w:r>
      <w:r>
        <w:rPr>
          <w:rFonts w:hint="cs"/>
          <w:b/>
          <w:bCs/>
          <w:rtl/>
          <w:lang w:bidi="ar-EG"/>
        </w:rPr>
        <w:t>:</w:t>
      </w:r>
      <w:r w:rsidRPr="00695A2C">
        <w:rPr>
          <w:lang w:bidi="ar-EG"/>
        </w:rPr>
        <w:t xml:space="preserve"> </w:t>
      </w:r>
      <w:r w:rsidRPr="00695A2C">
        <w:rPr>
          <w:rtl/>
        </w:rPr>
        <w:t>رغم أنه الأضعف نسبياً بين الأبعاد الأربعة، فإن تأثيره لا يزال ذا دلالة</w:t>
      </w:r>
      <w:r>
        <w:rPr>
          <w:rFonts w:hint="cs"/>
          <w:rtl/>
          <w:lang w:bidi="ar-EG"/>
        </w:rPr>
        <w:t xml:space="preserve"> (</w:t>
      </w:r>
      <w:r w:rsidRPr="00695A2C">
        <w:rPr>
          <w:lang w:bidi="ar-EG"/>
        </w:rPr>
        <w:t>β = 0.129</w:t>
      </w:r>
      <w:r w:rsidRPr="00695A2C">
        <w:rPr>
          <w:rtl/>
        </w:rPr>
        <w:t xml:space="preserve">، </w:t>
      </w:r>
      <w:r w:rsidRPr="00695A2C">
        <w:rPr>
          <w:lang w:bidi="ar-EG"/>
        </w:rPr>
        <w:t>p &lt; .001</w:t>
      </w:r>
      <w:r>
        <w:rPr>
          <w:rFonts w:hint="cs"/>
          <w:rtl/>
          <w:lang w:bidi="ar-EG"/>
        </w:rPr>
        <w:t>)</w:t>
      </w:r>
      <w:r w:rsidRPr="00695A2C">
        <w:rPr>
          <w:rtl/>
        </w:rPr>
        <w:t>، ما يؤكد أن وضوح الأهداف والاستراتيجية يهيئ أرضية مساعدة للإبداع</w:t>
      </w:r>
      <w:r w:rsidRPr="00695A2C">
        <w:rPr>
          <w:lang w:bidi="ar-EG"/>
        </w:rPr>
        <w:t>.</w:t>
      </w:r>
    </w:p>
    <w:p w14:paraId="54CF30C0" w14:textId="77777777" w:rsidR="00793DFB" w:rsidRPr="00695A2C" w:rsidRDefault="00793DFB" w:rsidP="00793DFB">
      <w:pPr>
        <w:bidi/>
        <w:rPr>
          <w:lang w:bidi="ar-EG"/>
        </w:rPr>
      </w:pPr>
      <w:r w:rsidRPr="00695A2C">
        <w:rPr>
          <w:rtl/>
        </w:rPr>
        <w:t>قيم</w:t>
      </w:r>
      <w:r w:rsidRPr="00695A2C">
        <w:rPr>
          <w:lang w:bidi="ar-EG"/>
        </w:rPr>
        <w:t xml:space="preserve"> VIF </w:t>
      </w:r>
      <w:r w:rsidRPr="00695A2C">
        <w:rPr>
          <w:rtl/>
        </w:rPr>
        <w:t>جميعها أقلّ من 10 وقيم</w:t>
      </w:r>
      <w:r w:rsidRPr="00695A2C">
        <w:rPr>
          <w:lang w:bidi="ar-EG"/>
        </w:rPr>
        <w:t xml:space="preserve"> Tolerance </w:t>
      </w:r>
      <w:r w:rsidRPr="00695A2C">
        <w:rPr>
          <w:rtl/>
        </w:rPr>
        <w:t>أعلى من 0.10، ما يشير إلى عدم وجود مشكلة تعدد خطي حادة تؤثر على استقرار معاملات النموذج. مع ذلك، تظهر بعض مؤشرات الارتباط البيني</w:t>
      </w:r>
      <w:r w:rsidRPr="00695A2C">
        <w:rPr>
          <w:lang w:bidi="ar-EG"/>
        </w:rPr>
        <w:t xml:space="preserve"> </w:t>
      </w:r>
      <w:r>
        <w:rPr>
          <w:rFonts w:hint="cs"/>
          <w:rtl/>
          <w:lang w:bidi="ar-EG"/>
        </w:rPr>
        <w:t>(</w:t>
      </w:r>
      <w:r w:rsidRPr="00695A2C">
        <w:rPr>
          <w:rtl/>
        </w:rPr>
        <w:t>قِيَم</w:t>
      </w:r>
      <w:r w:rsidRPr="00695A2C">
        <w:rPr>
          <w:lang w:bidi="ar-EG"/>
        </w:rPr>
        <w:t xml:space="preserve"> VIF </w:t>
      </w:r>
      <w:r w:rsidRPr="00695A2C">
        <w:rPr>
          <w:rtl/>
        </w:rPr>
        <w:t xml:space="preserve">حول </w:t>
      </w:r>
      <w:r>
        <w:rPr>
          <w:rFonts w:hint="cs"/>
          <w:rtl/>
        </w:rPr>
        <w:t>2.355</w:t>
      </w:r>
      <w:r w:rsidRPr="00695A2C">
        <w:rPr>
          <w:rtl/>
        </w:rPr>
        <w:t>–3.6</w:t>
      </w:r>
      <w:r>
        <w:rPr>
          <w:rFonts w:hint="cs"/>
          <w:rtl/>
          <w:lang w:bidi="ar-EG"/>
        </w:rPr>
        <w:t>)</w:t>
      </w:r>
      <w:r w:rsidRPr="00695A2C">
        <w:rPr>
          <w:lang w:bidi="ar-EG"/>
        </w:rPr>
        <w:t xml:space="preserve"> </w:t>
      </w:r>
      <w:r w:rsidRPr="00695A2C">
        <w:rPr>
          <w:rtl/>
        </w:rPr>
        <w:t>اعتمادًا معقولاً بين الأبعاد، وهو أمر متوقع لدى المتغيرات البُعدية لمفهوم ثقافي واحد</w:t>
      </w:r>
      <w:r w:rsidRPr="00695A2C">
        <w:rPr>
          <w:lang w:bidi="ar-EG"/>
        </w:rPr>
        <w:t>.</w:t>
      </w:r>
    </w:p>
    <w:p w14:paraId="2B8E25C5" w14:textId="77777777" w:rsidR="00793DFB" w:rsidRPr="00695A2C" w:rsidRDefault="00793DFB" w:rsidP="00793DFB">
      <w:pPr>
        <w:bidi/>
        <w:rPr>
          <w:lang w:bidi="ar-EG"/>
        </w:rPr>
      </w:pPr>
      <w:r w:rsidRPr="00695A2C">
        <w:rPr>
          <w:rtl/>
        </w:rPr>
        <w:t>لا تظهر قيمة</w:t>
      </w:r>
      <w:r w:rsidRPr="00695A2C">
        <w:rPr>
          <w:lang w:bidi="ar-EG"/>
        </w:rPr>
        <w:t xml:space="preserve"> Condition Index </w:t>
      </w:r>
      <w:r w:rsidRPr="00695A2C">
        <w:rPr>
          <w:rtl/>
        </w:rPr>
        <w:t>دلائل على تعدد خطي ذا أثر مدمّر (لم تتجاوز القيم حدود الإنذار الشائعة)، مما يدعم صلاحية تفسير معاملات الانحدار</w:t>
      </w:r>
      <w:r w:rsidRPr="00695A2C">
        <w:rPr>
          <w:lang w:bidi="ar-EG"/>
        </w:rPr>
        <w:t>.</w:t>
      </w:r>
    </w:p>
    <w:p w14:paraId="074BBF40" w14:textId="77777777" w:rsidR="00793DFB" w:rsidRDefault="00793DFB" w:rsidP="00793DFB">
      <w:pPr>
        <w:bidi/>
        <w:rPr>
          <w:rtl/>
          <w:lang w:bidi="ar-EG"/>
        </w:rPr>
      </w:pPr>
      <w:r w:rsidRPr="00695A2C">
        <w:rPr>
          <w:rtl/>
        </w:rPr>
        <w:t>البواقي موزعة حول الصفر بانحراف معياري معتدل، ولا توجد قيم شاذة متطرفة بصورة تقوض موثوقية النموذج. تحقق شروط الأساسيات (متوسط بواقي قريب من صفر، تشتت مقبول) يدعم صلاحية استنتاجات الانحدار</w:t>
      </w:r>
      <w:r w:rsidRPr="00695A2C">
        <w:rPr>
          <w:lang w:bidi="ar-EG"/>
        </w:rPr>
        <w:t>.</w:t>
      </w:r>
    </w:p>
    <w:p w14:paraId="7FF4B511" w14:textId="77777777" w:rsidR="00793DFB" w:rsidRPr="00357BDD" w:rsidRDefault="00793DFB" w:rsidP="00793DFB">
      <w:pPr>
        <w:bidi/>
        <w:rPr>
          <w:lang w:val="en-GB" w:bidi="ar-EG"/>
        </w:rPr>
      </w:pPr>
      <w:r w:rsidRPr="00357BDD">
        <w:rPr>
          <w:rtl/>
        </w:rPr>
        <w:t>استنادًا إلى نتائج تحليل الانحدار المتعدد، يمكن صياغة الفقرة الختامية لتقييم الفرضية المتعلقة بتأثير أبعاد الثقافة التنظيمية على الأداء الإبداعي على النحو التالي</w:t>
      </w:r>
      <w:r w:rsidRPr="00357BDD">
        <w:rPr>
          <w:lang w:val="en-GB" w:bidi="ar-EG"/>
        </w:rPr>
        <w:t>:</w:t>
      </w:r>
    </w:p>
    <w:p w14:paraId="69D33D91" w14:textId="77777777" w:rsidR="00793DFB" w:rsidRPr="00357BDD" w:rsidRDefault="00793DFB" w:rsidP="00793DFB">
      <w:pPr>
        <w:bidi/>
        <w:rPr>
          <w:lang w:val="en-GB" w:bidi="ar-EG"/>
        </w:rPr>
      </w:pPr>
      <w:r w:rsidRPr="00357BDD">
        <w:rPr>
          <w:rtl/>
        </w:rPr>
        <w:t>تؤكد نتائج التحليل الإحصائي تحقق الفرضية القائلة بوجود علاقة ذات دلالة إحصائية بين أبعاد الثقافة التنظيمية والأداء الإبداعي. فقد أظهر نموذج الانحدار أن الأبعاد الأربعة للثقافة التنظيمية (التكيّف، المهمة، الاتساق الداخلي، إشراك الموظفين) تفسّر ما نسبته 77.7% من التباين في الأداء الإبداعي</w:t>
      </w:r>
      <w:r>
        <w:rPr>
          <w:rFonts w:hint="cs"/>
          <w:rtl/>
          <w:lang w:val="en-GB" w:bidi="ar-EG"/>
        </w:rPr>
        <w:t xml:space="preserve"> </w:t>
      </w:r>
      <w:r w:rsidRPr="00357BDD">
        <w:rPr>
          <w:lang w:val="en-GB" w:bidi="ar-EG"/>
        </w:rPr>
        <w:t>(R² = 0.777)</w:t>
      </w:r>
      <w:r w:rsidRPr="00357BDD">
        <w:rPr>
          <w:rtl/>
        </w:rPr>
        <w:t>، وهي نسبة مرتفعة تعكس قوة النموذج. كما أن قيمة</w:t>
      </w:r>
      <w:r w:rsidRPr="00357BDD">
        <w:rPr>
          <w:lang w:val="en-GB" w:bidi="ar-EG"/>
        </w:rPr>
        <w:t xml:space="preserve"> F </w:t>
      </w:r>
      <w:r w:rsidRPr="00357BDD">
        <w:rPr>
          <w:rtl/>
        </w:rPr>
        <w:t>المرتفعة (343.135) ومستوى الدلالة</w:t>
      </w:r>
      <w:r w:rsidRPr="00357BDD">
        <w:rPr>
          <w:lang w:val="en-GB" w:bidi="ar-EG"/>
        </w:rPr>
        <w:t xml:space="preserve"> (p &lt; 0.001) </w:t>
      </w:r>
      <w:r w:rsidRPr="00357BDD">
        <w:rPr>
          <w:rtl/>
        </w:rPr>
        <w:t xml:space="preserve">يدعمان صلاحية النموذج ككل. وقد تبيّن أن جميع الأبعاد لها تأثيرات موجبة ومعنوية إحصائيًا، مع تباين في قوة التأثير، حيث جاء </w:t>
      </w:r>
      <w:r w:rsidRPr="00357BDD">
        <w:rPr>
          <w:lang w:val="en-GB" w:bidi="ar-EG"/>
        </w:rPr>
        <w:t>"</w:t>
      </w:r>
      <w:r w:rsidRPr="00357BDD">
        <w:rPr>
          <w:rtl/>
        </w:rPr>
        <w:t>إشراك الموظفين</w:t>
      </w:r>
      <w:r w:rsidRPr="00357BDD">
        <w:rPr>
          <w:lang w:val="en-GB" w:bidi="ar-EG"/>
        </w:rPr>
        <w:t xml:space="preserve">" </w:t>
      </w:r>
      <w:r w:rsidRPr="00357BDD">
        <w:rPr>
          <w:rtl/>
        </w:rPr>
        <w:t xml:space="preserve">كأقوى المتغيرات تأثيرًا، يليه </w:t>
      </w:r>
      <w:r w:rsidRPr="00357BDD">
        <w:rPr>
          <w:lang w:val="en-GB" w:bidi="ar-EG"/>
        </w:rPr>
        <w:t>"</w:t>
      </w:r>
      <w:r w:rsidRPr="00357BDD">
        <w:rPr>
          <w:rtl/>
        </w:rPr>
        <w:t>الاتساق الداخلي</w:t>
      </w:r>
      <w:r w:rsidRPr="00357BDD">
        <w:rPr>
          <w:lang w:val="en-GB" w:bidi="ar-EG"/>
        </w:rPr>
        <w:t>"</w:t>
      </w:r>
      <w:r w:rsidRPr="00357BDD">
        <w:rPr>
          <w:rtl/>
        </w:rPr>
        <w:t xml:space="preserve">، ثم </w:t>
      </w:r>
      <w:r w:rsidRPr="00357BDD">
        <w:rPr>
          <w:lang w:val="en-GB" w:bidi="ar-EG"/>
        </w:rPr>
        <w:t>"</w:t>
      </w:r>
      <w:r w:rsidRPr="00357BDD">
        <w:rPr>
          <w:rtl/>
        </w:rPr>
        <w:t>التكيّف</w:t>
      </w:r>
      <w:r w:rsidRPr="00357BDD">
        <w:rPr>
          <w:lang w:val="en-GB" w:bidi="ar-EG"/>
        </w:rPr>
        <w:t>"</w:t>
      </w:r>
      <w:r w:rsidRPr="00357BDD">
        <w:rPr>
          <w:rtl/>
        </w:rPr>
        <w:t xml:space="preserve">، وأخيرًا </w:t>
      </w:r>
      <w:r w:rsidRPr="00357BDD">
        <w:rPr>
          <w:lang w:val="en-GB" w:bidi="ar-EG"/>
        </w:rPr>
        <w:t>"</w:t>
      </w:r>
      <w:r w:rsidRPr="00357BDD">
        <w:rPr>
          <w:rtl/>
        </w:rPr>
        <w:t>المهمة</w:t>
      </w:r>
      <w:r w:rsidRPr="00357BDD">
        <w:rPr>
          <w:lang w:val="en-GB" w:bidi="ar-EG"/>
        </w:rPr>
        <w:t>"</w:t>
      </w:r>
      <w:r>
        <w:rPr>
          <w:rFonts w:hint="cs"/>
          <w:rtl/>
          <w:lang w:val="en-GB" w:bidi="ar-EG"/>
        </w:rPr>
        <w:t>.</w:t>
      </w:r>
      <w:r w:rsidRPr="00357BDD">
        <w:rPr>
          <w:lang w:val="en-GB" w:bidi="ar-EG"/>
        </w:rPr>
        <w:t xml:space="preserve"> </w:t>
      </w:r>
      <w:r w:rsidRPr="00357BDD">
        <w:rPr>
          <w:rtl/>
        </w:rPr>
        <w:t>هذه النتائج تدعم قبول الفرضية، وتؤكد أن الثقافة التنظيمية تُعد من المحددات الجوهرية للأداء الإبداعي في بيئة العمل</w:t>
      </w:r>
      <w:r w:rsidRPr="00357BDD">
        <w:rPr>
          <w:lang w:val="en-GB" w:bidi="ar-EG"/>
        </w:rPr>
        <w:t>.</w:t>
      </w:r>
    </w:p>
    <w:p w14:paraId="67EDCF32" w14:textId="77777777" w:rsidR="00793DFB" w:rsidRPr="00357BDD" w:rsidRDefault="00793DFB" w:rsidP="00793DFB">
      <w:pPr>
        <w:bidi/>
        <w:rPr>
          <w:lang w:bidi="ar-EG"/>
        </w:rPr>
      </w:pPr>
    </w:p>
    <w:p w14:paraId="2932A41B" w14:textId="77777777" w:rsidR="00793DFB" w:rsidRPr="00357BDD" w:rsidRDefault="00793DFB" w:rsidP="00793DFB">
      <w:pPr>
        <w:bidi/>
        <w:rPr>
          <w:b/>
          <w:bCs/>
          <w:rtl/>
          <w:lang w:bidi="ar-EG"/>
        </w:rPr>
      </w:pPr>
      <w:r>
        <w:rPr>
          <w:rFonts w:hint="cs"/>
          <w:b/>
          <w:bCs/>
          <w:rtl/>
          <w:lang w:bidi="ar-EG"/>
        </w:rPr>
        <w:t xml:space="preserve">4.15. </w:t>
      </w:r>
      <w:r w:rsidRPr="00357BDD">
        <w:rPr>
          <w:b/>
          <w:bCs/>
          <w:rtl/>
        </w:rPr>
        <w:t>الانحدار البسيط: أثر الثقافة التنظيمية في الأداء الإبداعي</w:t>
      </w:r>
      <w:r w:rsidRPr="00357BDD">
        <w:rPr>
          <w:b/>
          <w:bCs/>
          <w:lang w:bidi="ar-EG"/>
        </w:rPr>
        <w:t xml:space="preserve"> </w:t>
      </w:r>
      <w:r w:rsidRPr="00357BDD">
        <w:rPr>
          <w:b/>
          <w:bCs/>
          <w:rtl/>
        </w:rPr>
        <w:t>اختبار</w:t>
      </w:r>
      <w:r w:rsidRPr="00357BDD">
        <w:rPr>
          <w:b/>
          <w:bCs/>
          <w:lang w:bidi="ar-EG"/>
        </w:rPr>
        <w:t>)</w:t>
      </w:r>
      <w:r w:rsidRPr="00357BDD">
        <w:rPr>
          <w:rFonts w:hint="cs"/>
          <w:b/>
          <w:bCs/>
          <w:rtl/>
          <w:lang w:bidi="ar-EG"/>
        </w:rPr>
        <w:t xml:space="preserve"> </w:t>
      </w:r>
      <w:r w:rsidRPr="00357BDD">
        <w:rPr>
          <w:b/>
          <w:bCs/>
          <w:lang w:bidi="ar-EG"/>
        </w:rPr>
        <w:t>H3</w:t>
      </w:r>
      <w:r w:rsidRPr="00357BDD">
        <w:rPr>
          <w:rFonts w:hint="cs"/>
          <w:b/>
          <w:bCs/>
          <w:rtl/>
          <w:lang w:bidi="ar-EG"/>
        </w:rPr>
        <w:t>)</w:t>
      </w:r>
    </w:p>
    <w:p w14:paraId="16CE6BB7" w14:textId="77777777" w:rsidR="00793DFB" w:rsidRPr="00357BDD" w:rsidRDefault="00793DFB" w:rsidP="00793DFB">
      <w:pPr>
        <w:bidi/>
        <w:rPr>
          <w:lang w:val="en-GB"/>
        </w:rPr>
      </w:pPr>
      <w:r w:rsidRPr="00357BDD">
        <w:rPr>
          <w:b/>
          <w:bCs/>
          <w:rtl/>
          <w:lang w:val="en-GB"/>
        </w:rPr>
        <w:t>الجدول (4-17): نتائج الانحدار البسيط لاختبار أثر الثقافة التنظيمية على الأداء الإبداعي</w:t>
      </w:r>
    </w:p>
    <w:tbl>
      <w:tblPr>
        <w:bidiVisual/>
        <w:tblW w:w="10648" w:type="dxa"/>
        <w:tblInd w:w="-1278" w:type="dxa"/>
        <w:tblLayout w:type="fixed"/>
        <w:tblLook w:val="04A0" w:firstRow="1" w:lastRow="0" w:firstColumn="1" w:lastColumn="0" w:noHBand="0" w:noVBand="1"/>
      </w:tblPr>
      <w:tblGrid>
        <w:gridCol w:w="673"/>
        <w:gridCol w:w="539"/>
        <w:gridCol w:w="707"/>
        <w:gridCol w:w="684"/>
        <w:gridCol w:w="684"/>
        <w:gridCol w:w="890"/>
        <w:gridCol w:w="710"/>
        <w:gridCol w:w="758"/>
        <w:gridCol w:w="758"/>
        <w:gridCol w:w="787"/>
        <w:gridCol w:w="649"/>
        <w:gridCol w:w="741"/>
        <w:gridCol w:w="936"/>
        <w:gridCol w:w="708"/>
        <w:gridCol w:w="424"/>
      </w:tblGrid>
      <w:tr w:rsidR="00793DFB" w:rsidRPr="009546BB" w14:paraId="151D079E" w14:textId="77777777" w:rsidTr="009F1C88">
        <w:trPr>
          <w:trHeight w:val="924"/>
        </w:trPr>
        <w:tc>
          <w:tcPr>
            <w:tcW w:w="673" w:type="dxa"/>
            <w:tcBorders>
              <w:top w:val="single" w:sz="4" w:space="0" w:color="auto"/>
              <w:left w:val="single" w:sz="4" w:space="0" w:color="auto"/>
              <w:bottom w:val="single" w:sz="4" w:space="0" w:color="auto"/>
              <w:right w:val="single" w:sz="4" w:space="0" w:color="auto"/>
            </w:tcBorders>
            <w:vAlign w:val="center"/>
            <w:hideMark/>
          </w:tcPr>
          <w:p w14:paraId="0806FF09" w14:textId="77777777" w:rsidR="00793DFB" w:rsidRPr="009546BB" w:rsidRDefault="00793DFB" w:rsidP="009F1C88">
            <w:pPr>
              <w:bidi/>
              <w:spacing w:after="0" w:line="240" w:lineRule="auto"/>
              <w:jc w:val="center"/>
              <w:rPr>
                <w:rFonts w:ascii="Arial" w:eastAsia="Times New Roman" w:hAnsi="Arial" w:cs="Arial"/>
                <w:b/>
                <w:bCs/>
                <w:color w:val="000000"/>
                <w:kern w:val="0"/>
                <w:sz w:val="18"/>
                <w:szCs w:val="18"/>
                <w:lang w:val="en-GB" w:eastAsia="en-GB"/>
                <w14:ligatures w14:val="none"/>
              </w:rPr>
            </w:pPr>
            <w:r w:rsidRPr="009546BB">
              <w:rPr>
                <w:rFonts w:ascii="Arial" w:eastAsia="Times New Roman" w:hAnsi="Arial" w:cs="Arial" w:hint="cs"/>
                <w:b/>
                <w:bCs/>
                <w:color w:val="000000"/>
                <w:kern w:val="0"/>
                <w:sz w:val="18"/>
                <w:szCs w:val="18"/>
                <w:rtl/>
                <w:lang w:val="en-GB" w:eastAsia="en-GB"/>
                <w14:ligatures w14:val="none"/>
              </w:rPr>
              <w:t>المؤشر</w:t>
            </w:r>
          </w:p>
        </w:tc>
        <w:tc>
          <w:tcPr>
            <w:tcW w:w="539" w:type="dxa"/>
            <w:tcBorders>
              <w:top w:val="single" w:sz="4" w:space="0" w:color="auto"/>
              <w:left w:val="single" w:sz="4" w:space="0" w:color="auto"/>
              <w:bottom w:val="single" w:sz="4" w:space="0" w:color="auto"/>
              <w:right w:val="single" w:sz="4" w:space="0" w:color="auto"/>
            </w:tcBorders>
            <w:vAlign w:val="center"/>
            <w:hideMark/>
          </w:tcPr>
          <w:p w14:paraId="0F72AE8D" w14:textId="77777777" w:rsidR="00793DFB" w:rsidRPr="009546BB"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9546BB">
              <w:rPr>
                <w:rFonts w:ascii="Arial" w:eastAsia="Times New Roman" w:hAnsi="Arial" w:cs="Arial" w:hint="cs"/>
                <w:color w:val="000000"/>
                <w:kern w:val="0"/>
                <w:sz w:val="18"/>
                <w:szCs w:val="18"/>
                <w:rtl/>
                <w:lang w:val="en-GB" w:eastAsia="en-GB"/>
                <w14:ligatures w14:val="none"/>
              </w:rPr>
              <w:t>عدد العيّنة</w:t>
            </w:r>
            <w:r w:rsidRPr="009546BB">
              <w:rPr>
                <w:rFonts w:ascii="Aptos" w:eastAsia="Times New Roman" w:hAnsi="Aptos" w:cs="Arial"/>
                <w:color w:val="000000"/>
                <w:kern w:val="0"/>
                <w:sz w:val="18"/>
                <w:szCs w:val="18"/>
                <w:rtl/>
                <w:lang w:val="en-GB" w:eastAsia="en-GB"/>
                <w14:ligatures w14:val="none"/>
              </w:rPr>
              <w:t xml:space="preserve"> (</w:t>
            </w:r>
            <w:r w:rsidRPr="009546BB">
              <w:rPr>
                <w:rFonts w:ascii="Aptos" w:eastAsia="Times New Roman" w:hAnsi="Aptos" w:cs="Arial"/>
                <w:color w:val="000000"/>
                <w:kern w:val="0"/>
                <w:sz w:val="18"/>
                <w:szCs w:val="18"/>
                <w:lang w:val="en-GB" w:eastAsia="en-GB"/>
                <w14:ligatures w14:val="none"/>
              </w:rPr>
              <w:t>N</w:t>
            </w:r>
            <w:r w:rsidRPr="009546BB">
              <w:rPr>
                <w:rFonts w:ascii="Aptos" w:eastAsia="Times New Roman" w:hAnsi="Aptos" w:cs="Arial"/>
                <w:color w:val="000000"/>
                <w:kern w:val="0"/>
                <w:sz w:val="18"/>
                <w:szCs w:val="18"/>
                <w:rtl/>
                <w:lang w:val="en-GB" w:eastAsia="en-GB"/>
                <w14:ligatures w14:val="none"/>
              </w:rPr>
              <w:t>)</w:t>
            </w:r>
          </w:p>
        </w:tc>
        <w:tc>
          <w:tcPr>
            <w:tcW w:w="707" w:type="dxa"/>
            <w:tcBorders>
              <w:top w:val="single" w:sz="4" w:space="0" w:color="auto"/>
              <w:left w:val="single" w:sz="4" w:space="0" w:color="auto"/>
              <w:bottom w:val="single" w:sz="4" w:space="0" w:color="auto"/>
              <w:right w:val="single" w:sz="4" w:space="0" w:color="auto"/>
            </w:tcBorders>
            <w:vAlign w:val="center"/>
            <w:hideMark/>
          </w:tcPr>
          <w:p w14:paraId="3D9F0621" w14:textId="77777777" w:rsidR="00793DFB" w:rsidRPr="009546BB"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9546BB">
              <w:rPr>
                <w:rFonts w:ascii="Arial" w:eastAsia="Times New Roman" w:hAnsi="Arial" w:cs="Arial" w:hint="cs"/>
                <w:color w:val="000000"/>
                <w:kern w:val="0"/>
                <w:sz w:val="18"/>
                <w:szCs w:val="18"/>
                <w:rtl/>
                <w:lang w:val="en-GB" w:eastAsia="en-GB"/>
                <w14:ligatures w14:val="none"/>
              </w:rPr>
              <w:t>معامل الارتباط</w:t>
            </w:r>
            <w:r w:rsidRPr="009546BB">
              <w:rPr>
                <w:rFonts w:ascii="Aptos" w:eastAsia="Times New Roman" w:hAnsi="Aptos" w:cs="Arial"/>
                <w:color w:val="000000"/>
                <w:kern w:val="0"/>
                <w:sz w:val="18"/>
                <w:szCs w:val="18"/>
                <w:rtl/>
                <w:lang w:val="en-GB" w:eastAsia="en-GB"/>
                <w14:ligatures w14:val="none"/>
              </w:rPr>
              <w:t xml:space="preserve"> (</w:t>
            </w:r>
            <w:r w:rsidRPr="009546BB">
              <w:rPr>
                <w:rFonts w:ascii="Aptos" w:eastAsia="Times New Roman" w:hAnsi="Aptos" w:cs="Arial"/>
                <w:color w:val="000000"/>
                <w:kern w:val="0"/>
                <w:sz w:val="18"/>
                <w:szCs w:val="18"/>
                <w:lang w:val="en-GB" w:eastAsia="en-GB"/>
                <w14:ligatures w14:val="none"/>
              </w:rPr>
              <w:t>R</w:t>
            </w:r>
            <w:r w:rsidRPr="009546BB">
              <w:rPr>
                <w:rFonts w:ascii="Aptos" w:eastAsia="Times New Roman" w:hAnsi="Aptos" w:cs="Arial"/>
                <w:color w:val="000000"/>
                <w:kern w:val="0"/>
                <w:sz w:val="18"/>
                <w:szCs w:val="18"/>
                <w:rtl/>
                <w:lang w:val="en-GB" w:eastAsia="en-GB"/>
                <w14:ligatures w14:val="none"/>
              </w:rPr>
              <w:t>)</w:t>
            </w:r>
          </w:p>
        </w:tc>
        <w:tc>
          <w:tcPr>
            <w:tcW w:w="684" w:type="dxa"/>
            <w:tcBorders>
              <w:top w:val="single" w:sz="4" w:space="0" w:color="auto"/>
              <w:left w:val="single" w:sz="4" w:space="0" w:color="auto"/>
              <w:bottom w:val="single" w:sz="4" w:space="0" w:color="auto"/>
              <w:right w:val="single" w:sz="4" w:space="0" w:color="auto"/>
            </w:tcBorders>
            <w:vAlign w:val="center"/>
            <w:hideMark/>
          </w:tcPr>
          <w:p w14:paraId="18BAEE97" w14:textId="77777777" w:rsidR="00793DFB" w:rsidRPr="009546BB"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9546BB">
              <w:rPr>
                <w:rFonts w:ascii="Arial" w:eastAsia="Times New Roman" w:hAnsi="Arial" w:cs="Arial" w:hint="cs"/>
                <w:color w:val="000000"/>
                <w:kern w:val="0"/>
                <w:sz w:val="18"/>
                <w:szCs w:val="18"/>
                <w:rtl/>
                <w:lang w:val="en-GB" w:eastAsia="en-GB"/>
                <w14:ligatures w14:val="none"/>
              </w:rPr>
              <w:t>معامل التحديد</w:t>
            </w:r>
            <w:r w:rsidRPr="009546BB">
              <w:rPr>
                <w:rFonts w:ascii="Aptos" w:eastAsia="Times New Roman" w:hAnsi="Aptos" w:cs="Arial"/>
                <w:color w:val="000000"/>
                <w:kern w:val="0"/>
                <w:sz w:val="18"/>
                <w:szCs w:val="18"/>
                <w:rtl/>
                <w:lang w:val="en-GB" w:eastAsia="en-GB"/>
                <w14:ligatures w14:val="none"/>
              </w:rPr>
              <w:t xml:space="preserve"> (</w:t>
            </w:r>
            <w:r w:rsidRPr="009546BB">
              <w:rPr>
                <w:rFonts w:ascii="Aptos" w:eastAsia="Times New Roman" w:hAnsi="Aptos" w:cs="Arial"/>
                <w:color w:val="000000"/>
                <w:kern w:val="0"/>
                <w:sz w:val="18"/>
                <w:szCs w:val="18"/>
                <w:lang w:val="en-GB" w:eastAsia="en-GB"/>
                <w14:ligatures w14:val="none"/>
              </w:rPr>
              <w:t>R²</w:t>
            </w:r>
            <w:r w:rsidRPr="009546BB">
              <w:rPr>
                <w:rFonts w:ascii="Aptos" w:eastAsia="Times New Roman" w:hAnsi="Aptos" w:cs="Arial"/>
                <w:color w:val="000000"/>
                <w:kern w:val="0"/>
                <w:sz w:val="18"/>
                <w:szCs w:val="18"/>
                <w:rtl/>
                <w:lang w:val="en-GB" w:eastAsia="en-GB"/>
                <w14:ligatures w14:val="none"/>
              </w:rPr>
              <w:t>)</w:t>
            </w:r>
          </w:p>
        </w:tc>
        <w:tc>
          <w:tcPr>
            <w:tcW w:w="684" w:type="dxa"/>
            <w:tcBorders>
              <w:top w:val="single" w:sz="4" w:space="0" w:color="auto"/>
              <w:left w:val="single" w:sz="4" w:space="0" w:color="auto"/>
              <w:bottom w:val="single" w:sz="4" w:space="0" w:color="auto"/>
              <w:right w:val="single" w:sz="4" w:space="0" w:color="auto"/>
            </w:tcBorders>
            <w:vAlign w:val="center"/>
            <w:hideMark/>
          </w:tcPr>
          <w:p w14:paraId="565FDF16" w14:textId="77777777" w:rsidR="00793DFB" w:rsidRPr="009546BB"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9546BB">
              <w:rPr>
                <w:rFonts w:ascii="Arial" w:eastAsia="Times New Roman" w:hAnsi="Arial" w:cs="Arial" w:hint="cs"/>
                <w:color w:val="000000"/>
                <w:kern w:val="0"/>
                <w:sz w:val="18"/>
                <w:szCs w:val="18"/>
                <w:rtl/>
                <w:lang w:val="en-GB" w:eastAsia="en-GB"/>
                <w14:ligatures w14:val="none"/>
              </w:rPr>
              <w:t>معامل التحديد المعدل</w:t>
            </w:r>
          </w:p>
        </w:tc>
        <w:tc>
          <w:tcPr>
            <w:tcW w:w="890" w:type="dxa"/>
            <w:tcBorders>
              <w:top w:val="single" w:sz="4" w:space="0" w:color="auto"/>
              <w:left w:val="single" w:sz="4" w:space="0" w:color="auto"/>
              <w:bottom w:val="single" w:sz="4" w:space="0" w:color="auto"/>
              <w:right w:val="single" w:sz="4" w:space="0" w:color="auto"/>
            </w:tcBorders>
            <w:vAlign w:val="center"/>
            <w:hideMark/>
          </w:tcPr>
          <w:p w14:paraId="36FE2CBA" w14:textId="77777777" w:rsidR="00793DFB" w:rsidRPr="009546BB"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9546BB">
              <w:rPr>
                <w:rFonts w:ascii="Arial" w:eastAsia="Times New Roman" w:hAnsi="Arial" w:cs="Arial" w:hint="cs"/>
                <w:color w:val="000000"/>
                <w:kern w:val="0"/>
                <w:sz w:val="18"/>
                <w:szCs w:val="18"/>
                <w:rtl/>
                <w:lang w:val="en-GB" w:eastAsia="en-GB"/>
                <w14:ligatures w14:val="none"/>
              </w:rPr>
              <w:t>الخطأ المعياري للتقدير</w:t>
            </w:r>
          </w:p>
        </w:tc>
        <w:tc>
          <w:tcPr>
            <w:tcW w:w="710" w:type="dxa"/>
            <w:tcBorders>
              <w:top w:val="single" w:sz="4" w:space="0" w:color="auto"/>
              <w:left w:val="single" w:sz="4" w:space="0" w:color="auto"/>
              <w:bottom w:val="single" w:sz="4" w:space="0" w:color="auto"/>
              <w:right w:val="single" w:sz="4" w:space="0" w:color="auto"/>
            </w:tcBorders>
            <w:vAlign w:val="center"/>
            <w:hideMark/>
          </w:tcPr>
          <w:p w14:paraId="5006BE53" w14:textId="77777777" w:rsidR="00793DFB" w:rsidRPr="009546BB"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9546BB">
              <w:rPr>
                <w:rFonts w:ascii="Arial" w:eastAsia="Times New Roman" w:hAnsi="Arial" w:cs="Arial" w:hint="cs"/>
                <w:color w:val="000000"/>
                <w:kern w:val="0"/>
                <w:sz w:val="18"/>
                <w:szCs w:val="18"/>
                <w:rtl/>
                <w:lang w:val="en-GB" w:eastAsia="en-GB"/>
                <w14:ligatures w14:val="none"/>
              </w:rPr>
              <w:t>معامل الانحدار</w:t>
            </w:r>
            <w:r w:rsidRPr="009546BB">
              <w:rPr>
                <w:rFonts w:ascii="Aptos" w:eastAsia="Times New Roman" w:hAnsi="Aptos" w:cs="Arial"/>
                <w:color w:val="000000"/>
                <w:kern w:val="0"/>
                <w:sz w:val="18"/>
                <w:szCs w:val="18"/>
                <w:rtl/>
                <w:lang w:val="en-GB" w:eastAsia="en-GB"/>
                <w14:ligatures w14:val="none"/>
              </w:rPr>
              <w:t xml:space="preserve"> (</w:t>
            </w:r>
            <w:r w:rsidRPr="009546BB">
              <w:rPr>
                <w:rFonts w:ascii="Aptos" w:eastAsia="Times New Roman" w:hAnsi="Aptos" w:cs="Arial"/>
                <w:color w:val="000000"/>
                <w:kern w:val="0"/>
                <w:sz w:val="18"/>
                <w:szCs w:val="18"/>
                <w:lang w:val="en-GB" w:eastAsia="en-GB"/>
                <w14:ligatures w14:val="none"/>
              </w:rPr>
              <w:t>B</w:t>
            </w:r>
            <w:r w:rsidRPr="009546BB">
              <w:rPr>
                <w:rFonts w:ascii="Aptos" w:eastAsia="Times New Roman" w:hAnsi="Aptos" w:cs="Arial"/>
                <w:color w:val="000000"/>
                <w:kern w:val="0"/>
                <w:sz w:val="18"/>
                <w:szCs w:val="18"/>
                <w:rtl/>
                <w:lang w:val="en-GB" w:eastAsia="en-GB"/>
                <w14:ligatures w14:val="none"/>
              </w:rPr>
              <w:t>)</w:t>
            </w:r>
          </w:p>
        </w:tc>
        <w:tc>
          <w:tcPr>
            <w:tcW w:w="758" w:type="dxa"/>
            <w:tcBorders>
              <w:top w:val="single" w:sz="4" w:space="0" w:color="auto"/>
              <w:left w:val="single" w:sz="4" w:space="0" w:color="auto"/>
              <w:bottom w:val="single" w:sz="4" w:space="0" w:color="auto"/>
              <w:right w:val="single" w:sz="4" w:space="0" w:color="auto"/>
            </w:tcBorders>
            <w:vAlign w:val="center"/>
            <w:hideMark/>
          </w:tcPr>
          <w:p w14:paraId="2DC05F6E" w14:textId="77777777" w:rsidR="00793DFB" w:rsidRPr="009546BB"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9546BB">
              <w:rPr>
                <w:rFonts w:ascii="Arial" w:eastAsia="Times New Roman" w:hAnsi="Arial" w:cs="Arial" w:hint="cs"/>
                <w:color w:val="000000"/>
                <w:kern w:val="0"/>
                <w:sz w:val="18"/>
                <w:szCs w:val="18"/>
                <w:rtl/>
                <w:lang w:val="en-GB" w:eastAsia="en-GB"/>
                <w14:ligatures w14:val="none"/>
              </w:rPr>
              <w:t>الخطأ المعياري</w:t>
            </w:r>
            <w:r w:rsidRPr="009546BB">
              <w:rPr>
                <w:rFonts w:ascii="Aptos" w:eastAsia="Times New Roman" w:hAnsi="Aptos" w:cs="Arial"/>
                <w:color w:val="000000"/>
                <w:kern w:val="0"/>
                <w:sz w:val="18"/>
                <w:szCs w:val="18"/>
                <w:rtl/>
                <w:lang w:val="en-GB" w:eastAsia="en-GB"/>
                <w14:ligatures w14:val="none"/>
              </w:rPr>
              <w:t xml:space="preserve"> (</w:t>
            </w:r>
            <w:r w:rsidRPr="009546BB">
              <w:rPr>
                <w:rFonts w:ascii="Aptos" w:eastAsia="Times New Roman" w:hAnsi="Aptos" w:cs="Arial"/>
                <w:color w:val="000000"/>
                <w:kern w:val="0"/>
                <w:sz w:val="18"/>
                <w:szCs w:val="18"/>
                <w:lang w:val="en-GB" w:eastAsia="en-GB"/>
                <w14:ligatures w14:val="none"/>
              </w:rPr>
              <w:t>SE</w:t>
            </w:r>
            <w:r w:rsidRPr="009546BB">
              <w:rPr>
                <w:rFonts w:ascii="Aptos" w:eastAsia="Times New Roman" w:hAnsi="Aptos" w:cs="Arial"/>
                <w:color w:val="000000"/>
                <w:kern w:val="0"/>
                <w:sz w:val="18"/>
                <w:szCs w:val="18"/>
                <w:rtl/>
                <w:lang w:val="en-GB" w:eastAsia="en-GB"/>
                <w14:ligatures w14:val="none"/>
              </w:rPr>
              <w:t>)</w:t>
            </w:r>
          </w:p>
        </w:tc>
        <w:tc>
          <w:tcPr>
            <w:tcW w:w="758" w:type="dxa"/>
            <w:tcBorders>
              <w:top w:val="single" w:sz="4" w:space="0" w:color="auto"/>
              <w:left w:val="single" w:sz="4" w:space="0" w:color="auto"/>
              <w:bottom w:val="single" w:sz="4" w:space="0" w:color="auto"/>
              <w:right w:val="single" w:sz="4" w:space="0" w:color="auto"/>
            </w:tcBorders>
            <w:vAlign w:val="center"/>
            <w:hideMark/>
          </w:tcPr>
          <w:p w14:paraId="4819BA4E" w14:textId="77777777" w:rsidR="00793DFB" w:rsidRPr="009546BB"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9546BB">
              <w:rPr>
                <w:rFonts w:ascii="Arial" w:eastAsia="Times New Roman" w:hAnsi="Arial" w:cs="Arial" w:hint="cs"/>
                <w:color w:val="000000"/>
                <w:kern w:val="0"/>
                <w:sz w:val="18"/>
                <w:szCs w:val="18"/>
                <w:rtl/>
                <w:lang w:val="en-GB" w:eastAsia="en-GB"/>
                <w14:ligatures w14:val="none"/>
              </w:rPr>
              <w:t>المعامل المعياري</w:t>
            </w:r>
            <w:r w:rsidRPr="009546BB">
              <w:rPr>
                <w:rFonts w:ascii="Aptos" w:eastAsia="Times New Roman" w:hAnsi="Aptos" w:cs="Arial"/>
                <w:color w:val="000000"/>
                <w:kern w:val="0"/>
                <w:sz w:val="18"/>
                <w:szCs w:val="18"/>
                <w:rtl/>
                <w:lang w:val="en-GB" w:eastAsia="en-GB"/>
                <w14:ligatures w14:val="none"/>
              </w:rPr>
              <w:t xml:space="preserve"> (</w:t>
            </w:r>
            <w:r w:rsidRPr="009546BB">
              <w:rPr>
                <w:rFonts w:ascii="Aptos" w:eastAsia="Times New Roman" w:hAnsi="Aptos" w:cs="Arial"/>
                <w:color w:val="000000"/>
                <w:kern w:val="0"/>
                <w:sz w:val="18"/>
                <w:szCs w:val="18"/>
                <w:lang w:val="en-GB" w:eastAsia="en-GB"/>
                <w14:ligatures w14:val="none"/>
              </w:rPr>
              <w:t>Beta</w:t>
            </w:r>
            <w:r w:rsidRPr="009546BB">
              <w:rPr>
                <w:rFonts w:ascii="Aptos" w:eastAsia="Times New Roman" w:hAnsi="Aptos" w:cs="Arial"/>
                <w:color w:val="000000"/>
                <w:kern w:val="0"/>
                <w:sz w:val="18"/>
                <w:szCs w:val="18"/>
                <w:rtl/>
                <w:lang w:val="en-GB" w:eastAsia="en-GB"/>
                <w14:ligatures w14:val="none"/>
              </w:rPr>
              <w:t>)</w:t>
            </w:r>
          </w:p>
        </w:tc>
        <w:tc>
          <w:tcPr>
            <w:tcW w:w="787" w:type="dxa"/>
            <w:tcBorders>
              <w:top w:val="single" w:sz="4" w:space="0" w:color="auto"/>
              <w:left w:val="single" w:sz="4" w:space="0" w:color="auto"/>
              <w:bottom w:val="single" w:sz="4" w:space="0" w:color="auto"/>
              <w:right w:val="single" w:sz="4" w:space="0" w:color="auto"/>
            </w:tcBorders>
            <w:vAlign w:val="center"/>
            <w:hideMark/>
          </w:tcPr>
          <w:p w14:paraId="1E0D16C8" w14:textId="77777777" w:rsidR="00793DFB" w:rsidRPr="009546BB"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9546BB">
              <w:rPr>
                <w:rFonts w:ascii="Arial" w:eastAsia="Times New Roman" w:hAnsi="Arial" w:cs="Arial" w:hint="cs"/>
                <w:color w:val="000000"/>
                <w:kern w:val="0"/>
                <w:sz w:val="18"/>
                <w:szCs w:val="18"/>
                <w:rtl/>
                <w:lang w:val="en-GB" w:eastAsia="en-GB"/>
                <w14:ligatures w14:val="none"/>
              </w:rPr>
              <w:t>قيمة</w:t>
            </w:r>
            <w:r w:rsidRPr="009546BB">
              <w:rPr>
                <w:rFonts w:ascii="Aptos" w:eastAsia="Times New Roman" w:hAnsi="Aptos" w:cs="Arial"/>
                <w:color w:val="000000"/>
                <w:kern w:val="0"/>
                <w:sz w:val="18"/>
                <w:szCs w:val="18"/>
                <w:rtl/>
                <w:lang w:val="en-GB" w:eastAsia="en-GB"/>
                <w14:ligatures w14:val="none"/>
              </w:rPr>
              <w:t xml:space="preserve"> </w:t>
            </w:r>
            <w:r w:rsidRPr="009546BB">
              <w:rPr>
                <w:rFonts w:ascii="Aptos" w:eastAsia="Times New Roman" w:hAnsi="Aptos" w:cs="Arial"/>
                <w:color w:val="000000"/>
                <w:kern w:val="0"/>
                <w:sz w:val="18"/>
                <w:szCs w:val="18"/>
                <w:lang w:val="en-GB" w:eastAsia="en-GB"/>
                <w14:ligatures w14:val="none"/>
              </w:rPr>
              <w:t>t</w:t>
            </w:r>
          </w:p>
        </w:tc>
        <w:tc>
          <w:tcPr>
            <w:tcW w:w="649" w:type="dxa"/>
            <w:tcBorders>
              <w:top w:val="single" w:sz="4" w:space="0" w:color="auto"/>
              <w:left w:val="single" w:sz="4" w:space="0" w:color="auto"/>
              <w:bottom w:val="single" w:sz="4" w:space="0" w:color="auto"/>
              <w:right w:val="single" w:sz="4" w:space="0" w:color="auto"/>
            </w:tcBorders>
            <w:vAlign w:val="center"/>
            <w:hideMark/>
          </w:tcPr>
          <w:p w14:paraId="772FC554" w14:textId="77777777" w:rsidR="00793DFB" w:rsidRPr="009546BB"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9546BB">
              <w:rPr>
                <w:rFonts w:ascii="Arial" w:eastAsia="Times New Roman" w:hAnsi="Arial" w:cs="Arial" w:hint="cs"/>
                <w:color w:val="000000"/>
                <w:kern w:val="0"/>
                <w:sz w:val="18"/>
                <w:szCs w:val="18"/>
                <w:rtl/>
                <w:lang w:val="en-GB" w:eastAsia="en-GB"/>
                <w14:ligatures w14:val="none"/>
              </w:rPr>
              <w:t>مستوى الدلالة</w:t>
            </w:r>
            <w:r w:rsidRPr="009546BB">
              <w:rPr>
                <w:rFonts w:ascii="Aptos" w:eastAsia="Times New Roman" w:hAnsi="Aptos" w:cs="Arial"/>
                <w:color w:val="000000"/>
                <w:kern w:val="0"/>
                <w:sz w:val="18"/>
                <w:szCs w:val="18"/>
                <w:rtl/>
                <w:lang w:val="en-GB" w:eastAsia="en-GB"/>
                <w14:ligatures w14:val="none"/>
              </w:rPr>
              <w:t xml:space="preserve"> (</w:t>
            </w:r>
            <w:r w:rsidRPr="009546BB">
              <w:rPr>
                <w:rFonts w:ascii="Aptos" w:eastAsia="Times New Roman" w:hAnsi="Aptos" w:cs="Arial"/>
                <w:color w:val="000000"/>
                <w:kern w:val="0"/>
                <w:sz w:val="18"/>
                <w:szCs w:val="18"/>
                <w:lang w:val="en-GB" w:eastAsia="en-GB"/>
                <w14:ligatures w14:val="none"/>
              </w:rPr>
              <w:t>Sig</w:t>
            </w:r>
            <w:r w:rsidRPr="009546BB">
              <w:rPr>
                <w:rFonts w:ascii="Aptos" w:eastAsia="Times New Roman" w:hAnsi="Aptos" w:cs="Arial"/>
                <w:color w:val="000000"/>
                <w:kern w:val="0"/>
                <w:sz w:val="18"/>
                <w:szCs w:val="18"/>
                <w:rtl/>
                <w:lang w:val="en-GB" w:eastAsia="en-GB"/>
                <w14:ligatures w14:val="none"/>
              </w:rPr>
              <w:t>.)</w:t>
            </w:r>
          </w:p>
        </w:tc>
        <w:tc>
          <w:tcPr>
            <w:tcW w:w="741" w:type="dxa"/>
            <w:tcBorders>
              <w:top w:val="single" w:sz="4" w:space="0" w:color="auto"/>
              <w:left w:val="single" w:sz="4" w:space="0" w:color="auto"/>
              <w:bottom w:val="single" w:sz="4" w:space="0" w:color="auto"/>
              <w:right w:val="single" w:sz="4" w:space="0" w:color="auto"/>
            </w:tcBorders>
            <w:vAlign w:val="center"/>
            <w:hideMark/>
          </w:tcPr>
          <w:p w14:paraId="7EB21D13" w14:textId="77777777" w:rsidR="00793DFB" w:rsidRPr="009546BB"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9546BB">
              <w:rPr>
                <w:rFonts w:ascii="Arial" w:eastAsia="Times New Roman" w:hAnsi="Arial" w:cs="Arial" w:hint="cs"/>
                <w:color w:val="000000"/>
                <w:kern w:val="0"/>
                <w:sz w:val="18"/>
                <w:szCs w:val="18"/>
                <w:rtl/>
                <w:lang w:val="en-GB" w:eastAsia="en-GB"/>
                <w14:ligatures w14:val="none"/>
              </w:rPr>
              <w:t>فترة الثقة 95% لـ</w:t>
            </w:r>
            <w:r w:rsidRPr="009546BB">
              <w:rPr>
                <w:rFonts w:ascii="Aptos" w:eastAsia="Times New Roman" w:hAnsi="Aptos" w:cs="Arial"/>
                <w:color w:val="000000"/>
                <w:kern w:val="0"/>
                <w:sz w:val="18"/>
                <w:szCs w:val="18"/>
                <w:rtl/>
                <w:lang w:val="en-GB" w:eastAsia="en-GB"/>
                <w14:ligatures w14:val="none"/>
              </w:rPr>
              <w:t xml:space="preserve"> </w:t>
            </w:r>
            <w:r w:rsidRPr="009546BB">
              <w:rPr>
                <w:rFonts w:ascii="Aptos" w:eastAsia="Times New Roman" w:hAnsi="Aptos" w:cs="Arial"/>
                <w:color w:val="000000"/>
                <w:kern w:val="0"/>
                <w:sz w:val="18"/>
                <w:szCs w:val="18"/>
                <w:lang w:val="en-GB" w:eastAsia="en-GB"/>
                <w14:ligatures w14:val="none"/>
              </w:rPr>
              <w:t>B</w:t>
            </w:r>
          </w:p>
        </w:tc>
        <w:tc>
          <w:tcPr>
            <w:tcW w:w="936" w:type="dxa"/>
            <w:tcBorders>
              <w:top w:val="single" w:sz="4" w:space="0" w:color="auto"/>
              <w:left w:val="single" w:sz="4" w:space="0" w:color="auto"/>
              <w:bottom w:val="single" w:sz="4" w:space="0" w:color="auto"/>
              <w:right w:val="single" w:sz="4" w:space="0" w:color="auto"/>
            </w:tcBorders>
            <w:vAlign w:val="center"/>
            <w:hideMark/>
          </w:tcPr>
          <w:p w14:paraId="121261F5" w14:textId="77777777" w:rsidR="00793DFB" w:rsidRPr="009546BB"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9546BB">
              <w:rPr>
                <w:rFonts w:ascii="Arial" w:eastAsia="Times New Roman" w:hAnsi="Arial" w:cs="Arial" w:hint="cs"/>
                <w:color w:val="000000"/>
                <w:kern w:val="0"/>
                <w:sz w:val="18"/>
                <w:szCs w:val="18"/>
                <w:rtl/>
                <w:lang w:val="en-GB" w:eastAsia="en-GB"/>
                <w14:ligatures w14:val="none"/>
              </w:rPr>
              <w:t>قيمة</w:t>
            </w:r>
            <w:r w:rsidRPr="009546BB">
              <w:rPr>
                <w:rFonts w:ascii="Aptos" w:eastAsia="Times New Roman" w:hAnsi="Aptos" w:cs="Arial"/>
                <w:color w:val="000000"/>
                <w:kern w:val="0"/>
                <w:sz w:val="18"/>
                <w:szCs w:val="18"/>
                <w:rtl/>
                <w:lang w:val="en-GB" w:eastAsia="en-GB"/>
                <w14:ligatures w14:val="none"/>
              </w:rPr>
              <w:t xml:space="preserve"> </w:t>
            </w:r>
            <w:r w:rsidRPr="009546BB">
              <w:rPr>
                <w:rFonts w:ascii="Aptos" w:eastAsia="Times New Roman" w:hAnsi="Aptos" w:cs="Arial"/>
                <w:color w:val="000000"/>
                <w:kern w:val="0"/>
                <w:sz w:val="18"/>
                <w:szCs w:val="18"/>
                <w:lang w:val="en-GB" w:eastAsia="en-GB"/>
                <w14:ligatures w14:val="none"/>
              </w:rPr>
              <w:t>F</w:t>
            </w:r>
          </w:p>
        </w:tc>
        <w:tc>
          <w:tcPr>
            <w:tcW w:w="708" w:type="dxa"/>
            <w:tcBorders>
              <w:top w:val="single" w:sz="4" w:space="0" w:color="auto"/>
              <w:left w:val="single" w:sz="4" w:space="0" w:color="auto"/>
              <w:bottom w:val="single" w:sz="4" w:space="0" w:color="auto"/>
              <w:right w:val="single" w:sz="4" w:space="0" w:color="auto"/>
            </w:tcBorders>
            <w:vAlign w:val="center"/>
            <w:hideMark/>
          </w:tcPr>
          <w:p w14:paraId="6644B7D0" w14:textId="77777777" w:rsidR="00793DFB" w:rsidRPr="009546BB" w:rsidRDefault="00793DFB" w:rsidP="009F1C88">
            <w:pPr>
              <w:bidi/>
              <w:spacing w:after="0" w:line="240" w:lineRule="auto"/>
              <w:jc w:val="center"/>
              <w:rPr>
                <w:rFonts w:ascii="Arial" w:eastAsia="Times New Roman" w:hAnsi="Arial" w:cs="Arial"/>
                <w:color w:val="000000"/>
                <w:kern w:val="0"/>
                <w:sz w:val="18"/>
                <w:szCs w:val="18"/>
                <w:rtl/>
                <w:lang w:val="en-GB" w:eastAsia="en-GB"/>
                <w14:ligatures w14:val="none"/>
              </w:rPr>
            </w:pPr>
            <w:r w:rsidRPr="009546BB">
              <w:rPr>
                <w:rFonts w:ascii="Arial" w:eastAsia="Times New Roman" w:hAnsi="Arial" w:cs="Arial" w:hint="cs"/>
                <w:color w:val="000000"/>
                <w:kern w:val="0"/>
                <w:sz w:val="18"/>
                <w:szCs w:val="18"/>
                <w:rtl/>
                <w:lang w:val="en-GB" w:eastAsia="en-GB"/>
                <w14:ligatures w14:val="none"/>
              </w:rPr>
              <w:t>دلالة النموذج</w:t>
            </w:r>
            <w:r w:rsidRPr="009546BB">
              <w:rPr>
                <w:rFonts w:ascii="Aptos" w:eastAsia="Times New Roman" w:hAnsi="Aptos" w:cs="Arial"/>
                <w:color w:val="000000"/>
                <w:kern w:val="0"/>
                <w:sz w:val="18"/>
                <w:szCs w:val="18"/>
                <w:rtl/>
                <w:lang w:val="en-GB" w:eastAsia="en-GB"/>
                <w14:ligatures w14:val="none"/>
              </w:rPr>
              <w:t xml:space="preserve"> (</w:t>
            </w:r>
            <w:r w:rsidRPr="009546BB">
              <w:rPr>
                <w:rFonts w:ascii="Aptos" w:eastAsia="Times New Roman" w:hAnsi="Aptos" w:cs="Arial"/>
                <w:color w:val="000000"/>
                <w:kern w:val="0"/>
                <w:sz w:val="18"/>
                <w:szCs w:val="18"/>
                <w:lang w:val="en-GB" w:eastAsia="en-GB"/>
                <w14:ligatures w14:val="none"/>
              </w:rPr>
              <w:t>Sig. F</w:t>
            </w:r>
            <w:r w:rsidRPr="009546BB">
              <w:rPr>
                <w:rFonts w:ascii="Aptos" w:eastAsia="Times New Roman" w:hAnsi="Aptos" w:cs="Arial"/>
                <w:color w:val="000000"/>
                <w:kern w:val="0"/>
                <w:sz w:val="18"/>
                <w:szCs w:val="18"/>
                <w:rtl/>
                <w:lang w:val="en-GB" w:eastAsia="en-GB"/>
                <w14:ligatures w14:val="none"/>
              </w:rPr>
              <w:t>)</w:t>
            </w:r>
          </w:p>
        </w:tc>
        <w:tc>
          <w:tcPr>
            <w:tcW w:w="424" w:type="dxa"/>
            <w:tcBorders>
              <w:top w:val="single" w:sz="4" w:space="0" w:color="auto"/>
              <w:left w:val="single" w:sz="4" w:space="0" w:color="auto"/>
              <w:bottom w:val="single" w:sz="4" w:space="0" w:color="auto"/>
              <w:right w:val="single" w:sz="4" w:space="0" w:color="auto"/>
            </w:tcBorders>
            <w:vAlign w:val="center"/>
            <w:hideMark/>
          </w:tcPr>
          <w:p w14:paraId="754C8F29" w14:textId="77777777" w:rsidR="00793DFB" w:rsidRPr="009546BB" w:rsidRDefault="00793DFB" w:rsidP="009F1C88">
            <w:pPr>
              <w:bidi/>
              <w:spacing w:after="0" w:line="240" w:lineRule="auto"/>
              <w:jc w:val="center"/>
              <w:rPr>
                <w:rFonts w:ascii="Aptos" w:eastAsia="Times New Roman" w:hAnsi="Aptos" w:cs="Times New Roman"/>
                <w:color w:val="000000"/>
                <w:kern w:val="0"/>
                <w:sz w:val="18"/>
                <w:szCs w:val="18"/>
                <w:rtl/>
                <w:lang w:val="en-GB" w:eastAsia="en-GB"/>
                <w14:ligatures w14:val="none"/>
              </w:rPr>
            </w:pPr>
            <w:r w:rsidRPr="009546BB">
              <w:rPr>
                <w:rFonts w:ascii="Aptos" w:eastAsia="Times New Roman" w:hAnsi="Aptos" w:cs="Times New Roman"/>
                <w:color w:val="000000"/>
                <w:kern w:val="0"/>
                <w:sz w:val="18"/>
                <w:szCs w:val="18"/>
                <w:lang w:val="en-GB" w:eastAsia="en-GB"/>
                <w14:ligatures w14:val="none"/>
              </w:rPr>
              <w:t>VIF</w:t>
            </w:r>
          </w:p>
        </w:tc>
      </w:tr>
      <w:tr w:rsidR="00793DFB" w:rsidRPr="009546BB" w14:paraId="4485D97A" w14:textId="77777777" w:rsidTr="009F1C88">
        <w:trPr>
          <w:trHeight w:val="900"/>
        </w:trPr>
        <w:tc>
          <w:tcPr>
            <w:tcW w:w="673" w:type="dxa"/>
            <w:tcBorders>
              <w:top w:val="nil"/>
              <w:left w:val="single" w:sz="4" w:space="0" w:color="auto"/>
              <w:bottom w:val="single" w:sz="4" w:space="0" w:color="auto"/>
              <w:right w:val="single" w:sz="4" w:space="0" w:color="auto"/>
            </w:tcBorders>
            <w:vAlign w:val="center"/>
            <w:hideMark/>
          </w:tcPr>
          <w:p w14:paraId="15B9E549" w14:textId="77777777" w:rsidR="00793DFB" w:rsidRPr="009546BB" w:rsidRDefault="00793DFB" w:rsidP="009F1C88">
            <w:pPr>
              <w:bidi/>
              <w:spacing w:after="0" w:line="240" w:lineRule="auto"/>
              <w:jc w:val="center"/>
              <w:rPr>
                <w:rFonts w:ascii="Arial" w:eastAsia="Times New Roman" w:hAnsi="Arial" w:cs="Arial"/>
                <w:b/>
                <w:bCs/>
                <w:color w:val="000000"/>
                <w:kern w:val="0"/>
                <w:sz w:val="18"/>
                <w:szCs w:val="18"/>
                <w:rtl/>
                <w:lang w:val="en-GB" w:eastAsia="en-GB"/>
                <w14:ligatures w14:val="none"/>
              </w:rPr>
            </w:pPr>
            <w:r w:rsidRPr="009546BB">
              <w:rPr>
                <w:rFonts w:ascii="Arial" w:eastAsia="Times New Roman" w:hAnsi="Arial" w:cs="Arial" w:hint="cs"/>
                <w:b/>
                <w:bCs/>
                <w:color w:val="000000"/>
                <w:kern w:val="0"/>
                <w:sz w:val="18"/>
                <w:szCs w:val="18"/>
                <w:rtl/>
                <w:lang w:val="en-GB" w:eastAsia="en-GB"/>
                <w14:ligatures w14:val="none"/>
              </w:rPr>
              <w:t>القيمة</w:t>
            </w:r>
          </w:p>
        </w:tc>
        <w:tc>
          <w:tcPr>
            <w:tcW w:w="539" w:type="dxa"/>
            <w:tcBorders>
              <w:top w:val="nil"/>
              <w:left w:val="single" w:sz="4" w:space="0" w:color="auto"/>
              <w:bottom w:val="single" w:sz="4" w:space="0" w:color="auto"/>
              <w:right w:val="single" w:sz="4" w:space="0" w:color="auto"/>
            </w:tcBorders>
            <w:vAlign w:val="center"/>
            <w:hideMark/>
          </w:tcPr>
          <w:p w14:paraId="179DCD6E" w14:textId="77777777" w:rsidR="00793DFB" w:rsidRPr="009546BB" w:rsidRDefault="00793DFB" w:rsidP="009F1C88">
            <w:pPr>
              <w:bidi/>
              <w:spacing w:after="0" w:line="240" w:lineRule="auto"/>
              <w:jc w:val="center"/>
              <w:rPr>
                <w:rFonts w:ascii="Aptos" w:eastAsia="Times New Roman" w:hAnsi="Aptos" w:cs="Times New Roman"/>
                <w:color w:val="000000"/>
                <w:kern w:val="0"/>
                <w:sz w:val="18"/>
                <w:szCs w:val="18"/>
                <w:rtl/>
                <w:lang w:val="en-GB" w:eastAsia="en-GB"/>
                <w14:ligatures w14:val="none"/>
              </w:rPr>
            </w:pPr>
            <w:r w:rsidRPr="009546BB">
              <w:rPr>
                <w:rFonts w:ascii="Aptos" w:eastAsia="Times New Roman" w:hAnsi="Aptos" w:cs="Times New Roman"/>
                <w:color w:val="000000"/>
                <w:kern w:val="0"/>
                <w:sz w:val="18"/>
                <w:szCs w:val="18"/>
                <w:lang w:val="en-GB" w:eastAsia="en-GB"/>
                <w14:ligatures w14:val="none"/>
              </w:rPr>
              <w:t>400</w:t>
            </w:r>
          </w:p>
        </w:tc>
        <w:tc>
          <w:tcPr>
            <w:tcW w:w="707" w:type="dxa"/>
            <w:tcBorders>
              <w:top w:val="nil"/>
              <w:left w:val="single" w:sz="4" w:space="0" w:color="auto"/>
              <w:bottom w:val="single" w:sz="4" w:space="0" w:color="auto"/>
              <w:right w:val="single" w:sz="4" w:space="0" w:color="auto"/>
            </w:tcBorders>
            <w:vAlign w:val="center"/>
            <w:hideMark/>
          </w:tcPr>
          <w:p w14:paraId="1BDEB95F" w14:textId="77777777" w:rsidR="00793DFB" w:rsidRPr="009546BB" w:rsidRDefault="00793DFB" w:rsidP="009F1C88">
            <w:pPr>
              <w:bidi/>
              <w:spacing w:after="0" w:line="240" w:lineRule="auto"/>
              <w:jc w:val="center"/>
              <w:rPr>
                <w:rFonts w:ascii="Aptos" w:eastAsia="Times New Roman" w:hAnsi="Aptos" w:cs="Times New Roman"/>
                <w:color w:val="000000"/>
                <w:kern w:val="0"/>
                <w:sz w:val="18"/>
                <w:szCs w:val="18"/>
                <w:rtl/>
                <w:lang w:val="en-GB" w:eastAsia="en-GB"/>
                <w14:ligatures w14:val="none"/>
              </w:rPr>
            </w:pPr>
            <w:r w:rsidRPr="009546BB">
              <w:rPr>
                <w:rFonts w:ascii="Aptos" w:eastAsia="Times New Roman" w:hAnsi="Aptos" w:cs="Times New Roman"/>
                <w:color w:val="000000"/>
                <w:kern w:val="0"/>
                <w:sz w:val="18"/>
                <w:szCs w:val="18"/>
                <w:lang w:val="en-GB" w:eastAsia="en-GB"/>
                <w14:ligatures w14:val="none"/>
              </w:rPr>
              <w:t>0.881</w:t>
            </w:r>
          </w:p>
        </w:tc>
        <w:tc>
          <w:tcPr>
            <w:tcW w:w="684" w:type="dxa"/>
            <w:tcBorders>
              <w:top w:val="nil"/>
              <w:left w:val="single" w:sz="4" w:space="0" w:color="auto"/>
              <w:bottom w:val="single" w:sz="4" w:space="0" w:color="auto"/>
              <w:right w:val="single" w:sz="4" w:space="0" w:color="auto"/>
            </w:tcBorders>
            <w:vAlign w:val="center"/>
            <w:hideMark/>
          </w:tcPr>
          <w:p w14:paraId="4A7A4522" w14:textId="77777777" w:rsidR="00793DFB" w:rsidRPr="009546BB" w:rsidRDefault="00793DFB" w:rsidP="009F1C88">
            <w:pPr>
              <w:bidi/>
              <w:spacing w:after="0" w:line="240" w:lineRule="auto"/>
              <w:jc w:val="center"/>
              <w:rPr>
                <w:rFonts w:ascii="Aptos" w:eastAsia="Times New Roman" w:hAnsi="Aptos" w:cs="Times New Roman"/>
                <w:color w:val="000000"/>
                <w:kern w:val="0"/>
                <w:sz w:val="18"/>
                <w:szCs w:val="18"/>
                <w:rtl/>
                <w:lang w:val="en-GB" w:eastAsia="en-GB"/>
                <w14:ligatures w14:val="none"/>
              </w:rPr>
            </w:pPr>
            <w:r w:rsidRPr="009546BB">
              <w:rPr>
                <w:rFonts w:ascii="Aptos" w:eastAsia="Times New Roman" w:hAnsi="Aptos" w:cs="Times New Roman"/>
                <w:color w:val="000000"/>
                <w:kern w:val="0"/>
                <w:sz w:val="18"/>
                <w:szCs w:val="18"/>
                <w:lang w:val="en-GB" w:eastAsia="en-GB"/>
                <w14:ligatures w14:val="none"/>
              </w:rPr>
              <w:t>0.774</w:t>
            </w:r>
          </w:p>
        </w:tc>
        <w:tc>
          <w:tcPr>
            <w:tcW w:w="684" w:type="dxa"/>
            <w:tcBorders>
              <w:top w:val="nil"/>
              <w:left w:val="single" w:sz="4" w:space="0" w:color="auto"/>
              <w:bottom w:val="single" w:sz="4" w:space="0" w:color="auto"/>
              <w:right w:val="single" w:sz="4" w:space="0" w:color="auto"/>
            </w:tcBorders>
            <w:vAlign w:val="center"/>
            <w:hideMark/>
          </w:tcPr>
          <w:p w14:paraId="4FBAF81A" w14:textId="77777777" w:rsidR="00793DFB" w:rsidRPr="009546BB" w:rsidRDefault="00793DFB" w:rsidP="009F1C88">
            <w:pPr>
              <w:bidi/>
              <w:spacing w:after="0" w:line="240" w:lineRule="auto"/>
              <w:jc w:val="center"/>
              <w:rPr>
                <w:rFonts w:ascii="Aptos" w:eastAsia="Times New Roman" w:hAnsi="Aptos" w:cs="Times New Roman"/>
                <w:color w:val="000000"/>
                <w:kern w:val="0"/>
                <w:sz w:val="18"/>
                <w:szCs w:val="18"/>
                <w:rtl/>
                <w:lang w:val="en-GB" w:eastAsia="en-GB"/>
                <w14:ligatures w14:val="none"/>
              </w:rPr>
            </w:pPr>
            <w:r w:rsidRPr="009546BB">
              <w:rPr>
                <w:rFonts w:ascii="Aptos" w:eastAsia="Times New Roman" w:hAnsi="Aptos" w:cs="Times New Roman"/>
                <w:color w:val="000000"/>
                <w:kern w:val="0"/>
                <w:sz w:val="18"/>
                <w:szCs w:val="18"/>
                <w:lang w:val="en-GB" w:eastAsia="en-GB"/>
                <w14:ligatures w14:val="none"/>
              </w:rPr>
              <w:t>0.772</w:t>
            </w:r>
          </w:p>
        </w:tc>
        <w:tc>
          <w:tcPr>
            <w:tcW w:w="890" w:type="dxa"/>
            <w:tcBorders>
              <w:top w:val="nil"/>
              <w:left w:val="single" w:sz="4" w:space="0" w:color="auto"/>
              <w:bottom w:val="single" w:sz="4" w:space="0" w:color="auto"/>
              <w:right w:val="single" w:sz="4" w:space="0" w:color="auto"/>
            </w:tcBorders>
            <w:vAlign w:val="center"/>
            <w:hideMark/>
          </w:tcPr>
          <w:p w14:paraId="52CCD39D" w14:textId="77777777" w:rsidR="00793DFB" w:rsidRPr="009546BB" w:rsidRDefault="00793DFB" w:rsidP="009F1C88">
            <w:pPr>
              <w:bidi/>
              <w:spacing w:after="0" w:line="240" w:lineRule="auto"/>
              <w:jc w:val="center"/>
              <w:rPr>
                <w:rFonts w:ascii="Aptos" w:eastAsia="Times New Roman" w:hAnsi="Aptos" w:cs="Times New Roman"/>
                <w:color w:val="000000"/>
                <w:kern w:val="0"/>
                <w:sz w:val="18"/>
                <w:szCs w:val="18"/>
                <w:rtl/>
                <w:lang w:val="en-GB" w:eastAsia="en-GB"/>
                <w14:ligatures w14:val="none"/>
              </w:rPr>
            </w:pPr>
            <w:r w:rsidRPr="009546BB">
              <w:rPr>
                <w:rFonts w:ascii="Aptos" w:eastAsia="Times New Roman" w:hAnsi="Aptos" w:cs="Times New Roman"/>
                <w:color w:val="000000"/>
                <w:kern w:val="0"/>
                <w:sz w:val="18"/>
                <w:szCs w:val="18"/>
                <w:lang w:val="en-GB" w:eastAsia="en-GB"/>
                <w14:ligatures w14:val="none"/>
              </w:rPr>
              <w:t>0.36344</w:t>
            </w:r>
          </w:p>
        </w:tc>
        <w:tc>
          <w:tcPr>
            <w:tcW w:w="710" w:type="dxa"/>
            <w:tcBorders>
              <w:top w:val="nil"/>
              <w:left w:val="single" w:sz="4" w:space="0" w:color="auto"/>
              <w:bottom w:val="single" w:sz="4" w:space="0" w:color="auto"/>
              <w:right w:val="single" w:sz="4" w:space="0" w:color="auto"/>
            </w:tcBorders>
            <w:vAlign w:val="center"/>
            <w:hideMark/>
          </w:tcPr>
          <w:p w14:paraId="16DF0388" w14:textId="77777777" w:rsidR="00793DFB" w:rsidRPr="009546BB" w:rsidRDefault="00793DFB" w:rsidP="009F1C88">
            <w:pPr>
              <w:bidi/>
              <w:spacing w:after="0" w:line="240" w:lineRule="auto"/>
              <w:jc w:val="center"/>
              <w:rPr>
                <w:rFonts w:ascii="Aptos" w:eastAsia="Times New Roman" w:hAnsi="Aptos" w:cs="Times New Roman"/>
                <w:color w:val="000000"/>
                <w:kern w:val="0"/>
                <w:sz w:val="18"/>
                <w:szCs w:val="18"/>
                <w:rtl/>
                <w:lang w:val="en-GB" w:eastAsia="en-GB"/>
                <w14:ligatures w14:val="none"/>
              </w:rPr>
            </w:pPr>
            <w:r w:rsidRPr="009546BB">
              <w:rPr>
                <w:rFonts w:ascii="Aptos" w:eastAsia="Times New Roman" w:hAnsi="Aptos" w:cs="Times New Roman"/>
                <w:color w:val="000000"/>
                <w:kern w:val="0"/>
                <w:sz w:val="18"/>
                <w:szCs w:val="18"/>
                <w:lang w:val="en-GB" w:eastAsia="en-GB"/>
                <w14:ligatures w14:val="none"/>
              </w:rPr>
              <w:t>0.834</w:t>
            </w:r>
          </w:p>
        </w:tc>
        <w:tc>
          <w:tcPr>
            <w:tcW w:w="758" w:type="dxa"/>
            <w:tcBorders>
              <w:top w:val="nil"/>
              <w:left w:val="single" w:sz="4" w:space="0" w:color="auto"/>
              <w:bottom w:val="single" w:sz="4" w:space="0" w:color="auto"/>
              <w:right w:val="single" w:sz="4" w:space="0" w:color="auto"/>
            </w:tcBorders>
            <w:vAlign w:val="center"/>
            <w:hideMark/>
          </w:tcPr>
          <w:p w14:paraId="0497358D" w14:textId="77777777" w:rsidR="00793DFB" w:rsidRPr="009546BB" w:rsidRDefault="00793DFB" w:rsidP="009F1C88">
            <w:pPr>
              <w:bidi/>
              <w:spacing w:after="0" w:line="240" w:lineRule="auto"/>
              <w:jc w:val="center"/>
              <w:rPr>
                <w:rFonts w:ascii="Aptos" w:eastAsia="Times New Roman" w:hAnsi="Aptos" w:cs="Times New Roman"/>
                <w:color w:val="000000"/>
                <w:kern w:val="0"/>
                <w:sz w:val="18"/>
                <w:szCs w:val="18"/>
                <w:rtl/>
                <w:lang w:val="en-GB" w:eastAsia="en-GB"/>
                <w14:ligatures w14:val="none"/>
              </w:rPr>
            </w:pPr>
            <w:r w:rsidRPr="009546BB">
              <w:rPr>
                <w:rFonts w:ascii="Aptos" w:eastAsia="Times New Roman" w:hAnsi="Aptos" w:cs="Times New Roman"/>
                <w:color w:val="000000"/>
                <w:kern w:val="0"/>
                <w:sz w:val="18"/>
                <w:szCs w:val="18"/>
                <w:lang w:val="en-GB" w:eastAsia="en-GB"/>
                <w14:ligatures w14:val="none"/>
              </w:rPr>
              <w:t>0.023</w:t>
            </w:r>
          </w:p>
        </w:tc>
        <w:tc>
          <w:tcPr>
            <w:tcW w:w="758" w:type="dxa"/>
            <w:tcBorders>
              <w:top w:val="nil"/>
              <w:left w:val="single" w:sz="4" w:space="0" w:color="auto"/>
              <w:bottom w:val="single" w:sz="4" w:space="0" w:color="auto"/>
              <w:right w:val="single" w:sz="4" w:space="0" w:color="auto"/>
            </w:tcBorders>
            <w:vAlign w:val="center"/>
            <w:hideMark/>
          </w:tcPr>
          <w:p w14:paraId="37EE1E17" w14:textId="77777777" w:rsidR="00793DFB" w:rsidRPr="009546BB" w:rsidRDefault="00793DFB" w:rsidP="009F1C88">
            <w:pPr>
              <w:bidi/>
              <w:spacing w:after="0" w:line="240" w:lineRule="auto"/>
              <w:jc w:val="center"/>
              <w:rPr>
                <w:rFonts w:ascii="Aptos" w:eastAsia="Times New Roman" w:hAnsi="Aptos" w:cs="Times New Roman"/>
                <w:color w:val="000000"/>
                <w:kern w:val="0"/>
                <w:sz w:val="18"/>
                <w:szCs w:val="18"/>
                <w:rtl/>
                <w:lang w:val="en-GB" w:eastAsia="en-GB"/>
                <w14:ligatures w14:val="none"/>
              </w:rPr>
            </w:pPr>
            <w:r w:rsidRPr="009546BB">
              <w:rPr>
                <w:rFonts w:ascii="Aptos" w:eastAsia="Times New Roman" w:hAnsi="Aptos" w:cs="Times New Roman"/>
                <w:color w:val="000000"/>
                <w:kern w:val="0"/>
                <w:sz w:val="18"/>
                <w:szCs w:val="18"/>
                <w:lang w:val="en-GB" w:eastAsia="en-GB"/>
                <w14:ligatures w14:val="none"/>
              </w:rPr>
              <w:t>0.88</w:t>
            </w:r>
          </w:p>
        </w:tc>
        <w:tc>
          <w:tcPr>
            <w:tcW w:w="787" w:type="dxa"/>
            <w:tcBorders>
              <w:top w:val="nil"/>
              <w:left w:val="single" w:sz="4" w:space="0" w:color="auto"/>
              <w:bottom w:val="single" w:sz="4" w:space="0" w:color="auto"/>
              <w:right w:val="single" w:sz="4" w:space="0" w:color="auto"/>
            </w:tcBorders>
            <w:vAlign w:val="center"/>
            <w:hideMark/>
          </w:tcPr>
          <w:p w14:paraId="45053737" w14:textId="77777777" w:rsidR="00793DFB" w:rsidRPr="009546BB" w:rsidRDefault="00793DFB" w:rsidP="009F1C88">
            <w:pPr>
              <w:bidi/>
              <w:spacing w:after="0" w:line="240" w:lineRule="auto"/>
              <w:jc w:val="center"/>
              <w:rPr>
                <w:rFonts w:ascii="Aptos" w:eastAsia="Times New Roman" w:hAnsi="Aptos" w:cs="Times New Roman"/>
                <w:color w:val="000000"/>
                <w:kern w:val="0"/>
                <w:sz w:val="18"/>
                <w:szCs w:val="18"/>
                <w:rtl/>
                <w:lang w:val="en-GB" w:eastAsia="en-GB"/>
                <w14:ligatures w14:val="none"/>
              </w:rPr>
            </w:pPr>
            <w:r w:rsidRPr="009546BB">
              <w:rPr>
                <w:rFonts w:ascii="Aptos" w:eastAsia="Times New Roman" w:hAnsi="Aptos" w:cs="Times New Roman"/>
                <w:color w:val="000000"/>
                <w:kern w:val="0"/>
                <w:sz w:val="18"/>
                <w:szCs w:val="18"/>
                <w:lang w:val="en-GB" w:eastAsia="en-GB"/>
                <w14:ligatures w14:val="none"/>
              </w:rPr>
              <w:t>36.869</w:t>
            </w:r>
          </w:p>
        </w:tc>
        <w:tc>
          <w:tcPr>
            <w:tcW w:w="649" w:type="dxa"/>
            <w:tcBorders>
              <w:top w:val="nil"/>
              <w:left w:val="single" w:sz="4" w:space="0" w:color="auto"/>
              <w:bottom w:val="single" w:sz="4" w:space="0" w:color="auto"/>
              <w:right w:val="single" w:sz="4" w:space="0" w:color="auto"/>
            </w:tcBorders>
            <w:vAlign w:val="center"/>
            <w:hideMark/>
          </w:tcPr>
          <w:p w14:paraId="7424112B" w14:textId="77777777" w:rsidR="00793DFB" w:rsidRPr="009546BB" w:rsidRDefault="00793DFB" w:rsidP="009F1C88">
            <w:pPr>
              <w:bidi/>
              <w:spacing w:after="0" w:line="240" w:lineRule="auto"/>
              <w:jc w:val="center"/>
              <w:rPr>
                <w:rFonts w:ascii="Aptos" w:eastAsia="Times New Roman" w:hAnsi="Aptos" w:cs="Times New Roman"/>
                <w:color w:val="000000"/>
                <w:kern w:val="0"/>
                <w:sz w:val="18"/>
                <w:szCs w:val="18"/>
                <w:rtl/>
                <w:lang w:val="en-GB" w:eastAsia="en-GB"/>
                <w14:ligatures w14:val="none"/>
              </w:rPr>
            </w:pPr>
            <w:r w:rsidRPr="009546BB">
              <w:rPr>
                <w:rFonts w:ascii="Aptos" w:eastAsia="Times New Roman" w:hAnsi="Aptos" w:cs="Times New Roman"/>
                <w:color w:val="000000"/>
                <w:kern w:val="0"/>
                <w:sz w:val="18"/>
                <w:szCs w:val="18"/>
                <w:lang w:val="en-GB" w:eastAsia="en-GB"/>
                <w14:ligatures w14:val="none"/>
              </w:rPr>
              <w:t>0</w:t>
            </w:r>
          </w:p>
        </w:tc>
        <w:tc>
          <w:tcPr>
            <w:tcW w:w="741" w:type="dxa"/>
            <w:tcBorders>
              <w:top w:val="nil"/>
              <w:left w:val="single" w:sz="4" w:space="0" w:color="auto"/>
              <w:bottom w:val="single" w:sz="4" w:space="0" w:color="auto"/>
              <w:right w:val="single" w:sz="4" w:space="0" w:color="auto"/>
            </w:tcBorders>
            <w:vAlign w:val="center"/>
            <w:hideMark/>
          </w:tcPr>
          <w:p w14:paraId="26B396CF" w14:textId="77777777" w:rsidR="00793DFB" w:rsidRPr="009546BB" w:rsidRDefault="00793DFB" w:rsidP="009F1C88">
            <w:pPr>
              <w:bidi/>
              <w:spacing w:after="0" w:line="240" w:lineRule="auto"/>
              <w:jc w:val="center"/>
              <w:rPr>
                <w:rFonts w:ascii="Aptos" w:eastAsia="Times New Roman" w:hAnsi="Aptos" w:cs="Times New Roman"/>
                <w:color w:val="000000"/>
                <w:kern w:val="0"/>
                <w:sz w:val="18"/>
                <w:szCs w:val="18"/>
                <w:rtl/>
                <w:lang w:val="en-GB" w:eastAsia="en-GB"/>
                <w14:ligatures w14:val="none"/>
              </w:rPr>
            </w:pPr>
            <w:r w:rsidRPr="009546BB">
              <w:rPr>
                <w:rFonts w:ascii="Aptos" w:eastAsia="Times New Roman" w:hAnsi="Aptos" w:cs="Times New Roman"/>
                <w:color w:val="000000"/>
                <w:kern w:val="0"/>
                <w:sz w:val="18"/>
                <w:szCs w:val="18"/>
                <w:lang w:val="en-GB" w:eastAsia="en-GB"/>
                <w14:ligatures w14:val="none"/>
              </w:rPr>
              <w:t>[0.789 – 0.879]</w:t>
            </w:r>
          </w:p>
        </w:tc>
        <w:tc>
          <w:tcPr>
            <w:tcW w:w="936" w:type="dxa"/>
            <w:tcBorders>
              <w:top w:val="nil"/>
              <w:left w:val="single" w:sz="4" w:space="0" w:color="auto"/>
              <w:bottom w:val="single" w:sz="4" w:space="0" w:color="auto"/>
              <w:right w:val="single" w:sz="4" w:space="0" w:color="auto"/>
            </w:tcBorders>
            <w:vAlign w:val="center"/>
            <w:hideMark/>
          </w:tcPr>
          <w:p w14:paraId="52AD4429" w14:textId="77777777" w:rsidR="00793DFB" w:rsidRPr="009546BB" w:rsidRDefault="00793DFB" w:rsidP="009F1C88">
            <w:pPr>
              <w:bidi/>
              <w:spacing w:after="0" w:line="240" w:lineRule="auto"/>
              <w:jc w:val="center"/>
              <w:rPr>
                <w:rFonts w:ascii="Aptos" w:eastAsia="Times New Roman" w:hAnsi="Aptos" w:cs="Times New Roman"/>
                <w:color w:val="000000"/>
                <w:kern w:val="0"/>
                <w:sz w:val="18"/>
                <w:szCs w:val="18"/>
                <w:rtl/>
                <w:lang w:val="en-GB" w:eastAsia="en-GB"/>
                <w14:ligatures w14:val="none"/>
              </w:rPr>
            </w:pPr>
            <w:r w:rsidRPr="009546BB">
              <w:rPr>
                <w:rFonts w:ascii="Aptos" w:eastAsia="Times New Roman" w:hAnsi="Aptos" w:cs="Times New Roman"/>
                <w:color w:val="000000"/>
                <w:kern w:val="0"/>
                <w:sz w:val="18"/>
                <w:szCs w:val="18"/>
                <w:lang w:val="en-GB" w:eastAsia="en-GB"/>
                <w14:ligatures w14:val="none"/>
              </w:rPr>
              <w:t>1359.35</w:t>
            </w:r>
          </w:p>
        </w:tc>
        <w:tc>
          <w:tcPr>
            <w:tcW w:w="708" w:type="dxa"/>
            <w:tcBorders>
              <w:top w:val="nil"/>
              <w:left w:val="single" w:sz="4" w:space="0" w:color="auto"/>
              <w:bottom w:val="single" w:sz="4" w:space="0" w:color="auto"/>
              <w:right w:val="single" w:sz="4" w:space="0" w:color="auto"/>
            </w:tcBorders>
            <w:vAlign w:val="center"/>
            <w:hideMark/>
          </w:tcPr>
          <w:p w14:paraId="5C1CC53D" w14:textId="77777777" w:rsidR="00793DFB" w:rsidRPr="009546BB" w:rsidRDefault="00793DFB" w:rsidP="009F1C88">
            <w:pPr>
              <w:bidi/>
              <w:spacing w:after="0" w:line="240" w:lineRule="auto"/>
              <w:jc w:val="center"/>
              <w:rPr>
                <w:rFonts w:ascii="Aptos" w:eastAsia="Times New Roman" w:hAnsi="Aptos" w:cs="Times New Roman"/>
                <w:color w:val="000000"/>
                <w:kern w:val="0"/>
                <w:sz w:val="18"/>
                <w:szCs w:val="18"/>
                <w:rtl/>
                <w:lang w:val="en-GB" w:eastAsia="en-GB"/>
                <w14:ligatures w14:val="none"/>
              </w:rPr>
            </w:pPr>
            <w:r w:rsidRPr="009546BB">
              <w:rPr>
                <w:rFonts w:ascii="Aptos" w:eastAsia="Times New Roman" w:hAnsi="Aptos" w:cs="Times New Roman"/>
                <w:color w:val="000000"/>
                <w:kern w:val="0"/>
                <w:sz w:val="18"/>
                <w:szCs w:val="18"/>
                <w:lang w:val="en-GB" w:eastAsia="en-GB"/>
                <w14:ligatures w14:val="none"/>
              </w:rPr>
              <w:t>0</w:t>
            </w:r>
          </w:p>
        </w:tc>
        <w:tc>
          <w:tcPr>
            <w:tcW w:w="424" w:type="dxa"/>
            <w:tcBorders>
              <w:top w:val="nil"/>
              <w:left w:val="single" w:sz="4" w:space="0" w:color="auto"/>
              <w:bottom w:val="single" w:sz="4" w:space="0" w:color="auto"/>
              <w:right w:val="single" w:sz="4" w:space="0" w:color="auto"/>
            </w:tcBorders>
            <w:vAlign w:val="center"/>
            <w:hideMark/>
          </w:tcPr>
          <w:p w14:paraId="56C7A806" w14:textId="77777777" w:rsidR="00793DFB" w:rsidRPr="009546BB" w:rsidRDefault="00793DFB" w:rsidP="009F1C88">
            <w:pPr>
              <w:bidi/>
              <w:spacing w:after="0" w:line="240" w:lineRule="auto"/>
              <w:jc w:val="center"/>
              <w:rPr>
                <w:rFonts w:ascii="Aptos" w:eastAsia="Times New Roman" w:hAnsi="Aptos" w:cs="Times New Roman"/>
                <w:color w:val="000000"/>
                <w:kern w:val="0"/>
                <w:sz w:val="18"/>
                <w:szCs w:val="18"/>
                <w:rtl/>
                <w:lang w:val="en-GB" w:eastAsia="en-GB"/>
                <w14:ligatures w14:val="none"/>
              </w:rPr>
            </w:pPr>
            <w:r w:rsidRPr="009546BB">
              <w:rPr>
                <w:rFonts w:ascii="Aptos" w:eastAsia="Times New Roman" w:hAnsi="Aptos" w:cs="Times New Roman"/>
                <w:color w:val="000000"/>
                <w:kern w:val="0"/>
                <w:sz w:val="18"/>
                <w:szCs w:val="18"/>
                <w:lang w:val="en-GB" w:eastAsia="en-GB"/>
                <w14:ligatures w14:val="none"/>
              </w:rPr>
              <w:t>1</w:t>
            </w:r>
          </w:p>
        </w:tc>
      </w:tr>
    </w:tbl>
    <w:p w14:paraId="5DF4FB5B" w14:textId="77777777" w:rsidR="00793DFB" w:rsidRDefault="00793DFB" w:rsidP="00793DFB">
      <w:pPr>
        <w:bidi/>
        <w:rPr>
          <w:rtl/>
          <w:lang w:bidi="ar-EG"/>
        </w:rPr>
      </w:pPr>
      <w:r w:rsidRPr="00555087">
        <w:rPr>
          <w:rtl/>
        </w:rPr>
        <w:lastRenderedPageBreak/>
        <w:t xml:space="preserve">أظهرت نتائج الانحدار البسيط أن </w:t>
      </w:r>
      <w:r w:rsidRPr="00555087">
        <w:rPr>
          <w:b/>
          <w:bCs/>
          <w:rtl/>
        </w:rPr>
        <w:t>الثقافة التنظيمية</w:t>
      </w:r>
      <w:r w:rsidRPr="00555087">
        <w:rPr>
          <w:rtl/>
        </w:rPr>
        <w:t xml:space="preserve"> تشكّل متنبئاً قوياً ومستقراً للأداء الإبداعي بين عيّنة الدراسة</w:t>
      </w:r>
      <w:r w:rsidRPr="00555087">
        <w:rPr>
          <w:lang w:bidi="ar-EG"/>
        </w:rPr>
        <w:t xml:space="preserve"> (N = 400). </w:t>
      </w:r>
      <w:r w:rsidRPr="00555087">
        <w:rPr>
          <w:rtl/>
        </w:rPr>
        <w:t>إذ بلغ معامل التحديد</w:t>
      </w:r>
      <w:r>
        <w:rPr>
          <w:rFonts w:hint="cs"/>
          <w:rtl/>
          <w:lang w:bidi="ar-EG"/>
        </w:rPr>
        <w:t xml:space="preserve"> </w:t>
      </w:r>
      <w:r w:rsidRPr="00555087">
        <w:rPr>
          <w:lang w:bidi="ar-EG"/>
        </w:rPr>
        <w:t>R² = 0.774</w:t>
      </w:r>
      <w:r w:rsidRPr="00555087">
        <w:rPr>
          <w:rtl/>
        </w:rPr>
        <w:t>، ما يعني أن حوالي 77.4% من تباين الأداء الإبداعي يفسّره مستوى الثقافة التنظيمية وحده. المعامل غير المعياري للقيمة</w:t>
      </w:r>
      <w:r>
        <w:rPr>
          <w:rFonts w:hint="cs"/>
          <w:rtl/>
          <w:lang w:bidi="ar-EG"/>
        </w:rPr>
        <w:t xml:space="preserve"> (</w:t>
      </w:r>
      <w:r w:rsidRPr="00555087">
        <w:rPr>
          <w:lang w:bidi="ar-EG"/>
        </w:rPr>
        <w:t>B = 0.834</w:t>
      </w:r>
      <w:r w:rsidRPr="00555087">
        <w:rPr>
          <w:rtl/>
        </w:rPr>
        <w:t xml:space="preserve">، </w:t>
      </w:r>
      <w:r w:rsidRPr="00555087">
        <w:rPr>
          <w:lang w:bidi="ar-EG"/>
        </w:rPr>
        <w:t>SE = 0.023</w:t>
      </w:r>
      <w:r>
        <w:rPr>
          <w:rFonts w:hint="cs"/>
          <w:rtl/>
          <w:lang w:bidi="ar-EG"/>
        </w:rPr>
        <w:t>)</w:t>
      </w:r>
      <w:r w:rsidRPr="00555087">
        <w:rPr>
          <w:lang w:bidi="ar-EG"/>
        </w:rPr>
        <w:t xml:space="preserve"> </w:t>
      </w:r>
      <w:r w:rsidRPr="00555087">
        <w:rPr>
          <w:rtl/>
        </w:rPr>
        <w:t>كان دالًّا عند</w:t>
      </w:r>
      <w:r>
        <w:rPr>
          <w:rFonts w:hint="cs"/>
          <w:rtl/>
          <w:lang w:bidi="ar-EG"/>
        </w:rPr>
        <w:t xml:space="preserve"> </w:t>
      </w:r>
      <w:r w:rsidRPr="00555087">
        <w:rPr>
          <w:lang w:bidi="ar-EG"/>
        </w:rPr>
        <w:t>α &lt; 0.001 (t = 36.869)</w:t>
      </w:r>
      <w:r w:rsidRPr="00555087">
        <w:rPr>
          <w:rtl/>
        </w:rPr>
        <w:t xml:space="preserve">، وفترة الثقة 95% التقريبية له تقع بين 0.789 و0.879، ما يؤكد قوة الأمر الإحصائية والعملية. فحص بواقي النموذج </w:t>
      </w:r>
      <w:proofErr w:type="spellStart"/>
      <w:r w:rsidRPr="00555087">
        <w:rPr>
          <w:rtl/>
        </w:rPr>
        <w:t>بينبئ</w:t>
      </w:r>
      <w:proofErr w:type="spellEnd"/>
      <w:r w:rsidRPr="00555087">
        <w:rPr>
          <w:rtl/>
        </w:rPr>
        <w:t xml:space="preserve"> بتوزيع مقبول، مع وجود قيمة موجبّة معيارية عالية تستدعي مراجعة حالة(حالات) معزولة للتأكد من عدم تأثيرها غير المتناسب. بناءً على النتائج، تُقبل الفرضية</w:t>
      </w:r>
      <w:r w:rsidRPr="00555087">
        <w:rPr>
          <w:lang w:bidi="ar-EG"/>
        </w:rPr>
        <w:t xml:space="preserve"> H₃ </w:t>
      </w:r>
      <w:r w:rsidRPr="00555087">
        <w:rPr>
          <w:rtl/>
        </w:rPr>
        <w:t>وتُوصى التدخلات المؤسسية القائمة على تعزيز عناصر الثقافة التنظيمية كأداة فاعلة لرفع الأداء الإبداعي</w:t>
      </w:r>
      <w:r w:rsidRPr="00555087">
        <w:rPr>
          <w:lang w:bidi="ar-EG"/>
        </w:rPr>
        <w:t>.</w:t>
      </w:r>
    </w:p>
    <w:p w14:paraId="1A5BAA54" w14:textId="77777777" w:rsidR="00793DFB" w:rsidRDefault="00793DFB" w:rsidP="00793DFB">
      <w:pPr>
        <w:bidi/>
        <w:rPr>
          <w:rtl/>
          <w:lang w:bidi="ar-EG"/>
        </w:rPr>
      </w:pPr>
      <w:r w:rsidRPr="00555087">
        <w:rPr>
          <w:rtl/>
        </w:rPr>
        <w:t>قيمة</w:t>
      </w:r>
      <w:r w:rsidRPr="00555087">
        <w:rPr>
          <w:lang w:bidi="ar-EG"/>
        </w:rPr>
        <w:t xml:space="preserve"> F = 1359.346 (p &lt; .001) </w:t>
      </w:r>
      <w:r w:rsidRPr="00555087">
        <w:rPr>
          <w:rtl/>
        </w:rPr>
        <w:t xml:space="preserve">تؤكد أن العلاقة بين الثقافة التنظيمية والأداء الإبداعي ليست عرضية؛ النموذج ذا دلالة إحصائية عالية ويجب عدم رفض الفرضية </w:t>
      </w:r>
      <w:proofErr w:type="spellStart"/>
      <w:r w:rsidRPr="00555087">
        <w:rPr>
          <w:rtl/>
        </w:rPr>
        <w:t>الفراضية</w:t>
      </w:r>
      <w:proofErr w:type="spellEnd"/>
      <w:r w:rsidRPr="00555087">
        <w:rPr>
          <w:rtl/>
        </w:rPr>
        <w:t xml:space="preserve"> القائلة بوجود علاقة ذات دلالة</w:t>
      </w:r>
      <w:r w:rsidRPr="00555087">
        <w:rPr>
          <w:lang w:bidi="ar-EG"/>
        </w:rPr>
        <w:t>.</w:t>
      </w:r>
      <w:r>
        <w:rPr>
          <w:rFonts w:hint="cs"/>
          <w:rtl/>
          <w:lang w:bidi="ar-EG"/>
        </w:rPr>
        <w:t xml:space="preserve"> </w:t>
      </w:r>
      <w:r w:rsidRPr="00555087">
        <w:rPr>
          <w:rtl/>
        </w:rPr>
        <w:t>المعامل غير المعياري</w:t>
      </w:r>
      <w:r w:rsidRPr="00555087">
        <w:rPr>
          <w:lang w:bidi="ar-EG"/>
        </w:rPr>
        <w:t xml:space="preserve"> B = 0.834 </w:t>
      </w:r>
      <w:r w:rsidRPr="00555087">
        <w:rPr>
          <w:rtl/>
        </w:rPr>
        <w:t>يعني: كل زيادة وحدة واحدة على مقياس الثقافة التنظيمية تترافق، في المتوسط، مع زيادة قدرها 0.834 وحدة في مقياس الأداء الإبداعي مع ثبات باقي الشروط. معامل التأثير المعياري</w:t>
      </w:r>
      <w:r w:rsidRPr="00555087">
        <w:rPr>
          <w:lang w:bidi="ar-EG"/>
        </w:rPr>
        <w:t xml:space="preserve"> (β = 0.880) </w:t>
      </w:r>
      <w:r w:rsidRPr="00555087">
        <w:rPr>
          <w:rtl/>
        </w:rPr>
        <w:t>يؤكد قوة الأثر نسبياً مقارنة بأي متغير آخر مستخدم كمرجعية؛ القيمة مرتفعة جداً وتدلّ على تأثير كبير من الناحية العملية والإحصائية</w:t>
      </w:r>
      <w:r w:rsidRPr="00555087">
        <w:rPr>
          <w:lang w:bidi="ar-EG"/>
        </w:rPr>
        <w:t>.</w:t>
      </w:r>
    </w:p>
    <w:p w14:paraId="49A20AF1" w14:textId="77777777" w:rsidR="00793DFB" w:rsidRDefault="00793DFB" w:rsidP="00793DFB">
      <w:pPr>
        <w:bidi/>
        <w:rPr>
          <w:rtl/>
          <w:lang w:bidi="ar-EG"/>
        </w:rPr>
      </w:pPr>
      <w:r w:rsidRPr="00555087">
        <w:rPr>
          <w:rtl/>
        </w:rPr>
        <w:t>وجود متنبِّئ واحد يجعل مؤشرات التعدد الخطي طبيعية</w:t>
      </w:r>
      <w:r w:rsidRPr="00555087">
        <w:rPr>
          <w:lang w:bidi="ar-EG"/>
        </w:rPr>
        <w:t xml:space="preserve"> (VIF=1). </w:t>
      </w:r>
      <w:r w:rsidRPr="00555087">
        <w:rPr>
          <w:rtl/>
        </w:rPr>
        <w:t>قيمة</w:t>
      </w:r>
      <w:r w:rsidRPr="00555087">
        <w:rPr>
          <w:lang w:bidi="ar-EG"/>
        </w:rPr>
        <w:t xml:space="preserve"> Condition Index </w:t>
      </w:r>
      <w:r w:rsidRPr="00555087">
        <w:rPr>
          <w:rtl/>
        </w:rPr>
        <w:t xml:space="preserve">لا تشير إلى مشكلة تعدد خطيّ معتبرة (الحدود المقلقة تبدأ عند قيم أكبر بكثير، عادة </w:t>
      </w:r>
      <w:r w:rsidRPr="00555087">
        <w:rPr>
          <w:lang w:bidi="ar-EG"/>
        </w:rPr>
        <w:t>&gt; 30</w:t>
      </w:r>
      <w:r>
        <w:rPr>
          <w:rFonts w:hint="cs"/>
          <w:rtl/>
          <w:lang w:bidi="ar-EG"/>
        </w:rPr>
        <w:t>)</w:t>
      </w:r>
      <w:r w:rsidRPr="00555087">
        <w:rPr>
          <w:lang w:bidi="ar-EG"/>
        </w:rPr>
        <w:t>.</w:t>
      </w:r>
    </w:p>
    <w:p w14:paraId="688AA2C1" w14:textId="77777777" w:rsidR="00793DFB" w:rsidRPr="00357BDD" w:rsidRDefault="00793DFB" w:rsidP="00793DFB">
      <w:pPr>
        <w:bidi/>
        <w:rPr>
          <w:rtl/>
          <w:lang w:val="en-GB" w:bidi="ar-EG"/>
        </w:rPr>
      </w:pPr>
      <w:r w:rsidRPr="00357BDD">
        <w:rPr>
          <w:rtl/>
          <w:lang w:val="en-GB"/>
        </w:rPr>
        <w:t>بالاعتماد على نتائج تحليل الانحدار البسيط لاختبار الفرضية</w:t>
      </w:r>
      <w:r>
        <w:rPr>
          <w:rFonts w:hint="cs"/>
          <w:rtl/>
          <w:lang w:val="en-GB"/>
        </w:rPr>
        <w:t xml:space="preserve"> </w:t>
      </w:r>
      <w:r w:rsidRPr="00357BDD">
        <w:rPr>
          <w:lang w:val="en-GB"/>
        </w:rPr>
        <w:t>H₃</w:t>
      </w:r>
      <w:r>
        <w:rPr>
          <w:rFonts w:hint="cs"/>
          <w:rtl/>
          <w:lang w:val="en-GB" w:bidi="ar-EG"/>
        </w:rPr>
        <w:t>:</w:t>
      </w:r>
    </w:p>
    <w:p w14:paraId="2992B2D6" w14:textId="77777777" w:rsidR="00793DFB" w:rsidRPr="009546BB" w:rsidRDefault="00793DFB" w:rsidP="00793DFB">
      <w:pPr>
        <w:bidi/>
        <w:rPr>
          <w:rtl/>
          <w:lang w:val="en-GB"/>
        </w:rPr>
      </w:pPr>
      <w:r w:rsidRPr="00357BDD">
        <w:rPr>
          <w:rtl/>
          <w:lang w:val="en-GB"/>
        </w:rPr>
        <w:t>تُظهر نتائج الانحدار البسيط تحقق الفرضية</w:t>
      </w:r>
      <w:r w:rsidRPr="00357BDD">
        <w:rPr>
          <w:lang w:val="en-GB"/>
        </w:rPr>
        <w:t xml:space="preserve"> H₃</w:t>
      </w:r>
      <w:r w:rsidRPr="00357BDD">
        <w:rPr>
          <w:rtl/>
          <w:lang w:val="en-GB"/>
        </w:rPr>
        <w:t>، حيث تبيّن أن الثقافة التنظيمية تمثل متغيرًا تنبؤيًا قويًا ومؤثرًا في الأداء الإبداعي. فقد بلغ معامل التحديد</w:t>
      </w:r>
      <w:r w:rsidRPr="00357BDD">
        <w:rPr>
          <w:lang w:val="en-GB"/>
        </w:rPr>
        <w:t xml:space="preserve"> (R² = 0.774)</w:t>
      </w:r>
      <w:r w:rsidRPr="00357BDD">
        <w:rPr>
          <w:rtl/>
          <w:lang w:val="en-GB"/>
        </w:rPr>
        <w:t>، مما يعني أن نحو 77.4% من التباين في الأداء الإبداعي يُعزى إلى مستوى الثقافة التنظيمية وحده. كما أن المعامل غير المعياري</w:t>
      </w:r>
      <w:r w:rsidRPr="00357BDD">
        <w:rPr>
          <w:lang w:val="en-GB"/>
        </w:rPr>
        <w:t xml:space="preserve"> (B = 0.834) </w:t>
      </w:r>
      <w:r w:rsidRPr="00357BDD">
        <w:rPr>
          <w:rtl/>
          <w:lang w:val="en-GB"/>
        </w:rPr>
        <w:t>والمعامل المعياري المرتفع</w:t>
      </w:r>
      <w:r w:rsidRPr="00357BDD">
        <w:rPr>
          <w:lang w:val="en-GB"/>
        </w:rPr>
        <w:t xml:space="preserve"> (β = 0.880) </w:t>
      </w:r>
      <w:r w:rsidRPr="00357BDD">
        <w:rPr>
          <w:rtl/>
          <w:lang w:val="en-GB"/>
        </w:rPr>
        <w:t>يدلان على قوة التأثير الإحصائي والعملي، مع دلالة إحصائية عالية</w:t>
      </w:r>
      <w:r w:rsidRPr="00357BDD">
        <w:rPr>
          <w:lang w:val="en-GB"/>
        </w:rPr>
        <w:t xml:space="preserve"> (p &lt; 0.001). </w:t>
      </w:r>
      <w:r w:rsidRPr="00357BDD">
        <w:rPr>
          <w:rtl/>
          <w:lang w:val="en-GB"/>
        </w:rPr>
        <w:t>تؤكد هذه النتائج أهمية الثقافة التنظيمية كأداة استراتيجية لتعزيز الإبداع الوظيفي، وتدعم التوصية بتبني ممارسات مؤسسية تُنمّي هذا البُعد التنظيمي</w:t>
      </w:r>
      <w:r w:rsidRPr="00357BDD">
        <w:rPr>
          <w:lang w:val="en-GB"/>
        </w:rPr>
        <w:t>.</w:t>
      </w:r>
    </w:p>
    <w:p w14:paraId="7BE384B8" w14:textId="77777777" w:rsidR="00793DFB" w:rsidRPr="00555087" w:rsidRDefault="00793DFB" w:rsidP="00793DFB">
      <w:pPr>
        <w:bidi/>
        <w:rPr>
          <w:lang w:bidi="ar-EG"/>
        </w:rPr>
      </w:pPr>
      <w:r w:rsidRPr="00555087">
        <w:rPr>
          <w:noProof/>
          <w:lang w:bidi="ar-EG"/>
        </w:rPr>
        <w:lastRenderedPageBreak/>
        <w:drawing>
          <wp:inline distT="0" distB="0" distL="0" distR="0" wp14:anchorId="5274D7BC" wp14:editId="67852D32">
            <wp:extent cx="5943600" cy="4753610"/>
            <wp:effectExtent l="0" t="0" r="0" b="8890"/>
            <wp:docPr id="462320819" name="صورة 4" descr="صورة تحتوي على نص, رسم بياني, خط, تخطي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320819" name="صورة 4" descr="صورة تحتوي على نص, رسم بياني, خط, تخطيط&#10;&#10;قد يكون المحتوى الذي تم إنشاؤه بواسطة الذكاء الاصطناعي غير صحيح."/>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753610"/>
                    </a:xfrm>
                    <a:prstGeom prst="rect">
                      <a:avLst/>
                    </a:prstGeom>
                    <a:noFill/>
                    <a:ln>
                      <a:noFill/>
                    </a:ln>
                  </pic:spPr>
                </pic:pic>
              </a:graphicData>
            </a:graphic>
          </wp:inline>
        </w:drawing>
      </w:r>
    </w:p>
    <w:p w14:paraId="626783E6" w14:textId="77777777" w:rsidR="00793DFB" w:rsidRDefault="00793DFB" w:rsidP="00793DFB">
      <w:pPr>
        <w:bidi/>
        <w:rPr>
          <w:lang w:bidi="ar-EG"/>
        </w:rPr>
      </w:pPr>
    </w:p>
    <w:p w14:paraId="383BEE8A" w14:textId="77777777" w:rsidR="00793DFB" w:rsidRDefault="00793DFB" w:rsidP="00793DFB">
      <w:pPr>
        <w:bidi/>
        <w:rPr>
          <w:lang w:bidi="ar-EG"/>
        </w:rPr>
      </w:pPr>
    </w:p>
    <w:p w14:paraId="6E3AF1C2" w14:textId="77777777" w:rsidR="00793DFB" w:rsidRDefault="00793DFB" w:rsidP="00793DFB">
      <w:pPr>
        <w:bidi/>
        <w:rPr>
          <w:lang w:bidi="ar-EG"/>
        </w:rPr>
      </w:pPr>
    </w:p>
    <w:p w14:paraId="66598035" w14:textId="77777777" w:rsidR="00793DFB" w:rsidRDefault="00793DFB" w:rsidP="00793DFB">
      <w:pPr>
        <w:bidi/>
        <w:rPr>
          <w:lang w:bidi="ar-EG"/>
        </w:rPr>
      </w:pPr>
    </w:p>
    <w:p w14:paraId="12985E47" w14:textId="77777777" w:rsidR="00793DFB" w:rsidRDefault="00793DFB" w:rsidP="00793DFB">
      <w:pPr>
        <w:bidi/>
        <w:rPr>
          <w:lang w:bidi="ar-EG"/>
        </w:rPr>
      </w:pPr>
    </w:p>
    <w:p w14:paraId="7A658848" w14:textId="77777777" w:rsidR="00793DFB" w:rsidRDefault="00793DFB" w:rsidP="00793DFB">
      <w:pPr>
        <w:bidi/>
        <w:rPr>
          <w:lang w:bidi="ar-EG"/>
        </w:rPr>
      </w:pPr>
    </w:p>
    <w:p w14:paraId="242A1EBB" w14:textId="77777777" w:rsidR="00793DFB" w:rsidRDefault="00793DFB" w:rsidP="00793DFB">
      <w:pPr>
        <w:bidi/>
        <w:rPr>
          <w:lang w:bidi="ar-EG"/>
        </w:rPr>
      </w:pPr>
    </w:p>
    <w:p w14:paraId="7EE9A70C" w14:textId="77777777" w:rsidR="00793DFB" w:rsidRDefault="00793DFB" w:rsidP="00793DFB">
      <w:pPr>
        <w:bidi/>
        <w:rPr>
          <w:rtl/>
          <w:lang w:bidi="ar-EG"/>
        </w:rPr>
      </w:pPr>
    </w:p>
    <w:p w14:paraId="64BA83A0" w14:textId="77777777" w:rsidR="00793DFB" w:rsidRDefault="00793DFB" w:rsidP="00793DFB">
      <w:pPr>
        <w:bidi/>
        <w:rPr>
          <w:rtl/>
          <w:lang w:bidi="ar-EG"/>
        </w:rPr>
      </w:pPr>
    </w:p>
    <w:p w14:paraId="62586C29" w14:textId="77777777" w:rsidR="00793DFB" w:rsidRDefault="00793DFB" w:rsidP="00793DFB">
      <w:pPr>
        <w:bidi/>
        <w:rPr>
          <w:lang w:bidi="ar-EG"/>
        </w:rPr>
      </w:pPr>
    </w:p>
    <w:p w14:paraId="753A5555" w14:textId="77777777" w:rsidR="00793DFB" w:rsidRPr="00555087" w:rsidRDefault="00793DFB" w:rsidP="00793DFB">
      <w:pPr>
        <w:bidi/>
        <w:rPr>
          <w:lang w:bidi="ar-EG"/>
        </w:rPr>
      </w:pPr>
    </w:p>
    <w:p w14:paraId="59E8820F" w14:textId="77777777" w:rsidR="00793DFB" w:rsidRPr="00555087" w:rsidRDefault="00793DFB" w:rsidP="00793DFB">
      <w:pPr>
        <w:bidi/>
        <w:rPr>
          <w:b/>
          <w:bCs/>
          <w:lang w:bidi="ar-EG"/>
        </w:rPr>
      </w:pPr>
      <w:r>
        <w:rPr>
          <w:rFonts w:hint="cs"/>
          <w:b/>
          <w:bCs/>
          <w:rtl/>
        </w:rPr>
        <w:lastRenderedPageBreak/>
        <w:t xml:space="preserve">4.12. </w:t>
      </w:r>
      <w:r w:rsidRPr="00555087">
        <w:rPr>
          <w:b/>
          <w:bCs/>
          <w:rtl/>
        </w:rPr>
        <w:t>اختبار فرضية الدور الوسيط للثقافة التنظيمية في العلاقة بين أنظمة العمل عالية الأداء والإبداع الوظيفي</w:t>
      </w:r>
    </w:p>
    <w:p w14:paraId="47D24DBE" w14:textId="77777777" w:rsidR="00793DFB" w:rsidRPr="00555087" w:rsidRDefault="00793DFB" w:rsidP="00793DFB">
      <w:pPr>
        <w:bidi/>
        <w:rPr>
          <w:lang w:bidi="ar-EG"/>
        </w:rPr>
      </w:pPr>
      <w:r w:rsidRPr="00555087">
        <w:rPr>
          <w:rtl/>
        </w:rPr>
        <w:t>هدفت هذه الفقرة إلى اختبار الفرضية القائلة بأن الثقافة التنظيمية تتوسط العلاقة بين أنظمة العمل عالية الأداء</w:t>
      </w:r>
      <w:r w:rsidRPr="00555087">
        <w:rPr>
          <w:lang w:bidi="ar-EG"/>
        </w:rPr>
        <w:t xml:space="preserve"> (HPWS) </w:t>
      </w:r>
      <w:r w:rsidRPr="00555087">
        <w:rPr>
          <w:rtl/>
        </w:rPr>
        <w:t>والإبداع الوظيفي، وذلك باستخدام نموذج الوساطة البسيطة</w:t>
      </w:r>
      <w:r w:rsidRPr="00555087">
        <w:rPr>
          <w:lang w:bidi="ar-EG"/>
        </w:rPr>
        <w:t xml:space="preserve"> (Model 4) </w:t>
      </w:r>
      <w:r w:rsidRPr="00555087">
        <w:rPr>
          <w:rtl/>
        </w:rPr>
        <w:t>وفق إجراء</w:t>
      </w:r>
      <w:r w:rsidRPr="00555087">
        <w:rPr>
          <w:lang w:bidi="ar-EG"/>
        </w:rPr>
        <w:t xml:space="preserve"> PROCESS (Hayes, 2022)</w:t>
      </w:r>
      <w:r w:rsidRPr="00555087">
        <w:rPr>
          <w:rtl/>
        </w:rPr>
        <w:t>، مع اعتماد أسلوب</w:t>
      </w:r>
      <w:r w:rsidRPr="00555087">
        <w:rPr>
          <w:lang w:bidi="ar-EG"/>
        </w:rPr>
        <w:t xml:space="preserve"> Bootstrap </w:t>
      </w:r>
      <w:r w:rsidRPr="00555087">
        <w:rPr>
          <w:rtl/>
        </w:rPr>
        <w:t>بعدد (5000) عينة عند مستوى ثقة (95%)، وبحجم عينة بلغ (400) مفردة</w:t>
      </w:r>
      <w:r w:rsidRPr="00555087">
        <w:rPr>
          <w:lang w:bidi="ar-EG"/>
        </w:rPr>
        <w:t>.</w:t>
      </w:r>
    </w:p>
    <w:p w14:paraId="69FD591F" w14:textId="77777777" w:rsidR="00793DFB" w:rsidRPr="00555087" w:rsidRDefault="00793DFB" w:rsidP="00793DFB">
      <w:pPr>
        <w:bidi/>
        <w:rPr>
          <w:b/>
          <w:bCs/>
          <w:lang w:bidi="ar-EG"/>
        </w:rPr>
      </w:pPr>
      <w:r w:rsidRPr="00555087">
        <w:rPr>
          <w:b/>
          <w:bCs/>
          <w:rtl/>
        </w:rPr>
        <w:t>جدول</w:t>
      </w:r>
      <w:r w:rsidRPr="00555087">
        <w:rPr>
          <w:b/>
          <w:bCs/>
          <w:lang w:bidi="ar-EG"/>
        </w:rPr>
        <w:t xml:space="preserve"> </w:t>
      </w:r>
      <w:r>
        <w:rPr>
          <w:rFonts w:hint="cs"/>
          <w:b/>
          <w:bCs/>
          <w:rtl/>
          <w:lang w:bidi="ar-EG"/>
        </w:rPr>
        <w:t>(4-17)</w:t>
      </w:r>
      <w:r w:rsidRPr="00555087">
        <w:rPr>
          <w:b/>
          <w:bCs/>
          <w:lang w:bidi="ar-EG"/>
        </w:rPr>
        <w:t xml:space="preserve"> </w:t>
      </w:r>
      <w:r w:rsidRPr="00555087">
        <w:rPr>
          <w:b/>
          <w:bCs/>
          <w:rtl/>
        </w:rPr>
        <w:t>ملخص نتائج اختبار دور الثقافة التنظيمية كمتغير وسيط في العلاقة بين أنظمة العمل عالية الأداء والإبداع الوظيفي</w:t>
      </w:r>
      <w:r w:rsidRPr="00555087">
        <w:rPr>
          <w:b/>
          <w:bCs/>
          <w:lang w:bidi="ar-EG"/>
        </w:rPr>
        <w:t xml:space="preserve"> (N = 400)</w:t>
      </w:r>
    </w:p>
    <w:tbl>
      <w:tblPr>
        <w:bidiVisual/>
        <w:tblW w:w="9160" w:type="dxa"/>
        <w:tblInd w:w="5" w:type="dxa"/>
        <w:tblLook w:val="04A0" w:firstRow="1" w:lastRow="0" w:firstColumn="1" w:lastColumn="0" w:noHBand="0" w:noVBand="1"/>
      </w:tblPr>
      <w:tblGrid>
        <w:gridCol w:w="2318"/>
        <w:gridCol w:w="959"/>
        <w:gridCol w:w="1057"/>
        <w:gridCol w:w="959"/>
        <w:gridCol w:w="959"/>
        <w:gridCol w:w="959"/>
        <w:gridCol w:w="952"/>
        <w:gridCol w:w="997"/>
      </w:tblGrid>
      <w:tr w:rsidR="00793DFB" w:rsidRPr="009B4E2B" w14:paraId="7C11D7AD" w14:textId="77777777" w:rsidTr="009F1C88">
        <w:trPr>
          <w:trHeight w:val="624"/>
        </w:trPr>
        <w:tc>
          <w:tcPr>
            <w:tcW w:w="2340" w:type="dxa"/>
            <w:tcBorders>
              <w:top w:val="single" w:sz="8" w:space="0" w:color="auto"/>
              <w:left w:val="single" w:sz="8" w:space="0" w:color="auto"/>
              <w:bottom w:val="single" w:sz="4" w:space="0" w:color="auto"/>
              <w:right w:val="single" w:sz="4" w:space="0" w:color="auto"/>
            </w:tcBorders>
            <w:vAlign w:val="center"/>
            <w:hideMark/>
          </w:tcPr>
          <w:p w14:paraId="3750F811" w14:textId="77777777" w:rsidR="00793DFB" w:rsidRPr="009B4E2B" w:rsidRDefault="00793DFB" w:rsidP="009F1C88">
            <w:pPr>
              <w:bidi/>
              <w:spacing w:after="0" w:line="240" w:lineRule="auto"/>
              <w:jc w:val="center"/>
              <w:rPr>
                <w:rFonts w:ascii="Arial" w:eastAsia="Times New Roman" w:hAnsi="Arial" w:cs="Arial"/>
                <w:b/>
                <w:bCs/>
                <w:color w:val="000000"/>
                <w:kern w:val="0"/>
                <w14:ligatures w14:val="none"/>
              </w:rPr>
            </w:pPr>
            <w:r w:rsidRPr="009B4E2B">
              <w:rPr>
                <w:rFonts w:ascii="Arial" w:eastAsia="Times New Roman" w:hAnsi="Arial" w:cs="Arial" w:hint="cs"/>
                <w:b/>
                <w:bCs/>
                <w:color w:val="000000"/>
                <w:kern w:val="0"/>
                <w:rtl/>
                <w14:ligatures w14:val="none"/>
              </w:rPr>
              <w:t>المسار / النموذج</w:t>
            </w:r>
          </w:p>
        </w:tc>
        <w:tc>
          <w:tcPr>
            <w:tcW w:w="960" w:type="dxa"/>
            <w:tcBorders>
              <w:top w:val="single" w:sz="8" w:space="0" w:color="auto"/>
              <w:left w:val="single" w:sz="4" w:space="0" w:color="auto"/>
              <w:bottom w:val="single" w:sz="4" w:space="0" w:color="auto"/>
              <w:right w:val="single" w:sz="4" w:space="0" w:color="auto"/>
            </w:tcBorders>
            <w:vAlign w:val="center"/>
            <w:hideMark/>
          </w:tcPr>
          <w:p w14:paraId="38497D0B" w14:textId="77777777" w:rsidR="00793DFB" w:rsidRPr="009B4E2B" w:rsidRDefault="00793DFB" w:rsidP="009F1C88">
            <w:pPr>
              <w:bidi/>
              <w:spacing w:after="0" w:line="240" w:lineRule="auto"/>
              <w:jc w:val="center"/>
              <w:rPr>
                <w:rFonts w:ascii="Arial" w:eastAsia="Times New Roman" w:hAnsi="Arial" w:cs="Arial"/>
                <w:b/>
                <w:bCs/>
                <w:color w:val="000000"/>
                <w:kern w:val="0"/>
                <w:rtl/>
                <w14:ligatures w14:val="none"/>
              </w:rPr>
            </w:pPr>
            <w:r w:rsidRPr="009B4E2B">
              <w:rPr>
                <w:rFonts w:ascii="Arial" w:eastAsia="Times New Roman" w:hAnsi="Arial" w:cs="Arial" w:hint="cs"/>
                <w:b/>
                <w:bCs/>
                <w:color w:val="000000"/>
                <w:kern w:val="0"/>
                <w:rtl/>
                <w14:ligatures w14:val="none"/>
              </w:rPr>
              <w:t>المعامل</w:t>
            </w:r>
            <w:r w:rsidRPr="009B4E2B">
              <w:rPr>
                <w:rFonts w:ascii="Aptos" w:eastAsia="Times New Roman" w:hAnsi="Aptos" w:cs="Arial"/>
                <w:b/>
                <w:bCs/>
                <w:color w:val="000000"/>
                <w:kern w:val="0"/>
                <w:rtl/>
                <w14:ligatures w14:val="none"/>
              </w:rPr>
              <w:t xml:space="preserve"> (</w:t>
            </w:r>
            <w:r w:rsidRPr="009B4E2B">
              <w:rPr>
                <w:rFonts w:ascii="Aptos" w:eastAsia="Times New Roman" w:hAnsi="Aptos" w:cs="Arial"/>
                <w:b/>
                <w:bCs/>
                <w:color w:val="000000"/>
                <w:kern w:val="0"/>
                <w14:ligatures w14:val="none"/>
              </w:rPr>
              <w:t>B</w:t>
            </w:r>
            <w:r w:rsidRPr="009B4E2B">
              <w:rPr>
                <w:rFonts w:ascii="Aptos" w:eastAsia="Times New Roman" w:hAnsi="Aptos" w:cs="Arial"/>
                <w:b/>
                <w:bCs/>
                <w:color w:val="000000"/>
                <w:kern w:val="0"/>
                <w:rtl/>
                <w14:ligatures w14:val="none"/>
              </w:rPr>
              <w:t>)</w:t>
            </w:r>
          </w:p>
        </w:tc>
        <w:tc>
          <w:tcPr>
            <w:tcW w:w="1060" w:type="dxa"/>
            <w:tcBorders>
              <w:top w:val="single" w:sz="8" w:space="0" w:color="auto"/>
              <w:left w:val="single" w:sz="4" w:space="0" w:color="auto"/>
              <w:bottom w:val="single" w:sz="4" w:space="0" w:color="auto"/>
              <w:right w:val="single" w:sz="4" w:space="0" w:color="auto"/>
            </w:tcBorders>
            <w:vAlign w:val="center"/>
            <w:hideMark/>
          </w:tcPr>
          <w:p w14:paraId="764ED2CE" w14:textId="77777777" w:rsidR="00793DFB" w:rsidRPr="009B4E2B" w:rsidRDefault="00793DFB" w:rsidP="009F1C88">
            <w:pPr>
              <w:bidi/>
              <w:spacing w:after="0" w:line="240" w:lineRule="auto"/>
              <w:jc w:val="center"/>
              <w:rPr>
                <w:rFonts w:ascii="Aptos" w:eastAsia="Times New Roman" w:hAnsi="Aptos" w:cs="Arial"/>
                <w:b/>
                <w:bCs/>
                <w:color w:val="000000"/>
                <w:kern w:val="0"/>
                <w:rtl/>
                <w14:ligatures w14:val="none"/>
              </w:rPr>
            </w:pPr>
            <w:r w:rsidRPr="009B4E2B">
              <w:rPr>
                <w:rFonts w:ascii="Aptos" w:eastAsia="Times New Roman" w:hAnsi="Aptos" w:cs="Arial"/>
                <w:b/>
                <w:bCs/>
                <w:color w:val="000000"/>
                <w:kern w:val="0"/>
                <w:lang w:bidi="ar-EG"/>
                <w14:ligatures w14:val="none"/>
              </w:rPr>
              <w:t>SE</w:t>
            </w:r>
          </w:p>
        </w:tc>
        <w:tc>
          <w:tcPr>
            <w:tcW w:w="960" w:type="dxa"/>
            <w:tcBorders>
              <w:top w:val="single" w:sz="8" w:space="0" w:color="auto"/>
              <w:left w:val="single" w:sz="4" w:space="0" w:color="auto"/>
              <w:bottom w:val="single" w:sz="4" w:space="0" w:color="auto"/>
              <w:right w:val="single" w:sz="4" w:space="0" w:color="auto"/>
            </w:tcBorders>
            <w:vAlign w:val="center"/>
            <w:hideMark/>
          </w:tcPr>
          <w:p w14:paraId="48FA1170" w14:textId="77777777" w:rsidR="00793DFB" w:rsidRPr="009B4E2B" w:rsidRDefault="00793DFB" w:rsidP="009F1C88">
            <w:pPr>
              <w:bidi/>
              <w:spacing w:after="0" w:line="240" w:lineRule="auto"/>
              <w:jc w:val="center"/>
              <w:rPr>
                <w:rFonts w:ascii="Aptos" w:eastAsia="Times New Roman" w:hAnsi="Aptos" w:cs="Arial"/>
                <w:b/>
                <w:bCs/>
                <w:color w:val="000000"/>
                <w:kern w:val="0"/>
                <w:rtl/>
                <w14:ligatures w14:val="none"/>
              </w:rPr>
            </w:pPr>
            <w:r w:rsidRPr="009B4E2B">
              <w:rPr>
                <w:rFonts w:ascii="Aptos" w:eastAsia="Times New Roman" w:hAnsi="Aptos" w:cs="Arial"/>
                <w:b/>
                <w:bCs/>
                <w:color w:val="000000"/>
                <w:kern w:val="0"/>
                <w:lang w:bidi="ar-EG"/>
                <w14:ligatures w14:val="none"/>
              </w:rPr>
              <w:t>t</w:t>
            </w:r>
          </w:p>
        </w:tc>
        <w:tc>
          <w:tcPr>
            <w:tcW w:w="960" w:type="dxa"/>
            <w:tcBorders>
              <w:top w:val="single" w:sz="8" w:space="0" w:color="auto"/>
              <w:left w:val="single" w:sz="4" w:space="0" w:color="auto"/>
              <w:bottom w:val="single" w:sz="4" w:space="0" w:color="auto"/>
              <w:right w:val="single" w:sz="4" w:space="0" w:color="auto"/>
            </w:tcBorders>
            <w:vAlign w:val="center"/>
            <w:hideMark/>
          </w:tcPr>
          <w:p w14:paraId="3C7BBF0B" w14:textId="77777777" w:rsidR="00793DFB" w:rsidRPr="009B4E2B" w:rsidRDefault="00793DFB" w:rsidP="009F1C88">
            <w:pPr>
              <w:bidi/>
              <w:spacing w:after="0" w:line="240" w:lineRule="auto"/>
              <w:jc w:val="center"/>
              <w:rPr>
                <w:rFonts w:ascii="Aptos" w:eastAsia="Times New Roman" w:hAnsi="Aptos" w:cs="Arial"/>
                <w:b/>
                <w:bCs/>
                <w:color w:val="000000"/>
                <w:kern w:val="0"/>
                <w:rtl/>
                <w14:ligatures w14:val="none"/>
              </w:rPr>
            </w:pPr>
            <w:r w:rsidRPr="009B4E2B">
              <w:rPr>
                <w:rFonts w:ascii="Aptos" w:eastAsia="Times New Roman" w:hAnsi="Aptos" w:cs="Arial"/>
                <w:b/>
                <w:bCs/>
                <w:color w:val="000000"/>
                <w:kern w:val="0"/>
                <w:lang w:bidi="ar-EG"/>
                <w14:ligatures w14:val="none"/>
              </w:rPr>
              <w:t>R²</w:t>
            </w:r>
          </w:p>
        </w:tc>
        <w:tc>
          <w:tcPr>
            <w:tcW w:w="960" w:type="dxa"/>
            <w:tcBorders>
              <w:top w:val="single" w:sz="8" w:space="0" w:color="auto"/>
              <w:left w:val="single" w:sz="4" w:space="0" w:color="auto"/>
              <w:bottom w:val="single" w:sz="4" w:space="0" w:color="auto"/>
              <w:right w:val="single" w:sz="4" w:space="0" w:color="auto"/>
            </w:tcBorders>
            <w:vAlign w:val="center"/>
            <w:hideMark/>
          </w:tcPr>
          <w:p w14:paraId="725CDC2A" w14:textId="77777777" w:rsidR="00793DFB" w:rsidRPr="009B4E2B" w:rsidRDefault="00793DFB" w:rsidP="009F1C88">
            <w:pPr>
              <w:bidi/>
              <w:spacing w:after="0" w:line="240" w:lineRule="auto"/>
              <w:jc w:val="center"/>
              <w:rPr>
                <w:rFonts w:ascii="Aptos" w:eastAsia="Times New Roman" w:hAnsi="Aptos" w:cs="Arial"/>
                <w:b/>
                <w:bCs/>
                <w:color w:val="000000"/>
                <w:kern w:val="0"/>
                <w:rtl/>
                <w14:ligatures w14:val="none"/>
              </w:rPr>
            </w:pPr>
            <w:r w:rsidRPr="009B4E2B">
              <w:rPr>
                <w:rFonts w:ascii="Aptos" w:eastAsia="Times New Roman" w:hAnsi="Aptos" w:cs="Arial"/>
                <w:b/>
                <w:bCs/>
                <w:color w:val="000000"/>
                <w:kern w:val="0"/>
                <w:lang w:bidi="ar-EG"/>
                <w14:ligatures w14:val="none"/>
              </w:rPr>
              <w:t>F</w:t>
            </w:r>
          </w:p>
        </w:tc>
        <w:tc>
          <w:tcPr>
            <w:tcW w:w="960" w:type="dxa"/>
            <w:tcBorders>
              <w:top w:val="single" w:sz="8" w:space="0" w:color="auto"/>
              <w:left w:val="single" w:sz="4" w:space="0" w:color="auto"/>
              <w:bottom w:val="single" w:sz="4" w:space="0" w:color="auto"/>
              <w:right w:val="single" w:sz="4" w:space="0" w:color="auto"/>
            </w:tcBorders>
            <w:vAlign w:val="center"/>
            <w:hideMark/>
          </w:tcPr>
          <w:p w14:paraId="6F7728EC" w14:textId="77777777" w:rsidR="00793DFB" w:rsidRPr="009B4E2B" w:rsidRDefault="00793DFB" w:rsidP="009F1C88">
            <w:pPr>
              <w:bidi/>
              <w:spacing w:after="0" w:line="240" w:lineRule="auto"/>
              <w:jc w:val="center"/>
              <w:rPr>
                <w:rFonts w:ascii="Arial" w:eastAsia="Times New Roman" w:hAnsi="Arial" w:cs="Arial"/>
                <w:b/>
                <w:bCs/>
                <w:color w:val="000000"/>
                <w:kern w:val="0"/>
                <w:rtl/>
                <w14:ligatures w14:val="none"/>
              </w:rPr>
            </w:pPr>
            <w:r w:rsidRPr="009B4E2B">
              <w:rPr>
                <w:rFonts w:ascii="Arial" w:eastAsia="Times New Roman" w:hAnsi="Arial" w:cs="Arial" w:hint="cs"/>
                <w:b/>
                <w:bCs/>
                <w:color w:val="000000"/>
                <w:kern w:val="0"/>
                <w:rtl/>
                <w14:ligatures w14:val="none"/>
              </w:rPr>
              <w:t>قيمة</w:t>
            </w:r>
            <w:r w:rsidRPr="009B4E2B">
              <w:rPr>
                <w:rFonts w:ascii="Aptos" w:eastAsia="Times New Roman" w:hAnsi="Aptos" w:cs="Arial"/>
                <w:b/>
                <w:bCs/>
                <w:color w:val="000000"/>
                <w:kern w:val="0"/>
                <w:rtl/>
                <w14:ligatures w14:val="none"/>
              </w:rPr>
              <w:t xml:space="preserve"> </w:t>
            </w:r>
            <w:r w:rsidRPr="009B4E2B">
              <w:rPr>
                <w:rFonts w:ascii="Aptos" w:eastAsia="Times New Roman" w:hAnsi="Aptos" w:cs="Arial"/>
                <w:b/>
                <w:bCs/>
                <w:color w:val="000000"/>
                <w:kern w:val="0"/>
                <w14:ligatures w14:val="none"/>
              </w:rPr>
              <w:t>p</w:t>
            </w:r>
          </w:p>
        </w:tc>
        <w:tc>
          <w:tcPr>
            <w:tcW w:w="960" w:type="dxa"/>
            <w:tcBorders>
              <w:top w:val="single" w:sz="8" w:space="0" w:color="auto"/>
              <w:left w:val="single" w:sz="4" w:space="0" w:color="auto"/>
              <w:bottom w:val="single" w:sz="4" w:space="0" w:color="auto"/>
              <w:right w:val="single" w:sz="8" w:space="0" w:color="auto"/>
            </w:tcBorders>
            <w:vAlign w:val="center"/>
            <w:hideMark/>
          </w:tcPr>
          <w:p w14:paraId="4969D4B4" w14:textId="77777777" w:rsidR="00793DFB" w:rsidRPr="009B4E2B" w:rsidRDefault="00793DFB" w:rsidP="009F1C88">
            <w:pPr>
              <w:bidi/>
              <w:spacing w:after="0" w:line="240" w:lineRule="auto"/>
              <w:jc w:val="center"/>
              <w:rPr>
                <w:rFonts w:ascii="Aptos" w:eastAsia="Times New Roman" w:hAnsi="Aptos" w:cs="Arial"/>
                <w:b/>
                <w:bCs/>
                <w:color w:val="000000"/>
                <w:kern w:val="0"/>
                <w:rtl/>
                <w14:ligatures w14:val="none"/>
              </w:rPr>
            </w:pPr>
            <w:r w:rsidRPr="009B4E2B">
              <w:rPr>
                <w:rFonts w:ascii="Aptos" w:eastAsia="Times New Roman" w:hAnsi="Aptos" w:cs="Arial"/>
                <w:b/>
                <w:bCs/>
                <w:color w:val="000000"/>
                <w:kern w:val="0"/>
                <w:lang w:bidi="ar-EG"/>
                <w14:ligatures w14:val="none"/>
              </w:rPr>
              <w:t>95% CI</w:t>
            </w:r>
          </w:p>
        </w:tc>
      </w:tr>
      <w:tr w:rsidR="00793DFB" w:rsidRPr="009B4E2B" w14:paraId="0730222C" w14:textId="77777777" w:rsidTr="009F1C88">
        <w:trPr>
          <w:trHeight w:val="624"/>
        </w:trPr>
        <w:tc>
          <w:tcPr>
            <w:tcW w:w="2340" w:type="dxa"/>
            <w:tcBorders>
              <w:top w:val="nil"/>
              <w:left w:val="single" w:sz="8" w:space="0" w:color="auto"/>
              <w:bottom w:val="single" w:sz="4" w:space="0" w:color="auto"/>
              <w:right w:val="single" w:sz="4" w:space="0" w:color="auto"/>
            </w:tcBorders>
            <w:vAlign w:val="center"/>
            <w:hideMark/>
          </w:tcPr>
          <w:p w14:paraId="538C0354" w14:textId="77777777" w:rsidR="00793DFB" w:rsidRPr="009B4E2B" w:rsidRDefault="00793DFB" w:rsidP="009F1C88">
            <w:pPr>
              <w:bidi/>
              <w:spacing w:after="0" w:line="240" w:lineRule="auto"/>
              <w:jc w:val="center"/>
              <w:rPr>
                <w:rFonts w:ascii="Arial" w:eastAsia="Times New Roman" w:hAnsi="Arial" w:cs="Arial"/>
                <w:b/>
                <w:bCs/>
                <w:color w:val="000000"/>
                <w:kern w:val="0"/>
                <w:rtl/>
                <w14:ligatures w14:val="none"/>
              </w:rPr>
            </w:pPr>
            <w:r w:rsidRPr="009B4E2B">
              <w:rPr>
                <w:rFonts w:ascii="Arial" w:eastAsia="Times New Roman" w:hAnsi="Arial" w:cs="Arial" w:hint="cs"/>
                <w:b/>
                <w:bCs/>
                <w:color w:val="000000"/>
                <w:kern w:val="0"/>
                <w:rtl/>
                <w14:ligatures w14:val="none"/>
              </w:rPr>
              <w:t>النموذج الأول</w:t>
            </w:r>
            <w:r w:rsidRPr="009B4E2B">
              <w:rPr>
                <w:rFonts w:ascii="Aptos" w:eastAsia="Times New Roman" w:hAnsi="Aptos" w:cs="Arial"/>
                <w:b/>
                <w:bCs/>
                <w:color w:val="000000"/>
                <w:kern w:val="0"/>
                <w:rtl/>
                <w14:ligatures w14:val="none"/>
              </w:rPr>
              <w:t xml:space="preserve"> (</w:t>
            </w:r>
            <w:r w:rsidRPr="009B4E2B">
              <w:rPr>
                <w:rFonts w:ascii="Aptos" w:eastAsia="Times New Roman" w:hAnsi="Aptos" w:cs="Arial"/>
                <w:b/>
                <w:bCs/>
                <w:color w:val="000000"/>
                <w:kern w:val="0"/>
                <w14:ligatures w14:val="none"/>
              </w:rPr>
              <w:t>HPWS</w:t>
            </w:r>
            <w:r w:rsidRPr="009B4E2B">
              <w:rPr>
                <w:rFonts w:ascii="Aptos" w:eastAsia="Times New Roman" w:hAnsi="Aptos" w:cs="Arial"/>
                <w:b/>
                <w:bCs/>
                <w:color w:val="000000"/>
                <w:kern w:val="0"/>
                <w:rtl/>
                <w14:ligatures w14:val="none"/>
              </w:rPr>
              <w:t xml:space="preserve"> → </w:t>
            </w:r>
            <w:proofErr w:type="spellStart"/>
            <w:r w:rsidRPr="009B4E2B">
              <w:rPr>
                <w:rFonts w:ascii="Aptos" w:eastAsia="Times New Roman" w:hAnsi="Aptos" w:cs="Arial"/>
                <w:b/>
                <w:bCs/>
                <w:color w:val="000000"/>
                <w:kern w:val="0"/>
                <w14:ligatures w14:val="none"/>
              </w:rPr>
              <w:t>Org_Cul</w:t>
            </w:r>
            <w:proofErr w:type="spellEnd"/>
            <w:r w:rsidRPr="009B4E2B">
              <w:rPr>
                <w:rFonts w:ascii="Aptos" w:eastAsia="Times New Roman" w:hAnsi="Aptos" w:cs="Arial"/>
                <w:b/>
                <w:bCs/>
                <w:color w:val="000000"/>
                <w:kern w:val="0"/>
                <w:rtl/>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3D68948B" w14:textId="77777777" w:rsidR="00793DFB" w:rsidRPr="009B4E2B" w:rsidRDefault="00793DFB" w:rsidP="009F1C88">
            <w:pPr>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14:ligatures w14:val="none"/>
              </w:rPr>
              <w:t> </w:t>
            </w:r>
          </w:p>
        </w:tc>
        <w:tc>
          <w:tcPr>
            <w:tcW w:w="1060" w:type="dxa"/>
            <w:tcBorders>
              <w:top w:val="nil"/>
              <w:left w:val="single" w:sz="4" w:space="0" w:color="auto"/>
              <w:bottom w:val="single" w:sz="4" w:space="0" w:color="auto"/>
              <w:right w:val="single" w:sz="4" w:space="0" w:color="auto"/>
            </w:tcBorders>
            <w:vAlign w:val="center"/>
            <w:hideMark/>
          </w:tcPr>
          <w:p w14:paraId="701768F7" w14:textId="77777777" w:rsidR="00793DFB" w:rsidRPr="009B4E2B" w:rsidRDefault="00793DFB" w:rsidP="009F1C88">
            <w:pPr>
              <w:spacing w:after="0" w:line="240" w:lineRule="auto"/>
              <w:jc w:val="center"/>
              <w:rPr>
                <w:rFonts w:ascii="Aptos" w:eastAsia="Times New Roman" w:hAnsi="Aptos" w:cs="Arial"/>
                <w:color w:val="000000"/>
                <w:kern w:val="0"/>
                <w14:ligatures w14:val="none"/>
              </w:rPr>
            </w:pPr>
            <w:r w:rsidRPr="009B4E2B">
              <w:rPr>
                <w:rFonts w:ascii="Aptos" w:eastAsia="Times New Roman" w:hAnsi="Aptos" w:cs="Arial"/>
                <w:color w:val="000000"/>
                <w:kern w:val="0"/>
                <w14:ligatures w14:val="none"/>
              </w:rPr>
              <w:t> </w:t>
            </w:r>
          </w:p>
        </w:tc>
        <w:tc>
          <w:tcPr>
            <w:tcW w:w="960" w:type="dxa"/>
            <w:tcBorders>
              <w:top w:val="nil"/>
              <w:left w:val="single" w:sz="4" w:space="0" w:color="auto"/>
              <w:bottom w:val="single" w:sz="4" w:space="0" w:color="auto"/>
              <w:right w:val="single" w:sz="4" w:space="0" w:color="auto"/>
            </w:tcBorders>
            <w:vAlign w:val="center"/>
            <w:hideMark/>
          </w:tcPr>
          <w:p w14:paraId="4D22CF14" w14:textId="77777777" w:rsidR="00793DFB" w:rsidRPr="009B4E2B" w:rsidRDefault="00793DFB" w:rsidP="009F1C88">
            <w:pPr>
              <w:spacing w:after="0" w:line="240" w:lineRule="auto"/>
              <w:jc w:val="center"/>
              <w:rPr>
                <w:rFonts w:ascii="Aptos" w:eastAsia="Times New Roman" w:hAnsi="Aptos" w:cs="Arial"/>
                <w:color w:val="000000"/>
                <w:kern w:val="0"/>
                <w14:ligatures w14:val="none"/>
              </w:rPr>
            </w:pPr>
            <w:r w:rsidRPr="009B4E2B">
              <w:rPr>
                <w:rFonts w:ascii="Aptos" w:eastAsia="Times New Roman" w:hAnsi="Aptos" w:cs="Arial"/>
                <w:color w:val="000000"/>
                <w:kern w:val="0"/>
                <w14:ligatures w14:val="none"/>
              </w:rPr>
              <w:t> </w:t>
            </w:r>
          </w:p>
        </w:tc>
        <w:tc>
          <w:tcPr>
            <w:tcW w:w="960" w:type="dxa"/>
            <w:tcBorders>
              <w:top w:val="nil"/>
              <w:left w:val="single" w:sz="4" w:space="0" w:color="auto"/>
              <w:bottom w:val="single" w:sz="4" w:space="0" w:color="auto"/>
              <w:right w:val="single" w:sz="4" w:space="0" w:color="auto"/>
            </w:tcBorders>
            <w:vAlign w:val="center"/>
            <w:hideMark/>
          </w:tcPr>
          <w:p w14:paraId="4B6F1C24" w14:textId="77777777" w:rsidR="00793DFB" w:rsidRPr="009B4E2B" w:rsidRDefault="00793DFB" w:rsidP="009F1C88">
            <w:pPr>
              <w:bidi/>
              <w:spacing w:after="0" w:line="240" w:lineRule="auto"/>
              <w:jc w:val="center"/>
              <w:rPr>
                <w:rFonts w:ascii="Aptos" w:eastAsia="Times New Roman" w:hAnsi="Aptos" w:cs="Arial"/>
                <w:color w:val="000000"/>
                <w:kern w:val="0"/>
                <w14:ligatures w14:val="none"/>
              </w:rPr>
            </w:pPr>
            <w:r w:rsidRPr="009B4E2B">
              <w:rPr>
                <w:rFonts w:ascii="Aptos" w:eastAsia="Times New Roman" w:hAnsi="Aptos" w:cs="Arial"/>
                <w:color w:val="000000"/>
                <w:kern w:val="0"/>
                <w:lang w:bidi="ar-EG"/>
                <w14:ligatures w14:val="none"/>
              </w:rPr>
              <w:t>0.8558</w:t>
            </w:r>
          </w:p>
        </w:tc>
        <w:tc>
          <w:tcPr>
            <w:tcW w:w="960" w:type="dxa"/>
            <w:tcBorders>
              <w:top w:val="nil"/>
              <w:left w:val="single" w:sz="4" w:space="0" w:color="auto"/>
              <w:bottom w:val="single" w:sz="4" w:space="0" w:color="auto"/>
              <w:right w:val="single" w:sz="4" w:space="0" w:color="auto"/>
            </w:tcBorders>
            <w:vAlign w:val="center"/>
            <w:hideMark/>
          </w:tcPr>
          <w:p w14:paraId="00975DCF"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2361.4</w:t>
            </w:r>
          </w:p>
        </w:tc>
        <w:tc>
          <w:tcPr>
            <w:tcW w:w="960" w:type="dxa"/>
            <w:tcBorders>
              <w:top w:val="nil"/>
              <w:left w:val="single" w:sz="4" w:space="0" w:color="auto"/>
              <w:bottom w:val="single" w:sz="4" w:space="0" w:color="auto"/>
              <w:right w:val="single" w:sz="4" w:space="0" w:color="auto"/>
            </w:tcBorders>
            <w:vAlign w:val="center"/>
            <w:hideMark/>
          </w:tcPr>
          <w:p w14:paraId="49F681AD"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0</w:t>
            </w:r>
          </w:p>
        </w:tc>
        <w:tc>
          <w:tcPr>
            <w:tcW w:w="960" w:type="dxa"/>
            <w:tcBorders>
              <w:top w:val="nil"/>
              <w:left w:val="single" w:sz="4" w:space="0" w:color="auto"/>
              <w:bottom w:val="single" w:sz="4" w:space="0" w:color="auto"/>
              <w:right w:val="single" w:sz="8" w:space="0" w:color="auto"/>
            </w:tcBorders>
            <w:vAlign w:val="center"/>
            <w:hideMark/>
          </w:tcPr>
          <w:p w14:paraId="10D99B86" w14:textId="77777777" w:rsidR="00793DFB" w:rsidRPr="009B4E2B" w:rsidRDefault="00793DFB" w:rsidP="009F1C88">
            <w:pPr>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14:ligatures w14:val="none"/>
              </w:rPr>
              <w:t> </w:t>
            </w:r>
          </w:p>
        </w:tc>
      </w:tr>
      <w:tr w:rsidR="00793DFB" w:rsidRPr="009B4E2B" w14:paraId="1A47CD18" w14:textId="77777777" w:rsidTr="009F1C88">
        <w:trPr>
          <w:trHeight w:val="936"/>
        </w:trPr>
        <w:tc>
          <w:tcPr>
            <w:tcW w:w="2340" w:type="dxa"/>
            <w:tcBorders>
              <w:top w:val="nil"/>
              <w:left w:val="single" w:sz="8" w:space="0" w:color="auto"/>
              <w:bottom w:val="single" w:sz="4" w:space="0" w:color="auto"/>
              <w:right w:val="single" w:sz="4" w:space="0" w:color="auto"/>
            </w:tcBorders>
            <w:vAlign w:val="center"/>
            <w:hideMark/>
          </w:tcPr>
          <w:p w14:paraId="5C9BB831" w14:textId="77777777" w:rsidR="00793DFB" w:rsidRPr="009B4E2B" w:rsidRDefault="00793DFB" w:rsidP="009F1C88">
            <w:pPr>
              <w:bidi/>
              <w:spacing w:after="0" w:line="240" w:lineRule="auto"/>
              <w:jc w:val="center"/>
              <w:rPr>
                <w:rFonts w:ascii="Aptos" w:eastAsia="Times New Roman" w:hAnsi="Aptos" w:cs="Arial"/>
                <w:color w:val="000000"/>
                <w:kern w:val="0"/>
                <w14:ligatures w14:val="none"/>
              </w:rPr>
            </w:pPr>
            <w:r w:rsidRPr="009B4E2B">
              <w:rPr>
                <w:rFonts w:ascii="Aptos" w:eastAsia="Times New Roman" w:hAnsi="Aptos" w:cs="Arial"/>
                <w:color w:val="000000"/>
                <w:kern w:val="0"/>
                <w:lang w:bidi="ar-EG"/>
                <w14:ligatures w14:val="none"/>
              </w:rPr>
              <w:t xml:space="preserve">HPWS → </w:t>
            </w:r>
            <w:proofErr w:type="spellStart"/>
            <w:r w:rsidRPr="009B4E2B">
              <w:rPr>
                <w:rFonts w:ascii="Aptos" w:eastAsia="Times New Roman" w:hAnsi="Aptos" w:cs="Arial"/>
                <w:color w:val="000000"/>
                <w:kern w:val="0"/>
                <w:lang w:bidi="ar-EG"/>
                <w14:ligatures w14:val="none"/>
              </w:rPr>
              <w:t>Org_Cul</w:t>
            </w:r>
            <w:proofErr w:type="spellEnd"/>
          </w:p>
        </w:tc>
        <w:tc>
          <w:tcPr>
            <w:tcW w:w="960" w:type="dxa"/>
            <w:tcBorders>
              <w:top w:val="nil"/>
              <w:left w:val="single" w:sz="4" w:space="0" w:color="auto"/>
              <w:bottom w:val="single" w:sz="4" w:space="0" w:color="auto"/>
              <w:right w:val="single" w:sz="4" w:space="0" w:color="auto"/>
            </w:tcBorders>
            <w:vAlign w:val="center"/>
            <w:hideMark/>
          </w:tcPr>
          <w:p w14:paraId="5CF61135"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0.969</w:t>
            </w:r>
          </w:p>
        </w:tc>
        <w:tc>
          <w:tcPr>
            <w:tcW w:w="1060" w:type="dxa"/>
            <w:tcBorders>
              <w:top w:val="nil"/>
              <w:left w:val="single" w:sz="4" w:space="0" w:color="auto"/>
              <w:bottom w:val="single" w:sz="4" w:space="0" w:color="auto"/>
              <w:right w:val="single" w:sz="4" w:space="0" w:color="auto"/>
            </w:tcBorders>
            <w:vAlign w:val="center"/>
            <w:hideMark/>
          </w:tcPr>
          <w:p w14:paraId="66FEFD30"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0.0199</w:t>
            </w:r>
          </w:p>
        </w:tc>
        <w:tc>
          <w:tcPr>
            <w:tcW w:w="960" w:type="dxa"/>
            <w:tcBorders>
              <w:top w:val="nil"/>
              <w:left w:val="single" w:sz="4" w:space="0" w:color="auto"/>
              <w:bottom w:val="single" w:sz="4" w:space="0" w:color="auto"/>
              <w:right w:val="single" w:sz="4" w:space="0" w:color="auto"/>
            </w:tcBorders>
            <w:vAlign w:val="center"/>
            <w:hideMark/>
          </w:tcPr>
          <w:p w14:paraId="5F43F998"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48.594</w:t>
            </w:r>
          </w:p>
        </w:tc>
        <w:tc>
          <w:tcPr>
            <w:tcW w:w="960" w:type="dxa"/>
            <w:tcBorders>
              <w:top w:val="nil"/>
              <w:left w:val="single" w:sz="4" w:space="0" w:color="auto"/>
              <w:bottom w:val="single" w:sz="4" w:space="0" w:color="auto"/>
              <w:right w:val="single" w:sz="4" w:space="0" w:color="auto"/>
            </w:tcBorders>
            <w:vAlign w:val="center"/>
            <w:hideMark/>
          </w:tcPr>
          <w:p w14:paraId="4DCB3048" w14:textId="77777777" w:rsidR="00793DFB" w:rsidRPr="009B4E2B" w:rsidRDefault="00793DFB" w:rsidP="009F1C88">
            <w:pPr>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14:ligatures w14:val="none"/>
              </w:rPr>
              <w:t> </w:t>
            </w:r>
          </w:p>
        </w:tc>
        <w:tc>
          <w:tcPr>
            <w:tcW w:w="960" w:type="dxa"/>
            <w:tcBorders>
              <w:top w:val="nil"/>
              <w:left w:val="single" w:sz="4" w:space="0" w:color="auto"/>
              <w:bottom w:val="single" w:sz="4" w:space="0" w:color="auto"/>
              <w:right w:val="single" w:sz="4" w:space="0" w:color="auto"/>
            </w:tcBorders>
            <w:vAlign w:val="center"/>
            <w:hideMark/>
          </w:tcPr>
          <w:p w14:paraId="070821DC" w14:textId="77777777" w:rsidR="00793DFB" w:rsidRPr="009B4E2B" w:rsidRDefault="00793DFB" w:rsidP="009F1C88">
            <w:pPr>
              <w:spacing w:after="0" w:line="240" w:lineRule="auto"/>
              <w:jc w:val="center"/>
              <w:rPr>
                <w:rFonts w:ascii="Aptos" w:eastAsia="Times New Roman" w:hAnsi="Aptos" w:cs="Arial"/>
                <w:color w:val="000000"/>
                <w:kern w:val="0"/>
                <w14:ligatures w14:val="none"/>
              </w:rPr>
            </w:pPr>
            <w:r w:rsidRPr="009B4E2B">
              <w:rPr>
                <w:rFonts w:ascii="Aptos" w:eastAsia="Times New Roman" w:hAnsi="Aptos" w:cs="Arial"/>
                <w:color w:val="000000"/>
                <w:kern w:val="0"/>
                <w14:ligatures w14:val="none"/>
              </w:rPr>
              <w:t> </w:t>
            </w:r>
          </w:p>
        </w:tc>
        <w:tc>
          <w:tcPr>
            <w:tcW w:w="960" w:type="dxa"/>
            <w:tcBorders>
              <w:top w:val="nil"/>
              <w:left w:val="single" w:sz="4" w:space="0" w:color="auto"/>
              <w:bottom w:val="single" w:sz="4" w:space="0" w:color="auto"/>
              <w:right w:val="single" w:sz="4" w:space="0" w:color="auto"/>
            </w:tcBorders>
            <w:vAlign w:val="center"/>
            <w:hideMark/>
          </w:tcPr>
          <w:p w14:paraId="5E07B762" w14:textId="77777777" w:rsidR="00793DFB" w:rsidRPr="009B4E2B" w:rsidRDefault="00793DFB" w:rsidP="009F1C88">
            <w:pPr>
              <w:bidi/>
              <w:spacing w:after="0" w:line="240" w:lineRule="auto"/>
              <w:jc w:val="center"/>
              <w:rPr>
                <w:rFonts w:ascii="Aptos" w:eastAsia="Times New Roman" w:hAnsi="Aptos" w:cs="Arial"/>
                <w:color w:val="000000"/>
                <w:kern w:val="0"/>
                <w14:ligatures w14:val="none"/>
              </w:rPr>
            </w:pPr>
            <w:r w:rsidRPr="009B4E2B">
              <w:rPr>
                <w:rFonts w:ascii="Aptos" w:eastAsia="Times New Roman" w:hAnsi="Aptos" w:cs="Arial"/>
                <w:color w:val="000000"/>
                <w:kern w:val="0"/>
                <w:lang w:bidi="ar-EG"/>
                <w14:ligatures w14:val="none"/>
              </w:rPr>
              <w:t>0</w:t>
            </w:r>
          </w:p>
        </w:tc>
        <w:tc>
          <w:tcPr>
            <w:tcW w:w="960" w:type="dxa"/>
            <w:tcBorders>
              <w:top w:val="nil"/>
              <w:left w:val="single" w:sz="4" w:space="0" w:color="auto"/>
              <w:bottom w:val="single" w:sz="4" w:space="0" w:color="auto"/>
              <w:right w:val="single" w:sz="8" w:space="0" w:color="auto"/>
            </w:tcBorders>
            <w:vAlign w:val="center"/>
            <w:hideMark/>
          </w:tcPr>
          <w:p w14:paraId="691308DC"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w:t>
            </w:r>
            <w:proofErr w:type="gramStart"/>
            <w:r w:rsidRPr="009B4E2B">
              <w:rPr>
                <w:rFonts w:ascii="Aptos" w:eastAsia="Times New Roman" w:hAnsi="Aptos" w:cs="Arial"/>
                <w:color w:val="000000"/>
                <w:kern w:val="0"/>
                <w:lang w:bidi="ar-EG"/>
                <w14:ligatures w14:val="none"/>
              </w:rPr>
              <w:t>0.9298 ,</w:t>
            </w:r>
            <w:proofErr w:type="gramEnd"/>
            <w:r w:rsidRPr="009B4E2B">
              <w:rPr>
                <w:rFonts w:ascii="Aptos" w:eastAsia="Times New Roman" w:hAnsi="Aptos" w:cs="Arial"/>
                <w:color w:val="000000"/>
                <w:kern w:val="0"/>
                <w:lang w:bidi="ar-EG"/>
                <w14:ligatures w14:val="none"/>
              </w:rPr>
              <w:t xml:space="preserve"> 1.0082]</w:t>
            </w:r>
          </w:p>
        </w:tc>
      </w:tr>
      <w:tr w:rsidR="00793DFB" w:rsidRPr="009B4E2B" w14:paraId="2C3C2EE2" w14:textId="77777777" w:rsidTr="009F1C88">
        <w:trPr>
          <w:trHeight w:val="624"/>
        </w:trPr>
        <w:tc>
          <w:tcPr>
            <w:tcW w:w="2340" w:type="dxa"/>
            <w:tcBorders>
              <w:top w:val="nil"/>
              <w:left w:val="single" w:sz="8" w:space="0" w:color="auto"/>
              <w:bottom w:val="single" w:sz="4" w:space="0" w:color="auto"/>
              <w:right w:val="single" w:sz="4" w:space="0" w:color="auto"/>
            </w:tcBorders>
            <w:vAlign w:val="center"/>
            <w:hideMark/>
          </w:tcPr>
          <w:p w14:paraId="4F93DE25" w14:textId="77777777" w:rsidR="00793DFB" w:rsidRPr="009B4E2B" w:rsidRDefault="00793DFB" w:rsidP="009F1C88">
            <w:pPr>
              <w:bidi/>
              <w:spacing w:after="0" w:line="240" w:lineRule="auto"/>
              <w:jc w:val="center"/>
              <w:rPr>
                <w:rFonts w:ascii="Arial" w:eastAsia="Times New Roman" w:hAnsi="Arial" w:cs="Arial"/>
                <w:b/>
                <w:bCs/>
                <w:color w:val="000000"/>
                <w:kern w:val="0"/>
                <w:rtl/>
                <w14:ligatures w14:val="none"/>
              </w:rPr>
            </w:pPr>
            <w:r w:rsidRPr="009B4E2B">
              <w:rPr>
                <w:rFonts w:ascii="Arial" w:eastAsia="Times New Roman" w:hAnsi="Arial" w:cs="Arial" w:hint="cs"/>
                <w:b/>
                <w:bCs/>
                <w:color w:val="000000"/>
                <w:kern w:val="0"/>
                <w:rtl/>
                <w14:ligatures w14:val="none"/>
              </w:rPr>
              <w:t>النموذج الثاني</w:t>
            </w:r>
            <w:r w:rsidRPr="009B4E2B">
              <w:rPr>
                <w:rFonts w:ascii="Aptos" w:eastAsia="Times New Roman" w:hAnsi="Aptos" w:cs="Arial"/>
                <w:b/>
                <w:bCs/>
                <w:color w:val="000000"/>
                <w:kern w:val="0"/>
                <w:rtl/>
                <w14:ligatures w14:val="none"/>
              </w:rPr>
              <w:t xml:space="preserve"> (</w:t>
            </w:r>
            <w:r w:rsidRPr="009B4E2B">
              <w:rPr>
                <w:rFonts w:ascii="Aptos" w:eastAsia="Times New Roman" w:hAnsi="Aptos" w:cs="Arial"/>
                <w:b/>
                <w:bCs/>
                <w:color w:val="000000"/>
                <w:kern w:val="0"/>
                <w14:ligatures w14:val="none"/>
              </w:rPr>
              <w:t>HPWS</w:t>
            </w:r>
            <w:r w:rsidRPr="009B4E2B">
              <w:rPr>
                <w:rFonts w:ascii="Aptos" w:eastAsia="Times New Roman" w:hAnsi="Aptos" w:cs="Arial"/>
                <w:b/>
                <w:bCs/>
                <w:color w:val="000000"/>
                <w:kern w:val="0"/>
                <w:rtl/>
                <w14:ligatures w14:val="none"/>
              </w:rPr>
              <w:t xml:space="preserve">, </w:t>
            </w:r>
            <w:proofErr w:type="spellStart"/>
            <w:r w:rsidRPr="009B4E2B">
              <w:rPr>
                <w:rFonts w:ascii="Aptos" w:eastAsia="Times New Roman" w:hAnsi="Aptos" w:cs="Arial"/>
                <w:b/>
                <w:bCs/>
                <w:color w:val="000000"/>
                <w:kern w:val="0"/>
                <w14:ligatures w14:val="none"/>
              </w:rPr>
              <w:t>Org_Cul</w:t>
            </w:r>
            <w:proofErr w:type="spellEnd"/>
            <w:r w:rsidRPr="009B4E2B">
              <w:rPr>
                <w:rFonts w:ascii="Aptos" w:eastAsia="Times New Roman" w:hAnsi="Aptos" w:cs="Arial"/>
                <w:b/>
                <w:bCs/>
                <w:color w:val="000000"/>
                <w:kern w:val="0"/>
                <w14:ligatures w14:val="none"/>
              </w:rPr>
              <w:t xml:space="preserve"> → CREAT</w:t>
            </w:r>
            <w:r w:rsidRPr="009B4E2B">
              <w:rPr>
                <w:rFonts w:ascii="Aptos" w:eastAsia="Times New Roman" w:hAnsi="Aptos" w:cs="Arial"/>
                <w:b/>
                <w:bCs/>
                <w:color w:val="000000"/>
                <w:kern w:val="0"/>
                <w:rtl/>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76BE15C4" w14:textId="77777777" w:rsidR="00793DFB" w:rsidRPr="009B4E2B" w:rsidRDefault="00793DFB" w:rsidP="009F1C88">
            <w:pPr>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14:ligatures w14:val="none"/>
              </w:rPr>
              <w:t> </w:t>
            </w:r>
          </w:p>
        </w:tc>
        <w:tc>
          <w:tcPr>
            <w:tcW w:w="1060" w:type="dxa"/>
            <w:tcBorders>
              <w:top w:val="nil"/>
              <w:left w:val="single" w:sz="4" w:space="0" w:color="auto"/>
              <w:bottom w:val="single" w:sz="4" w:space="0" w:color="auto"/>
              <w:right w:val="single" w:sz="4" w:space="0" w:color="auto"/>
            </w:tcBorders>
            <w:vAlign w:val="center"/>
            <w:hideMark/>
          </w:tcPr>
          <w:p w14:paraId="755608B8" w14:textId="77777777" w:rsidR="00793DFB" w:rsidRPr="009B4E2B" w:rsidRDefault="00793DFB" w:rsidP="009F1C88">
            <w:pPr>
              <w:spacing w:after="0" w:line="240" w:lineRule="auto"/>
              <w:jc w:val="center"/>
              <w:rPr>
                <w:rFonts w:ascii="Aptos" w:eastAsia="Times New Roman" w:hAnsi="Aptos" w:cs="Arial"/>
                <w:color w:val="000000"/>
                <w:kern w:val="0"/>
                <w14:ligatures w14:val="none"/>
              </w:rPr>
            </w:pPr>
            <w:r w:rsidRPr="009B4E2B">
              <w:rPr>
                <w:rFonts w:ascii="Aptos" w:eastAsia="Times New Roman" w:hAnsi="Aptos" w:cs="Arial"/>
                <w:color w:val="000000"/>
                <w:kern w:val="0"/>
                <w14:ligatures w14:val="none"/>
              </w:rPr>
              <w:t> </w:t>
            </w:r>
          </w:p>
        </w:tc>
        <w:tc>
          <w:tcPr>
            <w:tcW w:w="960" w:type="dxa"/>
            <w:tcBorders>
              <w:top w:val="nil"/>
              <w:left w:val="single" w:sz="4" w:space="0" w:color="auto"/>
              <w:bottom w:val="single" w:sz="4" w:space="0" w:color="auto"/>
              <w:right w:val="single" w:sz="4" w:space="0" w:color="auto"/>
            </w:tcBorders>
            <w:vAlign w:val="center"/>
            <w:hideMark/>
          </w:tcPr>
          <w:p w14:paraId="00997941" w14:textId="77777777" w:rsidR="00793DFB" w:rsidRPr="009B4E2B" w:rsidRDefault="00793DFB" w:rsidP="009F1C88">
            <w:pPr>
              <w:spacing w:after="0" w:line="240" w:lineRule="auto"/>
              <w:jc w:val="center"/>
              <w:rPr>
                <w:rFonts w:ascii="Aptos" w:eastAsia="Times New Roman" w:hAnsi="Aptos" w:cs="Arial"/>
                <w:color w:val="000000"/>
                <w:kern w:val="0"/>
                <w14:ligatures w14:val="none"/>
              </w:rPr>
            </w:pPr>
            <w:r w:rsidRPr="009B4E2B">
              <w:rPr>
                <w:rFonts w:ascii="Aptos" w:eastAsia="Times New Roman" w:hAnsi="Aptos" w:cs="Arial"/>
                <w:color w:val="000000"/>
                <w:kern w:val="0"/>
                <w14:ligatures w14:val="none"/>
              </w:rPr>
              <w:t> </w:t>
            </w:r>
          </w:p>
        </w:tc>
        <w:tc>
          <w:tcPr>
            <w:tcW w:w="960" w:type="dxa"/>
            <w:tcBorders>
              <w:top w:val="nil"/>
              <w:left w:val="single" w:sz="4" w:space="0" w:color="auto"/>
              <w:bottom w:val="single" w:sz="4" w:space="0" w:color="auto"/>
              <w:right w:val="single" w:sz="4" w:space="0" w:color="auto"/>
            </w:tcBorders>
            <w:vAlign w:val="center"/>
            <w:hideMark/>
          </w:tcPr>
          <w:p w14:paraId="1ACD5036" w14:textId="77777777" w:rsidR="00793DFB" w:rsidRPr="009B4E2B" w:rsidRDefault="00793DFB" w:rsidP="009F1C88">
            <w:pPr>
              <w:bidi/>
              <w:spacing w:after="0" w:line="240" w:lineRule="auto"/>
              <w:jc w:val="center"/>
              <w:rPr>
                <w:rFonts w:ascii="Aptos" w:eastAsia="Times New Roman" w:hAnsi="Aptos" w:cs="Arial"/>
                <w:color w:val="000000"/>
                <w:kern w:val="0"/>
                <w14:ligatures w14:val="none"/>
              </w:rPr>
            </w:pPr>
            <w:r w:rsidRPr="009B4E2B">
              <w:rPr>
                <w:rFonts w:ascii="Aptos" w:eastAsia="Times New Roman" w:hAnsi="Aptos" w:cs="Arial"/>
                <w:color w:val="000000"/>
                <w:kern w:val="0"/>
                <w:lang w:bidi="ar-EG"/>
                <w14:ligatures w14:val="none"/>
              </w:rPr>
              <w:t>0.8081</w:t>
            </w:r>
          </w:p>
        </w:tc>
        <w:tc>
          <w:tcPr>
            <w:tcW w:w="960" w:type="dxa"/>
            <w:tcBorders>
              <w:top w:val="nil"/>
              <w:left w:val="single" w:sz="4" w:space="0" w:color="auto"/>
              <w:bottom w:val="single" w:sz="4" w:space="0" w:color="auto"/>
              <w:right w:val="single" w:sz="4" w:space="0" w:color="auto"/>
            </w:tcBorders>
            <w:vAlign w:val="center"/>
            <w:hideMark/>
          </w:tcPr>
          <w:p w14:paraId="518AF7CA"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835.7</w:t>
            </w:r>
          </w:p>
        </w:tc>
        <w:tc>
          <w:tcPr>
            <w:tcW w:w="960" w:type="dxa"/>
            <w:tcBorders>
              <w:top w:val="nil"/>
              <w:left w:val="single" w:sz="4" w:space="0" w:color="auto"/>
              <w:bottom w:val="single" w:sz="4" w:space="0" w:color="auto"/>
              <w:right w:val="single" w:sz="4" w:space="0" w:color="auto"/>
            </w:tcBorders>
            <w:vAlign w:val="center"/>
            <w:hideMark/>
          </w:tcPr>
          <w:p w14:paraId="5B50F35C"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0</w:t>
            </w:r>
          </w:p>
        </w:tc>
        <w:tc>
          <w:tcPr>
            <w:tcW w:w="960" w:type="dxa"/>
            <w:tcBorders>
              <w:top w:val="nil"/>
              <w:left w:val="single" w:sz="4" w:space="0" w:color="auto"/>
              <w:bottom w:val="single" w:sz="4" w:space="0" w:color="auto"/>
              <w:right w:val="single" w:sz="8" w:space="0" w:color="auto"/>
            </w:tcBorders>
            <w:vAlign w:val="center"/>
            <w:hideMark/>
          </w:tcPr>
          <w:p w14:paraId="4B94F307" w14:textId="77777777" w:rsidR="00793DFB" w:rsidRPr="009B4E2B" w:rsidRDefault="00793DFB" w:rsidP="009F1C88">
            <w:pPr>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14:ligatures w14:val="none"/>
              </w:rPr>
              <w:t> </w:t>
            </w:r>
          </w:p>
        </w:tc>
      </w:tr>
      <w:tr w:rsidR="00793DFB" w:rsidRPr="009B4E2B" w14:paraId="24F57E68" w14:textId="77777777" w:rsidTr="009F1C88">
        <w:trPr>
          <w:trHeight w:val="936"/>
        </w:trPr>
        <w:tc>
          <w:tcPr>
            <w:tcW w:w="2340" w:type="dxa"/>
            <w:tcBorders>
              <w:top w:val="nil"/>
              <w:left w:val="single" w:sz="8" w:space="0" w:color="auto"/>
              <w:bottom w:val="single" w:sz="4" w:space="0" w:color="auto"/>
              <w:right w:val="single" w:sz="4" w:space="0" w:color="auto"/>
            </w:tcBorders>
            <w:vAlign w:val="center"/>
            <w:hideMark/>
          </w:tcPr>
          <w:p w14:paraId="1BDF57B0" w14:textId="77777777" w:rsidR="00793DFB" w:rsidRPr="009B4E2B" w:rsidRDefault="00793DFB" w:rsidP="009F1C88">
            <w:pPr>
              <w:bidi/>
              <w:spacing w:after="0" w:line="240" w:lineRule="auto"/>
              <w:jc w:val="center"/>
              <w:rPr>
                <w:rFonts w:ascii="Aptos" w:eastAsia="Times New Roman" w:hAnsi="Aptos" w:cs="Arial"/>
                <w:color w:val="000000"/>
                <w:kern w:val="0"/>
                <w14:ligatures w14:val="none"/>
              </w:rPr>
            </w:pPr>
            <w:r w:rsidRPr="009B4E2B">
              <w:rPr>
                <w:rFonts w:ascii="Aptos" w:eastAsia="Times New Roman" w:hAnsi="Aptos" w:cs="Arial"/>
                <w:color w:val="000000"/>
                <w:kern w:val="0"/>
                <w:lang w:bidi="ar-EG"/>
                <w14:ligatures w14:val="none"/>
              </w:rPr>
              <w:t>HPWS → CREAT (</w:t>
            </w:r>
            <w:r w:rsidRPr="009B4E2B">
              <w:rPr>
                <w:rFonts w:ascii="Arial" w:eastAsia="Times New Roman" w:hAnsi="Arial" w:cs="Arial"/>
                <w:color w:val="000000"/>
                <w:kern w:val="0"/>
                <w:rtl/>
                <w:lang w:bidi="ar-EG"/>
                <w14:ligatures w14:val="none"/>
              </w:rPr>
              <w:t>الأثر المباشر</w:t>
            </w:r>
            <w:r w:rsidRPr="009B4E2B">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6233CEA1"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0.4862</w:t>
            </w:r>
          </w:p>
        </w:tc>
        <w:tc>
          <w:tcPr>
            <w:tcW w:w="1060" w:type="dxa"/>
            <w:tcBorders>
              <w:top w:val="nil"/>
              <w:left w:val="single" w:sz="4" w:space="0" w:color="auto"/>
              <w:bottom w:val="single" w:sz="4" w:space="0" w:color="auto"/>
              <w:right w:val="single" w:sz="4" w:space="0" w:color="auto"/>
            </w:tcBorders>
            <w:vAlign w:val="center"/>
            <w:hideMark/>
          </w:tcPr>
          <w:p w14:paraId="788AF291"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0.0575</w:t>
            </w:r>
          </w:p>
        </w:tc>
        <w:tc>
          <w:tcPr>
            <w:tcW w:w="960" w:type="dxa"/>
            <w:tcBorders>
              <w:top w:val="nil"/>
              <w:left w:val="single" w:sz="4" w:space="0" w:color="auto"/>
              <w:bottom w:val="single" w:sz="4" w:space="0" w:color="auto"/>
              <w:right w:val="single" w:sz="4" w:space="0" w:color="auto"/>
            </w:tcBorders>
            <w:vAlign w:val="center"/>
            <w:hideMark/>
          </w:tcPr>
          <w:p w14:paraId="05889D17"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8.452</w:t>
            </w:r>
          </w:p>
        </w:tc>
        <w:tc>
          <w:tcPr>
            <w:tcW w:w="960" w:type="dxa"/>
            <w:tcBorders>
              <w:top w:val="nil"/>
              <w:left w:val="single" w:sz="4" w:space="0" w:color="auto"/>
              <w:bottom w:val="single" w:sz="4" w:space="0" w:color="auto"/>
              <w:right w:val="single" w:sz="4" w:space="0" w:color="auto"/>
            </w:tcBorders>
            <w:vAlign w:val="center"/>
            <w:hideMark/>
          </w:tcPr>
          <w:p w14:paraId="64FF2AEF" w14:textId="77777777" w:rsidR="00793DFB" w:rsidRPr="009B4E2B" w:rsidRDefault="00793DFB" w:rsidP="009F1C88">
            <w:pPr>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14:ligatures w14:val="none"/>
              </w:rPr>
              <w:t> </w:t>
            </w:r>
          </w:p>
        </w:tc>
        <w:tc>
          <w:tcPr>
            <w:tcW w:w="960" w:type="dxa"/>
            <w:tcBorders>
              <w:top w:val="nil"/>
              <w:left w:val="single" w:sz="4" w:space="0" w:color="auto"/>
              <w:bottom w:val="single" w:sz="4" w:space="0" w:color="auto"/>
              <w:right w:val="single" w:sz="4" w:space="0" w:color="auto"/>
            </w:tcBorders>
            <w:vAlign w:val="center"/>
            <w:hideMark/>
          </w:tcPr>
          <w:p w14:paraId="2C1EF9C7" w14:textId="77777777" w:rsidR="00793DFB" w:rsidRPr="009B4E2B" w:rsidRDefault="00793DFB" w:rsidP="009F1C88">
            <w:pPr>
              <w:spacing w:after="0" w:line="240" w:lineRule="auto"/>
              <w:jc w:val="center"/>
              <w:rPr>
                <w:rFonts w:ascii="Aptos" w:eastAsia="Times New Roman" w:hAnsi="Aptos" w:cs="Arial"/>
                <w:color w:val="000000"/>
                <w:kern w:val="0"/>
                <w14:ligatures w14:val="none"/>
              </w:rPr>
            </w:pPr>
            <w:r w:rsidRPr="009B4E2B">
              <w:rPr>
                <w:rFonts w:ascii="Aptos" w:eastAsia="Times New Roman" w:hAnsi="Aptos" w:cs="Arial"/>
                <w:color w:val="000000"/>
                <w:kern w:val="0"/>
                <w14:ligatures w14:val="none"/>
              </w:rPr>
              <w:t> </w:t>
            </w:r>
          </w:p>
        </w:tc>
        <w:tc>
          <w:tcPr>
            <w:tcW w:w="960" w:type="dxa"/>
            <w:tcBorders>
              <w:top w:val="nil"/>
              <w:left w:val="single" w:sz="4" w:space="0" w:color="auto"/>
              <w:bottom w:val="single" w:sz="4" w:space="0" w:color="auto"/>
              <w:right w:val="single" w:sz="4" w:space="0" w:color="auto"/>
            </w:tcBorders>
            <w:vAlign w:val="center"/>
            <w:hideMark/>
          </w:tcPr>
          <w:p w14:paraId="3B6110CC" w14:textId="77777777" w:rsidR="00793DFB" w:rsidRPr="009B4E2B" w:rsidRDefault="00793DFB" w:rsidP="009F1C88">
            <w:pPr>
              <w:bidi/>
              <w:spacing w:after="0" w:line="240" w:lineRule="auto"/>
              <w:jc w:val="center"/>
              <w:rPr>
                <w:rFonts w:ascii="Aptos" w:eastAsia="Times New Roman" w:hAnsi="Aptos" w:cs="Arial"/>
                <w:color w:val="000000"/>
                <w:kern w:val="0"/>
                <w14:ligatures w14:val="none"/>
              </w:rPr>
            </w:pPr>
            <w:r w:rsidRPr="009B4E2B">
              <w:rPr>
                <w:rFonts w:ascii="Aptos" w:eastAsia="Times New Roman" w:hAnsi="Aptos" w:cs="Arial"/>
                <w:color w:val="000000"/>
                <w:kern w:val="0"/>
                <w:lang w:bidi="ar-EG"/>
                <w14:ligatures w14:val="none"/>
              </w:rPr>
              <w:t>0</w:t>
            </w:r>
          </w:p>
        </w:tc>
        <w:tc>
          <w:tcPr>
            <w:tcW w:w="960" w:type="dxa"/>
            <w:tcBorders>
              <w:top w:val="nil"/>
              <w:left w:val="single" w:sz="4" w:space="0" w:color="auto"/>
              <w:bottom w:val="single" w:sz="4" w:space="0" w:color="auto"/>
              <w:right w:val="single" w:sz="8" w:space="0" w:color="auto"/>
            </w:tcBorders>
            <w:vAlign w:val="center"/>
            <w:hideMark/>
          </w:tcPr>
          <w:p w14:paraId="15CE4338"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w:t>
            </w:r>
            <w:proofErr w:type="gramStart"/>
            <w:r w:rsidRPr="009B4E2B">
              <w:rPr>
                <w:rFonts w:ascii="Aptos" w:eastAsia="Times New Roman" w:hAnsi="Aptos" w:cs="Arial"/>
                <w:color w:val="000000"/>
                <w:kern w:val="0"/>
                <w:lang w:bidi="ar-EG"/>
                <w14:ligatures w14:val="none"/>
              </w:rPr>
              <w:t>0.3731 ,</w:t>
            </w:r>
            <w:proofErr w:type="gramEnd"/>
            <w:r w:rsidRPr="009B4E2B">
              <w:rPr>
                <w:rFonts w:ascii="Aptos" w:eastAsia="Times New Roman" w:hAnsi="Aptos" w:cs="Arial"/>
                <w:color w:val="000000"/>
                <w:kern w:val="0"/>
                <w:lang w:bidi="ar-EG"/>
                <w14:ligatures w14:val="none"/>
              </w:rPr>
              <w:t xml:space="preserve"> 0.5993]</w:t>
            </w:r>
          </w:p>
        </w:tc>
      </w:tr>
      <w:tr w:rsidR="00793DFB" w:rsidRPr="009B4E2B" w14:paraId="7C594728" w14:textId="77777777" w:rsidTr="009F1C88">
        <w:trPr>
          <w:trHeight w:val="936"/>
        </w:trPr>
        <w:tc>
          <w:tcPr>
            <w:tcW w:w="2340" w:type="dxa"/>
            <w:tcBorders>
              <w:top w:val="nil"/>
              <w:left w:val="single" w:sz="8" w:space="0" w:color="auto"/>
              <w:bottom w:val="single" w:sz="4" w:space="0" w:color="auto"/>
              <w:right w:val="single" w:sz="4" w:space="0" w:color="auto"/>
            </w:tcBorders>
            <w:vAlign w:val="center"/>
            <w:hideMark/>
          </w:tcPr>
          <w:p w14:paraId="78FF250F"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proofErr w:type="spellStart"/>
            <w:r w:rsidRPr="009B4E2B">
              <w:rPr>
                <w:rFonts w:ascii="Aptos" w:eastAsia="Times New Roman" w:hAnsi="Aptos" w:cs="Arial"/>
                <w:color w:val="000000"/>
                <w:kern w:val="0"/>
                <w:lang w:bidi="ar-EG"/>
                <w14:ligatures w14:val="none"/>
              </w:rPr>
              <w:t>Org_Cul</w:t>
            </w:r>
            <w:proofErr w:type="spellEnd"/>
            <w:r w:rsidRPr="009B4E2B">
              <w:rPr>
                <w:rFonts w:ascii="Aptos" w:eastAsia="Times New Roman" w:hAnsi="Aptos" w:cs="Arial"/>
                <w:color w:val="000000"/>
                <w:kern w:val="0"/>
                <w:lang w:bidi="ar-EG"/>
                <w14:ligatures w14:val="none"/>
              </w:rPr>
              <w:t xml:space="preserve"> → CREAT</w:t>
            </w:r>
          </w:p>
        </w:tc>
        <w:tc>
          <w:tcPr>
            <w:tcW w:w="960" w:type="dxa"/>
            <w:tcBorders>
              <w:top w:val="nil"/>
              <w:left w:val="single" w:sz="4" w:space="0" w:color="auto"/>
              <w:bottom w:val="single" w:sz="4" w:space="0" w:color="auto"/>
              <w:right w:val="single" w:sz="4" w:space="0" w:color="auto"/>
            </w:tcBorders>
            <w:vAlign w:val="center"/>
            <w:hideMark/>
          </w:tcPr>
          <w:p w14:paraId="6F3DA303"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0.4048</w:t>
            </w:r>
          </w:p>
        </w:tc>
        <w:tc>
          <w:tcPr>
            <w:tcW w:w="1060" w:type="dxa"/>
            <w:tcBorders>
              <w:top w:val="nil"/>
              <w:left w:val="single" w:sz="4" w:space="0" w:color="auto"/>
              <w:bottom w:val="single" w:sz="4" w:space="0" w:color="auto"/>
              <w:right w:val="single" w:sz="4" w:space="0" w:color="auto"/>
            </w:tcBorders>
            <w:vAlign w:val="center"/>
            <w:hideMark/>
          </w:tcPr>
          <w:p w14:paraId="2AA39FF4"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0.0549</w:t>
            </w:r>
          </w:p>
        </w:tc>
        <w:tc>
          <w:tcPr>
            <w:tcW w:w="960" w:type="dxa"/>
            <w:tcBorders>
              <w:top w:val="nil"/>
              <w:left w:val="single" w:sz="4" w:space="0" w:color="auto"/>
              <w:bottom w:val="single" w:sz="4" w:space="0" w:color="auto"/>
              <w:right w:val="single" w:sz="4" w:space="0" w:color="auto"/>
            </w:tcBorders>
            <w:vAlign w:val="center"/>
            <w:hideMark/>
          </w:tcPr>
          <w:p w14:paraId="623C22D7"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7.372</w:t>
            </w:r>
          </w:p>
        </w:tc>
        <w:tc>
          <w:tcPr>
            <w:tcW w:w="960" w:type="dxa"/>
            <w:tcBorders>
              <w:top w:val="nil"/>
              <w:left w:val="single" w:sz="4" w:space="0" w:color="auto"/>
              <w:bottom w:val="single" w:sz="4" w:space="0" w:color="auto"/>
              <w:right w:val="single" w:sz="4" w:space="0" w:color="auto"/>
            </w:tcBorders>
            <w:vAlign w:val="center"/>
            <w:hideMark/>
          </w:tcPr>
          <w:p w14:paraId="38116BB8" w14:textId="77777777" w:rsidR="00793DFB" w:rsidRPr="009B4E2B" w:rsidRDefault="00793DFB" w:rsidP="009F1C88">
            <w:pPr>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14:ligatures w14:val="none"/>
              </w:rPr>
              <w:t> </w:t>
            </w:r>
          </w:p>
        </w:tc>
        <w:tc>
          <w:tcPr>
            <w:tcW w:w="960" w:type="dxa"/>
            <w:tcBorders>
              <w:top w:val="nil"/>
              <w:left w:val="single" w:sz="4" w:space="0" w:color="auto"/>
              <w:bottom w:val="single" w:sz="4" w:space="0" w:color="auto"/>
              <w:right w:val="single" w:sz="4" w:space="0" w:color="auto"/>
            </w:tcBorders>
            <w:vAlign w:val="center"/>
            <w:hideMark/>
          </w:tcPr>
          <w:p w14:paraId="0F5E54FA" w14:textId="77777777" w:rsidR="00793DFB" w:rsidRPr="009B4E2B" w:rsidRDefault="00793DFB" w:rsidP="009F1C88">
            <w:pPr>
              <w:spacing w:after="0" w:line="240" w:lineRule="auto"/>
              <w:jc w:val="center"/>
              <w:rPr>
                <w:rFonts w:ascii="Aptos" w:eastAsia="Times New Roman" w:hAnsi="Aptos" w:cs="Arial"/>
                <w:color w:val="000000"/>
                <w:kern w:val="0"/>
                <w14:ligatures w14:val="none"/>
              </w:rPr>
            </w:pPr>
            <w:r w:rsidRPr="009B4E2B">
              <w:rPr>
                <w:rFonts w:ascii="Aptos" w:eastAsia="Times New Roman" w:hAnsi="Aptos" w:cs="Arial"/>
                <w:color w:val="000000"/>
                <w:kern w:val="0"/>
                <w14:ligatures w14:val="none"/>
              </w:rPr>
              <w:t> </w:t>
            </w:r>
          </w:p>
        </w:tc>
        <w:tc>
          <w:tcPr>
            <w:tcW w:w="960" w:type="dxa"/>
            <w:tcBorders>
              <w:top w:val="nil"/>
              <w:left w:val="single" w:sz="4" w:space="0" w:color="auto"/>
              <w:bottom w:val="single" w:sz="4" w:space="0" w:color="auto"/>
              <w:right w:val="single" w:sz="4" w:space="0" w:color="auto"/>
            </w:tcBorders>
            <w:vAlign w:val="center"/>
            <w:hideMark/>
          </w:tcPr>
          <w:p w14:paraId="30EEBA36" w14:textId="77777777" w:rsidR="00793DFB" w:rsidRPr="009B4E2B" w:rsidRDefault="00793DFB" w:rsidP="009F1C88">
            <w:pPr>
              <w:bidi/>
              <w:spacing w:after="0" w:line="240" w:lineRule="auto"/>
              <w:jc w:val="center"/>
              <w:rPr>
                <w:rFonts w:ascii="Aptos" w:eastAsia="Times New Roman" w:hAnsi="Aptos" w:cs="Arial"/>
                <w:color w:val="000000"/>
                <w:kern w:val="0"/>
                <w14:ligatures w14:val="none"/>
              </w:rPr>
            </w:pPr>
            <w:r w:rsidRPr="009B4E2B">
              <w:rPr>
                <w:rFonts w:ascii="Aptos" w:eastAsia="Times New Roman" w:hAnsi="Aptos" w:cs="Arial"/>
                <w:color w:val="000000"/>
                <w:kern w:val="0"/>
                <w:lang w:bidi="ar-EG"/>
                <w14:ligatures w14:val="none"/>
              </w:rPr>
              <w:t>0</w:t>
            </w:r>
          </w:p>
        </w:tc>
        <w:tc>
          <w:tcPr>
            <w:tcW w:w="960" w:type="dxa"/>
            <w:tcBorders>
              <w:top w:val="nil"/>
              <w:left w:val="single" w:sz="4" w:space="0" w:color="auto"/>
              <w:bottom w:val="single" w:sz="4" w:space="0" w:color="auto"/>
              <w:right w:val="single" w:sz="8" w:space="0" w:color="auto"/>
            </w:tcBorders>
            <w:vAlign w:val="center"/>
            <w:hideMark/>
          </w:tcPr>
          <w:p w14:paraId="516A76B8"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w:t>
            </w:r>
            <w:proofErr w:type="gramStart"/>
            <w:r w:rsidRPr="009B4E2B">
              <w:rPr>
                <w:rFonts w:ascii="Aptos" w:eastAsia="Times New Roman" w:hAnsi="Aptos" w:cs="Arial"/>
                <w:color w:val="000000"/>
                <w:kern w:val="0"/>
                <w:lang w:bidi="ar-EG"/>
                <w14:ligatures w14:val="none"/>
              </w:rPr>
              <w:t>0.2969 ,</w:t>
            </w:r>
            <w:proofErr w:type="gramEnd"/>
            <w:r w:rsidRPr="009B4E2B">
              <w:rPr>
                <w:rFonts w:ascii="Aptos" w:eastAsia="Times New Roman" w:hAnsi="Aptos" w:cs="Arial"/>
                <w:color w:val="000000"/>
                <w:kern w:val="0"/>
                <w:lang w:bidi="ar-EG"/>
                <w14:ligatures w14:val="none"/>
              </w:rPr>
              <w:t xml:space="preserve"> 0.5128]</w:t>
            </w:r>
          </w:p>
        </w:tc>
      </w:tr>
      <w:tr w:rsidR="00793DFB" w:rsidRPr="009B4E2B" w14:paraId="3DD040BF" w14:textId="77777777" w:rsidTr="009F1C88">
        <w:trPr>
          <w:trHeight w:val="948"/>
        </w:trPr>
        <w:tc>
          <w:tcPr>
            <w:tcW w:w="2340" w:type="dxa"/>
            <w:tcBorders>
              <w:top w:val="nil"/>
              <w:left w:val="single" w:sz="8" w:space="0" w:color="auto"/>
              <w:bottom w:val="single" w:sz="8" w:space="0" w:color="auto"/>
              <w:right w:val="single" w:sz="4" w:space="0" w:color="auto"/>
            </w:tcBorders>
            <w:vAlign w:val="center"/>
            <w:hideMark/>
          </w:tcPr>
          <w:p w14:paraId="080BD354" w14:textId="77777777" w:rsidR="00793DFB" w:rsidRPr="009B4E2B" w:rsidRDefault="00793DFB" w:rsidP="009F1C88">
            <w:pPr>
              <w:bidi/>
              <w:spacing w:after="0" w:line="240" w:lineRule="auto"/>
              <w:jc w:val="center"/>
              <w:rPr>
                <w:rFonts w:ascii="Arial" w:eastAsia="Times New Roman" w:hAnsi="Arial" w:cs="Arial"/>
                <w:b/>
                <w:bCs/>
                <w:color w:val="000000"/>
                <w:kern w:val="0"/>
                <w:rtl/>
                <w14:ligatures w14:val="none"/>
              </w:rPr>
            </w:pPr>
            <w:r w:rsidRPr="009B4E2B">
              <w:rPr>
                <w:rFonts w:ascii="Arial" w:eastAsia="Times New Roman" w:hAnsi="Arial" w:cs="Arial" w:hint="cs"/>
                <w:b/>
                <w:bCs/>
                <w:color w:val="000000"/>
                <w:kern w:val="0"/>
                <w:rtl/>
                <w14:ligatures w14:val="none"/>
              </w:rPr>
              <w:t>الأثر غير المباشر</w:t>
            </w:r>
            <w:r w:rsidRPr="009B4E2B">
              <w:rPr>
                <w:rFonts w:ascii="Aptos" w:eastAsia="Times New Roman" w:hAnsi="Aptos" w:cs="Arial"/>
                <w:b/>
                <w:bCs/>
                <w:color w:val="000000"/>
                <w:kern w:val="0"/>
                <w:rtl/>
                <w14:ligatures w14:val="none"/>
              </w:rPr>
              <w:t xml:space="preserve"> (</w:t>
            </w:r>
            <w:r w:rsidRPr="009B4E2B">
              <w:rPr>
                <w:rFonts w:ascii="Aptos" w:eastAsia="Times New Roman" w:hAnsi="Aptos" w:cs="Arial"/>
                <w:b/>
                <w:bCs/>
                <w:color w:val="000000"/>
                <w:kern w:val="0"/>
                <w14:ligatures w14:val="none"/>
              </w:rPr>
              <w:t xml:space="preserve">HPWS → </w:t>
            </w:r>
            <w:proofErr w:type="spellStart"/>
            <w:r w:rsidRPr="009B4E2B">
              <w:rPr>
                <w:rFonts w:ascii="Aptos" w:eastAsia="Times New Roman" w:hAnsi="Aptos" w:cs="Arial"/>
                <w:b/>
                <w:bCs/>
                <w:color w:val="000000"/>
                <w:kern w:val="0"/>
                <w14:ligatures w14:val="none"/>
              </w:rPr>
              <w:t>Org_Cul</w:t>
            </w:r>
            <w:proofErr w:type="spellEnd"/>
            <w:r w:rsidRPr="009B4E2B">
              <w:rPr>
                <w:rFonts w:ascii="Aptos" w:eastAsia="Times New Roman" w:hAnsi="Aptos" w:cs="Arial"/>
                <w:b/>
                <w:bCs/>
                <w:color w:val="000000"/>
                <w:kern w:val="0"/>
                <w14:ligatures w14:val="none"/>
              </w:rPr>
              <w:t xml:space="preserve"> → CREAT</w:t>
            </w:r>
            <w:r w:rsidRPr="009B4E2B">
              <w:rPr>
                <w:rFonts w:ascii="Aptos" w:eastAsia="Times New Roman" w:hAnsi="Aptos" w:cs="Arial"/>
                <w:b/>
                <w:bCs/>
                <w:color w:val="000000"/>
                <w:kern w:val="0"/>
                <w:rtl/>
                <w14:ligatures w14:val="none"/>
              </w:rPr>
              <w:t>)</w:t>
            </w:r>
          </w:p>
        </w:tc>
        <w:tc>
          <w:tcPr>
            <w:tcW w:w="960" w:type="dxa"/>
            <w:tcBorders>
              <w:top w:val="nil"/>
              <w:left w:val="single" w:sz="4" w:space="0" w:color="auto"/>
              <w:bottom w:val="single" w:sz="8" w:space="0" w:color="auto"/>
              <w:right w:val="single" w:sz="4" w:space="0" w:color="auto"/>
            </w:tcBorders>
            <w:vAlign w:val="center"/>
            <w:hideMark/>
          </w:tcPr>
          <w:p w14:paraId="48B6F27D"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0.3923</w:t>
            </w:r>
          </w:p>
        </w:tc>
        <w:tc>
          <w:tcPr>
            <w:tcW w:w="1060" w:type="dxa"/>
            <w:tcBorders>
              <w:top w:val="nil"/>
              <w:left w:val="single" w:sz="4" w:space="0" w:color="auto"/>
              <w:bottom w:val="single" w:sz="8" w:space="0" w:color="auto"/>
              <w:right w:val="single" w:sz="4" w:space="0" w:color="auto"/>
            </w:tcBorders>
            <w:vAlign w:val="center"/>
            <w:hideMark/>
          </w:tcPr>
          <w:p w14:paraId="2D818F5C"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.0599*</w:t>
            </w:r>
          </w:p>
        </w:tc>
        <w:tc>
          <w:tcPr>
            <w:tcW w:w="960" w:type="dxa"/>
            <w:tcBorders>
              <w:top w:val="nil"/>
              <w:left w:val="single" w:sz="4" w:space="0" w:color="auto"/>
              <w:bottom w:val="single" w:sz="8" w:space="0" w:color="auto"/>
              <w:right w:val="single" w:sz="4" w:space="0" w:color="auto"/>
            </w:tcBorders>
            <w:vAlign w:val="center"/>
            <w:hideMark/>
          </w:tcPr>
          <w:p w14:paraId="5E65901E"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w:t>
            </w:r>
          </w:p>
        </w:tc>
        <w:tc>
          <w:tcPr>
            <w:tcW w:w="960" w:type="dxa"/>
            <w:tcBorders>
              <w:top w:val="nil"/>
              <w:left w:val="single" w:sz="4" w:space="0" w:color="auto"/>
              <w:bottom w:val="single" w:sz="8" w:space="0" w:color="auto"/>
              <w:right w:val="single" w:sz="4" w:space="0" w:color="auto"/>
            </w:tcBorders>
            <w:vAlign w:val="center"/>
            <w:hideMark/>
          </w:tcPr>
          <w:p w14:paraId="7956A49D"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w:t>
            </w:r>
          </w:p>
        </w:tc>
        <w:tc>
          <w:tcPr>
            <w:tcW w:w="960" w:type="dxa"/>
            <w:tcBorders>
              <w:top w:val="nil"/>
              <w:left w:val="single" w:sz="4" w:space="0" w:color="auto"/>
              <w:bottom w:val="single" w:sz="8" w:space="0" w:color="auto"/>
              <w:right w:val="single" w:sz="4" w:space="0" w:color="auto"/>
            </w:tcBorders>
            <w:vAlign w:val="center"/>
            <w:hideMark/>
          </w:tcPr>
          <w:p w14:paraId="0BF61373"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w:t>
            </w:r>
          </w:p>
        </w:tc>
        <w:tc>
          <w:tcPr>
            <w:tcW w:w="960" w:type="dxa"/>
            <w:tcBorders>
              <w:top w:val="nil"/>
              <w:left w:val="single" w:sz="4" w:space="0" w:color="auto"/>
              <w:bottom w:val="single" w:sz="8" w:space="0" w:color="auto"/>
              <w:right w:val="single" w:sz="4" w:space="0" w:color="auto"/>
            </w:tcBorders>
            <w:vAlign w:val="center"/>
            <w:hideMark/>
          </w:tcPr>
          <w:p w14:paraId="7A54D25B"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w:t>
            </w:r>
          </w:p>
        </w:tc>
        <w:tc>
          <w:tcPr>
            <w:tcW w:w="960" w:type="dxa"/>
            <w:tcBorders>
              <w:top w:val="nil"/>
              <w:left w:val="single" w:sz="4" w:space="0" w:color="auto"/>
              <w:bottom w:val="single" w:sz="8" w:space="0" w:color="auto"/>
              <w:right w:val="single" w:sz="8" w:space="0" w:color="auto"/>
            </w:tcBorders>
            <w:vAlign w:val="center"/>
            <w:hideMark/>
          </w:tcPr>
          <w:p w14:paraId="2316D403" w14:textId="77777777" w:rsidR="00793DFB" w:rsidRPr="009B4E2B" w:rsidRDefault="00793DFB" w:rsidP="009F1C88">
            <w:pPr>
              <w:bidi/>
              <w:spacing w:after="0" w:line="240" w:lineRule="auto"/>
              <w:jc w:val="center"/>
              <w:rPr>
                <w:rFonts w:ascii="Aptos" w:eastAsia="Times New Roman" w:hAnsi="Aptos" w:cs="Arial"/>
                <w:color w:val="000000"/>
                <w:kern w:val="0"/>
                <w:rtl/>
                <w14:ligatures w14:val="none"/>
              </w:rPr>
            </w:pPr>
            <w:r w:rsidRPr="009B4E2B">
              <w:rPr>
                <w:rFonts w:ascii="Aptos" w:eastAsia="Times New Roman" w:hAnsi="Aptos" w:cs="Arial"/>
                <w:color w:val="000000"/>
                <w:kern w:val="0"/>
                <w:lang w:bidi="ar-EG"/>
                <w14:ligatures w14:val="none"/>
              </w:rPr>
              <w:t>[</w:t>
            </w:r>
            <w:proofErr w:type="gramStart"/>
            <w:r w:rsidRPr="009B4E2B">
              <w:rPr>
                <w:rFonts w:ascii="Aptos" w:eastAsia="Times New Roman" w:hAnsi="Aptos" w:cs="Arial"/>
                <w:color w:val="000000"/>
                <w:kern w:val="0"/>
                <w:lang w:bidi="ar-EG"/>
                <w14:ligatures w14:val="none"/>
              </w:rPr>
              <w:t>0.2782 ,</w:t>
            </w:r>
            <w:proofErr w:type="gramEnd"/>
            <w:r w:rsidRPr="009B4E2B">
              <w:rPr>
                <w:rFonts w:ascii="Aptos" w:eastAsia="Times New Roman" w:hAnsi="Aptos" w:cs="Arial"/>
                <w:color w:val="000000"/>
                <w:kern w:val="0"/>
                <w:lang w:bidi="ar-EG"/>
                <w14:ligatures w14:val="none"/>
              </w:rPr>
              <w:t xml:space="preserve"> 0.5114]</w:t>
            </w:r>
          </w:p>
        </w:tc>
      </w:tr>
    </w:tbl>
    <w:p w14:paraId="7950A810" w14:textId="77777777" w:rsidR="00793DFB" w:rsidRPr="00555087" w:rsidRDefault="00793DFB" w:rsidP="00793DFB">
      <w:pPr>
        <w:bidi/>
        <w:rPr>
          <w:lang w:bidi="ar-EG"/>
        </w:rPr>
      </w:pPr>
    </w:p>
    <w:p w14:paraId="264C755C" w14:textId="77777777" w:rsidR="00793DFB" w:rsidRPr="00555087" w:rsidRDefault="00793DFB" w:rsidP="00793DFB">
      <w:pPr>
        <w:bidi/>
        <w:rPr>
          <w:lang w:bidi="ar-EG"/>
        </w:rPr>
      </w:pPr>
      <w:r w:rsidRPr="00555087">
        <w:rPr>
          <w:rtl/>
        </w:rPr>
        <w:t>أولًا</w:t>
      </w:r>
      <w:r w:rsidRPr="00555087">
        <w:rPr>
          <w:lang w:bidi="ar-EG"/>
        </w:rPr>
        <w:t xml:space="preserve">: </w:t>
      </w:r>
      <w:r w:rsidRPr="00555087">
        <w:rPr>
          <w:b/>
          <w:bCs/>
          <w:rtl/>
        </w:rPr>
        <w:t>تحليل مسار المتغير المستقل نحو المتغير الوسيط</w:t>
      </w:r>
    </w:p>
    <w:p w14:paraId="5E3F1486" w14:textId="77777777" w:rsidR="00793DFB" w:rsidRPr="00555087" w:rsidRDefault="00793DFB" w:rsidP="00793DFB">
      <w:pPr>
        <w:bidi/>
        <w:rPr>
          <w:lang w:bidi="ar-EG"/>
        </w:rPr>
      </w:pPr>
      <w:r w:rsidRPr="00555087">
        <w:rPr>
          <w:rtl/>
        </w:rPr>
        <w:t>أظهر النموذج الأول أن أنظمة العمل عالية الأداء</w:t>
      </w:r>
      <w:r w:rsidRPr="00555087">
        <w:rPr>
          <w:lang w:bidi="ar-EG"/>
        </w:rPr>
        <w:t xml:space="preserve"> (HPWS) </w:t>
      </w:r>
      <w:r w:rsidRPr="00555087">
        <w:rPr>
          <w:rtl/>
        </w:rPr>
        <w:t>تفسر ما نسبته 85.58% من التباين في الثقافة التنظيمية</w:t>
      </w:r>
      <w:r w:rsidRPr="00555087">
        <w:rPr>
          <w:lang w:bidi="ar-EG"/>
        </w:rPr>
        <w:t xml:space="preserve"> (R² = .8558)</w:t>
      </w:r>
      <w:r w:rsidRPr="00555087">
        <w:rPr>
          <w:rtl/>
        </w:rPr>
        <w:t>، وهي نسبة تفسير مرتفعة تعكس قوة العلاقة البنيوية بين المتغيرين. كما أن قيمة</w:t>
      </w:r>
      <w:r w:rsidRPr="00555087">
        <w:rPr>
          <w:lang w:bidi="ar-EG"/>
        </w:rPr>
        <w:t xml:space="preserve"> F = 2361.395 </w:t>
      </w:r>
      <w:r w:rsidRPr="00555087">
        <w:rPr>
          <w:rtl/>
        </w:rPr>
        <w:t>عند مستوى دلالة أقل من .001 تشير إلى ملاءمة النموذج إحصائيًا</w:t>
      </w:r>
      <w:r w:rsidRPr="00555087">
        <w:rPr>
          <w:lang w:bidi="ar-EG"/>
        </w:rPr>
        <w:t>.</w:t>
      </w:r>
      <w:r w:rsidRPr="00555087">
        <w:rPr>
          <w:lang w:bidi="ar-EG"/>
        </w:rPr>
        <w:br/>
      </w:r>
      <w:r w:rsidRPr="00555087">
        <w:rPr>
          <w:rtl/>
        </w:rPr>
        <w:t>المعامل غير المعياري</w:t>
      </w:r>
      <w:r w:rsidRPr="00555087">
        <w:rPr>
          <w:lang w:bidi="ar-EG"/>
        </w:rPr>
        <w:t xml:space="preserve"> (B = .9690) </w:t>
      </w:r>
      <w:r w:rsidRPr="00555087">
        <w:rPr>
          <w:rtl/>
        </w:rPr>
        <w:t>يدل على أنه عند زيادة وحدة واحدة في تطبيق أنظمة العمل عالية الأداء، يرتفع مستوى الثقافة التنظيمية بمقدار يقارب (0.97) وحدة، مع قيمة</w:t>
      </w:r>
      <w:r w:rsidRPr="00555087">
        <w:rPr>
          <w:lang w:bidi="ar-EG"/>
        </w:rPr>
        <w:t xml:space="preserve"> t </w:t>
      </w:r>
      <w:r w:rsidRPr="00555087">
        <w:rPr>
          <w:rtl/>
        </w:rPr>
        <w:t>مرتفعة جدًا (48.594)، مما يؤكد قوة التأثير ودلالته الإحصائية. كما أن فاصل الثقة لا يتضمن الصفر، مما يعزز استقرار التقدير</w:t>
      </w:r>
      <w:r w:rsidRPr="00555087">
        <w:rPr>
          <w:lang w:bidi="ar-EG"/>
        </w:rPr>
        <w:t>.</w:t>
      </w:r>
    </w:p>
    <w:p w14:paraId="35034B2C" w14:textId="77777777" w:rsidR="00793DFB" w:rsidRPr="00555087" w:rsidRDefault="00793DFB" w:rsidP="00793DFB">
      <w:pPr>
        <w:bidi/>
        <w:rPr>
          <w:lang w:bidi="ar-EG"/>
        </w:rPr>
      </w:pPr>
      <w:r w:rsidRPr="00555087">
        <w:rPr>
          <w:rtl/>
        </w:rPr>
        <w:t>ثانيًا</w:t>
      </w:r>
      <w:r w:rsidRPr="00555087">
        <w:rPr>
          <w:lang w:bidi="ar-EG"/>
        </w:rPr>
        <w:t xml:space="preserve">: </w:t>
      </w:r>
      <w:r w:rsidRPr="00555087">
        <w:rPr>
          <w:b/>
          <w:bCs/>
          <w:rtl/>
        </w:rPr>
        <w:t>تحليل التأثيرات المباشرة على الإبداع الوظيفي</w:t>
      </w:r>
    </w:p>
    <w:p w14:paraId="5A679F70" w14:textId="77777777" w:rsidR="00793DFB" w:rsidRPr="00555087" w:rsidRDefault="00793DFB" w:rsidP="00793DFB">
      <w:pPr>
        <w:bidi/>
        <w:rPr>
          <w:lang w:bidi="ar-EG"/>
        </w:rPr>
      </w:pPr>
      <w:r w:rsidRPr="00555087">
        <w:rPr>
          <w:rtl/>
        </w:rPr>
        <w:t>في النموذج الثاني، بلغت القدرة التفسيرية المشتركة لكل من</w:t>
      </w:r>
      <w:r w:rsidRPr="00555087">
        <w:rPr>
          <w:lang w:bidi="ar-EG"/>
        </w:rPr>
        <w:t xml:space="preserve"> HPWS </w:t>
      </w:r>
      <w:r w:rsidRPr="00555087">
        <w:rPr>
          <w:rtl/>
        </w:rPr>
        <w:t>والثقافة التنظيمية في تفسير التباين في الإبداع الوظيفي 80.81</w:t>
      </w:r>
      <w:r w:rsidRPr="00555087">
        <w:rPr>
          <w:lang w:bidi="ar-EG"/>
        </w:rPr>
        <w:t xml:space="preserve">% (R² = </w:t>
      </w:r>
      <w:r>
        <w:rPr>
          <w:lang w:bidi="ar-EG"/>
        </w:rPr>
        <w:t>0</w:t>
      </w:r>
      <w:r w:rsidRPr="00555087">
        <w:rPr>
          <w:lang w:bidi="ar-EG"/>
        </w:rPr>
        <w:t>.8081)</w:t>
      </w:r>
      <w:r w:rsidRPr="00555087">
        <w:rPr>
          <w:rtl/>
        </w:rPr>
        <w:t>، وهي نسبة مرتفعة تعكس اتساق النموذج المفاهيمي</w:t>
      </w:r>
      <w:r w:rsidRPr="00555087">
        <w:rPr>
          <w:lang w:bidi="ar-EG"/>
        </w:rPr>
        <w:t>.</w:t>
      </w:r>
    </w:p>
    <w:p w14:paraId="545C7E54" w14:textId="77777777" w:rsidR="00793DFB" w:rsidRPr="00555087" w:rsidRDefault="00793DFB" w:rsidP="00793DFB">
      <w:pPr>
        <w:numPr>
          <w:ilvl w:val="0"/>
          <w:numId w:val="186"/>
        </w:numPr>
        <w:bidi/>
        <w:rPr>
          <w:lang w:bidi="ar-EG"/>
        </w:rPr>
      </w:pPr>
      <w:r w:rsidRPr="00555087">
        <w:rPr>
          <w:rtl/>
        </w:rPr>
        <w:lastRenderedPageBreak/>
        <w:t>الأثر المباشر لـ</w:t>
      </w:r>
      <w:r w:rsidRPr="00555087">
        <w:rPr>
          <w:lang w:bidi="ar-EG"/>
        </w:rPr>
        <w:t xml:space="preserve"> HPWS </w:t>
      </w:r>
      <w:r w:rsidRPr="00555087">
        <w:rPr>
          <w:rtl/>
        </w:rPr>
        <w:t>على الإبداع الوظيفي بلغ</w:t>
      </w:r>
      <w:r w:rsidRPr="00555087">
        <w:rPr>
          <w:lang w:bidi="ar-EG"/>
        </w:rPr>
        <w:t xml:space="preserve"> (B = </w:t>
      </w:r>
      <w:r>
        <w:rPr>
          <w:lang w:bidi="ar-EG"/>
        </w:rPr>
        <w:t>0</w:t>
      </w:r>
      <w:r w:rsidRPr="00555087">
        <w:rPr>
          <w:lang w:bidi="ar-EG"/>
        </w:rPr>
        <w:t xml:space="preserve">.4862) </w:t>
      </w:r>
      <w:r w:rsidRPr="00555087">
        <w:rPr>
          <w:rtl/>
        </w:rPr>
        <w:t>وهو دال إحصائيًا عند</w:t>
      </w:r>
      <w:r w:rsidRPr="00555087">
        <w:rPr>
          <w:lang w:bidi="ar-EG"/>
        </w:rPr>
        <w:t xml:space="preserve"> p &lt; </w:t>
      </w:r>
      <w:r>
        <w:rPr>
          <w:lang w:bidi="ar-EG"/>
        </w:rPr>
        <w:t>0</w:t>
      </w:r>
      <w:r w:rsidRPr="00555087">
        <w:rPr>
          <w:lang w:bidi="ar-EG"/>
        </w:rPr>
        <w:t>.001</w:t>
      </w:r>
      <w:r w:rsidRPr="00555087">
        <w:rPr>
          <w:rtl/>
        </w:rPr>
        <w:t>، ما يشير إلى أن أنظمة العمل عالية الأداء تسهم مباشرة في تعزيز السلوك الإبداعي حتى بعد إدخال المتغير الوسيط</w:t>
      </w:r>
      <w:r w:rsidRPr="00555087">
        <w:rPr>
          <w:lang w:bidi="ar-EG"/>
        </w:rPr>
        <w:t>.</w:t>
      </w:r>
    </w:p>
    <w:p w14:paraId="7B6732E8" w14:textId="77777777" w:rsidR="00793DFB" w:rsidRPr="00555087" w:rsidRDefault="00793DFB" w:rsidP="00793DFB">
      <w:pPr>
        <w:numPr>
          <w:ilvl w:val="0"/>
          <w:numId w:val="186"/>
        </w:numPr>
        <w:bidi/>
        <w:rPr>
          <w:lang w:bidi="ar-EG"/>
        </w:rPr>
      </w:pPr>
      <w:r w:rsidRPr="00555087">
        <w:rPr>
          <w:rtl/>
        </w:rPr>
        <w:t>كما ثبت أن الثقافة التنظيمية تؤثر إيجابيًا في الإبداع الوظيفي</w:t>
      </w:r>
      <w:r w:rsidRPr="00555087">
        <w:rPr>
          <w:lang w:bidi="ar-EG"/>
        </w:rPr>
        <w:t xml:space="preserve"> (B = </w:t>
      </w:r>
      <w:r>
        <w:rPr>
          <w:lang w:bidi="ar-EG"/>
        </w:rPr>
        <w:t>0</w:t>
      </w:r>
      <w:r w:rsidRPr="00555087">
        <w:rPr>
          <w:lang w:bidi="ar-EG"/>
        </w:rPr>
        <w:t>.4048)</w:t>
      </w:r>
      <w:r w:rsidRPr="00555087">
        <w:rPr>
          <w:rtl/>
        </w:rPr>
        <w:t>، مع دلالة إحصائية قوية، مما يعكس أن البيئة الثقافية الداعمة تعد آلية تفسيرية فاعلة لتعزيز الإبداع داخل المنظمة</w:t>
      </w:r>
      <w:r w:rsidRPr="00555087">
        <w:rPr>
          <w:lang w:bidi="ar-EG"/>
        </w:rPr>
        <w:t>.</w:t>
      </w:r>
    </w:p>
    <w:p w14:paraId="4118D8AE" w14:textId="77777777" w:rsidR="00793DFB" w:rsidRPr="00555087" w:rsidRDefault="00793DFB" w:rsidP="00793DFB">
      <w:pPr>
        <w:bidi/>
        <w:rPr>
          <w:lang w:bidi="ar-EG"/>
        </w:rPr>
      </w:pPr>
      <w:r w:rsidRPr="00555087">
        <w:rPr>
          <w:rtl/>
        </w:rPr>
        <w:t>ثالثًا</w:t>
      </w:r>
      <w:r w:rsidRPr="00555087">
        <w:rPr>
          <w:lang w:bidi="ar-EG"/>
        </w:rPr>
        <w:t xml:space="preserve">: </w:t>
      </w:r>
      <w:r w:rsidRPr="00555087">
        <w:rPr>
          <w:b/>
          <w:bCs/>
          <w:rtl/>
        </w:rPr>
        <w:t>اختبار الأثر غير المباشر (الوساطة)</w:t>
      </w:r>
    </w:p>
    <w:p w14:paraId="713D625A" w14:textId="77777777" w:rsidR="00793DFB" w:rsidRPr="00555087" w:rsidRDefault="00793DFB" w:rsidP="00793DFB">
      <w:pPr>
        <w:bidi/>
        <w:rPr>
          <w:lang w:bidi="ar-EG"/>
        </w:rPr>
      </w:pPr>
      <w:r w:rsidRPr="00555087">
        <w:rPr>
          <w:rtl/>
        </w:rPr>
        <w:t>بلغ حجم الأثر غير المباشر</w:t>
      </w:r>
      <w:r w:rsidRPr="00555087">
        <w:rPr>
          <w:lang w:bidi="ar-EG"/>
        </w:rPr>
        <w:t xml:space="preserve"> (Indirect Effect) </w:t>
      </w:r>
      <w:r w:rsidRPr="00555087">
        <w:rPr>
          <w:rtl/>
        </w:rPr>
        <w:t>قيمة (</w:t>
      </w:r>
      <w:r>
        <w:rPr>
          <w:rFonts w:hint="cs"/>
          <w:rtl/>
        </w:rPr>
        <w:t>0</w:t>
      </w:r>
      <w:r w:rsidRPr="00555087">
        <w:rPr>
          <w:rtl/>
        </w:rPr>
        <w:t>.3923)، مع فاصل ثقة</w:t>
      </w:r>
      <w:r w:rsidRPr="00555087">
        <w:rPr>
          <w:lang w:bidi="ar-EG"/>
        </w:rPr>
        <w:t xml:space="preserve"> Bootstrap </w:t>
      </w:r>
      <w:r w:rsidRPr="00555087">
        <w:rPr>
          <w:rtl/>
        </w:rPr>
        <w:t>عند 95% يتراوح بين (</w:t>
      </w:r>
      <w:r>
        <w:rPr>
          <w:rFonts w:hint="cs"/>
          <w:rtl/>
        </w:rPr>
        <w:t>0</w:t>
      </w:r>
      <w:r w:rsidRPr="00555087">
        <w:rPr>
          <w:rtl/>
        </w:rPr>
        <w:t>.2782) و(</w:t>
      </w:r>
      <w:r>
        <w:rPr>
          <w:rFonts w:hint="cs"/>
          <w:rtl/>
        </w:rPr>
        <w:t>0</w:t>
      </w:r>
      <w:r w:rsidRPr="00555087">
        <w:rPr>
          <w:rtl/>
        </w:rPr>
        <w:t>.5114)، ولا يتضمن الصفر، مما يؤكد وجود وساطة ذات دلالة إحصائية</w:t>
      </w:r>
      <w:r w:rsidRPr="00555087">
        <w:rPr>
          <w:lang w:bidi="ar-EG"/>
        </w:rPr>
        <w:t>.</w:t>
      </w:r>
    </w:p>
    <w:p w14:paraId="5AF2FA0D" w14:textId="77777777" w:rsidR="00793DFB" w:rsidRPr="00555087" w:rsidRDefault="00793DFB" w:rsidP="00793DFB">
      <w:pPr>
        <w:bidi/>
        <w:rPr>
          <w:lang w:bidi="ar-EG"/>
        </w:rPr>
      </w:pPr>
      <w:r w:rsidRPr="00555087">
        <w:rPr>
          <w:rtl/>
        </w:rPr>
        <w:t>وبمقارنة الأثر المباشر (</w:t>
      </w:r>
      <w:r>
        <w:rPr>
          <w:rFonts w:hint="cs"/>
          <w:rtl/>
        </w:rPr>
        <w:t>0</w:t>
      </w:r>
      <w:r w:rsidRPr="00555087">
        <w:rPr>
          <w:rtl/>
        </w:rPr>
        <w:t>.4862) مع الأثر غير المباشر (</w:t>
      </w:r>
      <w:r>
        <w:rPr>
          <w:rFonts w:hint="cs"/>
          <w:rtl/>
        </w:rPr>
        <w:t>0</w:t>
      </w:r>
      <w:r w:rsidRPr="00555087">
        <w:rPr>
          <w:rtl/>
        </w:rPr>
        <w:t xml:space="preserve">.3923)، يتضح أن الوساطة </w:t>
      </w:r>
      <w:r w:rsidRPr="00555087">
        <w:rPr>
          <w:b/>
          <w:bCs/>
          <w:rtl/>
        </w:rPr>
        <w:t>جزئية</w:t>
      </w:r>
      <w:r w:rsidRPr="00555087">
        <w:rPr>
          <w:b/>
          <w:bCs/>
          <w:lang w:bidi="ar-EG"/>
        </w:rPr>
        <w:t xml:space="preserve"> </w:t>
      </w:r>
      <w:r>
        <w:rPr>
          <w:rFonts w:hint="cs"/>
          <w:b/>
          <w:bCs/>
          <w:rtl/>
          <w:lang w:bidi="ar-EG"/>
        </w:rPr>
        <w:t>(</w:t>
      </w:r>
      <w:r w:rsidRPr="00555087">
        <w:rPr>
          <w:b/>
          <w:bCs/>
          <w:lang w:bidi="ar-EG"/>
        </w:rPr>
        <w:t>Partial Mediation</w:t>
      </w:r>
      <w:r>
        <w:rPr>
          <w:rFonts w:hint="cs"/>
          <w:b/>
          <w:bCs/>
          <w:rtl/>
          <w:lang w:bidi="ar-EG"/>
        </w:rPr>
        <w:t>)</w:t>
      </w:r>
      <w:r w:rsidRPr="00555087">
        <w:rPr>
          <w:rtl/>
        </w:rPr>
        <w:t>، حيث ظل الأثر المباشر معنويًا بعد إدخال المتغير الوسيط، وإن كان أقل من الأثر الكلي قبل إدخاله. هذا يعني أن أنظمة العمل عالية الأداء تعزز الإبداع الوظيفي بطريقتين متزامنتين</w:t>
      </w:r>
      <w:r w:rsidRPr="00555087">
        <w:rPr>
          <w:lang w:bidi="ar-EG"/>
        </w:rPr>
        <w:t>:</w:t>
      </w:r>
    </w:p>
    <w:p w14:paraId="366F992B" w14:textId="77777777" w:rsidR="00793DFB" w:rsidRPr="00555087" w:rsidRDefault="00793DFB" w:rsidP="00793DFB">
      <w:pPr>
        <w:numPr>
          <w:ilvl w:val="0"/>
          <w:numId w:val="187"/>
        </w:numPr>
        <w:bidi/>
        <w:rPr>
          <w:lang w:bidi="ar-EG"/>
        </w:rPr>
      </w:pPr>
      <w:r w:rsidRPr="00555087">
        <w:rPr>
          <w:rtl/>
        </w:rPr>
        <w:t>تأثير مباشر ناتج عن ممارسات التمكين والتدريب والتحفيز</w:t>
      </w:r>
      <w:r w:rsidRPr="00555087">
        <w:rPr>
          <w:lang w:bidi="ar-EG"/>
        </w:rPr>
        <w:t>.</w:t>
      </w:r>
    </w:p>
    <w:p w14:paraId="7253D54B" w14:textId="77777777" w:rsidR="00793DFB" w:rsidRPr="00555087" w:rsidRDefault="00793DFB" w:rsidP="00793DFB">
      <w:pPr>
        <w:numPr>
          <w:ilvl w:val="0"/>
          <w:numId w:val="187"/>
        </w:numPr>
        <w:bidi/>
        <w:rPr>
          <w:lang w:bidi="ar-EG"/>
        </w:rPr>
      </w:pPr>
      <w:r w:rsidRPr="00555087">
        <w:rPr>
          <w:rtl/>
        </w:rPr>
        <w:t>تأثير غير مباشر يتم عبر بناء ثقافة تنظيمية تشجع المبادرة، والانفتاح، ودعم الأفكار الجديدة</w:t>
      </w:r>
      <w:r w:rsidRPr="00555087">
        <w:rPr>
          <w:lang w:bidi="ar-EG"/>
        </w:rPr>
        <w:t>.</w:t>
      </w:r>
    </w:p>
    <w:p w14:paraId="152A93D0" w14:textId="77777777" w:rsidR="00793DFB" w:rsidRPr="00555087" w:rsidRDefault="00793DFB" w:rsidP="00793DFB">
      <w:pPr>
        <w:bidi/>
        <w:rPr>
          <w:lang w:bidi="ar-EG"/>
        </w:rPr>
      </w:pPr>
      <w:r w:rsidRPr="00555087">
        <w:rPr>
          <w:rtl/>
        </w:rPr>
        <w:t>رابعًا</w:t>
      </w:r>
      <w:r w:rsidRPr="00555087">
        <w:rPr>
          <w:lang w:bidi="ar-EG"/>
        </w:rPr>
        <w:t xml:space="preserve">: </w:t>
      </w:r>
      <w:r w:rsidRPr="00555087">
        <w:rPr>
          <w:b/>
          <w:bCs/>
          <w:rtl/>
        </w:rPr>
        <w:t>الدلالة النظرية والمنهجية</w:t>
      </w:r>
    </w:p>
    <w:p w14:paraId="1D7545E4" w14:textId="77777777" w:rsidR="00793DFB" w:rsidRPr="00555087" w:rsidRDefault="00793DFB" w:rsidP="00793DFB">
      <w:pPr>
        <w:bidi/>
        <w:rPr>
          <w:lang w:bidi="ar-EG"/>
        </w:rPr>
      </w:pPr>
      <w:r w:rsidRPr="00555087">
        <w:rPr>
          <w:rtl/>
        </w:rPr>
        <w:t>تشير النتائج إلى أن الثقافة التنظيمية لا تعمل كمتغير تابع ثانوي، بل تمثل آلية تفسيرية مركزية تربط بين البنية الإدارية</w:t>
      </w:r>
      <w:r w:rsidRPr="00555087">
        <w:rPr>
          <w:lang w:bidi="ar-EG"/>
        </w:rPr>
        <w:t xml:space="preserve"> (HPWS)</w:t>
      </w:r>
      <w:r>
        <w:rPr>
          <w:rFonts w:hint="cs"/>
          <w:rtl/>
          <w:lang w:bidi="ar-EG"/>
        </w:rPr>
        <w:t xml:space="preserve"> </w:t>
      </w:r>
      <w:r w:rsidRPr="00555087">
        <w:rPr>
          <w:rtl/>
        </w:rPr>
        <w:t>والمخرجات السلوكية (الإبداع)</w:t>
      </w:r>
      <w:r w:rsidRPr="00555087">
        <w:rPr>
          <w:lang w:bidi="ar-EG"/>
        </w:rPr>
        <w:t xml:space="preserve">. </w:t>
      </w:r>
      <w:r w:rsidRPr="00555087">
        <w:rPr>
          <w:rtl/>
        </w:rPr>
        <w:t>كما أن ارتفاع قيم</w:t>
      </w:r>
      <w:r w:rsidRPr="00555087">
        <w:rPr>
          <w:lang w:bidi="ar-EG"/>
        </w:rPr>
        <w:t xml:space="preserve"> R² </w:t>
      </w:r>
      <w:r w:rsidRPr="00555087">
        <w:rPr>
          <w:rtl/>
        </w:rPr>
        <w:t>في كلا النموذجين يعكس قوة البناء المفاهيمي واتساقه مع الأدبيات التي تؤكد أن الممارسات الاستراتيجية للموارد البشرية لا تنتج أثرها بشكل مباشر فحسب، وإنما عبر تشكيل مناخ تنظيمي داعم للإبداع</w:t>
      </w:r>
      <w:r w:rsidRPr="00555087">
        <w:rPr>
          <w:lang w:bidi="ar-EG"/>
        </w:rPr>
        <w:t>.</w:t>
      </w:r>
    </w:p>
    <w:p w14:paraId="3706FF90" w14:textId="77777777" w:rsidR="00793DFB" w:rsidRDefault="00793DFB" w:rsidP="00793DFB">
      <w:pPr>
        <w:bidi/>
        <w:rPr>
          <w:rtl/>
          <w:lang w:bidi="ar-EG"/>
        </w:rPr>
      </w:pPr>
      <w:r w:rsidRPr="00555087">
        <w:rPr>
          <w:rtl/>
        </w:rPr>
        <w:t>وعليه، يمكن قبول فرضية الوساطة جزئيًا، وتأكيد أن إدماج الثقافة التنظيمية ضمن النموذج التفسيري يعزز من القدرة التنبؤية لأنظمة العمل عالية الأداء تجاه الإبداع الوظيفي</w:t>
      </w:r>
      <w:r w:rsidRPr="00555087">
        <w:rPr>
          <w:lang w:bidi="ar-EG"/>
        </w:rPr>
        <w:t>.</w:t>
      </w:r>
    </w:p>
    <w:p w14:paraId="228718F2" w14:textId="77777777" w:rsidR="00793DFB" w:rsidRPr="009546BB" w:rsidRDefault="00793DFB" w:rsidP="00793DFB">
      <w:pPr>
        <w:bidi/>
        <w:rPr>
          <w:lang w:val="en-GB" w:bidi="ar-EG"/>
        </w:rPr>
      </w:pPr>
      <w:r w:rsidRPr="009546BB">
        <w:rPr>
          <w:rtl/>
        </w:rPr>
        <w:t>استنادًا إلى نتائج تحليل الوساطة باستخدام نموذج</w:t>
      </w:r>
      <w:r>
        <w:rPr>
          <w:rFonts w:hint="cs"/>
          <w:rtl/>
          <w:lang w:val="en-GB" w:bidi="ar-EG"/>
        </w:rPr>
        <w:t xml:space="preserve"> </w:t>
      </w:r>
      <w:r w:rsidRPr="009546BB">
        <w:rPr>
          <w:lang w:val="en-GB" w:bidi="ar-EG"/>
        </w:rPr>
        <w:t>PROCESS (Model 4)</w:t>
      </w:r>
      <w:r>
        <w:rPr>
          <w:rFonts w:hint="cs"/>
          <w:rtl/>
        </w:rPr>
        <w:t>:</w:t>
      </w:r>
    </w:p>
    <w:p w14:paraId="33D4C964" w14:textId="77777777" w:rsidR="00793DFB" w:rsidRPr="009546BB" w:rsidRDefault="00793DFB" w:rsidP="00793DFB">
      <w:pPr>
        <w:bidi/>
        <w:rPr>
          <w:lang w:val="en-GB" w:bidi="ar-EG"/>
        </w:rPr>
      </w:pPr>
      <w:r w:rsidRPr="009546BB">
        <w:rPr>
          <w:rtl/>
        </w:rPr>
        <w:t>تُظهر نتائج تحليل المسار أن الثقافة التنظيمية تلعب دورًا وسيطًا جزئيًا في العلاقة بين أنظمة العمل عالية الأداء</w:t>
      </w:r>
      <w:r w:rsidRPr="009546BB">
        <w:rPr>
          <w:lang w:val="en-GB" w:bidi="ar-EG"/>
        </w:rPr>
        <w:t xml:space="preserve"> (HPWS) </w:t>
      </w:r>
      <w:r w:rsidRPr="009546BB">
        <w:rPr>
          <w:rtl/>
        </w:rPr>
        <w:t>والإبداع الوظيفي. فقد أظهر النموذج الأول أن</w:t>
      </w:r>
      <w:r w:rsidRPr="009546BB">
        <w:rPr>
          <w:lang w:val="en-GB" w:bidi="ar-EG"/>
        </w:rPr>
        <w:t xml:space="preserve"> HPWS </w:t>
      </w:r>
      <w:r w:rsidRPr="009546BB">
        <w:rPr>
          <w:rtl/>
        </w:rPr>
        <w:t>تفسّر نسبة كبيرة من التباين في الثقافة التنظيمية</w:t>
      </w:r>
      <w:r w:rsidRPr="009546BB">
        <w:rPr>
          <w:lang w:val="en-GB" w:bidi="ar-EG"/>
        </w:rPr>
        <w:t xml:space="preserve"> (R² = 0.8558)</w:t>
      </w:r>
      <w:r w:rsidRPr="009546BB">
        <w:rPr>
          <w:rtl/>
        </w:rPr>
        <w:t>، مع تأثير مباشر قوي ومعنوي</w:t>
      </w:r>
      <w:r w:rsidRPr="009546BB">
        <w:rPr>
          <w:lang w:val="en-GB" w:bidi="ar-EG"/>
        </w:rPr>
        <w:t xml:space="preserve"> (B = 0.969, p &lt; 0.001). </w:t>
      </w:r>
      <w:r w:rsidRPr="009546BB">
        <w:rPr>
          <w:rtl/>
        </w:rPr>
        <w:t>وفي النموذج الثاني، ظلّ لكل من</w:t>
      </w:r>
      <w:r w:rsidRPr="009546BB">
        <w:rPr>
          <w:lang w:val="en-GB" w:bidi="ar-EG"/>
        </w:rPr>
        <w:t xml:space="preserve"> HPWS </w:t>
      </w:r>
      <w:r w:rsidRPr="009546BB">
        <w:rPr>
          <w:rtl/>
        </w:rPr>
        <w:t>والثقافة التنظيمية تأثير مباشر ومعنوي على الأداء الإبداعي</w:t>
      </w:r>
      <w:r w:rsidRPr="009546BB">
        <w:rPr>
          <w:lang w:val="en-GB" w:bidi="ar-EG"/>
        </w:rPr>
        <w:t xml:space="preserve"> (B = 0.4862 </w:t>
      </w:r>
      <w:r w:rsidRPr="009546BB">
        <w:rPr>
          <w:rtl/>
        </w:rPr>
        <w:t>و</w:t>
      </w:r>
      <w:r w:rsidRPr="009546BB">
        <w:rPr>
          <w:lang w:val="en-GB" w:bidi="ar-EG"/>
        </w:rPr>
        <w:t xml:space="preserve">B = 0.4048 </w:t>
      </w:r>
      <w:r w:rsidRPr="009546BB">
        <w:rPr>
          <w:rtl/>
        </w:rPr>
        <w:t xml:space="preserve">على التوالي، </w:t>
      </w:r>
      <w:r w:rsidRPr="009546BB">
        <w:rPr>
          <w:lang w:val="en-GB" w:bidi="ar-EG"/>
        </w:rPr>
        <w:t xml:space="preserve">p &lt; 0.001). </w:t>
      </w:r>
      <w:r w:rsidRPr="009546BB">
        <w:rPr>
          <w:rtl/>
        </w:rPr>
        <w:t>كما أن الأثر غير المباشر (0.3923) كان دالًا إحصائيًا، حيث لم يتضمن فاصل الثقة عند 95% قيمة الصفر. يشير ذلك إلى وجود وساطة جزئية، حيث تحتفظ</w:t>
      </w:r>
      <w:r w:rsidRPr="009546BB">
        <w:rPr>
          <w:lang w:val="en-GB" w:bidi="ar-EG"/>
        </w:rPr>
        <w:t xml:space="preserve"> HPWS </w:t>
      </w:r>
      <w:r w:rsidRPr="009546BB">
        <w:rPr>
          <w:rtl/>
        </w:rPr>
        <w:t>بتأثير مباشر على الإبداع حتى بعد إدخال الثقافة التنظيمية كوسيط. تعزز هذه النتائج الفرضية</w:t>
      </w:r>
      <w:r w:rsidRPr="009546BB">
        <w:rPr>
          <w:lang w:val="en-GB" w:bidi="ar-EG"/>
        </w:rPr>
        <w:t xml:space="preserve"> H₄</w:t>
      </w:r>
      <w:r w:rsidRPr="009546BB">
        <w:rPr>
          <w:rtl/>
        </w:rPr>
        <w:t>، وتؤكد أن الثقافة التنظيمية تمثل آلية تفسيرية فعّالة تربط بين ممارسات الموارد البشرية عالية الأداء والسلوك الإبداعي في بيئة العمل</w:t>
      </w:r>
      <w:r w:rsidRPr="009546BB">
        <w:rPr>
          <w:lang w:val="en-GB" w:bidi="ar-EG"/>
        </w:rPr>
        <w:t>.</w:t>
      </w:r>
    </w:p>
    <w:p w14:paraId="053ED421" w14:textId="77777777" w:rsidR="00793DFB" w:rsidRDefault="00793DFB" w:rsidP="00793DFB">
      <w:pPr>
        <w:bidi/>
        <w:rPr>
          <w:rtl/>
          <w:lang w:val="en-GB" w:bidi="ar-EG"/>
        </w:rPr>
      </w:pPr>
    </w:p>
    <w:p w14:paraId="565C9E73" w14:textId="77777777" w:rsidR="00793DFB" w:rsidRDefault="00793DFB" w:rsidP="00793DFB">
      <w:pPr>
        <w:bidi/>
        <w:rPr>
          <w:rtl/>
          <w:lang w:val="en-GB" w:bidi="ar-EG"/>
        </w:rPr>
      </w:pPr>
    </w:p>
    <w:p w14:paraId="3A377EEA" w14:textId="77777777" w:rsidR="00793DFB" w:rsidRPr="009546BB" w:rsidRDefault="00793DFB" w:rsidP="00793DFB">
      <w:pPr>
        <w:bidi/>
        <w:rPr>
          <w:lang w:val="en-GB" w:bidi="ar-EG"/>
        </w:rPr>
      </w:pPr>
    </w:p>
    <w:p w14:paraId="7E0CA860" w14:textId="77777777" w:rsidR="00793DFB" w:rsidRPr="009B4E2B" w:rsidRDefault="00793DFB" w:rsidP="00793DFB">
      <w:pPr>
        <w:bidi/>
        <w:rPr>
          <w:b/>
          <w:bCs/>
          <w:lang w:bidi="ar-EG"/>
        </w:rPr>
      </w:pPr>
      <w:r>
        <w:rPr>
          <w:rFonts w:hint="cs"/>
          <w:b/>
          <w:bCs/>
          <w:rtl/>
          <w:lang w:bidi="ar-EG"/>
        </w:rPr>
        <w:lastRenderedPageBreak/>
        <w:t xml:space="preserve">4.13. </w:t>
      </w:r>
      <w:r w:rsidRPr="009B4E2B">
        <w:rPr>
          <w:b/>
          <w:bCs/>
          <w:rtl/>
        </w:rPr>
        <w:t>اختبار فرضيات الوساطة المتعددة لأبعاد الثقافة التنظيمية</w:t>
      </w:r>
    </w:p>
    <w:p w14:paraId="46A4751E" w14:textId="77777777" w:rsidR="00793DFB" w:rsidRPr="009B4E2B" w:rsidRDefault="00793DFB" w:rsidP="00793DFB">
      <w:pPr>
        <w:bidi/>
        <w:rPr>
          <w:lang w:bidi="ar-EG"/>
        </w:rPr>
      </w:pPr>
      <w:r w:rsidRPr="009B4E2B">
        <w:rPr>
          <w:rtl/>
        </w:rPr>
        <w:t>بهدف اختبار الدور الوسيط لأبعاد الثقافة التنظيمية في العلاقة بين أنظمة العمل عالية الأداء</w:t>
      </w:r>
      <w:r w:rsidRPr="009B4E2B">
        <w:rPr>
          <w:lang w:bidi="ar-EG"/>
        </w:rPr>
        <w:t xml:space="preserve"> (HPWS) </w:t>
      </w:r>
      <w:r w:rsidRPr="009B4E2B">
        <w:rPr>
          <w:rtl/>
        </w:rPr>
        <w:t>والإبداع الوظيفي</w:t>
      </w:r>
      <w:r w:rsidRPr="009B4E2B">
        <w:rPr>
          <w:lang w:bidi="ar-EG"/>
        </w:rPr>
        <w:t xml:space="preserve"> (CREAT)</w:t>
      </w:r>
      <w:r w:rsidRPr="009B4E2B">
        <w:rPr>
          <w:rtl/>
        </w:rPr>
        <w:t>، تم استخدام نموذج الوساطة المتعددة المتوازية</w:t>
      </w:r>
      <w:r w:rsidRPr="009B4E2B">
        <w:rPr>
          <w:lang w:bidi="ar-EG"/>
        </w:rPr>
        <w:t xml:space="preserve"> (PROCESS Model 4) </w:t>
      </w:r>
      <w:r w:rsidRPr="009B4E2B">
        <w:rPr>
          <w:rtl/>
        </w:rPr>
        <w:t>بعدد 5000 عينة</w:t>
      </w:r>
      <w:r w:rsidRPr="009B4E2B">
        <w:rPr>
          <w:lang w:bidi="ar-EG"/>
        </w:rPr>
        <w:t xml:space="preserve"> Bootstrap </w:t>
      </w:r>
      <w:r w:rsidRPr="009B4E2B">
        <w:rPr>
          <w:rtl/>
        </w:rPr>
        <w:t>عند مستوى ثقة 95%، وبحجم عينة بلغ (400) مفردة</w:t>
      </w:r>
      <w:r w:rsidRPr="009B4E2B">
        <w:rPr>
          <w:lang w:bidi="ar-EG"/>
        </w:rPr>
        <w:t>.</w:t>
      </w:r>
    </w:p>
    <w:p w14:paraId="2E2DDEAF" w14:textId="77777777" w:rsidR="00793DFB" w:rsidRDefault="00793DFB" w:rsidP="00793DFB">
      <w:pPr>
        <w:bidi/>
        <w:rPr>
          <w:b/>
          <w:bCs/>
        </w:rPr>
      </w:pPr>
      <w:r w:rsidRPr="009B4E2B">
        <w:rPr>
          <w:b/>
          <w:bCs/>
          <w:rtl/>
        </w:rPr>
        <w:t>أولًا: اختبار تأثير أنظمة العمل عالية الأداء على أبعاد الثقافة التنظيمية</w:t>
      </w:r>
    </w:p>
    <w:p w14:paraId="30C4B0CC" w14:textId="77777777" w:rsidR="00793DFB" w:rsidRDefault="00793DFB" w:rsidP="00793DFB">
      <w:pPr>
        <w:bidi/>
        <w:rPr>
          <w:b/>
          <w:bCs/>
        </w:rPr>
      </w:pPr>
      <w:r w:rsidRPr="009B4E2B">
        <w:rPr>
          <w:b/>
          <w:bCs/>
          <w:rtl/>
        </w:rPr>
        <w:t>جدول</w:t>
      </w:r>
      <w:r w:rsidRPr="009B4E2B">
        <w:rPr>
          <w:b/>
          <w:bCs/>
          <w:lang w:bidi="ar-EG"/>
        </w:rPr>
        <w:t xml:space="preserve"> </w:t>
      </w:r>
      <w:r>
        <w:rPr>
          <w:rFonts w:hint="cs"/>
          <w:b/>
          <w:bCs/>
          <w:rtl/>
          <w:lang w:bidi="ar-EG"/>
        </w:rPr>
        <w:t>(4-18):</w:t>
      </w:r>
      <w:r w:rsidRPr="009B4E2B">
        <w:rPr>
          <w:b/>
          <w:bCs/>
          <w:lang w:bidi="ar-EG"/>
        </w:rPr>
        <w:t xml:space="preserve"> </w:t>
      </w:r>
      <w:r w:rsidRPr="009B4E2B">
        <w:rPr>
          <w:b/>
          <w:bCs/>
          <w:rtl/>
        </w:rPr>
        <w:t>ملخص نتائج اختبار الوساطة المتعددة لأبعاد الثقافة التنظيمية</w:t>
      </w:r>
      <w:r w:rsidRPr="009B4E2B">
        <w:rPr>
          <w:b/>
          <w:bCs/>
          <w:lang w:bidi="ar-EG"/>
        </w:rPr>
        <w:t xml:space="preserve"> (N = 400)</w:t>
      </w:r>
    </w:p>
    <w:tbl>
      <w:tblPr>
        <w:bidiVisual/>
        <w:tblW w:w="9160" w:type="dxa"/>
        <w:tblInd w:w="5" w:type="dxa"/>
        <w:tblLook w:val="04A0" w:firstRow="1" w:lastRow="0" w:firstColumn="1" w:lastColumn="0" w:noHBand="0" w:noVBand="1"/>
      </w:tblPr>
      <w:tblGrid>
        <w:gridCol w:w="2311"/>
        <w:gridCol w:w="960"/>
        <w:gridCol w:w="1059"/>
        <w:gridCol w:w="959"/>
        <w:gridCol w:w="959"/>
        <w:gridCol w:w="959"/>
        <w:gridCol w:w="956"/>
        <w:gridCol w:w="997"/>
      </w:tblGrid>
      <w:tr w:rsidR="00793DFB" w:rsidRPr="00276B97" w14:paraId="54E142F7" w14:textId="77777777" w:rsidTr="009F1C88">
        <w:trPr>
          <w:trHeight w:val="312"/>
        </w:trPr>
        <w:tc>
          <w:tcPr>
            <w:tcW w:w="2340" w:type="dxa"/>
            <w:tcBorders>
              <w:top w:val="single" w:sz="8" w:space="0" w:color="auto"/>
              <w:left w:val="single" w:sz="8" w:space="0" w:color="auto"/>
              <w:bottom w:val="single" w:sz="4" w:space="0" w:color="auto"/>
              <w:right w:val="single" w:sz="4" w:space="0" w:color="auto"/>
            </w:tcBorders>
            <w:vAlign w:val="center"/>
            <w:hideMark/>
          </w:tcPr>
          <w:p w14:paraId="04BF580E" w14:textId="77777777" w:rsidR="00793DFB" w:rsidRPr="00276B97" w:rsidRDefault="00793DFB" w:rsidP="009F1C88">
            <w:pPr>
              <w:bidi/>
              <w:spacing w:after="0" w:line="240" w:lineRule="auto"/>
              <w:jc w:val="center"/>
              <w:rPr>
                <w:rFonts w:ascii="Arial" w:eastAsia="Times New Roman" w:hAnsi="Arial" w:cs="Arial"/>
                <w:b/>
                <w:bCs/>
                <w:color w:val="000000"/>
                <w:kern w:val="0"/>
                <w14:ligatures w14:val="none"/>
              </w:rPr>
            </w:pPr>
            <w:r w:rsidRPr="00276B97">
              <w:rPr>
                <w:rFonts w:ascii="Arial" w:eastAsia="Times New Roman" w:hAnsi="Arial" w:cs="Arial" w:hint="cs"/>
                <w:b/>
                <w:bCs/>
                <w:color w:val="000000"/>
                <w:kern w:val="0"/>
                <w:rtl/>
                <w14:ligatures w14:val="none"/>
              </w:rPr>
              <w:t>المسار / النموذج</w:t>
            </w:r>
          </w:p>
        </w:tc>
        <w:tc>
          <w:tcPr>
            <w:tcW w:w="960" w:type="dxa"/>
            <w:tcBorders>
              <w:top w:val="single" w:sz="8" w:space="0" w:color="auto"/>
              <w:left w:val="single" w:sz="4" w:space="0" w:color="auto"/>
              <w:bottom w:val="single" w:sz="4" w:space="0" w:color="auto"/>
              <w:right w:val="single" w:sz="4" w:space="0" w:color="auto"/>
            </w:tcBorders>
            <w:vAlign w:val="center"/>
            <w:hideMark/>
          </w:tcPr>
          <w:p w14:paraId="3BA1D1AD" w14:textId="77777777" w:rsidR="00793DFB" w:rsidRPr="00276B97" w:rsidRDefault="00793DFB" w:rsidP="009F1C88">
            <w:pPr>
              <w:bidi/>
              <w:spacing w:after="0" w:line="240" w:lineRule="auto"/>
              <w:jc w:val="center"/>
              <w:rPr>
                <w:rFonts w:ascii="Aptos" w:eastAsia="Times New Roman" w:hAnsi="Aptos" w:cs="Arial"/>
                <w:b/>
                <w:bCs/>
                <w:color w:val="000000"/>
                <w:kern w:val="0"/>
                <w:rtl/>
                <w14:ligatures w14:val="none"/>
              </w:rPr>
            </w:pPr>
            <w:r w:rsidRPr="00276B97">
              <w:rPr>
                <w:rFonts w:ascii="Aptos" w:eastAsia="Times New Roman" w:hAnsi="Aptos" w:cs="Arial"/>
                <w:b/>
                <w:bCs/>
                <w:color w:val="000000"/>
                <w:kern w:val="0"/>
                <w:lang w:bidi="ar-EG"/>
                <w14:ligatures w14:val="none"/>
              </w:rPr>
              <w:t>B</w:t>
            </w:r>
          </w:p>
        </w:tc>
        <w:tc>
          <w:tcPr>
            <w:tcW w:w="1060" w:type="dxa"/>
            <w:tcBorders>
              <w:top w:val="single" w:sz="8" w:space="0" w:color="auto"/>
              <w:left w:val="single" w:sz="4" w:space="0" w:color="auto"/>
              <w:bottom w:val="single" w:sz="4" w:space="0" w:color="auto"/>
              <w:right w:val="single" w:sz="4" w:space="0" w:color="auto"/>
            </w:tcBorders>
            <w:vAlign w:val="center"/>
            <w:hideMark/>
          </w:tcPr>
          <w:p w14:paraId="49F5A35A" w14:textId="77777777" w:rsidR="00793DFB" w:rsidRPr="00276B97" w:rsidRDefault="00793DFB" w:rsidP="009F1C88">
            <w:pPr>
              <w:bidi/>
              <w:spacing w:after="0" w:line="240" w:lineRule="auto"/>
              <w:jc w:val="center"/>
              <w:rPr>
                <w:rFonts w:ascii="Aptos" w:eastAsia="Times New Roman" w:hAnsi="Aptos" w:cs="Arial"/>
                <w:b/>
                <w:bCs/>
                <w:color w:val="000000"/>
                <w:kern w:val="0"/>
                <w:rtl/>
                <w14:ligatures w14:val="none"/>
              </w:rPr>
            </w:pPr>
            <w:r w:rsidRPr="00276B97">
              <w:rPr>
                <w:rFonts w:ascii="Aptos" w:eastAsia="Times New Roman" w:hAnsi="Aptos" w:cs="Arial"/>
                <w:b/>
                <w:bCs/>
                <w:color w:val="000000"/>
                <w:kern w:val="0"/>
                <w:lang w:bidi="ar-EG"/>
                <w14:ligatures w14:val="none"/>
              </w:rPr>
              <w:t>SE</w:t>
            </w:r>
          </w:p>
        </w:tc>
        <w:tc>
          <w:tcPr>
            <w:tcW w:w="960" w:type="dxa"/>
            <w:tcBorders>
              <w:top w:val="single" w:sz="8" w:space="0" w:color="auto"/>
              <w:left w:val="single" w:sz="4" w:space="0" w:color="auto"/>
              <w:bottom w:val="single" w:sz="4" w:space="0" w:color="auto"/>
              <w:right w:val="single" w:sz="4" w:space="0" w:color="auto"/>
            </w:tcBorders>
            <w:vAlign w:val="center"/>
            <w:hideMark/>
          </w:tcPr>
          <w:p w14:paraId="6F8894CD" w14:textId="77777777" w:rsidR="00793DFB" w:rsidRPr="00276B97" w:rsidRDefault="00793DFB" w:rsidP="009F1C88">
            <w:pPr>
              <w:bidi/>
              <w:spacing w:after="0" w:line="240" w:lineRule="auto"/>
              <w:jc w:val="center"/>
              <w:rPr>
                <w:rFonts w:ascii="Aptos" w:eastAsia="Times New Roman" w:hAnsi="Aptos" w:cs="Arial"/>
                <w:b/>
                <w:bCs/>
                <w:color w:val="000000"/>
                <w:kern w:val="0"/>
                <w:rtl/>
                <w14:ligatures w14:val="none"/>
              </w:rPr>
            </w:pPr>
            <w:r w:rsidRPr="00276B97">
              <w:rPr>
                <w:rFonts w:ascii="Aptos" w:eastAsia="Times New Roman" w:hAnsi="Aptos" w:cs="Arial"/>
                <w:b/>
                <w:bCs/>
                <w:color w:val="000000"/>
                <w:kern w:val="0"/>
                <w:lang w:bidi="ar-EG"/>
                <w14:ligatures w14:val="none"/>
              </w:rPr>
              <w:t>t</w:t>
            </w:r>
          </w:p>
        </w:tc>
        <w:tc>
          <w:tcPr>
            <w:tcW w:w="960" w:type="dxa"/>
            <w:tcBorders>
              <w:top w:val="single" w:sz="8" w:space="0" w:color="auto"/>
              <w:left w:val="single" w:sz="4" w:space="0" w:color="auto"/>
              <w:bottom w:val="single" w:sz="4" w:space="0" w:color="auto"/>
              <w:right w:val="single" w:sz="4" w:space="0" w:color="auto"/>
            </w:tcBorders>
            <w:vAlign w:val="center"/>
            <w:hideMark/>
          </w:tcPr>
          <w:p w14:paraId="65C165E5" w14:textId="77777777" w:rsidR="00793DFB" w:rsidRPr="00276B97" w:rsidRDefault="00793DFB" w:rsidP="009F1C88">
            <w:pPr>
              <w:bidi/>
              <w:spacing w:after="0" w:line="240" w:lineRule="auto"/>
              <w:jc w:val="center"/>
              <w:rPr>
                <w:rFonts w:ascii="Aptos" w:eastAsia="Times New Roman" w:hAnsi="Aptos" w:cs="Arial"/>
                <w:b/>
                <w:bCs/>
                <w:color w:val="000000"/>
                <w:kern w:val="0"/>
                <w:rtl/>
                <w14:ligatures w14:val="none"/>
              </w:rPr>
            </w:pPr>
            <w:r w:rsidRPr="00276B97">
              <w:rPr>
                <w:rFonts w:ascii="Aptos" w:eastAsia="Times New Roman" w:hAnsi="Aptos" w:cs="Arial"/>
                <w:b/>
                <w:bCs/>
                <w:color w:val="000000"/>
                <w:kern w:val="0"/>
                <w:lang w:bidi="ar-EG"/>
                <w14:ligatures w14:val="none"/>
              </w:rPr>
              <w:t>R²</w:t>
            </w:r>
          </w:p>
        </w:tc>
        <w:tc>
          <w:tcPr>
            <w:tcW w:w="960" w:type="dxa"/>
            <w:tcBorders>
              <w:top w:val="single" w:sz="8" w:space="0" w:color="auto"/>
              <w:left w:val="single" w:sz="4" w:space="0" w:color="auto"/>
              <w:bottom w:val="single" w:sz="4" w:space="0" w:color="auto"/>
              <w:right w:val="single" w:sz="4" w:space="0" w:color="auto"/>
            </w:tcBorders>
            <w:vAlign w:val="center"/>
            <w:hideMark/>
          </w:tcPr>
          <w:p w14:paraId="476EF1E9" w14:textId="77777777" w:rsidR="00793DFB" w:rsidRPr="00276B97" w:rsidRDefault="00793DFB" w:rsidP="009F1C88">
            <w:pPr>
              <w:bidi/>
              <w:spacing w:after="0" w:line="240" w:lineRule="auto"/>
              <w:jc w:val="center"/>
              <w:rPr>
                <w:rFonts w:ascii="Aptos" w:eastAsia="Times New Roman" w:hAnsi="Aptos" w:cs="Arial"/>
                <w:b/>
                <w:bCs/>
                <w:color w:val="000000"/>
                <w:kern w:val="0"/>
                <w:rtl/>
                <w14:ligatures w14:val="none"/>
              </w:rPr>
            </w:pPr>
            <w:r w:rsidRPr="00276B97">
              <w:rPr>
                <w:rFonts w:ascii="Aptos" w:eastAsia="Times New Roman" w:hAnsi="Aptos" w:cs="Arial"/>
                <w:b/>
                <w:bCs/>
                <w:color w:val="000000"/>
                <w:kern w:val="0"/>
                <w:lang w:bidi="ar-EG"/>
                <w14:ligatures w14:val="none"/>
              </w:rPr>
              <w:t>F</w:t>
            </w:r>
          </w:p>
        </w:tc>
        <w:tc>
          <w:tcPr>
            <w:tcW w:w="960" w:type="dxa"/>
            <w:tcBorders>
              <w:top w:val="single" w:sz="8" w:space="0" w:color="auto"/>
              <w:left w:val="single" w:sz="4" w:space="0" w:color="auto"/>
              <w:bottom w:val="single" w:sz="4" w:space="0" w:color="auto"/>
              <w:right w:val="single" w:sz="4" w:space="0" w:color="auto"/>
            </w:tcBorders>
            <w:vAlign w:val="center"/>
            <w:hideMark/>
          </w:tcPr>
          <w:p w14:paraId="06434AD2" w14:textId="77777777" w:rsidR="00793DFB" w:rsidRPr="00276B97" w:rsidRDefault="00793DFB" w:rsidP="009F1C88">
            <w:pPr>
              <w:bidi/>
              <w:spacing w:after="0" w:line="240" w:lineRule="auto"/>
              <w:jc w:val="center"/>
              <w:rPr>
                <w:rFonts w:ascii="Aptos" w:eastAsia="Times New Roman" w:hAnsi="Aptos" w:cs="Arial"/>
                <w:b/>
                <w:bCs/>
                <w:color w:val="000000"/>
                <w:kern w:val="0"/>
                <w:rtl/>
                <w14:ligatures w14:val="none"/>
              </w:rPr>
            </w:pPr>
            <w:r w:rsidRPr="00276B97">
              <w:rPr>
                <w:rFonts w:ascii="Aptos" w:eastAsia="Times New Roman" w:hAnsi="Aptos" w:cs="Arial"/>
                <w:b/>
                <w:bCs/>
                <w:color w:val="000000"/>
                <w:kern w:val="0"/>
                <w:lang w:bidi="ar-EG"/>
                <w14:ligatures w14:val="none"/>
              </w:rPr>
              <w:t>p</w:t>
            </w:r>
          </w:p>
        </w:tc>
        <w:tc>
          <w:tcPr>
            <w:tcW w:w="960" w:type="dxa"/>
            <w:tcBorders>
              <w:top w:val="single" w:sz="8" w:space="0" w:color="auto"/>
              <w:left w:val="single" w:sz="4" w:space="0" w:color="auto"/>
              <w:bottom w:val="single" w:sz="4" w:space="0" w:color="auto"/>
              <w:right w:val="single" w:sz="8" w:space="0" w:color="auto"/>
            </w:tcBorders>
            <w:vAlign w:val="center"/>
            <w:hideMark/>
          </w:tcPr>
          <w:p w14:paraId="5E99FF3A" w14:textId="77777777" w:rsidR="00793DFB" w:rsidRPr="00276B97" w:rsidRDefault="00793DFB" w:rsidP="009F1C88">
            <w:pPr>
              <w:bidi/>
              <w:spacing w:after="0" w:line="240" w:lineRule="auto"/>
              <w:jc w:val="center"/>
              <w:rPr>
                <w:rFonts w:ascii="Aptos" w:eastAsia="Times New Roman" w:hAnsi="Aptos" w:cs="Arial"/>
                <w:b/>
                <w:bCs/>
                <w:color w:val="000000"/>
                <w:kern w:val="0"/>
                <w:rtl/>
                <w14:ligatures w14:val="none"/>
              </w:rPr>
            </w:pPr>
            <w:r w:rsidRPr="00276B97">
              <w:rPr>
                <w:rFonts w:ascii="Aptos" w:eastAsia="Times New Roman" w:hAnsi="Aptos" w:cs="Arial"/>
                <w:b/>
                <w:bCs/>
                <w:color w:val="000000"/>
                <w:kern w:val="0"/>
                <w:lang w:bidi="ar-EG"/>
                <w14:ligatures w14:val="none"/>
              </w:rPr>
              <w:t>95% CI</w:t>
            </w:r>
          </w:p>
        </w:tc>
      </w:tr>
      <w:tr w:rsidR="00793DFB" w:rsidRPr="00276B97" w14:paraId="785A8908" w14:textId="77777777" w:rsidTr="009F1C88">
        <w:trPr>
          <w:trHeight w:val="624"/>
        </w:trPr>
        <w:tc>
          <w:tcPr>
            <w:tcW w:w="2340" w:type="dxa"/>
            <w:tcBorders>
              <w:top w:val="nil"/>
              <w:left w:val="single" w:sz="8" w:space="0" w:color="auto"/>
              <w:bottom w:val="single" w:sz="4" w:space="0" w:color="auto"/>
              <w:right w:val="single" w:sz="4" w:space="0" w:color="auto"/>
            </w:tcBorders>
            <w:vAlign w:val="center"/>
            <w:hideMark/>
          </w:tcPr>
          <w:p w14:paraId="60D2D0F9" w14:textId="77777777" w:rsidR="00793DFB" w:rsidRPr="00276B97" w:rsidRDefault="00793DFB" w:rsidP="009F1C88">
            <w:pPr>
              <w:bidi/>
              <w:spacing w:after="0" w:line="240" w:lineRule="auto"/>
              <w:jc w:val="center"/>
              <w:rPr>
                <w:rFonts w:ascii="Arial" w:eastAsia="Times New Roman" w:hAnsi="Arial" w:cs="Arial"/>
                <w:b/>
                <w:bCs/>
                <w:color w:val="000000"/>
                <w:kern w:val="0"/>
                <w:rtl/>
                <w14:ligatures w14:val="none"/>
              </w:rPr>
            </w:pPr>
            <w:r w:rsidRPr="00276B97">
              <w:rPr>
                <w:rFonts w:ascii="Arial" w:eastAsia="Times New Roman" w:hAnsi="Arial" w:cs="Arial" w:hint="cs"/>
                <w:b/>
                <w:bCs/>
                <w:color w:val="000000"/>
                <w:kern w:val="0"/>
                <w:rtl/>
                <w14:ligatures w14:val="none"/>
              </w:rPr>
              <w:t>أولًا: تأثير</w:t>
            </w:r>
            <w:r w:rsidRPr="00276B97">
              <w:rPr>
                <w:rFonts w:ascii="Aptos" w:eastAsia="Times New Roman" w:hAnsi="Aptos" w:cs="Arial"/>
                <w:b/>
                <w:bCs/>
                <w:color w:val="000000"/>
                <w:kern w:val="0"/>
                <w:rtl/>
                <w14:ligatures w14:val="none"/>
              </w:rPr>
              <w:t xml:space="preserve"> </w:t>
            </w:r>
            <w:r w:rsidRPr="00276B97">
              <w:rPr>
                <w:rFonts w:ascii="Aptos" w:eastAsia="Times New Roman" w:hAnsi="Aptos" w:cs="Arial"/>
                <w:b/>
                <w:bCs/>
                <w:color w:val="000000"/>
                <w:kern w:val="0"/>
                <w14:ligatures w14:val="none"/>
              </w:rPr>
              <w:t>HPWS</w:t>
            </w:r>
            <w:r w:rsidRPr="00276B97">
              <w:rPr>
                <w:rFonts w:ascii="Aptos" w:eastAsia="Times New Roman" w:hAnsi="Aptos" w:cs="Arial"/>
                <w:b/>
                <w:bCs/>
                <w:color w:val="000000"/>
                <w:kern w:val="0"/>
                <w:rtl/>
                <w14:ligatures w14:val="none"/>
              </w:rPr>
              <w:t xml:space="preserve"> </w:t>
            </w:r>
            <w:r w:rsidRPr="00276B97">
              <w:rPr>
                <w:rFonts w:ascii="Arial" w:eastAsia="Times New Roman" w:hAnsi="Arial" w:cs="Arial"/>
                <w:b/>
                <w:bCs/>
                <w:color w:val="000000"/>
                <w:kern w:val="0"/>
                <w:rtl/>
                <w14:ligatures w14:val="none"/>
              </w:rPr>
              <w:t>على الأبعاد الوسيطة</w:t>
            </w:r>
          </w:p>
        </w:tc>
        <w:tc>
          <w:tcPr>
            <w:tcW w:w="960" w:type="dxa"/>
            <w:tcBorders>
              <w:top w:val="nil"/>
              <w:left w:val="single" w:sz="4" w:space="0" w:color="auto"/>
              <w:bottom w:val="single" w:sz="4" w:space="0" w:color="auto"/>
              <w:right w:val="single" w:sz="4" w:space="0" w:color="auto"/>
            </w:tcBorders>
            <w:vAlign w:val="center"/>
            <w:hideMark/>
          </w:tcPr>
          <w:p w14:paraId="12A7D918" w14:textId="77777777" w:rsidR="00793DFB" w:rsidRPr="00276B97" w:rsidRDefault="00793DFB" w:rsidP="009F1C88">
            <w:pPr>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14:ligatures w14:val="none"/>
              </w:rPr>
              <w:t> </w:t>
            </w:r>
          </w:p>
        </w:tc>
        <w:tc>
          <w:tcPr>
            <w:tcW w:w="1060" w:type="dxa"/>
            <w:tcBorders>
              <w:top w:val="nil"/>
              <w:left w:val="single" w:sz="4" w:space="0" w:color="auto"/>
              <w:bottom w:val="single" w:sz="4" w:space="0" w:color="auto"/>
              <w:right w:val="single" w:sz="4" w:space="0" w:color="auto"/>
            </w:tcBorders>
            <w:vAlign w:val="center"/>
            <w:hideMark/>
          </w:tcPr>
          <w:p w14:paraId="4C403221"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14:ligatures w14:val="none"/>
              </w:rPr>
              <w:t> </w:t>
            </w:r>
          </w:p>
        </w:tc>
        <w:tc>
          <w:tcPr>
            <w:tcW w:w="960" w:type="dxa"/>
            <w:tcBorders>
              <w:top w:val="nil"/>
              <w:left w:val="single" w:sz="4" w:space="0" w:color="auto"/>
              <w:bottom w:val="single" w:sz="4" w:space="0" w:color="auto"/>
              <w:right w:val="single" w:sz="4" w:space="0" w:color="auto"/>
            </w:tcBorders>
            <w:vAlign w:val="center"/>
            <w:hideMark/>
          </w:tcPr>
          <w:p w14:paraId="55CFEF9B"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14:ligatures w14:val="none"/>
              </w:rPr>
              <w:t> </w:t>
            </w:r>
          </w:p>
        </w:tc>
        <w:tc>
          <w:tcPr>
            <w:tcW w:w="960" w:type="dxa"/>
            <w:tcBorders>
              <w:top w:val="nil"/>
              <w:left w:val="single" w:sz="4" w:space="0" w:color="auto"/>
              <w:bottom w:val="single" w:sz="4" w:space="0" w:color="auto"/>
              <w:right w:val="single" w:sz="4" w:space="0" w:color="auto"/>
            </w:tcBorders>
            <w:vAlign w:val="center"/>
            <w:hideMark/>
          </w:tcPr>
          <w:p w14:paraId="2528026C"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14:ligatures w14:val="none"/>
              </w:rPr>
              <w:t> </w:t>
            </w:r>
          </w:p>
        </w:tc>
        <w:tc>
          <w:tcPr>
            <w:tcW w:w="960" w:type="dxa"/>
            <w:tcBorders>
              <w:top w:val="nil"/>
              <w:left w:val="single" w:sz="4" w:space="0" w:color="auto"/>
              <w:bottom w:val="single" w:sz="4" w:space="0" w:color="auto"/>
              <w:right w:val="single" w:sz="4" w:space="0" w:color="auto"/>
            </w:tcBorders>
            <w:vAlign w:val="center"/>
            <w:hideMark/>
          </w:tcPr>
          <w:p w14:paraId="0AF1BF68"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14:ligatures w14:val="none"/>
              </w:rPr>
              <w:t> </w:t>
            </w:r>
          </w:p>
        </w:tc>
        <w:tc>
          <w:tcPr>
            <w:tcW w:w="960" w:type="dxa"/>
            <w:tcBorders>
              <w:top w:val="nil"/>
              <w:left w:val="single" w:sz="4" w:space="0" w:color="auto"/>
              <w:bottom w:val="single" w:sz="4" w:space="0" w:color="auto"/>
              <w:right w:val="single" w:sz="4" w:space="0" w:color="auto"/>
            </w:tcBorders>
            <w:vAlign w:val="center"/>
            <w:hideMark/>
          </w:tcPr>
          <w:p w14:paraId="7748A7E8"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14:ligatures w14:val="none"/>
              </w:rPr>
              <w:t> </w:t>
            </w:r>
          </w:p>
        </w:tc>
        <w:tc>
          <w:tcPr>
            <w:tcW w:w="960" w:type="dxa"/>
            <w:tcBorders>
              <w:top w:val="nil"/>
              <w:left w:val="single" w:sz="4" w:space="0" w:color="auto"/>
              <w:bottom w:val="single" w:sz="4" w:space="0" w:color="auto"/>
              <w:right w:val="single" w:sz="8" w:space="0" w:color="auto"/>
            </w:tcBorders>
            <w:vAlign w:val="center"/>
            <w:hideMark/>
          </w:tcPr>
          <w:p w14:paraId="395E7926"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14:ligatures w14:val="none"/>
              </w:rPr>
              <w:t> </w:t>
            </w:r>
          </w:p>
        </w:tc>
      </w:tr>
      <w:tr w:rsidR="00793DFB" w:rsidRPr="00276B97" w14:paraId="34D0EC56" w14:textId="77777777" w:rsidTr="009F1C88">
        <w:trPr>
          <w:trHeight w:val="936"/>
        </w:trPr>
        <w:tc>
          <w:tcPr>
            <w:tcW w:w="2340" w:type="dxa"/>
            <w:tcBorders>
              <w:top w:val="nil"/>
              <w:left w:val="single" w:sz="8" w:space="0" w:color="auto"/>
              <w:bottom w:val="single" w:sz="4" w:space="0" w:color="auto"/>
              <w:right w:val="single" w:sz="4" w:space="0" w:color="auto"/>
            </w:tcBorders>
            <w:vAlign w:val="center"/>
            <w:hideMark/>
          </w:tcPr>
          <w:p w14:paraId="4447FD21" w14:textId="77777777" w:rsidR="00793DFB" w:rsidRPr="00276B97" w:rsidRDefault="00793DFB" w:rsidP="009F1C88">
            <w:pPr>
              <w:bidi/>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lang w:bidi="ar-EG"/>
                <w14:ligatures w14:val="none"/>
              </w:rPr>
              <w:t>HPWS → ORG1</w:t>
            </w:r>
          </w:p>
        </w:tc>
        <w:tc>
          <w:tcPr>
            <w:tcW w:w="960" w:type="dxa"/>
            <w:tcBorders>
              <w:top w:val="nil"/>
              <w:left w:val="single" w:sz="4" w:space="0" w:color="auto"/>
              <w:bottom w:val="single" w:sz="4" w:space="0" w:color="auto"/>
              <w:right w:val="single" w:sz="4" w:space="0" w:color="auto"/>
            </w:tcBorders>
            <w:vAlign w:val="center"/>
            <w:hideMark/>
          </w:tcPr>
          <w:p w14:paraId="18C6B355"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0.8423</w:t>
            </w:r>
          </w:p>
        </w:tc>
        <w:tc>
          <w:tcPr>
            <w:tcW w:w="1060" w:type="dxa"/>
            <w:tcBorders>
              <w:top w:val="nil"/>
              <w:left w:val="single" w:sz="4" w:space="0" w:color="auto"/>
              <w:bottom w:val="single" w:sz="4" w:space="0" w:color="auto"/>
              <w:right w:val="single" w:sz="4" w:space="0" w:color="auto"/>
            </w:tcBorders>
            <w:vAlign w:val="center"/>
            <w:hideMark/>
          </w:tcPr>
          <w:p w14:paraId="19DA7D47"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0.0342</w:t>
            </w:r>
          </w:p>
        </w:tc>
        <w:tc>
          <w:tcPr>
            <w:tcW w:w="960" w:type="dxa"/>
            <w:tcBorders>
              <w:top w:val="nil"/>
              <w:left w:val="single" w:sz="4" w:space="0" w:color="auto"/>
              <w:bottom w:val="single" w:sz="4" w:space="0" w:color="auto"/>
              <w:right w:val="single" w:sz="4" w:space="0" w:color="auto"/>
            </w:tcBorders>
            <w:vAlign w:val="center"/>
            <w:hideMark/>
          </w:tcPr>
          <w:p w14:paraId="6E04C583"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24.661</w:t>
            </w:r>
          </w:p>
        </w:tc>
        <w:tc>
          <w:tcPr>
            <w:tcW w:w="960" w:type="dxa"/>
            <w:tcBorders>
              <w:top w:val="nil"/>
              <w:left w:val="single" w:sz="4" w:space="0" w:color="auto"/>
              <w:bottom w:val="single" w:sz="4" w:space="0" w:color="auto"/>
              <w:right w:val="single" w:sz="4" w:space="0" w:color="auto"/>
            </w:tcBorders>
            <w:vAlign w:val="center"/>
            <w:hideMark/>
          </w:tcPr>
          <w:p w14:paraId="481A1FAF"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0.6044</w:t>
            </w:r>
          </w:p>
        </w:tc>
        <w:tc>
          <w:tcPr>
            <w:tcW w:w="960" w:type="dxa"/>
            <w:tcBorders>
              <w:top w:val="nil"/>
              <w:left w:val="single" w:sz="4" w:space="0" w:color="auto"/>
              <w:bottom w:val="single" w:sz="4" w:space="0" w:color="auto"/>
              <w:right w:val="single" w:sz="4" w:space="0" w:color="auto"/>
            </w:tcBorders>
            <w:vAlign w:val="center"/>
            <w:hideMark/>
          </w:tcPr>
          <w:p w14:paraId="2D3E6866"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608.16</w:t>
            </w:r>
          </w:p>
        </w:tc>
        <w:tc>
          <w:tcPr>
            <w:tcW w:w="960" w:type="dxa"/>
            <w:tcBorders>
              <w:top w:val="nil"/>
              <w:left w:val="single" w:sz="4" w:space="0" w:color="auto"/>
              <w:bottom w:val="single" w:sz="4" w:space="0" w:color="auto"/>
              <w:right w:val="single" w:sz="4" w:space="0" w:color="auto"/>
            </w:tcBorders>
            <w:vAlign w:val="center"/>
            <w:hideMark/>
          </w:tcPr>
          <w:p w14:paraId="4E37D324"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w:t>
            </w:r>
          </w:p>
        </w:tc>
        <w:tc>
          <w:tcPr>
            <w:tcW w:w="960" w:type="dxa"/>
            <w:tcBorders>
              <w:top w:val="nil"/>
              <w:left w:val="single" w:sz="4" w:space="0" w:color="auto"/>
              <w:bottom w:val="single" w:sz="4" w:space="0" w:color="auto"/>
              <w:right w:val="single" w:sz="8" w:space="0" w:color="auto"/>
            </w:tcBorders>
            <w:vAlign w:val="center"/>
            <w:hideMark/>
          </w:tcPr>
          <w:p w14:paraId="4EABEDDC"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roofErr w:type="gramStart"/>
            <w:r w:rsidRPr="00276B97">
              <w:rPr>
                <w:rFonts w:ascii="Aptos" w:eastAsia="Times New Roman" w:hAnsi="Aptos" w:cs="Arial"/>
                <w:color w:val="000000"/>
                <w:kern w:val="0"/>
                <w:lang w:bidi="ar-EG"/>
                <w14:ligatures w14:val="none"/>
              </w:rPr>
              <w:t>0.7752 ,</w:t>
            </w:r>
            <w:proofErr w:type="gramEnd"/>
            <w:r w:rsidRPr="00276B97">
              <w:rPr>
                <w:rFonts w:ascii="Aptos" w:eastAsia="Times New Roman" w:hAnsi="Aptos" w:cs="Arial"/>
                <w:color w:val="000000"/>
                <w:kern w:val="0"/>
                <w:lang w:bidi="ar-EG"/>
                <w14:ligatures w14:val="none"/>
              </w:rPr>
              <w:t xml:space="preserve"> 0.9095]</w:t>
            </w:r>
          </w:p>
        </w:tc>
      </w:tr>
      <w:tr w:rsidR="00793DFB" w:rsidRPr="00276B97" w14:paraId="082D83E1" w14:textId="77777777" w:rsidTr="009F1C88">
        <w:trPr>
          <w:trHeight w:val="936"/>
        </w:trPr>
        <w:tc>
          <w:tcPr>
            <w:tcW w:w="2340" w:type="dxa"/>
            <w:tcBorders>
              <w:top w:val="nil"/>
              <w:left w:val="single" w:sz="8" w:space="0" w:color="auto"/>
              <w:bottom w:val="single" w:sz="4" w:space="0" w:color="auto"/>
              <w:right w:val="single" w:sz="4" w:space="0" w:color="auto"/>
            </w:tcBorders>
            <w:vAlign w:val="center"/>
            <w:hideMark/>
          </w:tcPr>
          <w:p w14:paraId="4E0769CC"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HPWS → ORG2</w:t>
            </w:r>
          </w:p>
        </w:tc>
        <w:tc>
          <w:tcPr>
            <w:tcW w:w="960" w:type="dxa"/>
            <w:tcBorders>
              <w:top w:val="nil"/>
              <w:left w:val="single" w:sz="4" w:space="0" w:color="auto"/>
              <w:bottom w:val="single" w:sz="4" w:space="0" w:color="auto"/>
              <w:right w:val="single" w:sz="4" w:space="0" w:color="auto"/>
            </w:tcBorders>
            <w:vAlign w:val="center"/>
            <w:hideMark/>
          </w:tcPr>
          <w:p w14:paraId="0D7286B0"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0.8764</w:t>
            </w:r>
          </w:p>
        </w:tc>
        <w:tc>
          <w:tcPr>
            <w:tcW w:w="1060" w:type="dxa"/>
            <w:tcBorders>
              <w:top w:val="nil"/>
              <w:left w:val="single" w:sz="4" w:space="0" w:color="auto"/>
              <w:bottom w:val="single" w:sz="4" w:space="0" w:color="auto"/>
              <w:right w:val="single" w:sz="4" w:space="0" w:color="auto"/>
            </w:tcBorders>
            <w:vAlign w:val="center"/>
            <w:hideMark/>
          </w:tcPr>
          <w:p w14:paraId="7DA5BDAA"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0.0363</w:t>
            </w:r>
          </w:p>
        </w:tc>
        <w:tc>
          <w:tcPr>
            <w:tcW w:w="960" w:type="dxa"/>
            <w:tcBorders>
              <w:top w:val="nil"/>
              <w:left w:val="single" w:sz="4" w:space="0" w:color="auto"/>
              <w:bottom w:val="single" w:sz="4" w:space="0" w:color="auto"/>
              <w:right w:val="single" w:sz="4" w:space="0" w:color="auto"/>
            </w:tcBorders>
            <w:vAlign w:val="center"/>
            <w:hideMark/>
          </w:tcPr>
          <w:p w14:paraId="5A6A17A5"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24.144</w:t>
            </w:r>
          </w:p>
        </w:tc>
        <w:tc>
          <w:tcPr>
            <w:tcW w:w="960" w:type="dxa"/>
            <w:tcBorders>
              <w:top w:val="nil"/>
              <w:left w:val="single" w:sz="4" w:space="0" w:color="auto"/>
              <w:bottom w:val="single" w:sz="4" w:space="0" w:color="auto"/>
              <w:right w:val="single" w:sz="4" w:space="0" w:color="auto"/>
            </w:tcBorders>
            <w:vAlign w:val="center"/>
            <w:hideMark/>
          </w:tcPr>
          <w:p w14:paraId="3319FC91"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0.5943</w:t>
            </w:r>
          </w:p>
        </w:tc>
        <w:tc>
          <w:tcPr>
            <w:tcW w:w="960" w:type="dxa"/>
            <w:tcBorders>
              <w:top w:val="nil"/>
              <w:left w:val="single" w:sz="4" w:space="0" w:color="auto"/>
              <w:bottom w:val="single" w:sz="4" w:space="0" w:color="auto"/>
              <w:right w:val="single" w:sz="4" w:space="0" w:color="auto"/>
            </w:tcBorders>
            <w:vAlign w:val="center"/>
            <w:hideMark/>
          </w:tcPr>
          <w:p w14:paraId="06FB2889"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582.95</w:t>
            </w:r>
          </w:p>
        </w:tc>
        <w:tc>
          <w:tcPr>
            <w:tcW w:w="960" w:type="dxa"/>
            <w:tcBorders>
              <w:top w:val="nil"/>
              <w:left w:val="single" w:sz="4" w:space="0" w:color="auto"/>
              <w:bottom w:val="single" w:sz="4" w:space="0" w:color="auto"/>
              <w:right w:val="single" w:sz="4" w:space="0" w:color="auto"/>
            </w:tcBorders>
            <w:vAlign w:val="center"/>
            <w:hideMark/>
          </w:tcPr>
          <w:p w14:paraId="6C4ECBC9"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w:t>
            </w:r>
          </w:p>
        </w:tc>
        <w:tc>
          <w:tcPr>
            <w:tcW w:w="960" w:type="dxa"/>
            <w:tcBorders>
              <w:top w:val="nil"/>
              <w:left w:val="single" w:sz="4" w:space="0" w:color="auto"/>
              <w:bottom w:val="single" w:sz="4" w:space="0" w:color="auto"/>
              <w:right w:val="single" w:sz="8" w:space="0" w:color="auto"/>
            </w:tcBorders>
            <w:vAlign w:val="center"/>
            <w:hideMark/>
          </w:tcPr>
          <w:p w14:paraId="25ECCAD1"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roofErr w:type="gramStart"/>
            <w:r w:rsidRPr="00276B97">
              <w:rPr>
                <w:rFonts w:ascii="Aptos" w:eastAsia="Times New Roman" w:hAnsi="Aptos" w:cs="Arial"/>
                <w:color w:val="000000"/>
                <w:kern w:val="0"/>
                <w:lang w:bidi="ar-EG"/>
                <w14:ligatures w14:val="none"/>
              </w:rPr>
              <w:t>0.8050 ,</w:t>
            </w:r>
            <w:proofErr w:type="gramEnd"/>
            <w:r w:rsidRPr="00276B97">
              <w:rPr>
                <w:rFonts w:ascii="Aptos" w:eastAsia="Times New Roman" w:hAnsi="Aptos" w:cs="Arial"/>
                <w:color w:val="000000"/>
                <w:kern w:val="0"/>
                <w:lang w:bidi="ar-EG"/>
                <w14:ligatures w14:val="none"/>
              </w:rPr>
              <w:t xml:space="preserve"> 0.9478]</w:t>
            </w:r>
          </w:p>
        </w:tc>
      </w:tr>
      <w:tr w:rsidR="00793DFB" w:rsidRPr="00276B97" w14:paraId="504055FE" w14:textId="77777777" w:rsidTr="009F1C88">
        <w:trPr>
          <w:trHeight w:val="936"/>
        </w:trPr>
        <w:tc>
          <w:tcPr>
            <w:tcW w:w="2340" w:type="dxa"/>
            <w:tcBorders>
              <w:top w:val="nil"/>
              <w:left w:val="single" w:sz="8" w:space="0" w:color="auto"/>
              <w:bottom w:val="single" w:sz="4" w:space="0" w:color="auto"/>
              <w:right w:val="single" w:sz="4" w:space="0" w:color="auto"/>
            </w:tcBorders>
            <w:vAlign w:val="center"/>
            <w:hideMark/>
          </w:tcPr>
          <w:p w14:paraId="5528FAF2"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HPWS → ORG3</w:t>
            </w:r>
          </w:p>
        </w:tc>
        <w:tc>
          <w:tcPr>
            <w:tcW w:w="960" w:type="dxa"/>
            <w:tcBorders>
              <w:top w:val="nil"/>
              <w:left w:val="single" w:sz="4" w:space="0" w:color="auto"/>
              <w:bottom w:val="single" w:sz="4" w:space="0" w:color="auto"/>
              <w:right w:val="single" w:sz="4" w:space="0" w:color="auto"/>
            </w:tcBorders>
            <w:vAlign w:val="center"/>
            <w:hideMark/>
          </w:tcPr>
          <w:p w14:paraId="202FF633"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1.056</w:t>
            </w:r>
          </w:p>
        </w:tc>
        <w:tc>
          <w:tcPr>
            <w:tcW w:w="1060" w:type="dxa"/>
            <w:tcBorders>
              <w:top w:val="nil"/>
              <w:left w:val="single" w:sz="4" w:space="0" w:color="auto"/>
              <w:bottom w:val="single" w:sz="4" w:space="0" w:color="auto"/>
              <w:right w:val="single" w:sz="4" w:space="0" w:color="auto"/>
            </w:tcBorders>
            <w:vAlign w:val="center"/>
            <w:hideMark/>
          </w:tcPr>
          <w:p w14:paraId="6B04C5A9"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0.0338</w:t>
            </w:r>
          </w:p>
        </w:tc>
        <w:tc>
          <w:tcPr>
            <w:tcW w:w="960" w:type="dxa"/>
            <w:tcBorders>
              <w:top w:val="nil"/>
              <w:left w:val="single" w:sz="4" w:space="0" w:color="auto"/>
              <w:bottom w:val="single" w:sz="4" w:space="0" w:color="auto"/>
              <w:right w:val="single" w:sz="4" w:space="0" w:color="auto"/>
            </w:tcBorders>
            <w:vAlign w:val="center"/>
            <w:hideMark/>
          </w:tcPr>
          <w:p w14:paraId="311FDB02"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31.263</w:t>
            </w:r>
          </w:p>
        </w:tc>
        <w:tc>
          <w:tcPr>
            <w:tcW w:w="960" w:type="dxa"/>
            <w:tcBorders>
              <w:top w:val="nil"/>
              <w:left w:val="single" w:sz="4" w:space="0" w:color="auto"/>
              <w:bottom w:val="single" w:sz="4" w:space="0" w:color="auto"/>
              <w:right w:val="single" w:sz="4" w:space="0" w:color="auto"/>
            </w:tcBorders>
            <w:vAlign w:val="center"/>
            <w:hideMark/>
          </w:tcPr>
          <w:p w14:paraId="2E21A3E2"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0.7106</w:t>
            </w:r>
          </w:p>
        </w:tc>
        <w:tc>
          <w:tcPr>
            <w:tcW w:w="960" w:type="dxa"/>
            <w:tcBorders>
              <w:top w:val="nil"/>
              <w:left w:val="single" w:sz="4" w:space="0" w:color="auto"/>
              <w:bottom w:val="single" w:sz="4" w:space="0" w:color="auto"/>
              <w:right w:val="single" w:sz="4" w:space="0" w:color="auto"/>
            </w:tcBorders>
            <w:vAlign w:val="center"/>
            <w:hideMark/>
          </w:tcPr>
          <w:p w14:paraId="5B98EBDE"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977.37</w:t>
            </w:r>
          </w:p>
        </w:tc>
        <w:tc>
          <w:tcPr>
            <w:tcW w:w="960" w:type="dxa"/>
            <w:tcBorders>
              <w:top w:val="nil"/>
              <w:left w:val="single" w:sz="4" w:space="0" w:color="auto"/>
              <w:bottom w:val="single" w:sz="4" w:space="0" w:color="auto"/>
              <w:right w:val="single" w:sz="4" w:space="0" w:color="auto"/>
            </w:tcBorders>
            <w:vAlign w:val="center"/>
            <w:hideMark/>
          </w:tcPr>
          <w:p w14:paraId="149D8A87"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w:t>
            </w:r>
          </w:p>
        </w:tc>
        <w:tc>
          <w:tcPr>
            <w:tcW w:w="960" w:type="dxa"/>
            <w:tcBorders>
              <w:top w:val="nil"/>
              <w:left w:val="single" w:sz="4" w:space="0" w:color="auto"/>
              <w:bottom w:val="single" w:sz="4" w:space="0" w:color="auto"/>
              <w:right w:val="single" w:sz="8" w:space="0" w:color="auto"/>
            </w:tcBorders>
            <w:vAlign w:val="center"/>
            <w:hideMark/>
          </w:tcPr>
          <w:p w14:paraId="7AD81F93"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roofErr w:type="gramStart"/>
            <w:r w:rsidRPr="00276B97">
              <w:rPr>
                <w:rFonts w:ascii="Aptos" w:eastAsia="Times New Roman" w:hAnsi="Aptos" w:cs="Arial"/>
                <w:color w:val="000000"/>
                <w:kern w:val="0"/>
                <w:lang w:bidi="ar-EG"/>
                <w14:ligatures w14:val="none"/>
              </w:rPr>
              <w:t>0.9896 ,</w:t>
            </w:r>
            <w:proofErr w:type="gramEnd"/>
            <w:r w:rsidRPr="00276B97">
              <w:rPr>
                <w:rFonts w:ascii="Aptos" w:eastAsia="Times New Roman" w:hAnsi="Aptos" w:cs="Arial"/>
                <w:color w:val="000000"/>
                <w:kern w:val="0"/>
                <w:lang w:bidi="ar-EG"/>
                <w14:ligatures w14:val="none"/>
              </w:rPr>
              <w:t xml:space="preserve"> 1.1224]</w:t>
            </w:r>
          </w:p>
        </w:tc>
      </w:tr>
      <w:tr w:rsidR="00793DFB" w:rsidRPr="00276B97" w14:paraId="4F42C55E" w14:textId="77777777" w:rsidTr="009F1C88">
        <w:trPr>
          <w:trHeight w:val="948"/>
        </w:trPr>
        <w:tc>
          <w:tcPr>
            <w:tcW w:w="2340" w:type="dxa"/>
            <w:tcBorders>
              <w:top w:val="nil"/>
              <w:left w:val="single" w:sz="8" w:space="0" w:color="auto"/>
              <w:bottom w:val="single" w:sz="8" w:space="0" w:color="auto"/>
              <w:right w:val="single" w:sz="4" w:space="0" w:color="auto"/>
            </w:tcBorders>
            <w:vAlign w:val="center"/>
            <w:hideMark/>
          </w:tcPr>
          <w:p w14:paraId="4F2FDA66"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HPWS → ORG4</w:t>
            </w:r>
          </w:p>
        </w:tc>
        <w:tc>
          <w:tcPr>
            <w:tcW w:w="960" w:type="dxa"/>
            <w:tcBorders>
              <w:top w:val="nil"/>
              <w:left w:val="single" w:sz="4" w:space="0" w:color="auto"/>
              <w:bottom w:val="single" w:sz="8" w:space="0" w:color="auto"/>
              <w:right w:val="single" w:sz="4" w:space="0" w:color="auto"/>
            </w:tcBorders>
            <w:vAlign w:val="center"/>
            <w:hideMark/>
          </w:tcPr>
          <w:p w14:paraId="79DA4ED2"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1.0572</w:t>
            </w:r>
          </w:p>
        </w:tc>
        <w:tc>
          <w:tcPr>
            <w:tcW w:w="1060" w:type="dxa"/>
            <w:tcBorders>
              <w:top w:val="nil"/>
              <w:left w:val="single" w:sz="4" w:space="0" w:color="auto"/>
              <w:bottom w:val="single" w:sz="8" w:space="0" w:color="auto"/>
              <w:right w:val="single" w:sz="4" w:space="0" w:color="auto"/>
            </w:tcBorders>
            <w:vAlign w:val="center"/>
            <w:hideMark/>
          </w:tcPr>
          <w:p w14:paraId="470ED157"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0.029</w:t>
            </w:r>
          </w:p>
        </w:tc>
        <w:tc>
          <w:tcPr>
            <w:tcW w:w="960" w:type="dxa"/>
            <w:tcBorders>
              <w:top w:val="nil"/>
              <w:left w:val="single" w:sz="4" w:space="0" w:color="auto"/>
              <w:bottom w:val="single" w:sz="8" w:space="0" w:color="auto"/>
              <w:right w:val="single" w:sz="4" w:space="0" w:color="auto"/>
            </w:tcBorders>
            <w:vAlign w:val="center"/>
            <w:hideMark/>
          </w:tcPr>
          <w:p w14:paraId="1E81C49C"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36.503</w:t>
            </w:r>
          </w:p>
        </w:tc>
        <w:tc>
          <w:tcPr>
            <w:tcW w:w="960" w:type="dxa"/>
            <w:tcBorders>
              <w:top w:val="nil"/>
              <w:left w:val="single" w:sz="4" w:space="0" w:color="auto"/>
              <w:bottom w:val="single" w:sz="8" w:space="0" w:color="auto"/>
              <w:right w:val="single" w:sz="4" w:space="0" w:color="auto"/>
            </w:tcBorders>
            <w:vAlign w:val="center"/>
            <w:hideMark/>
          </w:tcPr>
          <w:p w14:paraId="73604B84"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0.77</w:t>
            </w:r>
          </w:p>
        </w:tc>
        <w:tc>
          <w:tcPr>
            <w:tcW w:w="960" w:type="dxa"/>
            <w:tcBorders>
              <w:top w:val="nil"/>
              <w:left w:val="single" w:sz="4" w:space="0" w:color="auto"/>
              <w:bottom w:val="single" w:sz="8" w:space="0" w:color="auto"/>
              <w:right w:val="single" w:sz="4" w:space="0" w:color="auto"/>
            </w:tcBorders>
            <w:vAlign w:val="center"/>
            <w:hideMark/>
          </w:tcPr>
          <w:p w14:paraId="503E05A8"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1332.5</w:t>
            </w:r>
          </w:p>
        </w:tc>
        <w:tc>
          <w:tcPr>
            <w:tcW w:w="960" w:type="dxa"/>
            <w:tcBorders>
              <w:top w:val="nil"/>
              <w:left w:val="single" w:sz="4" w:space="0" w:color="auto"/>
              <w:bottom w:val="single" w:sz="8" w:space="0" w:color="auto"/>
              <w:right w:val="single" w:sz="4" w:space="0" w:color="auto"/>
            </w:tcBorders>
            <w:vAlign w:val="center"/>
            <w:hideMark/>
          </w:tcPr>
          <w:p w14:paraId="766BDDDD"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w:t>
            </w:r>
          </w:p>
        </w:tc>
        <w:tc>
          <w:tcPr>
            <w:tcW w:w="960" w:type="dxa"/>
            <w:tcBorders>
              <w:top w:val="nil"/>
              <w:left w:val="single" w:sz="4" w:space="0" w:color="auto"/>
              <w:bottom w:val="single" w:sz="8" w:space="0" w:color="auto"/>
              <w:right w:val="single" w:sz="8" w:space="0" w:color="auto"/>
            </w:tcBorders>
            <w:vAlign w:val="center"/>
            <w:hideMark/>
          </w:tcPr>
          <w:p w14:paraId="232B4D57"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roofErr w:type="gramStart"/>
            <w:r w:rsidRPr="00276B97">
              <w:rPr>
                <w:rFonts w:ascii="Aptos" w:eastAsia="Times New Roman" w:hAnsi="Aptos" w:cs="Arial"/>
                <w:color w:val="000000"/>
                <w:kern w:val="0"/>
                <w:lang w:bidi="ar-EG"/>
                <w14:ligatures w14:val="none"/>
              </w:rPr>
              <w:t>1.0003 ,</w:t>
            </w:r>
            <w:proofErr w:type="gramEnd"/>
            <w:r w:rsidRPr="00276B97">
              <w:rPr>
                <w:rFonts w:ascii="Aptos" w:eastAsia="Times New Roman" w:hAnsi="Aptos" w:cs="Arial"/>
                <w:color w:val="000000"/>
                <w:kern w:val="0"/>
                <w:lang w:bidi="ar-EG"/>
                <w14:ligatures w14:val="none"/>
              </w:rPr>
              <w:t xml:space="preserve"> 1.1142]</w:t>
            </w:r>
          </w:p>
        </w:tc>
      </w:tr>
      <w:tr w:rsidR="00793DFB" w:rsidRPr="00276B97" w14:paraId="746A660E" w14:textId="77777777" w:rsidTr="009F1C88">
        <w:trPr>
          <w:trHeight w:val="1248"/>
        </w:trPr>
        <w:tc>
          <w:tcPr>
            <w:tcW w:w="9160" w:type="dxa"/>
            <w:gridSpan w:val="8"/>
            <w:tcBorders>
              <w:top w:val="single" w:sz="8" w:space="0" w:color="auto"/>
              <w:left w:val="single" w:sz="8" w:space="0" w:color="auto"/>
              <w:bottom w:val="single" w:sz="4" w:space="0" w:color="auto"/>
              <w:right w:val="single" w:sz="8" w:space="0" w:color="000000"/>
            </w:tcBorders>
            <w:vAlign w:val="center"/>
            <w:hideMark/>
          </w:tcPr>
          <w:p w14:paraId="4F9A7AEB" w14:textId="77777777" w:rsidR="00793DFB" w:rsidRPr="00276B97" w:rsidRDefault="00793DFB" w:rsidP="009F1C88">
            <w:pPr>
              <w:bidi/>
              <w:spacing w:after="0" w:line="240" w:lineRule="auto"/>
              <w:jc w:val="center"/>
              <w:rPr>
                <w:rFonts w:ascii="Arial" w:eastAsia="Times New Roman" w:hAnsi="Arial" w:cs="Arial"/>
                <w:b/>
                <w:bCs/>
                <w:color w:val="000000"/>
                <w:kern w:val="0"/>
                <w:rtl/>
                <w14:ligatures w14:val="none"/>
              </w:rPr>
            </w:pPr>
            <w:r w:rsidRPr="00276B97">
              <w:rPr>
                <w:rFonts w:ascii="Arial" w:eastAsia="Times New Roman" w:hAnsi="Arial" w:cs="Arial" w:hint="cs"/>
                <w:b/>
                <w:bCs/>
                <w:color w:val="000000"/>
                <w:kern w:val="0"/>
                <w:rtl/>
                <w14:ligatures w14:val="none"/>
              </w:rPr>
              <w:t>ثانيًا: تأثير المتغيرات على الإبداع الوظيفي</w:t>
            </w:r>
            <w:r w:rsidRPr="00276B97">
              <w:rPr>
                <w:rFonts w:ascii="Arial" w:eastAsia="Times New Roman" w:hAnsi="Arial" w:cs="Arial"/>
                <w:color w:val="000000"/>
                <w:kern w:val="0"/>
                <w:rtl/>
                <w14:ligatures w14:val="none"/>
              </w:rPr>
              <w:t xml:space="preserve"> </w:t>
            </w:r>
            <w:r w:rsidRPr="00276B97">
              <w:rPr>
                <w:rFonts w:ascii="Aptos" w:eastAsia="Times New Roman" w:hAnsi="Aptos" w:cs="Arial"/>
                <w:color w:val="000000"/>
                <w:kern w:val="0"/>
                <w:rtl/>
                <w14:ligatures w14:val="none"/>
              </w:rPr>
              <w:t>(</w:t>
            </w:r>
            <w:r w:rsidRPr="00276B97">
              <w:rPr>
                <w:rFonts w:ascii="Aptos" w:eastAsia="Times New Roman" w:hAnsi="Aptos" w:cs="Arial"/>
                <w:color w:val="000000"/>
                <w:kern w:val="0"/>
                <w14:ligatures w14:val="none"/>
              </w:rPr>
              <w:t>R²</w:t>
            </w:r>
            <w:r w:rsidRPr="00276B97">
              <w:rPr>
                <w:rFonts w:ascii="Aptos" w:eastAsia="Times New Roman" w:hAnsi="Aptos" w:cs="Arial"/>
                <w:color w:val="000000"/>
                <w:kern w:val="0"/>
                <w:rtl/>
                <w14:ligatures w14:val="none"/>
              </w:rPr>
              <w:t xml:space="preserve"> = .</w:t>
            </w:r>
            <w:proofErr w:type="gramStart"/>
            <w:r w:rsidRPr="00276B97">
              <w:rPr>
                <w:rFonts w:ascii="Aptos" w:eastAsia="Times New Roman" w:hAnsi="Aptos" w:cs="Arial"/>
                <w:color w:val="000000"/>
                <w:kern w:val="0"/>
                <w:rtl/>
                <w14:ligatures w14:val="none"/>
              </w:rPr>
              <w:t xml:space="preserve">8094 </w:t>
            </w:r>
            <w:r w:rsidRPr="00276B97">
              <w:rPr>
                <w:rFonts w:ascii="Arial" w:eastAsia="Times New Roman" w:hAnsi="Arial" w:cs="Arial"/>
                <w:color w:val="000000"/>
                <w:kern w:val="0"/>
                <w:rtl/>
                <w14:ligatures w14:val="none"/>
              </w:rPr>
              <w:t>؛</w:t>
            </w:r>
            <w:proofErr w:type="gramEnd"/>
            <w:r w:rsidRPr="00276B97">
              <w:rPr>
                <w:rFonts w:ascii="Aptos" w:eastAsia="Times New Roman" w:hAnsi="Aptos" w:cs="Arial"/>
                <w:color w:val="000000"/>
                <w:kern w:val="0"/>
                <w:rtl/>
                <w14:ligatures w14:val="none"/>
              </w:rPr>
              <w:t xml:space="preserve"> </w:t>
            </w:r>
            <w:r w:rsidRPr="00276B97">
              <w:rPr>
                <w:rFonts w:ascii="Aptos" w:eastAsia="Times New Roman" w:hAnsi="Aptos" w:cs="Arial"/>
                <w:color w:val="000000"/>
                <w:kern w:val="0"/>
                <w14:ligatures w14:val="none"/>
              </w:rPr>
              <w:t xml:space="preserve">F = </w:t>
            </w:r>
            <w:proofErr w:type="gramStart"/>
            <w:r w:rsidRPr="00276B97">
              <w:rPr>
                <w:rFonts w:ascii="Aptos" w:eastAsia="Times New Roman" w:hAnsi="Aptos" w:cs="Arial"/>
                <w:color w:val="000000"/>
                <w:kern w:val="0"/>
                <w14:ligatures w14:val="none"/>
              </w:rPr>
              <w:t>334.729</w:t>
            </w:r>
            <w:r w:rsidRPr="00276B97">
              <w:rPr>
                <w:rFonts w:ascii="Aptos" w:eastAsia="Times New Roman" w:hAnsi="Aptos" w:cs="Arial"/>
                <w:color w:val="000000"/>
                <w:kern w:val="0"/>
                <w:rtl/>
                <w14:ligatures w14:val="none"/>
              </w:rPr>
              <w:t xml:space="preserve"> </w:t>
            </w:r>
            <w:r w:rsidRPr="00276B97">
              <w:rPr>
                <w:rFonts w:ascii="Arial" w:eastAsia="Times New Roman" w:hAnsi="Arial" w:cs="Arial"/>
                <w:color w:val="000000"/>
                <w:kern w:val="0"/>
                <w:rtl/>
                <w14:ligatures w14:val="none"/>
              </w:rPr>
              <w:t>؛</w:t>
            </w:r>
            <w:proofErr w:type="gramEnd"/>
            <w:r w:rsidRPr="00276B97">
              <w:rPr>
                <w:rFonts w:ascii="Aptos" w:eastAsia="Times New Roman" w:hAnsi="Aptos" w:cs="Arial"/>
                <w:color w:val="000000"/>
                <w:kern w:val="0"/>
                <w:rtl/>
                <w14:ligatures w14:val="none"/>
              </w:rPr>
              <w:t xml:space="preserve"> </w:t>
            </w:r>
            <w:r w:rsidRPr="00276B97">
              <w:rPr>
                <w:rFonts w:ascii="Aptos" w:eastAsia="Times New Roman" w:hAnsi="Aptos" w:cs="Arial"/>
                <w:color w:val="000000"/>
                <w:kern w:val="0"/>
                <w14:ligatures w14:val="none"/>
              </w:rPr>
              <w:t>p</w:t>
            </w:r>
            <w:r w:rsidRPr="00276B97">
              <w:rPr>
                <w:rFonts w:ascii="Aptos" w:eastAsia="Times New Roman" w:hAnsi="Aptos" w:cs="Arial"/>
                <w:color w:val="000000"/>
                <w:kern w:val="0"/>
                <w:rtl/>
                <w14:ligatures w14:val="none"/>
              </w:rPr>
              <w:t xml:space="preserve"> &lt; .001)</w:t>
            </w:r>
          </w:p>
        </w:tc>
      </w:tr>
      <w:tr w:rsidR="00793DFB" w:rsidRPr="00276B97" w14:paraId="356B301C" w14:textId="77777777" w:rsidTr="009F1C88">
        <w:trPr>
          <w:trHeight w:val="936"/>
        </w:trPr>
        <w:tc>
          <w:tcPr>
            <w:tcW w:w="2340" w:type="dxa"/>
            <w:tcBorders>
              <w:top w:val="nil"/>
              <w:left w:val="single" w:sz="8" w:space="0" w:color="auto"/>
              <w:bottom w:val="single" w:sz="4" w:space="0" w:color="auto"/>
              <w:right w:val="single" w:sz="4" w:space="0" w:color="auto"/>
            </w:tcBorders>
            <w:vAlign w:val="center"/>
            <w:hideMark/>
          </w:tcPr>
          <w:p w14:paraId="30DA1B60" w14:textId="77777777" w:rsidR="00793DFB" w:rsidRPr="00276B97" w:rsidRDefault="00793DFB" w:rsidP="009F1C88">
            <w:pPr>
              <w:bidi/>
              <w:spacing w:after="0" w:line="240" w:lineRule="auto"/>
              <w:jc w:val="center"/>
              <w:rPr>
                <w:rFonts w:ascii="Arial" w:eastAsia="Times New Roman" w:hAnsi="Arial" w:cs="Arial"/>
                <w:b/>
                <w:bCs/>
                <w:color w:val="000000"/>
                <w:kern w:val="0"/>
                <w:rtl/>
                <w14:ligatures w14:val="none"/>
              </w:rPr>
            </w:pPr>
            <w:r w:rsidRPr="00276B97">
              <w:rPr>
                <w:rFonts w:ascii="Arial" w:eastAsia="Times New Roman" w:hAnsi="Arial" w:cs="Arial"/>
                <w:b/>
                <w:bCs/>
                <w:color w:val="000000"/>
                <w:kern w:val="0"/>
                <w:lang w:bidi="ar-EG"/>
                <w14:ligatures w14:val="none"/>
              </w:rPr>
              <w:t>HPWS → CREAT (</w:t>
            </w:r>
            <w:r w:rsidRPr="00276B97">
              <w:rPr>
                <w:rFonts w:ascii="Arial" w:eastAsia="Times New Roman" w:hAnsi="Arial" w:cs="Arial"/>
                <w:color w:val="000000"/>
                <w:kern w:val="0"/>
                <w:rtl/>
                <w:lang w:bidi="ar-EG"/>
                <w14:ligatures w14:val="none"/>
              </w:rPr>
              <w:t>أثر مباشر</w:t>
            </w: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3A59081E" w14:textId="77777777" w:rsidR="00793DFB" w:rsidRPr="00276B97" w:rsidRDefault="00793DFB" w:rsidP="009F1C88">
            <w:pPr>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0.4775</w:t>
            </w:r>
          </w:p>
        </w:tc>
        <w:tc>
          <w:tcPr>
            <w:tcW w:w="1060" w:type="dxa"/>
            <w:tcBorders>
              <w:top w:val="nil"/>
              <w:left w:val="single" w:sz="4" w:space="0" w:color="auto"/>
              <w:bottom w:val="single" w:sz="4" w:space="0" w:color="auto"/>
              <w:right w:val="single" w:sz="4" w:space="0" w:color="auto"/>
            </w:tcBorders>
            <w:vAlign w:val="center"/>
            <w:hideMark/>
          </w:tcPr>
          <w:p w14:paraId="0499435D"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lang w:bidi="ar-EG"/>
                <w14:ligatures w14:val="none"/>
              </w:rPr>
              <w:t>0.0579</w:t>
            </w:r>
          </w:p>
        </w:tc>
        <w:tc>
          <w:tcPr>
            <w:tcW w:w="960" w:type="dxa"/>
            <w:tcBorders>
              <w:top w:val="nil"/>
              <w:left w:val="single" w:sz="4" w:space="0" w:color="auto"/>
              <w:bottom w:val="single" w:sz="4" w:space="0" w:color="auto"/>
              <w:right w:val="single" w:sz="4" w:space="0" w:color="auto"/>
            </w:tcBorders>
            <w:vAlign w:val="center"/>
            <w:hideMark/>
          </w:tcPr>
          <w:p w14:paraId="06B9FFCF"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lang w:bidi="ar-EG"/>
                <w14:ligatures w14:val="none"/>
              </w:rPr>
              <w:t>8.25</w:t>
            </w:r>
          </w:p>
        </w:tc>
        <w:tc>
          <w:tcPr>
            <w:tcW w:w="960" w:type="dxa"/>
            <w:tcBorders>
              <w:top w:val="nil"/>
              <w:left w:val="single" w:sz="4" w:space="0" w:color="auto"/>
              <w:bottom w:val="single" w:sz="4" w:space="0" w:color="auto"/>
              <w:right w:val="single" w:sz="4" w:space="0" w:color="auto"/>
            </w:tcBorders>
            <w:vAlign w:val="center"/>
            <w:hideMark/>
          </w:tcPr>
          <w:p w14:paraId="28976471"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52F51E63"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209BA5EA"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lang w:bidi="ar-EG"/>
                <w14:ligatures w14:val="none"/>
              </w:rPr>
              <w:t>0</w:t>
            </w:r>
          </w:p>
        </w:tc>
        <w:tc>
          <w:tcPr>
            <w:tcW w:w="960" w:type="dxa"/>
            <w:tcBorders>
              <w:top w:val="nil"/>
              <w:left w:val="single" w:sz="4" w:space="0" w:color="auto"/>
              <w:bottom w:val="single" w:sz="4" w:space="0" w:color="auto"/>
              <w:right w:val="single" w:sz="8" w:space="0" w:color="auto"/>
            </w:tcBorders>
            <w:vAlign w:val="center"/>
            <w:hideMark/>
          </w:tcPr>
          <w:p w14:paraId="0E38D5B5"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lang w:bidi="ar-EG"/>
                <w14:ligatures w14:val="none"/>
              </w:rPr>
              <w:t>[</w:t>
            </w:r>
            <w:proofErr w:type="gramStart"/>
            <w:r w:rsidRPr="00276B97">
              <w:rPr>
                <w:rFonts w:ascii="Aptos" w:eastAsia="Times New Roman" w:hAnsi="Aptos" w:cs="Arial"/>
                <w:color w:val="000000"/>
                <w:kern w:val="0"/>
                <w:lang w:bidi="ar-EG"/>
                <w14:ligatures w14:val="none"/>
              </w:rPr>
              <w:t>0.3637 ,</w:t>
            </w:r>
            <w:proofErr w:type="gramEnd"/>
            <w:r w:rsidRPr="00276B97">
              <w:rPr>
                <w:rFonts w:ascii="Aptos" w:eastAsia="Times New Roman" w:hAnsi="Aptos" w:cs="Arial"/>
                <w:color w:val="000000"/>
                <w:kern w:val="0"/>
                <w:lang w:bidi="ar-EG"/>
                <w14:ligatures w14:val="none"/>
              </w:rPr>
              <w:t xml:space="preserve"> 0.5913]</w:t>
            </w:r>
          </w:p>
        </w:tc>
      </w:tr>
      <w:tr w:rsidR="00793DFB" w:rsidRPr="00276B97" w14:paraId="3A336FA5" w14:textId="77777777" w:rsidTr="009F1C88">
        <w:trPr>
          <w:trHeight w:val="936"/>
        </w:trPr>
        <w:tc>
          <w:tcPr>
            <w:tcW w:w="2340" w:type="dxa"/>
            <w:tcBorders>
              <w:top w:val="nil"/>
              <w:left w:val="single" w:sz="8" w:space="0" w:color="auto"/>
              <w:bottom w:val="single" w:sz="4" w:space="0" w:color="auto"/>
              <w:right w:val="single" w:sz="4" w:space="0" w:color="auto"/>
            </w:tcBorders>
            <w:vAlign w:val="center"/>
            <w:hideMark/>
          </w:tcPr>
          <w:p w14:paraId="6C217437" w14:textId="77777777" w:rsidR="00793DFB" w:rsidRPr="00276B97" w:rsidRDefault="00793DFB" w:rsidP="009F1C88">
            <w:pPr>
              <w:bidi/>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lang w:bidi="ar-EG"/>
                <w14:ligatures w14:val="none"/>
              </w:rPr>
              <w:t>ORG1 → CREAT</w:t>
            </w:r>
          </w:p>
        </w:tc>
        <w:tc>
          <w:tcPr>
            <w:tcW w:w="960" w:type="dxa"/>
            <w:tcBorders>
              <w:top w:val="nil"/>
              <w:left w:val="single" w:sz="4" w:space="0" w:color="auto"/>
              <w:bottom w:val="single" w:sz="4" w:space="0" w:color="auto"/>
              <w:right w:val="single" w:sz="4" w:space="0" w:color="auto"/>
            </w:tcBorders>
            <w:vAlign w:val="center"/>
            <w:hideMark/>
          </w:tcPr>
          <w:p w14:paraId="5A745E36"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0.1011</w:t>
            </w:r>
          </w:p>
        </w:tc>
        <w:tc>
          <w:tcPr>
            <w:tcW w:w="1060" w:type="dxa"/>
            <w:tcBorders>
              <w:top w:val="nil"/>
              <w:left w:val="single" w:sz="4" w:space="0" w:color="auto"/>
              <w:bottom w:val="single" w:sz="4" w:space="0" w:color="auto"/>
              <w:right w:val="single" w:sz="4" w:space="0" w:color="auto"/>
            </w:tcBorders>
            <w:vAlign w:val="center"/>
            <w:hideMark/>
          </w:tcPr>
          <w:p w14:paraId="3D4F1DC0"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0.0326</w:t>
            </w:r>
          </w:p>
        </w:tc>
        <w:tc>
          <w:tcPr>
            <w:tcW w:w="960" w:type="dxa"/>
            <w:tcBorders>
              <w:top w:val="nil"/>
              <w:left w:val="single" w:sz="4" w:space="0" w:color="auto"/>
              <w:bottom w:val="single" w:sz="4" w:space="0" w:color="auto"/>
              <w:right w:val="single" w:sz="4" w:space="0" w:color="auto"/>
            </w:tcBorders>
            <w:vAlign w:val="center"/>
            <w:hideMark/>
          </w:tcPr>
          <w:p w14:paraId="1F352A51"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3.099</w:t>
            </w:r>
          </w:p>
        </w:tc>
        <w:tc>
          <w:tcPr>
            <w:tcW w:w="960" w:type="dxa"/>
            <w:tcBorders>
              <w:top w:val="nil"/>
              <w:left w:val="single" w:sz="4" w:space="0" w:color="auto"/>
              <w:bottom w:val="single" w:sz="4" w:space="0" w:color="auto"/>
              <w:right w:val="single" w:sz="4" w:space="0" w:color="auto"/>
            </w:tcBorders>
            <w:vAlign w:val="center"/>
            <w:hideMark/>
          </w:tcPr>
          <w:p w14:paraId="55A5178D"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398569EB"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4E3D3336"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0.002</w:t>
            </w:r>
          </w:p>
        </w:tc>
        <w:tc>
          <w:tcPr>
            <w:tcW w:w="960" w:type="dxa"/>
            <w:tcBorders>
              <w:top w:val="nil"/>
              <w:left w:val="single" w:sz="4" w:space="0" w:color="auto"/>
              <w:bottom w:val="single" w:sz="4" w:space="0" w:color="auto"/>
              <w:right w:val="single" w:sz="8" w:space="0" w:color="auto"/>
            </w:tcBorders>
            <w:vAlign w:val="center"/>
            <w:hideMark/>
          </w:tcPr>
          <w:p w14:paraId="1CE28C77"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roofErr w:type="gramStart"/>
            <w:r w:rsidRPr="00276B97">
              <w:rPr>
                <w:rFonts w:ascii="Aptos" w:eastAsia="Times New Roman" w:hAnsi="Aptos" w:cs="Arial"/>
                <w:color w:val="000000"/>
                <w:kern w:val="0"/>
                <w:lang w:bidi="ar-EG"/>
                <w14:ligatures w14:val="none"/>
              </w:rPr>
              <w:t>0.0370 ,</w:t>
            </w:r>
            <w:proofErr w:type="gramEnd"/>
            <w:r w:rsidRPr="00276B97">
              <w:rPr>
                <w:rFonts w:ascii="Aptos" w:eastAsia="Times New Roman" w:hAnsi="Aptos" w:cs="Arial"/>
                <w:color w:val="000000"/>
                <w:kern w:val="0"/>
                <w:lang w:bidi="ar-EG"/>
                <w14:ligatures w14:val="none"/>
              </w:rPr>
              <w:t xml:space="preserve"> 0.1652]</w:t>
            </w:r>
          </w:p>
        </w:tc>
      </w:tr>
      <w:tr w:rsidR="00793DFB" w:rsidRPr="00276B97" w14:paraId="7DF56A44" w14:textId="77777777" w:rsidTr="009F1C88">
        <w:trPr>
          <w:trHeight w:val="1248"/>
        </w:trPr>
        <w:tc>
          <w:tcPr>
            <w:tcW w:w="2340" w:type="dxa"/>
            <w:tcBorders>
              <w:top w:val="nil"/>
              <w:left w:val="single" w:sz="8" w:space="0" w:color="auto"/>
              <w:bottom w:val="single" w:sz="4" w:space="0" w:color="auto"/>
              <w:right w:val="single" w:sz="4" w:space="0" w:color="auto"/>
            </w:tcBorders>
            <w:vAlign w:val="center"/>
            <w:hideMark/>
          </w:tcPr>
          <w:p w14:paraId="624EF28B"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ORG2 → CREAT</w:t>
            </w:r>
          </w:p>
        </w:tc>
        <w:tc>
          <w:tcPr>
            <w:tcW w:w="960" w:type="dxa"/>
            <w:tcBorders>
              <w:top w:val="nil"/>
              <w:left w:val="single" w:sz="4" w:space="0" w:color="auto"/>
              <w:bottom w:val="single" w:sz="4" w:space="0" w:color="auto"/>
              <w:right w:val="single" w:sz="4" w:space="0" w:color="auto"/>
            </w:tcBorders>
            <w:vAlign w:val="center"/>
            <w:hideMark/>
          </w:tcPr>
          <w:p w14:paraId="09BBA407"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0.0428</w:t>
            </w:r>
          </w:p>
        </w:tc>
        <w:tc>
          <w:tcPr>
            <w:tcW w:w="1060" w:type="dxa"/>
            <w:tcBorders>
              <w:top w:val="nil"/>
              <w:left w:val="single" w:sz="4" w:space="0" w:color="auto"/>
              <w:bottom w:val="single" w:sz="4" w:space="0" w:color="auto"/>
              <w:right w:val="single" w:sz="4" w:space="0" w:color="auto"/>
            </w:tcBorders>
            <w:vAlign w:val="center"/>
            <w:hideMark/>
          </w:tcPr>
          <w:p w14:paraId="7E9058BC"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0.031</w:t>
            </w:r>
          </w:p>
        </w:tc>
        <w:tc>
          <w:tcPr>
            <w:tcW w:w="960" w:type="dxa"/>
            <w:tcBorders>
              <w:top w:val="nil"/>
              <w:left w:val="single" w:sz="4" w:space="0" w:color="auto"/>
              <w:bottom w:val="single" w:sz="4" w:space="0" w:color="auto"/>
              <w:right w:val="single" w:sz="4" w:space="0" w:color="auto"/>
            </w:tcBorders>
            <w:vAlign w:val="center"/>
            <w:hideMark/>
          </w:tcPr>
          <w:p w14:paraId="02A92D58"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1.382</w:t>
            </w:r>
          </w:p>
        </w:tc>
        <w:tc>
          <w:tcPr>
            <w:tcW w:w="960" w:type="dxa"/>
            <w:tcBorders>
              <w:top w:val="nil"/>
              <w:left w:val="single" w:sz="4" w:space="0" w:color="auto"/>
              <w:bottom w:val="single" w:sz="4" w:space="0" w:color="auto"/>
              <w:right w:val="single" w:sz="4" w:space="0" w:color="auto"/>
            </w:tcBorders>
            <w:vAlign w:val="center"/>
            <w:hideMark/>
          </w:tcPr>
          <w:p w14:paraId="2F3D44FD"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5C8C6458"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10F26AEC"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0.168</w:t>
            </w:r>
          </w:p>
        </w:tc>
        <w:tc>
          <w:tcPr>
            <w:tcW w:w="960" w:type="dxa"/>
            <w:tcBorders>
              <w:top w:val="nil"/>
              <w:left w:val="single" w:sz="4" w:space="0" w:color="auto"/>
              <w:bottom w:val="single" w:sz="4" w:space="0" w:color="auto"/>
              <w:right w:val="single" w:sz="8" w:space="0" w:color="auto"/>
            </w:tcBorders>
            <w:vAlign w:val="center"/>
            <w:hideMark/>
          </w:tcPr>
          <w:p w14:paraId="3EFCA93D"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w:t>
            </w:r>
            <w:proofErr w:type="gramStart"/>
            <w:r w:rsidRPr="00276B97">
              <w:rPr>
                <w:rFonts w:ascii="Aptos" w:eastAsia="Times New Roman" w:hAnsi="Aptos" w:cs="Arial"/>
                <w:color w:val="000000"/>
                <w:kern w:val="0"/>
                <w:lang w:bidi="ar-EG"/>
                <w14:ligatures w14:val="none"/>
              </w:rPr>
              <w:t>0181 ,</w:t>
            </w:r>
            <w:proofErr w:type="gramEnd"/>
            <w:r w:rsidRPr="00276B97">
              <w:rPr>
                <w:rFonts w:ascii="Aptos" w:eastAsia="Times New Roman" w:hAnsi="Aptos" w:cs="Arial"/>
                <w:color w:val="000000"/>
                <w:kern w:val="0"/>
                <w:lang w:bidi="ar-EG"/>
                <w14:ligatures w14:val="none"/>
              </w:rPr>
              <w:t xml:space="preserve"> 0.1036]</w:t>
            </w:r>
          </w:p>
        </w:tc>
      </w:tr>
      <w:tr w:rsidR="00793DFB" w:rsidRPr="00276B97" w14:paraId="0283AF06" w14:textId="77777777" w:rsidTr="009F1C88">
        <w:trPr>
          <w:trHeight w:val="936"/>
        </w:trPr>
        <w:tc>
          <w:tcPr>
            <w:tcW w:w="2340" w:type="dxa"/>
            <w:tcBorders>
              <w:top w:val="nil"/>
              <w:left w:val="single" w:sz="8" w:space="0" w:color="auto"/>
              <w:bottom w:val="single" w:sz="4" w:space="0" w:color="auto"/>
              <w:right w:val="single" w:sz="4" w:space="0" w:color="auto"/>
            </w:tcBorders>
            <w:vAlign w:val="center"/>
            <w:hideMark/>
          </w:tcPr>
          <w:p w14:paraId="4AFA9C20"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ORG3 → CREAT</w:t>
            </w:r>
          </w:p>
        </w:tc>
        <w:tc>
          <w:tcPr>
            <w:tcW w:w="960" w:type="dxa"/>
            <w:tcBorders>
              <w:top w:val="nil"/>
              <w:left w:val="single" w:sz="4" w:space="0" w:color="auto"/>
              <w:bottom w:val="single" w:sz="4" w:space="0" w:color="auto"/>
              <w:right w:val="single" w:sz="4" w:space="0" w:color="auto"/>
            </w:tcBorders>
            <w:vAlign w:val="center"/>
            <w:hideMark/>
          </w:tcPr>
          <w:p w14:paraId="0B446759"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0.1159</w:t>
            </w:r>
          </w:p>
        </w:tc>
        <w:tc>
          <w:tcPr>
            <w:tcW w:w="1060" w:type="dxa"/>
            <w:tcBorders>
              <w:top w:val="nil"/>
              <w:left w:val="single" w:sz="4" w:space="0" w:color="auto"/>
              <w:bottom w:val="single" w:sz="4" w:space="0" w:color="auto"/>
              <w:right w:val="single" w:sz="4" w:space="0" w:color="auto"/>
            </w:tcBorders>
            <w:vAlign w:val="center"/>
            <w:hideMark/>
          </w:tcPr>
          <w:p w14:paraId="5A3D6E23"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0.0338</w:t>
            </w:r>
          </w:p>
        </w:tc>
        <w:tc>
          <w:tcPr>
            <w:tcW w:w="960" w:type="dxa"/>
            <w:tcBorders>
              <w:top w:val="nil"/>
              <w:left w:val="single" w:sz="4" w:space="0" w:color="auto"/>
              <w:bottom w:val="single" w:sz="4" w:space="0" w:color="auto"/>
              <w:right w:val="single" w:sz="4" w:space="0" w:color="auto"/>
            </w:tcBorders>
            <w:vAlign w:val="center"/>
            <w:hideMark/>
          </w:tcPr>
          <w:p w14:paraId="01B72663"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3.425</w:t>
            </w:r>
          </w:p>
        </w:tc>
        <w:tc>
          <w:tcPr>
            <w:tcW w:w="960" w:type="dxa"/>
            <w:tcBorders>
              <w:top w:val="nil"/>
              <w:left w:val="single" w:sz="4" w:space="0" w:color="auto"/>
              <w:bottom w:val="single" w:sz="4" w:space="0" w:color="auto"/>
              <w:right w:val="single" w:sz="4" w:space="0" w:color="auto"/>
            </w:tcBorders>
            <w:vAlign w:val="center"/>
            <w:hideMark/>
          </w:tcPr>
          <w:p w14:paraId="6A484621"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71B75999"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21F52BDC"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0.001</w:t>
            </w:r>
          </w:p>
        </w:tc>
        <w:tc>
          <w:tcPr>
            <w:tcW w:w="960" w:type="dxa"/>
            <w:tcBorders>
              <w:top w:val="nil"/>
              <w:left w:val="single" w:sz="4" w:space="0" w:color="auto"/>
              <w:bottom w:val="single" w:sz="4" w:space="0" w:color="auto"/>
              <w:right w:val="single" w:sz="8" w:space="0" w:color="auto"/>
            </w:tcBorders>
            <w:vAlign w:val="center"/>
            <w:hideMark/>
          </w:tcPr>
          <w:p w14:paraId="55A05257"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roofErr w:type="gramStart"/>
            <w:r w:rsidRPr="00276B97">
              <w:rPr>
                <w:rFonts w:ascii="Aptos" w:eastAsia="Times New Roman" w:hAnsi="Aptos" w:cs="Arial"/>
                <w:color w:val="000000"/>
                <w:kern w:val="0"/>
                <w:lang w:bidi="ar-EG"/>
                <w14:ligatures w14:val="none"/>
              </w:rPr>
              <w:t>0.0494 ,</w:t>
            </w:r>
            <w:proofErr w:type="gramEnd"/>
            <w:r w:rsidRPr="00276B97">
              <w:rPr>
                <w:rFonts w:ascii="Aptos" w:eastAsia="Times New Roman" w:hAnsi="Aptos" w:cs="Arial"/>
                <w:color w:val="000000"/>
                <w:kern w:val="0"/>
                <w:lang w:bidi="ar-EG"/>
                <w14:ligatures w14:val="none"/>
              </w:rPr>
              <w:t xml:space="preserve"> 0.1824]</w:t>
            </w:r>
          </w:p>
        </w:tc>
      </w:tr>
      <w:tr w:rsidR="00793DFB" w:rsidRPr="00276B97" w14:paraId="0DB5EABF" w14:textId="77777777" w:rsidTr="009F1C88">
        <w:trPr>
          <w:trHeight w:val="948"/>
        </w:trPr>
        <w:tc>
          <w:tcPr>
            <w:tcW w:w="2340" w:type="dxa"/>
            <w:tcBorders>
              <w:top w:val="nil"/>
              <w:left w:val="single" w:sz="8" w:space="0" w:color="auto"/>
              <w:bottom w:val="single" w:sz="8" w:space="0" w:color="auto"/>
              <w:right w:val="single" w:sz="4" w:space="0" w:color="auto"/>
            </w:tcBorders>
            <w:vAlign w:val="center"/>
            <w:hideMark/>
          </w:tcPr>
          <w:p w14:paraId="10DE1D60"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lastRenderedPageBreak/>
              <w:t>ORG4 → CREAT</w:t>
            </w:r>
          </w:p>
        </w:tc>
        <w:tc>
          <w:tcPr>
            <w:tcW w:w="960" w:type="dxa"/>
            <w:tcBorders>
              <w:top w:val="nil"/>
              <w:left w:val="single" w:sz="4" w:space="0" w:color="auto"/>
              <w:bottom w:val="single" w:sz="8" w:space="0" w:color="auto"/>
              <w:right w:val="single" w:sz="4" w:space="0" w:color="auto"/>
            </w:tcBorders>
            <w:vAlign w:val="center"/>
            <w:hideMark/>
          </w:tcPr>
          <w:p w14:paraId="34199517"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0.1476</w:t>
            </w:r>
          </w:p>
        </w:tc>
        <w:tc>
          <w:tcPr>
            <w:tcW w:w="1060" w:type="dxa"/>
            <w:tcBorders>
              <w:top w:val="nil"/>
              <w:left w:val="single" w:sz="4" w:space="0" w:color="auto"/>
              <w:bottom w:val="single" w:sz="8" w:space="0" w:color="auto"/>
              <w:right w:val="single" w:sz="4" w:space="0" w:color="auto"/>
            </w:tcBorders>
            <w:vAlign w:val="center"/>
            <w:hideMark/>
          </w:tcPr>
          <w:p w14:paraId="54795A16"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0.0394</w:t>
            </w:r>
          </w:p>
        </w:tc>
        <w:tc>
          <w:tcPr>
            <w:tcW w:w="960" w:type="dxa"/>
            <w:tcBorders>
              <w:top w:val="nil"/>
              <w:left w:val="single" w:sz="4" w:space="0" w:color="auto"/>
              <w:bottom w:val="single" w:sz="8" w:space="0" w:color="auto"/>
              <w:right w:val="single" w:sz="4" w:space="0" w:color="auto"/>
            </w:tcBorders>
            <w:vAlign w:val="center"/>
            <w:hideMark/>
          </w:tcPr>
          <w:p w14:paraId="4E81E9D0"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3.743</w:t>
            </w:r>
          </w:p>
        </w:tc>
        <w:tc>
          <w:tcPr>
            <w:tcW w:w="960" w:type="dxa"/>
            <w:tcBorders>
              <w:top w:val="nil"/>
              <w:left w:val="single" w:sz="4" w:space="0" w:color="auto"/>
              <w:bottom w:val="single" w:sz="8" w:space="0" w:color="auto"/>
              <w:right w:val="single" w:sz="4" w:space="0" w:color="auto"/>
            </w:tcBorders>
            <w:vAlign w:val="center"/>
            <w:hideMark/>
          </w:tcPr>
          <w:p w14:paraId="68F3B903"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8" w:space="0" w:color="auto"/>
              <w:right w:val="single" w:sz="4" w:space="0" w:color="auto"/>
            </w:tcBorders>
            <w:vAlign w:val="center"/>
            <w:hideMark/>
          </w:tcPr>
          <w:p w14:paraId="690D89DE"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8" w:space="0" w:color="auto"/>
              <w:right w:val="single" w:sz="4" w:space="0" w:color="auto"/>
            </w:tcBorders>
            <w:vAlign w:val="center"/>
            <w:hideMark/>
          </w:tcPr>
          <w:p w14:paraId="476F0B6D"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w:t>
            </w:r>
          </w:p>
        </w:tc>
        <w:tc>
          <w:tcPr>
            <w:tcW w:w="960" w:type="dxa"/>
            <w:tcBorders>
              <w:top w:val="nil"/>
              <w:left w:val="single" w:sz="4" w:space="0" w:color="auto"/>
              <w:bottom w:val="single" w:sz="8" w:space="0" w:color="auto"/>
              <w:right w:val="single" w:sz="8" w:space="0" w:color="auto"/>
            </w:tcBorders>
            <w:vAlign w:val="center"/>
            <w:hideMark/>
          </w:tcPr>
          <w:p w14:paraId="0A161F28"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roofErr w:type="gramStart"/>
            <w:r w:rsidRPr="00276B97">
              <w:rPr>
                <w:rFonts w:ascii="Aptos" w:eastAsia="Times New Roman" w:hAnsi="Aptos" w:cs="Arial"/>
                <w:color w:val="000000"/>
                <w:kern w:val="0"/>
                <w:lang w:bidi="ar-EG"/>
                <w14:ligatures w14:val="none"/>
              </w:rPr>
              <w:t>0.0701 ,</w:t>
            </w:r>
            <w:proofErr w:type="gramEnd"/>
            <w:r w:rsidRPr="00276B97">
              <w:rPr>
                <w:rFonts w:ascii="Aptos" w:eastAsia="Times New Roman" w:hAnsi="Aptos" w:cs="Arial"/>
                <w:color w:val="000000"/>
                <w:kern w:val="0"/>
                <w:lang w:bidi="ar-EG"/>
                <w14:ligatures w14:val="none"/>
              </w:rPr>
              <w:t xml:space="preserve"> 0.2251]</w:t>
            </w:r>
          </w:p>
        </w:tc>
      </w:tr>
      <w:tr w:rsidR="00793DFB" w:rsidRPr="00276B97" w14:paraId="4263BA6C" w14:textId="77777777" w:rsidTr="009F1C88">
        <w:trPr>
          <w:trHeight w:val="936"/>
        </w:trPr>
        <w:tc>
          <w:tcPr>
            <w:tcW w:w="9160" w:type="dxa"/>
            <w:gridSpan w:val="8"/>
            <w:tcBorders>
              <w:top w:val="single" w:sz="8" w:space="0" w:color="auto"/>
              <w:left w:val="single" w:sz="8" w:space="0" w:color="auto"/>
              <w:bottom w:val="single" w:sz="4" w:space="0" w:color="auto"/>
              <w:right w:val="single" w:sz="8" w:space="0" w:color="000000"/>
            </w:tcBorders>
            <w:vAlign w:val="center"/>
            <w:hideMark/>
          </w:tcPr>
          <w:p w14:paraId="16FB511E" w14:textId="77777777" w:rsidR="00793DFB" w:rsidRPr="00276B97" w:rsidRDefault="00793DFB" w:rsidP="009F1C88">
            <w:pPr>
              <w:bidi/>
              <w:spacing w:after="0" w:line="240" w:lineRule="auto"/>
              <w:jc w:val="center"/>
              <w:rPr>
                <w:rFonts w:ascii="Arial" w:eastAsia="Times New Roman" w:hAnsi="Arial" w:cs="Arial"/>
                <w:b/>
                <w:bCs/>
                <w:color w:val="000000"/>
                <w:kern w:val="0"/>
                <w:rtl/>
                <w14:ligatures w14:val="none"/>
              </w:rPr>
            </w:pPr>
            <w:r w:rsidRPr="00276B97">
              <w:rPr>
                <w:rFonts w:ascii="Arial" w:eastAsia="Times New Roman" w:hAnsi="Arial" w:cs="Arial" w:hint="cs"/>
                <w:b/>
                <w:bCs/>
                <w:color w:val="000000"/>
                <w:kern w:val="0"/>
                <w:rtl/>
                <w14:ligatures w14:val="none"/>
              </w:rPr>
              <w:t>ثالثًا: التأثيرات غير المباشرة</w:t>
            </w:r>
            <w:r w:rsidRPr="00276B97">
              <w:rPr>
                <w:rFonts w:ascii="Aptos" w:eastAsia="Times New Roman" w:hAnsi="Aptos" w:cs="Arial"/>
                <w:b/>
                <w:bCs/>
                <w:color w:val="000000"/>
                <w:kern w:val="0"/>
                <w:rtl/>
                <w14:ligatures w14:val="none"/>
              </w:rPr>
              <w:t xml:space="preserve"> (</w:t>
            </w:r>
            <w:r w:rsidRPr="00276B97">
              <w:rPr>
                <w:rFonts w:ascii="Aptos" w:eastAsia="Times New Roman" w:hAnsi="Aptos" w:cs="Arial"/>
                <w:b/>
                <w:bCs/>
                <w:color w:val="000000"/>
                <w:kern w:val="0"/>
                <w14:ligatures w14:val="none"/>
              </w:rPr>
              <w:t>Bootstrap 5000</w:t>
            </w:r>
            <w:r w:rsidRPr="00276B97">
              <w:rPr>
                <w:rFonts w:ascii="Aptos" w:eastAsia="Times New Roman" w:hAnsi="Aptos" w:cs="Arial"/>
                <w:b/>
                <w:bCs/>
                <w:color w:val="000000"/>
                <w:kern w:val="0"/>
                <w:rtl/>
                <w14:ligatures w14:val="none"/>
              </w:rPr>
              <w:t>)</w:t>
            </w:r>
          </w:p>
        </w:tc>
      </w:tr>
      <w:tr w:rsidR="00793DFB" w:rsidRPr="00276B97" w14:paraId="117A5E1F" w14:textId="77777777" w:rsidTr="009F1C88">
        <w:trPr>
          <w:trHeight w:val="936"/>
        </w:trPr>
        <w:tc>
          <w:tcPr>
            <w:tcW w:w="2340" w:type="dxa"/>
            <w:tcBorders>
              <w:top w:val="nil"/>
              <w:left w:val="single" w:sz="8" w:space="0" w:color="auto"/>
              <w:bottom w:val="single" w:sz="4" w:space="0" w:color="auto"/>
              <w:right w:val="single" w:sz="4" w:space="0" w:color="auto"/>
            </w:tcBorders>
            <w:vAlign w:val="center"/>
            <w:hideMark/>
          </w:tcPr>
          <w:p w14:paraId="06F3A8DD" w14:textId="77777777" w:rsidR="00793DFB" w:rsidRPr="00276B97" w:rsidRDefault="00793DFB" w:rsidP="009F1C88">
            <w:pPr>
              <w:bidi/>
              <w:spacing w:after="0" w:line="240" w:lineRule="auto"/>
              <w:jc w:val="center"/>
              <w:rPr>
                <w:rFonts w:ascii="Arial" w:eastAsia="Times New Roman" w:hAnsi="Arial" w:cs="Arial"/>
                <w:b/>
                <w:bCs/>
                <w:color w:val="000000"/>
                <w:kern w:val="0"/>
                <w:rtl/>
                <w14:ligatures w14:val="none"/>
              </w:rPr>
            </w:pPr>
            <w:r w:rsidRPr="00276B97">
              <w:rPr>
                <w:rFonts w:ascii="Arial" w:eastAsia="Times New Roman" w:hAnsi="Arial" w:cs="Arial" w:hint="cs"/>
                <w:b/>
                <w:bCs/>
                <w:color w:val="000000"/>
                <w:kern w:val="0"/>
                <w:rtl/>
                <w14:ligatures w14:val="none"/>
              </w:rPr>
              <w:t>الأثر غير المباشر الكلي</w:t>
            </w:r>
          </w:p>
        </w:tc>
        <w:tc>
          <w:tcPr>
            <w:tcW w:w="960" w:type="dxa"/>
            <w:tcBorders>
              <w:top w:val="nil"/>
              <w:left w:val="single" w:sz="4" w:space="0" w:color="auto"/>
              <w:bottom w:val="single" w:sz="4" w:space="0" w:color="auto"/>
              <w:right w:val="single" w:sz="4" w:space="0" w:color="auto"/>
            </w:tcBorders>
            <w:vAlign w:val="center"/>
            <w:hideMark/>
          </w:tcPr>
          <w:p w14:paraId="4CA1E1C7" w14:textId="77777777" w:rsidR="00793DFB" w:rsidRPr="00276B97" w:rsidRDefault="00793DFB" w:rsidP="009F1C88">
            <w:pPr>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0.401</w:t>
            </w:r>
          </w:p>
        </w:tc>
        <w:tc>
          <w:tcPr>
            <w:tcW w:w="1060" w:type="dxa"/>
            <w:tcBorders>
              <w:top w:val="nil"/>
              <w:left w:val="single" w:sz="4" w:space="0" w:color="auto"/>
              <w:bottom w:val="single" w:sz="4" w:space="0" w:color="auto"/>
              <w:right w:val="single" w:sz="4" w:space="0" w:color="auto"/>
            </w:tcBorders>
            <w:vAlign w:val="center"/>
            <w:hideMark/>
          </w:tcPr>
          <w:p w14:paraId="795F71AC"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lang w:bidi="ar-EG"/>
                <w14:ligatures w14:val="none"/>
              </w:rPr>
              <w:t>0.0589*</w:t>
            </w:r>
          </w:p>
        </w:tc>
        <w:tc>
          <w:tcPr>
            <w:tcW w:w="960" w:type="dxa"/>
            <w:tcBorders>
              <w:top w:val="nil"/>
              <w:left w:val="single" w:sz="4" w:space="0" w:color="auto"/>
              <w:bottom w:val="single" w:sz="4" w:space="0" w:color="auto"/>
              <w:right w:val="single" w:sz="4" w:space="0" w:color="auto"/>
            </w:tcBorders>
            <w:vAlign w:val="center"/>
            <w:hideMark/>
          </w:tcPr>
          <w:p w14:paraId="5D98C047"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48155A1B"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762E9060"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7365B985"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8" w:space="0" w:color="auto"/>
            </w:tcBorders>
            <w:vAlign w:val="center"/>
            <w:hideMark/>
          </w:tcPr>
          <w:p w14:paraId="208B0CE5" w14:textId="77777777" w:rsidR="00793DFB" w:rsidRPr="00276B97" w:rsidRDefault="00793DFB" w:rsidP="009F1C88">
            <w:pPr>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color w:val="000000"/>
                <w:kern w:val="0"/>
                <w:lang w:bidi="ar-EG"/>
                <w14:ligatures w14:val="none"/>
              </w:rPr>
              <w:t>[</w:t>
            </w:r>
            <w:proofErr w:type="gramStart"/>
            <w:r w:rsidRPr="00276B97">
              <w:rPr>
                <w:rFonts w:ascii="Aptos" w:eastAsia="Times New Roman" w:hAnsi="Aptos" w:cs="Arial"/>
                <w:color w:val="000000"/>
                <w:kern w:val="0"/>
                <w:lang w:bidi="ar-EG"/>
                <w14:ligatures w14:val="none"/>
              </w:rPr>
              <w:t>0.2875 ,</w:t>
            </w:r>
            <w:proofErr w:type="gramEnd"/>
            <w:r w:rsidRPr="00276B97">
              <w:rPr>
                <w:rFonts w:ascii="Aptos" w:eastAsia="Times New Roman" w:hAnsi="Aptos" w:cs="Arial"/>
                <w:color w:val="000000"/>
                <w:kern w:val="0"/>
                <w:lang w:bidi="ar-EG"/>
                <w14:ligatures w14:val="none"/>
              </w:rPr>
              <w:t xml:space="preserve"> 0.5184]</w:t>
            </w:r>
          </w:p>
        </w:tc>
      </w:tr>
      <w:tr w:rsidR="00793DFB" w:rsidRPr="00276B97" w14:paraId="45F631C5" w14:textId="77777777" w:rsidTr="009F1C88">
        <w:trPr>
          <w:trHeight w:val="936"/>
        </w:trPr>
        <w:tc>
          <w:tcPr>
            <w:tcW w:w="2340" w:type="dxa"/>
            <w:tcBorders>
              <w:top w:val="nil"/>
              <w:left w:val="single" w:sz="8" w:space="0" w:color="auto"/>
              <w:bottom w:val="single" w:sz="4" w:space="0" w:color="auto"/>
              <w:right w:val="single" w:sz="4" w:space="0" w:color="auto"/>
            </w:tcBorders>
            <w:vAlign w:val="center"/>
            <w:hideMark/>
          </w:tcPr>
          <w:p w14:paraId="1E799631" w14:textId="77777777" w:rsidR="00793DFB" w:rsidRPr="00276B97" w:rsidRDefault="00793DFB" w:rsidP="009F1C88">
            <w:pPr>
              <w:bidi/>
              <w:spacing w:after="0" w:line="240" w:lineRule="auto"/>
              <w:jc w:val="center"/>
              <w:rPr>
                <w:rFonts w:ascii="Aptos" w:eastAsia="Times New Roman" w:hAnsi="Aptos" w:cs="Arial"/>
                <w:color w:val="000000"/>
                <w:kern w:val="0"/>
                <w14:ligatures w14:val="none"/>
              </w:rPr>
            </w:pPr>
            <w:r w:rsidRPr="00276B97">
              <w:rPr>
                <w:rFonts w:ascii="Aptos" w:eastAsia="Times New Roman" w:hAnsi="Aptos" w:cs="Arial" w:hint="cs"/>
                <w:color w:val="000000"/>
                <w:kern w:val="0"/>
                <w:rtl/>
                <w14:ligatures w14:val="none"/>
              </w:rPr>
              <w:t>عبر</w:t>
            </w:r>
            <w:r w:rsidRPr="00276B97">
              <w:rPr>
                <w:rFonts w:ascii="Aptos" w:eastAsia="Times New Roman" w:hAnsi="Aptos" w:cs="Arial"/>
                <w:color w:val="000000"/>
                <w:kern w:val="0"/>
                <w:rtl/>
                <w14:ligatures w14:val="none"/>
              </w:rPr>
              <w:t xml:space="preserve"> </w:t>
            </w:r>
            <w:r w:rsidRPr="00276B97">
              <w:rPr>
                <w:rFonts w:ascii="Aptos" w:eastAsia="Times New Roman" w:hAnsi="Aptos" w:cs="Arial"/>
                <w:color w:val="000000"/>
                <w:kern w:val="0"/>
                <w14:ligatures w14:val="none"/>
              </w:rPr>
              <w:t>ORG1</w:t>
            </w:r>
          </w:p>
        </w:tc>
        <w:tc>
          <w:tcPr>
            <w:tcW w:w="960" w:type="dxa"/>
            <w:tcBorders>
              <w:top w:val="nil"/>
              <w:left w:val="single" w:sz="4" w:space="0" w:color="auto"/>
              <w:bottom w:val="single" w:sz="4" w:space="0" w:color="auto"/>
              <w:right w:val="single" w:sz="4" w:space="0" w:color="auto"/>
            </w:tcBorders>
            <w:vAlign w:val="center"/>
            <w:hideMark/>
          </w:tcPr>
          <w:p w14:paraId="3983A1DB"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0.0852</w:t>
            </w:r>
          </w:p>
        </w:tc>
        <w:tc>
          <w:tcPr>
            <w:tcW w:w="1060" w:type="dxa"/>
            <w:tcBorders>
              <w:top w:val="nil"/>
              <w:left w:val="single" w:sz="4" w:space="0" w:color="auto"/>
              <w:bottom w:val="single" w:sz="4" w:space="0" w:color="auto"/>
              <w:right w:val="single" w:sz="4" w:space="0" w:color="auto"/>
            </w:tcBorders>
            <w:vAlign w:val="center"/>
            <w:hideMark/>
          </w:tcPr>
          <w:p w14:paraId="09E5100D"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0.0306*</w:t>
            </w:r>
          </w:p>
        </w:tc>
        <w:tc>
          <w:tcPr>
            <w:tcW w:w="960" w:type="dxa"/>
            <w:tcBorders>
              <w:top w:val="nil"/>
              <w:left w:val="single" w:sz="4" w:space="0" w:color="auto"/>
              <w:bottom w:val="single" w:sz="4" w:space="0" w:color="auto"/>
              <w:right w:val="single" w:sz="4" w:space="0" w:color="auto"/>
            </w:tcBorders>
            <w:vAlign w:val="center"/>
            <w:hideMark/>
          </w:tcPr>
          <w:p w14:paraId="33A56CC2"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6C4A247E"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7366E3B1"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4D39E91F"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8" w:space="0" w:color="auto"/>
            </w:tcBorders>
            <w:vAlign w:val="center"/>
            <w:hideMark/>
          </w:tcPr>
          <w:p w14:paraId="41B132C9"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roofErr w:type="gramStart"/>
            <w:r w:rsidRPr="00276B97">
              <w:rPr>
                <w:rFonts w:ascii="Aptos" w:eastAsia="Times New Roman" w:hAnsi="Aptos" w:cs="Arial"/>
                <w:color w:val="000000"/>
                <w:kern w:val="0"/>
                <w:lang w:bidi="ar-EG"/>
                <w14:ligatures w14:val="none"/>
              </w:rPr>
              <w:t>0.0215 ,</w:t>
            </w:r>
            <w:proofErr w:type="gramEnd"/>
            <w:r w:rsidRPr="00276B97">
              <w:rPr>
                <w:rFonts w:ascii="Aptos" w:eastAsia="Times New Roman" w:hAnsi="Aptos" w:cs="Arial"/>
                <w:color w:val="000000"/>
                <w:kern w:val="0"/>
                <w:lang w:bidi="ar-EG"/>
                <w14:ligatures w14:val="none"/>
              </w:rPr>
              <w:t xml:space="preserve"> 0.1423]</w:t>
            </w:r>
          </w:p>
        </w:tc>
      </w:tr>
      <w:tr w:rsidR="00793DFB" w:rsidRPr="00276B97" w14:paraId="6F3232FC" w14:textId="77777777" w:rsidTr="009F1C88">
        <w:trPr>
          <w:trHeight w:val="1248"/>
        </w:trPr>
        <w:tc>
          <w:tcPr>
            <w:tcW w:w="2340" w:type="dxa"/>
            <w:tcBorders>
              <w:top w:val="nil"/>
              <w:left w:val="single" w:sz="8" w:space="0" w:color="auto"/>
              <w:bottom w:val="single" w:sz="4" w:space="0" w:color="auto"/>
              <w:right w:val="single" w:sz="4" w:space="0" w:color="auto"/>
            </w:tcBorders>
            <w:vAlign w:val="center"/>
            <w:hideMark/>
          </w:tcPr>
          <w:p w14:paraId="10E029DC"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hint="cs"/>
                <w:color w:val="000000"/>
                <w:kern w:val="0"/>
                <w:rtl/>
                <w14:ligatures w14:val="none"/>
              </w:rPr>
              <w:t>عبر</w:t>
            </w:r>
            <w:r w:rsidRPr="00276B97">
              <w:rPr>
                <w:rFonts w:ascii="Aptos" w:eastAsia="Times New Roman" w:hAnsi="Aptos" w:cs="Arial"/>
                <w:color w:val="000000"/>
                <w:kern w:val="0"/>
                <w:rtl/>
                <w14:ligatures w14:val="none"/>
              </w:rPr>
              <w:t xml:space="preserve"> </w:t>
            </w:r>
            <w:r w:rsidRPr="00276B97">
              <w:rPr>
                <w:rFonts w:ascii="Aptos" w:eastAsia="Times New Roman" w:hAnsi="Aptos" w:cs="Arial"/>
                <w:color w:val="000000"/>
                <w:kern w:val="0"/>
                <w14:ligatures w14:val="none"/>
              </w:rPr>
              <w:t>ORG2</w:t>
            </w:r>
          </w:p>
        </w:tc>
        <w:tc>
          <w:tcPr>
            <w:tcW w:w="960" w:type="dxa"/>
            <w:tcBorders>
              <w:top w:val="nil"/>
              <w:left w:val="single" w:sz="4" w:space="0" w:color="auto"/>
              <w:bottom w:val="single" w:sz="4" w:space="0" w:color="auto"/>
              <w:right w:val="single" w:sz="4" w:space="0" w:color="auto"/>
            </w:tcBorders>
            <w:vAlign w:val="center"/>
            <w:hideMark/>
          </w:tcPr>
          <w:p w14:paraId="02B2A7DB"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0.0375</w:t>
            </w:r>
          </w:p>
        </w:tc>
        <w:tc>
          <w:tcPr>
            <w:tcW w:w="1060" w:type="dxa"/>
            <w:tcBorders>
              <w:top w:val="nil"/>
              <w:left w:val="single" w:sz="4" w:space="0" w:color="auto"/>
              <w:bottom w:val="single" w:sz="4" w:space="0" w:color="auto"/>
              <w:right w:val="single" w:sz="4" w:space="0" w:color="auto"/>
            </w:tcBorders>
            <w:vAlign w:val="center"/>
            <w:hideMark/>
          </w:tcPr>
          <w:p w14:paraId="1ADE2240"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0.0310*</w:t>
            </w:r>
          </w:p>
        </w:tc>
        <w:tc>
          <w:tcPr>
            <w:tcW w:w="960" w:type="dxa"/>
            <w:tcBorders>
              <w:top w:val="nil"/>
              <w:left w:val="single" w:sz="4" w:space="0" w:color="auto"/>
              <w:bottom w:val="single" w:sz="4" w:space="0" w:color="auto"/>
              <w:right w:val="single" w:sz="4" w:space="0" w:color="auto"/>
            </w:tcBorders>
            <w:vAlign w:val="center"/>
            <w:hideMark/>
          </w:tcPr>
          <w:p w14:paraId="56D4B2BD"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38D9E410"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1A0F06C4"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4D835595"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8" w:space="0" w:color="auto"/>
            </w:tcBorders>
            <w:vAlign w:val="center"/>
            <w:hideMark/>
          </w:tcPr>
          <w:p w14:paraId="427720CD"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w:t>
            </w:r>
            <w:proofErr w:type="gramStart"/>
            <w:r w:rsidRPr="00276B97">
              <w:rPr>
                <w:rFonts w:ascii="Aptos" w:eastAsia="Times New Roman" w:hAnsi="Aptos" w:cs="Arial"/>
                <w:color w:val="000000"/>
                <w:kern w:val="0"/>
                <w:lang w:bidi="ar-EG"/>
                <w14:ligatures w14:val="none"/>
              </w:rPr>
              <w:t>0243 ,</w:t>
            </w:r>
            <w:proofErr w:type="gramEnd"/>
            <w:r w:rsidRPr="00276B97">
              <w:rPr>
                <w:rFonts w:ascii="Aptos" w:eastAsia="Times New Roman" w:hAnsi="Aptos" w:cs="Arial"/>
                <w:color w:val="000000"/>
                <w:kern w:val="0"/>
                <w:lang w:bidi="ar-EG"/>
                <w14:ligatures w14:val="none"/>
              </w:rPr>
              <w:t xml:space="preserve"> 0.0975]</w:t>
            </w:r>
          </w:p>
        </w:tc>
      </w:tr>
      <w:tr w:rsidR="00793DFB" w:rsidRPr="00276B97" w14:paraId="05CF0319" w14:textId="77777777" w:rsidTr="009F1C88">
        <w:trPr>
          <w:trHeight w:val="936"/>
        </w:trPr>
        <w:tc>
          <w:tcPr>
            <w:tcW w:w="2340" w:type="dxa"/>
            <w:tcBorders>
              <w:top w:val="nil"/>
              <w:left w:val="single" w:sz="8" w:space="0" w:color="auto"/>
              <w:bottom w:val="single" w:sz="4" w:space="0" w:color="auto"/>
              <w:right w:val="single" w:sz="4" w:space="0" w:color="auto"/>
            </w:tcBorders>
            <w:vAlign w:val="center"/>
            <w:hideMark/>
          </w:tcPr>
          <w:p w14:paraId="73DAD791"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hint="cs"/>
                <w:color w:val="000000"/>
                <w:kern w:val="0"/>
                <w:rtl/>
                <w14:ligatures w14:val="none"/>
              </w:rPr>
              <w:t>عبر</w:t>
            </w:r>
            <w:r w:rsidRPr="00276B97">
              <w:rPr>
                <w:rFonts w:ascii="Aptos" w:eastAsia="Times New Roman" w:hAnsi="Aptos" w:cs="Arial"/>
                <w:color w:val="000000"/>
                <w:kern w:val="0"/>
                <w:rtl/>
                <w14:ligatures w14:val="none"/>
              </w:rPr>
              <w:t xml:space="preserve"> </w:t>
            </w:r>
            <w:r w:rsidRPr="00276B97">
              <w:rPr>
                <w:rFonts w:ascii="Aptos" w:eastAsia="Times New Roman" w:hAnsi="Aptos" w:cs="Arial"/>
                <w:color w:val="000000"/>
                <w:kern w:val="0"/>
                <w14:ligatures w14:val="none"/>
              </w:rPr>
              <w:t>ORG3</w:t>
            </w:r>
          </w:p>
        </w:tc>
        <w:tc>
          <w:tcPr>
            <w:tcW w:w="960" w:type="dxa"/>
            <w:tcBorders>
              <w:top w:val="nil"/>
              <w:left w:val="single" w:sz="4" w:space="0" w:color="auto"/>
              <w:bottom w:val="single" w:sz="4" w:space="0" w:color="auto"/>
              <w:right w:val="single" w:sz="4" w:space="0" w:color="auto"/>
            </w:tcBorders>
            <w:vAlign w:val="center"/>
            <w:hideMark/>
          </w:tcPr>
          <w:p w14:paraId="2D8CD6C7"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0.1224</w:t>
            </w:r>
          </w:p>
        </w:tc>
        <w:tc>
          <w:tcPr>
            <w:tcW w:w="1060" w:type="dxa"/>
            <w:tcBorders>
              <w:top w:val="nil"/>
              <w:left w:val="single" w:sz="4" w:space="0" w:color="auto"/>
              <w:bottom w:val="single" w:sz="4" w:space="0" w:color="auto"/>
              <w:right w:val="single" w:sz="4" w:space="0" w:color="auto"/>
            </w:tcBorders>
            <w:vAlign w:val="center"/>
            <w:hideMark/>
          </w:tcPr>
          <w:p w14:paraId="0F1868F0"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0.0359*</w:t>
            </w:r>
          </w:p>
        </w:tc>
        <w:tc>
          <w:tcPr>
            <w:tcW w:w="960" w:type="dxa"/>
            <w:tcBorders>
              <w:top w:val="nil"/>
              <w:left w:val="single" w:sz="4" w:space="0" w:color="auto"/>
              <w:bottom w:val="single" w:sz="4" w:space="0" w:color="auto"/>
              <w:right w:val="single" w:sz="4" w:space="0" w:color="auto"/>
            </w:tcBorders>
            <w:vAlign w:val="center"/>
            <w:hideMark/>
          </w:tcPr>
          <w:p w14:paraId="367E6E18"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2B525D52"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11D2DB06"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4" w:space="0" w:color="auto"/>
            </w:tcBorders>
            <w:vAlign w:val="center"/>
            <w:hideMark/>
          </w:tcPr>
          <w:p w14:paraId="61292C8D"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4" w:space="0" w:color="auto"/>
              <w:right w:val="single" w:sz="8" w:space="0" w:color="auto"/>
            </w:tcBorders>
            <w:vAlign w:val="center"/>
            <w:hideMark/>
          </w:tcPr>
          <w:p w14:paraId="039EFFFB"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roofErr w:type="gramStart"/>
            <w:r w:rsidRPr="00276B97">
              <w:rPr>
                <w:rFonts w:ascii="Aptos" w:eastAsia="Times New Roman" w:hAnsi="Aptos" w:cs="Arial"/>
                <w:color w:val="000000"/>
                <w:kern w:val="0"/>
                <w:lang w:bidi="ar-EG"/>
                <w14:ligatures w14:val="none"/>
              </w:rPr>
              <w:t>0.0533 ,</w:t>
            </w:r>
            <w:proofErr w:type="gramEnd"/>
            <w:r w:rsidRPr="00276B97">
              <w:rPr>
                <w:rFonts w:ascii="Aptos" w:eastAsia="Times New Roman" w:hAnsi="Aptos" w:cs="Arial"/>
                <w:color w:val="000000"/>
                <w:kern w:val="0"/>
                <w:lang w:bidi="ar-EG"/>
                <w14:ligatures w14:val="none"/>
              </w:rPr>
              <w:t xml:space="preserve"> 0.1952]</w:t>
            </w:r>
          </w:p>
        </w:tc>
      </w:tr>
      <w:tr w:rsidR="00793DFB" w:rsidRPr="00276B97" w14:paraId="12CDF04A" w14:textId="77777777" w:rsidTr="009F1C88">
        <w:trPr>
          <w:trHeight w:val="948"/>
        </w:trPr>
        <w:tc>
          <w:tcPr>
            <w:tcW w:w="2340" w:type="dxa"/>
            <w:tcBorders>
              <w:top w:val="nil"/>
              <w:left w:val="single" w:sz="8" w:space="0" w:color="auto"/>
              <w:bottom w:val="single" w:sz="8" w:space="0" w:color="auto"/>
              <w:right w:val="single" w:sz="4" w:space="0" w:color="auto"/>
            </w:tcBorders>
            <w:vAlign w:val="center"/>
            <w:hideMark/>
          </w:tcPr>
          <w:p w14:paraId="71B6916C"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hint="cs"/>
                <w:color w:val="000000"/>
                <w:kern w:val="0"/>
                <w:rtl/>
                <w14:ligatures w14:val="none"/>
              </w:rPr>
              <w:t>عبر</w:t>
            </w:r>
            <w:r w:rsidRPr="00276B97">
              <w:rPr>
                <w:rFonts w:ascii="Aptos" w:eastAsia="Times New Roman" w:hAnsi="Aptos" w:cs="Arial"/>
                <w:color w:val="000000"/>
                <w:kern w:val="0"/>
                <w:rtl/>
                <w14:ligatures w14:val="none"/>
              </w:rPr>
              <w:t xml:space="preserve"> </w:t>
            </w:r>
            <w:r w:rsidRPr="00276B97">
              <w:rPr>
                <w:rFonts w:ascii="Aptos" w:eastAsia="Times New Roman" w:hAnsi="Aptos" w:cs="Arial"/>
                <w:color w:val="000000"/>
                <w:kern w:val="0"/>
                <w14:ligatures w14:val="none"/>
              </w:rPr>
              <w:t>ORG4</w:t>
            </w:r>
          </w:p>
        </w:tc>
        <w:tc>
          <w:tcPr>
            <w:tcW w:w="960" w:type="dxa"/>
            <w:tcBorders>
              <w:top w:val="nil"/>
              <w:left w:val="single" w:sz="4" w:space="0" w:color="auto"/>
              <w:bottom w:val="single" w:sz="8" w:space="0" w:color="auto"/>
              <w:right w:val="single" w:sz="4" w:space="0" w:color="auto"/>
            </w:tcBorders>
            <w:vAlign w:val="center"/>
            <w:hideMark/>
          </w:tcPr>
          <w:p w14:paraId="03F5D70C"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0.156</w:t>
            </w:r>
          </w:p>
        </w:tc>
        <w:tc>
          <w:tcPr>
            <w:tcW w:w="1060" w:type="dxa"/>
            <w:tcBorders>
              <w:top w:val="nil"/>
              <w:left w:val="single" w:sz="4" w:space="0" w:color="auto"/>
              <w:bottom w:val="single" w:sz="8" w:space="0" w:color="auto"/>
              <w:right w:val="single" w:sz="4" w:space="0" w:color="auto"/>
            </w:tcBorders>
            <w:vAlign w:val="center"/>
            <w:hideMark/>
          </w:tcPr>
          <w:p w14:paraId="09478FC0"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0.0409*</w:t>
            </w:r>
          </w:p>
        </w:tc>
        <w:tc>
          <w:tcPr>
            <w:tcW w:w="960" w:type="dxa"/>
            <w:tcBorders>
              <w:top w:val="nil"/>
              <w:left w:val="single" w:sz="4" w:space="0" w:color="auto"/>
              <w:bottom w:val="single" w:sz="8" w:space="0" w:color="auto"/>
              <w:right w:val="single" w:sz="4" w:space="0" w:color="auto"/>
            </w:tcBorders>
            <w:vAlign w:val="center"/>
            <w:hideMark/>
          </w:tcPr>
          <w:p w14:paraId="1962688F"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8" w:space="0" w:color="auto"/>
              <w:right w:val="single" w:sz="4" w:space="0" w:color="auto"/>
            </w:tcBorders>
            <w:vAlign w:val="center"/>
            <w:hideMark/>
          </w:tcPr>
          <w:p w14:paraId="6F51E514"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8" w:space="0" w:color="auto"/>
              <w:right w:val="single" w:sz="4" w:space="0" w:color="auto"/>
            </w:tcBorders>
            <w:vAlign w:val="center"/>
            <w:hideMark/>
          </w:tcPr>
          <w:p w14:paraId="33CE13C5"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8" w:space="0" w:color="auto"/>
              <w:right w:val="single" w:sz="4" w:space="0" w:color="auto"/>
            </w:tcBorders>
            <w:vAlign w:val="center"/>
            <w:hideMark/>
          </w:tcPr>
          <w:p w14:paraId="03D94ECD"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
        </w:tc>
        <w:tc>
          <w:tcPr>
            <w:tcW w:w="960" w:type="dxa"/>
            <w:tcBorders>
              <w:top w:val="nil"/>
              <w:left w:val="single" w:sz="4" w:space="0" w:color="auto"/>
              <w:bottom w:val="single" w:sz="8" w:space="0" w:color="auto"/>
              <w:right w:val="single" w:sz="8" w:space="0" w:color="auto"/>
            </w:tcBorders>
            <w:vAlign w:val="center"/>
            <w:hideMark/>
          </w:tcPr>
          <w:p w14:paraId="42B0C6F8" w14:textId="77777777" w:rsidR="00793DFB" w:rsidRPr="00276B97" w:rsidRDefault="00793DFB" w:rsidP="009F1C88">
            <w:pPr>
              <w:bidi/>
              <w:spacing w:after="0" w:line="240" w:lineRule="auto"/>
              <w:jc w:val="center"/>
              <w:rPr>
                <w:rFonts w:ascii="Aptos" w:eastAsia="Times New Roman" w:hAnsi="Aptos" w:cs="Arial"/>
                <w:color w:val="000000"/>
                <w:kern w:val="0"/>
                <w:rtl/>
                <w14:ligatures w14:val="none"/>
              </w:rPr>
            </w:pPr>
            <w:r w:rsidRPr="00276B97">
              <w:rPr>
                <w:rFonts w:ascii="Aptos" w:eastAsia="Times New Roman" w:hAnsi="Aptos" w:cs="Arial"/>
                <w:color w:val="000000"/>
                <w:kern w:val="0"/>
                <w:lang w:bidi="ar-EG"/>
                <w14:ligatures w14:val="none"/>
              </w:rPr>
              <w:t>[</w:t>
            </w:r>
            <w:proofErr w:type="gramStart"/>
            <w:r w:rsidRPr="00276B97">
              <w:rPr>
                <w:rFonts w:ascii="Aptos" w:eastAsia="Times New Roman" w:hAnsi="Aptos" w:cs="Arial"/>
                <w:color w:val="000000"/>
                <w:kern w:val="0"/>
                <w:lang w:bidi="ar-EG"/>
                <w14:ligatures w14:val="none"/>
              </w:rPr>
              <w:t>0.0825 ,</w:t>
            </w:r>
            <w:proofErr w:type="gramEnd"/>
            <w:r w:rsidRPr="00276B97">
              <w:rPr>
                <w:rFonts w:ascii="Aptos" w:eastAsia="Times New Roman" w:hAnsi="Aptos" w:cs="Arial"/>
                <w:color w:val="000000"/>
                <w:kern w:val="0"/>
                <w:lang w:bidi="ar-EG"/>
                <w14:ligatures w14:val="none"/>
              </w:rPr>
              <w:t xml:space="preserve"> 0.2411]</w:t>
            </w:r>
          </w:p>
        </w:tc>
      </w:tr>
    </w:tbl>
    <w:p w14:paraId="0187F258" w14:textId="77777777" w:rsidR="00793DFB" w:rsidRPr="009B4E2B" w:rsidRDefault="00793DFB" w:rsidP="00793DFB">
      <w:pPr>
        <w:bidi/>
        <w:rPr>
          <w:b/>
          <w:bCs/>
          <w:lang w:bidi="ar-EG"/>
        </w:rPr>
      </w:pPr>
    </w:p>
    <w:p w14:paraId="5768DAEE" w14:textId="77777777" w:rsidR="00793DFB" w:rsidRPr="009B4E2B" w:rsidRDefault="00793DFB" w:rsidP="00793DFB">
      <w:pPr>
        <w:bidi/>
        <w:rPr>
          <w:lang w:bidi="ar-EG"/>
        </w:rPr>
      </w:pPr>
      <w:r w:rsidRPr="009B4E2B">
        <w:rPr>
          <w:rtl/>
        </w:rPr>
        <w:t>أظهرت نتائج التحليل أن أنظمة العمل عالية الأداء تؤثر إيجابيًا وبدرجة دالة إحصائيًا على جميع أبعاد الثقافة التنظيمية الأربعة، وذلك على النحو الآتي</w:t>
      </w:r>
      <w:r w:rsidRPr="009B4E2B">
        <w:rPr>
          <w:lang w:bidi="ar-EG"/>
        </w:rPr>
        <w:t>:</w:t>
      </w:r>
    </w:p>
    <w:p w14:paraId="6CA3C8CE" w14:textId="77777777" w:rsidR="00793DFB" w:rsidRPr="009B4E2B" w:rsidRDefault="00793DFB" w:rsidP="00793DFB">
      <w:pPr>
        <w:numPr>
          <w:ilvl w:val="0"/>
          <w:numId w:val="191"/>
        </w:numPr>
        <w:bidi/>
        <w:rPr>
          <w:lang w:bidi="ar-EG"/>
        </w:rPr>
      </w:pPr>
      <w:r w:rsidRPr="009B4E2B">
        <w:rPr>
          <w:rtl/>
        </w:rPr>
        <w:t>بلغ معامل التأثير على البعد الأول</w:t>
      </w:r>
      <w:r w:rsidRPr="009B4E2B">
        <w:rPr>
          <w:lang w:bidi="ar-EG"/>
        </w:rPr>
        <w:t xml:space="preserve"> (ORG1) </w:t>
      </w:r>
      <w:r w:rsidRPr="009B4E2B">
        <w:rPr>
          <w:rtl/>
        </w:rPr>
        <w:t>قيمة</w:t>
      </w:r>
      <w:r w:rsidRPr="009B4E2B">
        <w:rPr>
          <w:lang w:bidi="ar-EG"/>
        </w:rPr>
        <w:t xml:space="preserve"> </w:t>
      </w:r>
      <w:r>
        <w:rPr>
          <w:rFonts w:hint="cs"/>
          <w:rtl/>
          <w:lang w:bidi="ar-EG"/>
        </w:rPr>
        <w:t>(</w:t>
      </w:r>
      <w:r w:rsidRPr="009B4E2B">
        <w:rPr>
          <w:lang w:bidi="ar-EG"/>
        </w:rPr>
        <w:t xml:space="preserve">B = </w:t>
      </w:r>
      <w:r>
        <w:rPr>
          <w:lang w:bidi="ar-EG"/>
        </w:rPr>
        <w:t>0</w:t>
      </w:r>
      <w:r w:rsidRPr="009B4E2B">
        <w:rPr>
          <w:lang w:bidi="ar-EG"/>
        </w:rPr>
        <w:t>.8423</w:t>
      </w:r>
      <w:r w:rsidRPr="009B4E2B">
        <w:rPr>
          <w:rtl/>
        </w:rPr>
        <w:t xml:space="preserve">، </w:t>
      </w:r>
      <w:r w:rsidRPr="009B4E2B">
        <w:rPr>
          <w:lang w:bidi="ar-EG"/>
        </w:rPr>
        <w:t xml:space="preserve">p &lt; </w:t>
      </w:r>
      <w:r>
        <w:rPr>
          <w:lang w:bidi="ar-EG"/>
        </w:rPr>
        <w:t>0</w:t>
      </w:r>
      <w:r w:rsidRPr="009B4E2B">
        <w:rPr>
          <w:lang w:bidi="ar-EG"/>
        </w:rPr>
        <w:t>.001</w:t>
      </w:r>
      <w:r>
        <w:rPr>
          <w:rFonts w:hint="cs"/>
          <w:rtl/>
          <w:lang w:bidi="ar-EG"/>
        </w:rPr>
        <w:t>)</w:t>
      </w:r>
      <w:r w:rsidRPr="009B4E2B">
        <w:rPr>
          <w:rtl/>
        </w:rPr>
        <w:t>، وفسر النموذج 60.44% من التباين في هذا البعد</w:t>
      </w:r>
      <w:r w:rsidRPr="009B4E2B">
        <w:rPr>
          <w:lang w:bidi="ar-EG"/>
        </w:rPr>
        <w:t xml:space="preserve"> (R² = </w:t>
      </w:r>
      <w:r>
        <w:rPr>
          <w:lang w:bidi="ar-EG"/>
        </w:rPr>
        <w:t>0</w:t>
      </w:r>
      <w:r w:rsidRPr="009B4E2B">
        <w:rPr>
          <w:lang w:bidi="ar-EG"/>
        </w:rPr>
        <w:t>.6044)</w:t>
      </w:r>
      <w:r>
        <w:rPr>
          <w:rFonts w:hint="cs"/>
          <w:rtl/>
          <w:lang w:bidi="ar-EG"/>
        </w:rPr>
        <w:t>.</w:t>
      </w:r>
    </w:p>
    <w:p w14:paraId="625B852A" w14:textId="77777777" w:rsidR="00793DFB" w:rsidRPr="009B4E2B" w:rsidRDefault="00793DFB" w:rsidP="00793DFB">
      <w:pPr>
        <w:numPr>
          <w:ilvl w:val="0"/>
          <w:numId w:val="191"/>
        </w:numPr>
        <w:bidi/>
        <w:rPr>
          <w:lang w:bidi="ar-EG"/>
        </w:rPr>
      </w:pPr>
      <w:r w:rsidRPr="009B4E2B">
        <w:rPr>
          <w:rtl/>
        </w:rPr>
        <w:t>بلغ معامل التأثير على البعد الثاني</w:t>
      </w:r>
      <w:r w:rsidRPr="009B4E2B">
        <w:rPr>
          <w:lang w:bidi="ar-EG"/>
        </w:rPr>
        <w:t xml:space="preserve"> (ORG2) </w:t>
      </w:r>
      <w:r w:rsidRPr="009B4E2B">
        <w:rPr>
          <w:rtl/>
        </w:rPr>
        <w:t>قيمة</w:t>
      </w:r>
      <w:r w:rsidRPr="009B4E2B">
        <w:rPr>
          <w:lang w:bidi="ar-EG"/>
        </w:rPr>
        <w:t xml:space="preserve"> </w:t>
      </w:r>
      <w:r>
        <w:rPr>
          <w:rFonts w:hint="cs"/>
          <w:rtl/>
          <w:lang w:bidi="ar-EG"/>
        </w:rPr>
        <w:t>(</w:t>
      </w:r>
      <w:r w:rsidRPr="009B4E2B">
        <w:rPr>
          <w:lang w:bidi="ar-EG"/>
        </w:rPr>
        <w:t xml:space="preserve">B = </w:t>
      </w:r>
      <w:r>
        <w:rPr>
          <w:lang w:bidi="ar-EG"/>
        </w:rPr>
        <w:t>0</w:t>
      </w:r>
      <w:r w:rsidRPr="009B4E2B">
        <w:rPr>
          <w:lang w:bidi="ar-EG"/>
        </w:rPr>
        <w:t>.8764</w:t>
      </w:r>
      <w:r w:rsidRPr="009B4E2B">
        <w:rPr>
          <w:rtl/>
        </w:rPr>
        <w:t xml:space="preserve">، </w:t>
      </w:r>
      <w:r w:rsidRPr="009B4E2B">
        <w:rPr>
          <w:lang w:bidi="ar-EG"/>
        </w:rPr>
        <w:t xml:space="preserve">p &lt; </w:t>
      </w:r>
      <w:r>
        <w:rPr>
          <w:lang w:bidi="ar-EG"/>
        </w:rPr>
        <w:t>0</w:t>
      </w:r>
      <w:r w:rsidRPr="009B4E2B">
        <w:rPr>
          <w:lang w:bidi="ar-EG"/>
        </w:rPr>
        <w:t>.001</w:t>
      </w:r>
      <w:r>
        <w:rPr>
          <w:rFonts w:hint="cs"/>
          <w:rtl/>
          <w:lang w:bidi="ar-EG"/>
        </w:rPr>
        <w:t>)</w:t>
      </w:r>
      <w:r w:rsidRPr="009B4E2B">
        <w:rPr>
          <w:rtl/>
        </w:rPr>
        <w:t>، بنسبة تفسير بلغت 59.43</w:t>
      </w:r>
      <w:r w:rsidRPr="009B4E2B">
        <w:rPr>
          <w:lang w:bidi="ar-EG"/>
        </w:rPr>
        <w:t>%</w:t>
      </w:r>
      <w:r>
        <w:rPr>
          <w:rFonts w:hint="cs"/>
          <w:rtl/>
          <w:lang w:bidi="ar-EG"/>
        </w:rPr>
        <w:t>.</w:t>
      </w:r>
    </w:p>
    <w:p w14:paraId="6C107FAF" w14:textId="77777777" w:rsidR="00793DFB" w:rsidRPr="009B4E2B" w:rsidRDefault="00793DFB" w:rsidP="00793DFB">
      <w:pPr>
        <w:numPr>
          <w:ilvl w:val="0"/>
          <w:numId w:val="191"/>
        </w:numPr>
        <w:bidi/>
        <w:rPr>
          <w:lang w:bidi="ar-EG"/>
        </w:rPr>
      </w:pPr>
      <w:r w:rsidRPr="009B4E2B">
        <w:rPr>
          <w:rtl/>
        </w:rPr>
        <w:t>أما البعد الثالث</w:t>
      </w:r>
      <w:r w:rsidRPr="009B4E2B">
        <w:rPr>
          <w:lang w:bidi="ar-EG"/>
        </w:rPr>
        <w:t xml:space="preserve"> (ORG3)</w:t>
      </w:r>
      <w:r w:rsidRPr="009B4E2B">
        <w:rPr>
          <w:rtl/>
        </w:rPr>
        <w:t>، فقد سجل معاملًا مرتفعًا</w:t>
      </w:r>
      <w:r w:rsidRPr="009B4E2B">
        <w:rPr>
          <w:lang w:bidi="ar-EG"/>
        </w:rPr>
        <w:t xml:space="preserve"> </w:t>
      </w:r>
      <w:r>
        <w:rPr>
          <w:rFonts w:hint="cs"/>
          <w:rtl/>
          <w:lang w:bidi="ar-EG"/>
        </w:rPr>
        <w:t>(</w:t>
      </w:r>
      <w:r w:rsidRPr="009B4E2B">
        <w:rPr>
          <w:lang w:bidi="ar-EG"/>
        </w:rPr>
        <w:t>B = 1.0560</w:t>
      </w:r>
      <w:r w:rsidRPr="009B4E2B">
        <w:rPr>
          <w:rtl/>
        </w:rPr>
        <w:t xml:space="preserve">، </w:t>
      </w:r>
      <w:r w:rsidRPr="009B4E2B">
        <w:rPr>
          <w:lang w:bidi="ar-EG"/>
        </w:rPr>
        <w:t xml:space="preserve">p &lt; </w:t>
      </w:r>
      <w:r>
        <w:rPr>
          <w:lang w:bidi="ar-EG"/>
        </w:rPr>
        <w:t>0</w:t>
      </w:r>
      <w:r w:rsidRPr="009B4E2B">
        <w:rPr>
          <w:lang w:bidi="ar-EG"/>
        </w:rPr>
        <w:t>.001</w:t>
      </w:r>
      <w:r>
        <w:rPr>
          <w:rFonts w:hint="cs"/>
          <w:rtl/>
          <w:lang w:bidi="ar-EG"/>
        </w:rPr>
        <w:t>)</w:t>
      </w:r>
      <w:r w:rsidRPr="009B4E2B">
        <w:rPr>
          <w:lang w:bidi="ar-EG"/>
        </w:rPr>
        <w:t xml:space="preserve"> </w:t>
      </w:r>
      <w:r w:rsidRPr="009B4E2B">
        <w:rPr>
          <w:rtl/>
        </w:rPr>
        <w:t>بنسبة تفسير 71.06</w:t>
      </w:r>
      <w:r w:rsidRPr="009B4E2B">
        <w:rPr>
          <w:lang w:bidi="ar-EG"/>
        </w:rPr>
        <w:t>%</w:t>
      </w:r>
      <w:r>
        <w:rPr>
          <w:rFonts w:hint="cs"/>
          <w:rtl/>
          <w:lang w:bidi="ar-EG"/>
        </w:rPr>
        <w:t>.</w:t>
      </w:r>
    </w:p>
    <w:p w14:paraId="4FFF5E33" w14:textId="77777777" w:rsidR="00793DFB" w:rsidRPr="009B4E2B" w:rsidRDefault="00793DFB" w:rsidP="00793DFB">
      <w:pPr>
        <w:numPr>
          <w:ilvl w:val="0"/>
          <w:numId w:val="191"/>
        </w:numPr>
        <w:bidi/>
        <w:rPr>
          <w:lang w:bidi="ar-EG"/>
        </w:rPr>
      </w:pPr>
      <w:r w:rsidRPr="009B4E2B">
        <w:rPr>
          <w:rtl/>
        </w:rPr>
        <w:t>وسجل البعد الرابع</w:t>
      </w:r>
      <w:r w:rsidRPr="009B4E2B">
        <w:rPr>
          <w:lang w:bidi="ar-EG"/>
        </w:rPr>
        <w:t xml:space="preserve"> (ORG4) </w:t>
      </w:r>
      <w:r w:rsidRPr="009B4E2B">
        <w:rPr>
          <w:rtl/>
        </w:rPr>
        <w:t>أعلى نسبة تفسير</w:t>
      </w:r>
      <w:r>
        <w:rPr>
          <w:rFonts w:hint="cs"/>
          <w:rtl/>
          <w:lang w:bidi="ar-EG"/>
        </w:rPr>
        <w:t xml:space="preserve"> </w:t>
      </w:r>
      <w:r w:rsidRPr="009B4E2B">
        <w:rPr>
          <w:lang w:bidi="ar-EG"/>
        </w:rPr>
        <w:t xml:space="preserve">(R² = </w:t>
      </w:r>
      <w:r>
        <w:rPr>
          <w:lang w:bidi="ar-EG"/>
        </w:rPr>
        <w:t>0</w:t>
      </w:r>
      <w:r w:rsidRPr="009B4E2B">
        <w:rPr>
          <w:lang w:bidi="ar-EG"/>
        </w:rPr>
        <w:t>.7700)</w:t>
      </w:r>
      <w:r w:rsidRPr="009B4E2B">
        <w:rPr>
          <w:rtl/>
        </w:rPr>
        <w:t>، بمعامل تأثير</w:t>
      </w:r>
      <w:r w:rsidRPr="009B4E2B">
        <w:rPr>
          <w:lang w:bidi="ar-EG"/>
        </w:rPr>
        <w:t xml:space="preserve"> </w:t>
      </w:r>
      <w:r>
        <w:rPr>
          <w:rFonts w:hint="cs"/>
          <w:rtl/>
          <w:lang w:bidi="ar-EG"/>
        </w:rPr>
        <w:t>(</w:t>
      </w:r>
      <w:r w:rsidRPr="009B4E2B">
        <w:rPr>
          <w:lang w:bidi="ar-EG"/>
        </w:rPr>
        <w:t>B = 1.0572</w:t>
      </w:r>
      <w:r w:rsidRPr="009B4E2B">
        <w:rPr>
          <w:rtl/>
        </w:rPr>
        <w:t xml:space="preserve">، </w:t>
      </w:r>
      <w:r w:rsidRPr="009B4E2B">
        <w:rPr>
          <w:lang w:bidi="ar-EG"/>
        </w:rPr>
        <w:t xml:space="preserve">p &lt; </w:t>
      </w:r>
      <w:r>
        <w:rPr>
          <w:lang w:bidi="ar-EG"/>
        </w:rPr>
        <w:t>0</w:t>
      </w:r>
      <w:r w:rsidRPr="009B4E2B">
        <w:rPr>
          <w:lang w:bidi="ar-EG"/>
        </w:rPr>
        <w:t>.001</w:t>
      </w:r>
      <w:r>
        <w:rPr>
          <w:rFonts w:hint="cs"/>
          <w:rtl/>
          <w:lang w:bidi="ar-EG"/>
        </w:rPr>
        <w:t>)</w:t>
      </w:r>
      <w:r w:rsidRPr="009B4E2B">
        <w:rPr>
          <w:lang w:bidi="ar-EG"/>
        </w:rPr>
        <w:t>.</w:t>
      </w:r>
    </w:p>
    <w:p w14:paraId="12CDADA9" w14:textId="77777777" w:rsidR="00793DFB" w:rsidRPr="009B4E2B" w:rsidRDefault="00793DFB" w:rsidP="00793DFB">
      <w:pPr>
        <w:bidi/>
        <w:rPr>
          <w:lang w:bidi="ar-EG"/>
        </w:rPr>
      </w:pPr>
      <w:r w:rsidRPr="009B4E2B">
        <w:rPr>
          <w:rtl/>
        </w:rPr>
        <w:t>تشير هذه النتائج إلى أن أنظمة العمل عالية الأداء تمثل محددًا بنيويًا قويًا لأبعاد الثقافة التنظيمية، وهو ما يدعم الفرضية الفرعية الأولى</w:t>
      </w:r>
      <w:r w:rsidRPr="009B4E2B">
        <w:rPr>
          <w:lang w:bidi="ar-EG"/>
        </w:rPr>
        <w:t>:</w:t>
      </w:r>
    </w:p>
    <w:p w14:paraId="778BEBC8" w14:textId="77777777" w:rsidR="00793DFB" w:rsidRDefault="00793DFB" w:rsidP="00793DFB">
      <w:pPr>
        <w:bidi/>
        <w:rPr>
          <w:rtl/>
          <w:lang w:bidi="ar-EG"/>
        </w:rPr>
      </w:pPr>
      <w:r w:rsidRPr="009B4E2B">
        <w:rPr>
          <w:b/>
          <w:bCs/>
          <w:lang w:bidi="ar-EG"/>
        </w:rPr>
        <w:t>H2</w:t>
      </w:r>
      <w:r>
        <w:rPr>
          <w:rFonts w:hint="cs"/>
          <w:b/>
          <w:bCs/>
          <w:rtl/>
          <w:lang w:bidi="ar-EG"/>
        </w:rPr>
        <w:t>:</w:t>
      </w:r>
      <w:r w:rsidRPr="009B4E2B">
        <w:rPr>
          <w:b/>
          <w:bCs/>
          <w:lang w:bidi="ar-EG"/>
        </w:rPr>
        <w:t xml:space="preserve"> </w:t>
      </w:r>
      <w:r w:rsidRPr="009B4E2B">
        <w:rPr>
          <w:b/>
          <w:bCs/>
          <w:rtl/>
        </w:rPr>
        <w:t>تؤثر أنظمة العمل عالية الأداء تأثيرًا إيجابيًا في أبعاد الثقافة التنظيمية</w:t>
      </w:r>
      <w:r w:rsidRPr="009B4E2B">
        <w:rPr>
          <w:b/>
          <w:bCs/>
          <w:lang w:bidi="ar-EG"/>
        </w:rPr>
        <w:t>.</w:t>
      </w:r>
      <w:r w:rsidRPr="009B4E2B">
        <w:rPr>
          <w:lang w:bidi="ar-EG"/>
        </w:rPr>
        <w:br/>
      </w:r>
      <w:r w:rsidRPr="009B4E2B">
        <w:rPr>
          <w:rtl/>
        </w:rPr>
        <w:t>وقد تم قبول هذه الفرضية بجميع أبعادها الفرعية</w:t>
      </w:r>
      <w:r>
        <w:rPr>
          <w:rFonts w:hint="cs"/>
          <w:rtl/>
          <w:lang w:bidi="ar-EG"/>
        </w:rPr>
        <w:t xml:space="preserve"> </w:t>
      </w:r>
      <w:r w:rsidRPr="009B4E2B">
        <w:rPr>
          <w:lang w:bidi="ar-EG"/>
        </w:rPr>
        <w:t>(H2a–H2d)</w:t>
      </w:r>
      <w:r>
        <w:rPr>
          <w:rFonts w:hint="cs"/>
          <w:rtl/>
          <w:lang w:bidi="ar-EG"/>
        </w:rPr>
        <w:t>.</w:t>
      </w:r>
    </w:p>
    <w:p w14:paraId="4DE14B1F" w14:textId="77777777" w:rsidR="00793DFB" w:rsidRPr="009B4E2B" w:rsidRDefault="00793DFB" w:rsidP="00793DFB">
      <w:pPr>
        <w:bidi/>
        <w:rPr>
          <w:lang w:bidi="ar-EG"/>
        </w:rPr>
      </w:pPr>
    </w:p>
    <w:p w14:paraId="570BBAA7" w14:textId="77777777" w:rsidR="00793DFB" w:rsidRPr="009B4E2B" w:rsidRDefault="00793DFB" w:rsidP="00793DFB">
      <w:pPr>
        <w:bidi/>
        <w:rPr>
          <w:b/>
          <w:bCs/>
          <w:lang w:bidi="ar-EG"/>
        </w:rPr>
      </w:pPr>
      <w:r w:rsidRPr="009B4E2B">
        <w:rPr>
          <w:b/>
          <w:bCs/>
          <w:rtl/>
        </w:rPr>
        <w:lastRenderedPageBreak/>
        <w:t>ثانيًا: اختبار تأثير أبعاد الثقافة التنظيمية على الإبداع الوظيفي</w:t>
      </w:r>
    </w:p>
    <w:p w14:paraId="78048310" w14:textId="77777777" w:rsidR="00793DFB" w:rsidRPr="009B4E2B" w:rsidRDefault="00793DFB" w:rsidP="00793DFB">
      <w:pPr>
        <w:bidi/>
        <w:rPr>
          <w:lang w:bidi="ar-EG"/>
        </w:rPr>
      </w:pPr>
      <w:r w:rsidRPr="009B4E2B">
        <w:rPr>
          <w:rtl/>
        </w:rPr>
        <w:t>عند إدخال المتغيرات الوسيطة الأربعة إلى جانب</w:t>
      </w:r>
      <w:r w:rsidRPr="009B4E2B">
        <w:rPr>
          <w:lang w:bidi="ar-EG"/>
        </w:rPr>
        <w:t xml:space="preserve"> HPWS </w:t>
      </w:r>
      <w:r w:rsidRPr="009B4E2B">
        <w:rPr>
          <w:rtl/>
        </w:rPr>
        <w:t>في نموذج تفسير الإبداع الوظيفي، بلغت القدرة التفسيرية للنموذج 80.94</w:t>
      </w:r>
      <w:r w:rsidRPr="009B4E2B">
        <w:rPr>
          <w:lang w:bidi="ar-EG"/>
        </w:rPr>
        <w:t xml:space="preserve">% (R² = </w:t>
      </w:r>
      <w:r>
        <w:rPr>
          <w:lang w:bidi="ar-EG"/>
        </w:rPr>
        <w:t>0</w:t>
      </w:r>
      <w:r w:rsidRPr="009B4E2B">
        <w:rPr>
          <w:lang w:bidi="ar-EG"/>
        </w:rPr>
        <w:t>.8094)</w:t>
      </w:r>
      <w:r w:rsidRPr="009B4E2B">
        <w:rPr>
          <w:rtl/>
        </w:rPr>
        <w:t>، وهي نسبة مرتفعة تعكس اتساق النموذج المفاهيمي</w:t>
      </w:r>
      <w:r w:rsidRPr="009B4E2B">
        <w:rPr>
          <w:lang w:bidi="ar-EG"/>
        </w:rPr>
        <w:t>.</w:t>
      </w:r>
    </w:p>
    <w:p w14:paraId="6024FA51" w14:textId="77777777" w:rsidR="00793DFB" w:rsidRPr="009B4E2B" w:rsidRDefault="00793DFB" w:rsidP="00793DFB">
      <w:pPr>
        <w:bidi/>
        <w:rPr>
          <w:lang w:bidi="ar-EG"/>
        </w:rPr>
      </w:pPr>
      <w:r w:rsidRPr="009B4E2B">
        <w:rPr>
          <w:rtl/>
        </w:rPr>
        <w:t>أظهرت النتائج ما يلي</w:t>
      </w:r>
      <w:r w:rsidRPr="009B4E2B">
        <w:rPr>
          <w:lang w:bidi="ar-EG"/>
        </w:rPr>
        <w:t>:</w:t>
      </w:r>
    </w:p>
    <w:p w14:paraId="05A3D8DC" w14:textId="77777777" w:rsidR="00793DFB" w:rsidRPr="009B4E2B" w:rsidRDefault="00793DFB" w:rsidP="00793DFB">
      <w:pPr>
        <w:numPr>
          <w:ilvl w:val="0"/>
          <w:numId w:val="192"/>
        </w:numPr>
        <w:bidi/>
        <w:rPr>
          <w:lang w:bidi="ar-EG"/>
        </w:rPr>
      </w:pPr>
      <w:r w:rsidRPr="009B4E2B">
        <w:rPr>
          <w:rtl/>
        </w:rPr>
        <w:t>ظل التأثير المباشر لـ</w:t>
      </w:r>
      <w:r w:rsidRPr="009B4E2B">
        <w:rPr>
          <w:lang w:bidi="ar-EG"/>
        </w:rPr>
        <w:t xml:space="preserve"> HPWS </w:t>
      </w:r>
      <w:r w:rsidRPr="009B4E2B">
        <w:rPr>
          <w:rtl/>
        </w:rPr>
        <w:t>على الإبداع الوظيفي دالًا إحصائيًا</w:t>
      </w:r>
      <w:r w:rsidRPr="009B4E2B">
        <w:rPr>
          <w:lang w:bidi="ar-EG"/>
        </w:rPr>
        <w:t xml:space="preserve"> </w:t>
      </w:r>
      <w:r>
        <w:rPr>
          <w:rFonts w:hint="cs"/>
          <w:rtl/>
          <w:lang w:bidi="ar-EG"/>
        </w:rPr>
        <w:t>(</w:t>
      </w:r>
      <w:r w:rsidRPr="009B4E2B">
        <w:rPr>
          <w:lang w:bidi="ar-EG"/>
        </w:rPr>
        <w:t>B = .4775</w:t>
      </w:r>
      <w:r w:rsidRPr="009B4E2B">
        <w:rPr>
          <w:rtl/>
        </w:rPr>
        <w:t xml:space="preserve">، </w:t>
      </w:r>
      <w:r w:rsidRPr="009B4E2B">
        <w:rPr>
          <w:lang w:bidi="ar-EG"/>
        </w:rPr>
        <w:t>p &lt; .001</w:t>
      </w:r>
      <w:r>
        <w:rPr>
          <w:rFonts w:hint="cs"/>
          <w:rtl/>
          <w:lang w:bidi="ar-EG"/>
        </w:rPr>
        <w:t>)</w:t>
      </w:r>
      <w:r w:rsidRPr="009B4E2B">
        <w:rPr>
          <w:lang w:bidi="ar-EG"/>
        </w:rPr>
        <w:t>.</w:t>
      </w:r>
    </w:p>
    <w:p w14:paraId="79C324D1" w14:textId="77777777" w:rsidR="00793DFB" w:rsidRPr="009B4E2B" w:rsidRDefault="00793DFB" w:rsidP="00793DFB">
      <w:pPr>
        <w:numPr>
          <w:ilvl w:val="0"/>
          <w:numId w:val="192"/>
        </w:numPr>
        <w:bidi/>
        <w:rPr>
          <w:lang w:bidi="ar-EG"/>
        </w:rPr>
      </w:pPr>
      <w:r w:rsidRPr="009B4E2B">
        <w:rPr>
          <w:rtl/>
        </w:rPr>
        <w:t>كان تأثير</w:t>
      </w:r>
      <w:r w:rsidRPr="009B4E2B">
        <w:rPr>
          <w:lang w:bidi="ar-EG"/>
        </w:rPr>
        <w:t xml:space="preserve"> ORG1 </w:t>
      </w:r>
      <w:r w:rsidRPr="009B4E2B">
        <w:rPr>
          <w:rtl/>
        </w:rPr>
        <w:t>دالًا</w:t>
      </w:r>
      <w:r w:rsidRPr="009B4E2B">
        <w:rPr>
          <w:lang w:bidi="ar-EG"/>
        </w:rPr>
        <w:t xml:space="preserve"> </w:t>
      </w:r>
      <w:r>
        <w:rPr>
          <w:rFonts w:hint="cs"/>
          <w:rtl/>
          <w:lang w:bidi="ar-EG"/>
        </w:rPr>
        <w:t>(</w:t>
      </w:r>
      <w:r w:rsidRPr="009B4E2B">
        <w:rPr>
          <w:lang w:bidi="ar-EG"/>
        </w:rPr>
        <w:t xml:space="preserve">B = </w:t>
      </w:r>
      <w:r>
        <w:rPr>
          <w:lang w:bidi="ar-EG"/>
        </w:rPr>
        <w:t>0</w:t>
      </w:r>
      <w:r w:rsidRPr="009B4E2B">
        <w:rPr>
          <w:lang w:bidi="ar-EG"/>
        </w:rPr>
        <w:t>.1011</w:t>
      </w:r>
      <w:r w:rsidRPr="009B4E2B">
        <w:rPr>
          <w:rtl/>
        </w:rPr>
        <w:t xml:space="preserve">، </w:t>
      </w:r>
      <w:r w:rsidRPr="009B4E2B">
        <w:rPr>
          <w:lang w:bidi="ar-EG"/>
        </w:rPr>
        <w:t xml:space="preserve">p = </w:t>
      </w:r>
      <w:r>
        <w:rPr>
          <w:lang w:bidi="ar-EG"/>
        </w:rPr>
        <w:t>0</w:t>
      </w:r>
      <w:r w:rsidRPr="009B4E2B">
        <w:rPr>
          <w:lang w:bidi="ar-EG"/>
        </w:rPr>
        <w:t>.002</w:t>
      </w:r>
      <w:r>
        <w:rPr>
          <w:rFonts w:hint="cs"/>
          <w:rtl/>
          <w:lang w:bidi="ar-EG"/>
        </w:rPr>
        <w:t>)</w:t>
      </w:r>
      <w:r w:rsidRPr="009B4E2B">
        <w:rPr>
          <w:lang w:bidi="ar-EG"/>
        </w:rPr>
        <w:t>.</w:t>
      </w:r>
    </w:p>
    <w:p w14:paraId="4E686F45" w14:textId="77777777" w:rsidR="00793DFB" w:rsidRPr="009B4E2B" w:rsidRDefault="00793DFB" w:rsidP="00793DFB">
      <w:pPr>
        <w:numPr>
          <w:ilvl w:val="0"/>
          <w:numId w:val="192"/>
        </w:numPr>
        <w:bidi/>
        <w:rPr>
          <w:lang w:bidi="ar-EG"/>
        </w:rPr>
      </w:pPr>
      <w:r w:rsidRPr="009B4E2B">
        <w:rPr>
          <w:rtl/>
        </w:rPr>
        <w:t>لم يكن تأثير</w:t>
      </w:r>
      <w:r w:rsidRPr="009B4E2B">
        <w:rPr>
          <w:lang w:bidi="ar-EG"/>
        </w:rPr>
        <w:t xml:space="preserve"> ORG2 </w:t>
      </w:r>
      <w:r w:rsidRPr="009B4E2B">
        <w:rPr>
          <w:rtl/>
        </w:rPr>
        <w:t>دالًا إحصائيًا</w:t>
      </w:r>
      <w:r>
        <w:rPr>
          <w:rFonts w:hint="cs"/>
          <w:rtl/>
          <w:lang w:bidi="ar-EG"/>
        </w:rPr>
        <w:t xml:space="preserve"> </w:t>
      </w:r>
      <w:r w:rsidRPr="009B4E2B">
        <w:rPr>
          <w:lang w:bidi="ar-EG"/>
        </w:rPr>
        <w:t xml:space="preserve">(p = </w:t>
      </w:r>
      <w:r>
        <w:rPr>
          <w:lang w:bidi="ar-EG"/>
        </w:rPr>
        <w:t>0</w:t>
      </w:r>
      <w:r w:rsidRPr="009B4E2B">
        <w:rPr>
          <w:lang w:bidi="ar-EG"/>
        </w:rPr>
        <w:t>.168)</w:t>
      </w:r>
      <w:r>
        <w:rPr>
          <w:rFonts w:hint="cs"/>
          <w:rtl/>
          <w:lang w:bidi="ar-EG"/>
        </w:rPr>
        <w:t>.</w:t>
      </w:r>
    </w:p>
    <w:p w14:paraId="178181F6" w14:textId="77777777" w:rsidR="00793DFB" w:rsidRPr="009B4E2B" w:rsidRDefault="00793DFB" w:rsidP="00793DFB">
      <w:pPr>
        <w:numPr>
          <w:ilvl w:val="0"/>
          <w:numId w:val="192"/>
        </w:numPr>
        <w:bidi/>
        <w:rPr>
          <w:lang w:bidi="ar-EG"/>
        </w:rPr>
      </w:pPr>
      <w:r w:rsidRPr="009B4E2B">
        <w:rPr>
          <w:rtl/>
        </w:rPr>
        <w:t>كان تأثير</w:t>
      </w:r>
      <w:r w:rsidRPr="009B4E2B">
        <w:rPr>
          <w:lang w:bidi="ar-EG"/>
        </w:rPr>
        <w:t xml:space="preserve"> ORG3 </w:t>
      </w:r>
      <w:r w:rsidRPr="009B4E2B">
        <w:rPr>
          <w:rtl/>
        </w:rPr>
        <w:t>دالًا</w:t>
      </w:r>
      <w:r w:rsidRPr="009B4E2B">
        <w:rPr>
          <w:lang w:bidi="ar-EG"/>
        </w:rPr>
        <w:t xml:space="preserve"> </w:t>
      </w:r>
      <w:r>
        <w:rPr>
          <w:rFonts w:hint="cs"/>
          <w:rtl/>
          <w:lang w:bidi="ar-EG"/>
        </w:rPr>
        <w:t>(</w:t>
      </w:r>
      <w:r w:rsidRPr="009B4E2B">
        <w:rPr>
          <w:lang w:bidi="ar-EG"/>
        </w:rPr>
        <w:t xml:space="preserve">B = </w:t>
      </w:r>
      <w:r>
        <w:rPr>
          <w:lang w:bidi="ar-EG"/>
        </w:rPr>
        <w:t>0</w:t>
      </w:r>
      <w:r w:rsidRPr="009B4E2B">
        <w:rPr>
          <w:lang w:bidi="ar-EG"/>
        </w:rPr>
        <w:t>.1159</w:t>
      </w:r>
      <w:r w:rsidRPr="009B4E2B">
        <w:rPr>
          <w:rtl/>
        </w:rPr>
        <w:t xml:space="preserve">، </w:t>
      </w:r>
      <w:r w:rsidRPr="009B4E2B">
        <w:rPr>
          <w:lang w:bidi="ar-EG"/>
        </w:rPr>
        <w:t xml:space="preserve">p &lt; </w:t>
      </w:r>
      <w:r>
        <w:rPr>
          <w:lang w:bidi="ar-EG"/>
        </w:rPr>
        <w:t>0</w:t>
      </w:r>
      <w:r w:rsidRPr="009B4E2B">
        <w:rPr>
          <w:lang w:bidi="ar-EG"/>
        </w:rPr>
        <w:t>.001</w:t>
      </w:r>
      <w:r>
        <w:rPr>
          <w:rFonts w:hint="cs"/>
          <w:rtl/>
          <w:lang w:bidi="ar-EG"/>
        </w:rPr>
        <w:t>)</w:t>
      </w:r>
      <w:r w:rsidRPr="009B4E2B">
        <w:rPr>
          <w:lang w:bidi="ar-EG"/>
        </w:rPr>
        <w:t>.</w:t>
      </w:r>
    </w:p>
    <w:p w14:paraId="5E637050" w14:textId="77777777" w:rsidR="00793DFB" w:rsidRPr="009B4E2B" w:rsidRDefault="00793DFB" w:rsidP="00793DFB">
      <w:pPr>
        <w:numPr>
          <w:ilvl w:val="0"/>
          <w:numId w:val="192"/>
        </w:numPr>
        <w:bidi/>
        <w:rPr>
          <w:lang w:bidi="ar-EG"/>
        </w:rPr>
      </w:pPr>
      <w:r w:rsidRPr="009B4E2B">
        <w:rPr>
          <w:rtl/>
        </w:rPr>
        <w:t>كما كان تأثير</w:t>
      </w:r>
      <w:r w:rsidRPr="009B4E2B">
        <w:rPr>
          <w:lang w:bidi="ar-EG"/>
        </w:rPr>
        <w:t xml:space="preserve"> ORG4 </w:t>
      </w:r>
      <w:r w:rsidRPr="009B4E2B">
        <w:rPr>
          <w:rtl/>
        </w:rPr>
        <w:t>دالًا وبمعامل أعلى نسبيًا</w:t>
      </w:r>
      <w:r w:rsidRPr="009B4E2B">
        <w:rPr>
          <w:lang w:bidi="ar-EG"/>
        </w:rPr>
        <w:t xml:space="preserve"> </w:t>
      </w:r>
      <w:r>
        <w:rPr>
          <w:rFonts w:hint="cs"/>
          <w:rtl/>
          <w:lang w:bidi="ar-EG"/>
        </w:rPr>
        <w:t>(</w:t>
      </w:r>
      <w:r w:rsidRPr="009B4E2B">
        <w:rPr>
          <w:lang w:bidi="ar-EG"/>
        </w:rPr>
        <w:t xml:space="preserve">B = </w:t>
      </w:r>
      <w:r>
        <w:rPr>
          <w:lang w:bidi="ar-EG"/>
        </w:rPr>
        <w:t>0</w:t>
      </w:r>
      <w:r w:rsidRPr="009B4E2B">
        <w:rPr>
          <w:lang w:bidi="ar-EG"/>
        </w:rPr>
        <w:t>.1476</w:t>
      </w:r>
      <w:r w:rsidRPr="009B4E2B">
        <w:rPr>
          <w:rtl/>
        </w:rPr>
        <w:t xml:space="preserve">، </w:t>
      </w:r>
      <w:r w:rsidRPr="009B4E2B">
        <w:rPr>
          <w:lang w:bidi="ar-EG"/>
        </w:rPr>
        <w:t xml:space="preserve">p &lt; </w:t>
      </w:r>
      <w:r>
        <w:rPr>
          <w:lang w:bidi="ar-EG"/>
        </w:rPr>
        <w:t>0</w:t>
      </w:r>
      <w:r w:rsidRPr="009B4E2B">
        <w:rPr>
          <w:lang w:bidi="ar-EG"/>
        </w:rPr>
        <w:t>.001</w:t>
      </w:r>
      <w:r>
        <w:rPr>
          <w:rFonts w:hint="cs"/>
          <w:rtl/>
          <w:lang w:bidi="ar-EG"/>
        </w:rPr>
        <w:t>)</w:t>
      </w:r>
      <w:r w:rsidRPr="009B4E2B">
        <w:rPr>
          <w:lang w:bidi="ar-EG"/>
        </w:rPr>
        <w:t>.</w:t>
      </w:r>
    </w:p>
    <w:p w14:paraId="27D8A4E0" w14:textId="77777777" w:rsidR="00793DFB" w:rsidRPr="009B4E2B" w:rsidRDefault="00793DFB" w:rsidP="00793DFB">
      <w:pPr>
        <w:bidi/>
        <w:rPr>
          <w:lang w:bidi="ar-EG"/>
        </w:rPr>
      </w:pPr>
      <w:r w:rsidRPr="009B4E2B">
        <w:rPr>
          <w:rtl/>
        </w:rPr>
        <w:t>وعليه، يتم قبول الفرضيات الفرعية</w:t>
      </w:r>
      <w:r w:rsidRPr="009B4E2B">
        <w:rPr>
          <w:lang w:bidi="ar-EG"/>
        </w:rPr>
        <w:t>:</w:t>
      </w:r>
    </w:p>
    <w:p w14:paraId="3D39E9DC" w14:textId="77777777" w:rsidR="00793DFB" w:rsidRPr="009B4E2B" w:rsidRDefault="00793DFB" w:rsidP="00793DFB">
      <w:pPr>
        <w:numPr>
          <w:ilvl w:val="0"/>
          <w:numId w:val="193"/>
        </w:numPr>
        <w:bidi/>
        <w:rPr>
          <w:lang w:bidi="ar-EG"/>
        </w:rPr>
      </w:pPr>
      <w:r w:rsidRPr="009B4E2B">
        <w:rPr>
          <w:b/>
          <w:bCs/>
          <w:lang w:bidi="ar-EG"/>
        </w:rPr>
        <w:t>H3a</w:t>
      </w:r>
      <w:r>
        <w:rPr>
          <w:rFonts w:hint="cs"/>
          <w:b/>
          <w:bCs/>
          <w:rtl/>
          <w:lang w:bidi="ar-EG"/>
        </w:rPr>
        <w:t>:</w:t>
      </w:r>
      <w:r w:rsidRPr="009B4E2B">
        <w:rPr>
          <w:lang w:bidi="ar-EG"/>
        </w:rPr>
        <w:t xml:space="preserve"> </w:t>
      </w:r>
      <w:r w:rsidRPr="009B4E2B">
        <w:rPr>
          <w:rtl/>
        </w:rPr>
        <w:t>يوجد تأثير إيجابي دال للبعد الأول على الإبداع الوظيفي</w:t>
      </w:r>
      <w:r w:rsidRPr="009B4E2B">
        <w:rPr>
          <w:lang w:bidi="ar-EG"/>
        </w:rPr>
        <w:t>.</w:t>
      </w:r>
    </w:p>
    <w:p w14:paraId="71CD7782" w14:textId="77777777" w:rsidR="00793DFB" w:rsidRPr="009B4E2B" w:rsidRDefault="00793DFB" w:rsidP="00793DFB">
      <w:pPr>
        <w:numPr>
          <w:ilvl w:val="0"/>
          <w:numId w:val="193"/>
        </w:numPr>
        <w:bidi/>
        <w:rPr>
          <w:lang w:bidi="ar-EG"/>
        </w:rPr>
      </w:pPr>
      <w:r w:rsidRPr="009B4E2B">
        <w:rPr>
          <w:b/>
          <w:bCs/>
          <w:lang w:bidi="ar-EG"/>
        </w:rPr>
        <w:t>H3c</w:t>
      </w:r>
      <w:r>
        <w:rPr>
          <w:rFonts w:hint="cs"/>
          <w:b/>
          <w:bCs/>
          <w:rtl/>
          <w:lang w:bidi="ar-EG"/>
        </w:rPr>
        <w:t>:</w:t>
      </w:r>
      <w:r w:rsidRPr="009B4E2B">
        <w:rPr>
          <w:lang w:bidi="ar-EG"/>
        </w:rPr>
        <w:t xml:space="preserve"> </w:t>
      </w:r>
      <w:r w:rsidRPr="009B4E2B">
        <w:rPr>
          <w:rtl/>
        </w:rPr>
        <w:t>يوجد تأثير إيجابي دال للبعد الثالث على الإبداع الوظيفي</w:t>
      </w:r>
      <w:r w:rsidRPr="009B4E2B">
        <w:rPr>
          <w:lang w:bidi="ar-EG"/>
        </w:rPr>
        <w:t>.</w:t>
      </w:r>
    </w:p>
    <w:p w14:paraId="726EA737" w14:textId="77777777" w:rsidR="00793DFB" w:rsidRPr="009B4E2B" w:rsidRDefault="00793DFB" w:rsidP="00793DFB">
      <w:pPr>
        <w:numPr>
          <w:ilvl w:val="0"/>
          <w:numId w:val="193"/>
        </w:numPr>
        <w:bidi/>
        <w:rPr>
          <w:lang w:bidi="ar-EG"/>
        </w:rPr>
      </w:pPr>
      <w:r w:rsidRPr="009B4E2B">
        <w:rPr>
          <w:b/>
          <w:bCs/>
          <w:lang w:bidi="ar-EG"/>
        </w:rPr>
        <w:t>H3d</w:t>
      </w:r>
      <w:r>
        <w:rPr>
          <w:rFonts w:hint="cs"/>
          <w:b/>
          <w:bCs/>
          <w:rtl/>
          <w:lang w:bidi="ar-EG"/>
        </w:rPr>
        <w:t>:</w:t>
      </w:r>
      <w:r w:rsidRPr="009B4E2B">
        <w:rPr>
          <w:lang w:bidi="ar-EG"/>
        </w:rPr>
        <w:t xml:space="preserve"> </w:t>
      </w:r>
      <w:r w:rsidRPr="009B4E2B">
        <w:rPr>
          <w:rtl/>
        </w:rPr>
        <w:t>يوجد تأثير إيجابي دال للبعد الرابع على الإبداع الوظيفي</w:t>
      </w:r>
      <w:r w:rsidRPr="009B4E2B">
        <w:rPr>
          <w:lang w:bidi="ar-EG"/>
        </w:rPr>
        <w:t>.</w:t>
      </w:r>
    </w:p>
    <w:p w14:paraId="1A11E5E3" w14:textId="77777777" w:rsidR="00793DFB" w:rsidRPr="009B4E2B" w:rsidRDefault="00793DFB" w:rsidP="00793DFB">
      <w:pPr>
        <w:bidi/>
        <w:rPr>
          <w:lang w:bidi="ar-EG"/>
        </w:rPr>
      </w:pPr>
      <w:r w:rsidRPr="009B4E2B">
        <w:rPr>
          <w:rtl/>
        </w:rPr>
        <w:t>بينما لا يتم قبول الفرضية</w:t>
      </w:r>
      <w:r w:rsidRPr="009B4E2B">
        <w:rPr>
          <w:lang w:bidi="ar-EG"/>
        </w:rPr>
        <w:t>:</w:t>
      </w:r>
    </w:p>
    <w:p w14:paraId="3BAD0783" w14:textId="77777777" w:rsidR="00793DFB" w:rsidRPr="009B4E2B" w:rsidRDefault="00793DFB" w:rsidP="00793DFB">
      <w:pPr>
        <w:numPr>
          <w:ilvl w:val="0"/>
          <w:numId w:val="194"/>
        </w:numPr>
        <w:bidi/>
        <w:rPr>
          <w:lang w:bidi="ar-EG"/>
        </w:rPr>
      </w:pPr>
      <w:r w:rsidRPr="009B4E2B">
        <w:rPr>
          <w:b/>
          <w:bCs/>
          <w:lang w:bidi="ar-EG"/>
        </w:rPr>
        <w:t>H3b</w:t>
      </w:r>
      <w:r>
        <w:rPr>
          <w:rFonts w:hint="cs"/>
          <w:b/>
          <w:bCs/>
          <w:rtl/>
          <w:lang w:bidi="ar-EG"/>
        </w:rPr>
        <w:t>:</w:t>
      </w:r>
      <w:r w:rsidRPr="009B4E2B">
        <w:rPr>
          <w:lang w:bidi="ar-EG"/>
        </w:rPr>
        <w:t xml:space="preserve"> </w:t>
      </w:r>
      <w:r w:rsidRPr="009B4E2B">
        <w:rPr>
          <w:rtl/>
        </w:rPr>
        <w:t>الخاصة بالبعد الثاني، لعدم تحقق الدلالة الإحصائية</w:t>
      </w:r>
      <w:r w:rsidRPr="009B4E2B">
        <w:rPr>
          <w:lang w:bidi="ar-EG"/>
        </w:rPr>
        <w:t>.</w:t>
      </w:r>
    </w:p>
    <w:p w14:paraId="78060274" w14:textId="77777777" w:rsidR="00793DFB" w:rsidRPr="009B4E2B" w:rsidRDefault="00793DFB" w:rsidP="00793DFB">
      <w:pPr>
        <w:bidi/>
        <w:rPr>
          <w:b/>
          <w:bCs/>
          <w:lang w:bidi="ar-EG"/>
        </w:rPr>
      </w:pPr>
      <w:r w:rsidRPr="009B4E2B">
        <w:rPr>
          <w:b/>
          <w:bCs/>
          <w:rtl/>
        </w:rPr>
        <w:t>ثالثًا: اختبار فرضيات الوساطة غير المباشرة</w:t>
      </w:r>
    </w:p>
    <w:p w14:paraId="1999227D" w14:textId="77777777" w:rsidR="00793DFB" w:rsidRPr="009B4E2B" w:rsidRDefault="00793DFB" w:rsidP="00793DFB">
      <w:pPr>
        <w:bidi/>
        <w:rPr>
          <w:lang w:bidi="ar-EG"/>
        </w:rPr>
      </w:pPr>
      <w:r w:rsidRPr="009B4E2B">
        <w:rPr>
          <w:rtl/>
        </w:rPr>
        <w:t>أظهرت نتائج</w:t>
      </w:r>
      <w:r w:rsidRPr="009B4E2B">
        <w:rPr>
          <w:lang w:bidi="ar-EG"/>
        </w:rPr>
        <w:t xml:space="preserve"> Bootstrap </w:t>
      </w:r>
      <w:r w:rsidRPr="009B4E2B">
        <w:rPr>
          <w:rtl/>
        </w:rPr>
        <w:t>أن الأثر غير المباشر الكلي لأنظمة العمل عالية الأداء على الإبداع الوظيفي عبر الأبعاد الأربعة بلغ (</w:t>
      </w:r>
      <w:r>
        <w:rPr>
          <w:rFonts w:hint="cs"/>
          <w:rtl/>
        </w:rPr>
        <w:t>0</w:t>
      </w:r>
      <w:r w:rsidRPr="009B4E2B">
        <w:rPr>
          <w:rtl/>
        </w:rPr>
        <w:t>.4010)، وفاصل الثقة لا يتضمن الصفر</w:t>
      </w:r>
      <w:r w:rsidRPr="009B4E2B">
        <w:rPr>
          <w:lang w:bidi="ar-EG"/>
        </w:rPr>
        <w:t xml:space="preserve"> ([</w:t>
      </w:r>
      <w:r>
        <w:rPr>
          <w:lang w:bidi="ar-EG"/>
        </w:rPr>
        <w:t>0</w:t>
      </w:r>
      <w:r w:rsidRPr="009B4E2B">
        <w:rPr>
          <w:lang w:bidi="ar-EG"/>
        </w:rPr>
        <w:t xml:space="preserve">.2875, </w:t>
      </w:r>
      <w:r>
        <w:rPr>
          <w:lang w:bidi="ar-EG"/>
        </w:rPr>
        <w:t>0</w:t>
      </w:r>
      <w:r w:rsidRPr="009B4E2B">
        <w:rPr>
          <w:lang w:bidi="ar-EG"/>
        </w:rPr>
        <w:t>.5184])</w:t>
      </w:r>
      <w:r w:rsidRPr="009B4E2B">
        <w:rPr>
          <w:rtl/>
        </w:rPr>
        <w:t>، مما يؤكد وجود وساطة كلية ذات دلالة إحصائية</w:t>
      </w:r>
      <w:r w:rsidRPr="009B4E2B">
        <w:rPr>
          <w:lang w:bidi="ar-EG"/>
        </w:rPr>
        <w:t>.</w:t>
      </w:r>
    </w:p>
    <w:p w14:paraId="22CCE31D" w14:textId="77777777" w:rsidR="00793DFB" w:rsidRPr="009B4E2B" w:rsidRDefault="00793DFB" w:rsidP="00793DFB">
      <w:pPr>
        <w:bidi/>
        <w:rPr>
          <w:lang w:bidi="ar-EG"/>
        </w:rPr>
      </w:pPr>
      <w:r w:rsidRPr="009B4E2B">
        <w:rPr>
          <w:rtl/>
        </w:rPr>
        <w:t>وعند تحليل المسارات الفرعية</w:t>
      </w:r>
      <w:r w:rsidRPr="009B4E2B">
        <w:rPr>
          <w:lang w:bidi="ar-EG"/>
        </w:rPr>
        <w:t>:</w:t>
      </w:r>
    </w:p>
    <w:p w14:paraId="293190E0" w14:textId="77777777" w:rsidR="00793DFB" w:rsidRPr="009B4E2B" w:rsidRDefault="00793DFB" w:rsidP="00793DFB">
      <w:pPr>
        <w:numPr>
          <w:ilvl w:val="0"/>
          <w:numId w:val="195"/>
        </w:numPr>
        <w:bidi/>
        <w:rPr>
          <w:lang w:bidi="ar-EG"/>
        </w:rPr>
      </w:pPr>
      <w:r w:rsidRPr="009B4E2B">
        <w:rPr>
          <w:rtl/>
        </w:rPr>
        <w:t>بلغ الأثر غير المباشر عبر</w:t>
      </w:r>
      <w:r w:rsidRPr="009B4E2B">
        <w:rPr>
          <w:lang w:bidi="ar-EG"/>
        </w:rPr>
        <w:t xml:space="preserve"> ORG1 </w:t>
      </w:r>
      <w:r w:rsidRPr="009B4E2B">
        <w:rPr>
          <w:rtl/>
        </w:rPr>
        <w:t>قيمة (.0852)، وفاصل الثقة لا يتضمن الصفر → وساطة دالة</w:t>
      </w:r>
      <w:r w:rsidRPr="009B4E2B">
        <w:rPr>
          <w:lang w:bidi="ar-EG"/>
        </w:rPr>
        <w:t xml:space="preserve"> </w:t>
      </w:r>
      <w:r>
        <w:rPr>
          <w:rFonts w:hint="cs"/>
          <w:rtl/>
          <w:lang w:bidi="ar-EG"/>
        </w:rPr>
        <w:t>(</w:t>
      </w:r>
      <w:r w:rsidRPr="009B4E2B">
        <w:rPr>
          <w:rtl/>
        </w:rPr>
        <w:t>قبول</w:t>
      </w:r>
      <w:r w:rsidRPr="009B4E2B">
        <w:rPr>
          <w:lang w:bidi="ar-EG"/>
        </w:rPr>
        <w:t xml:space="preserve"> H4a</w:t>
      </w:r>
      <w:r>
        <w:rPr>
          <w:rFonts w:hint="cs"/>
          <w:rtl/>
          <w:lang w:bidi="ar-EG"/>
        </w:rPr>
        <w:t>)</w:t>
      </w:r>
      <w:r w:rsidRPr="009B4E2B">
        <w:rPr>
          <w:lang w:bidi="ar-EG"/>
        </w:rPr>
        <w:t>.</w:t>
      </w:r>
    </w:p>
    <w:p w14:paraId="6D8FA3D5" w14:textId="77777777" w:rsidR="00793DFB" w:rsidRPr="009B4E2B" w:rsidRDefault="00793DFB" w:rsidP="00793DFB">
      <w:pPr>
        <w:numPr>
          <w:ilvl w:val="0"/>
          <w:numId w:val="195"/>
        </w:numPr>
        <w:bidi/>
        <w:rPr>
          <w:lang w:bidi="ar-EG"/>
        </w:rPr>
      </w:pPr>
      <w:r w:rsidRPr="009B4E2B">
        <w:rPr>
          <w:rtl/>
        </w:rPr>
        <w:t>عبر</w:t>
      </w:r>
      <w:r w:rsidRPr="009B4E2B">
        <w:rPr>
          <w:lang w:bidi="ar-EG"/>
        </w:rPr>
        <w:t xml:space="preserve"> ORG2 </w:t>
      </w:r>
      <w:r w:rsidRPr="009B4E2B">
        <w:rPr>
          <w:rtl/>
        </w:rPr>
        <w:t>بلغ (</w:t>
      </w:r>
      <w:r>
        <w:rPr>
          <w:rFonts w:hint="cs"/>
          <w:rtl/>
        </w:rPr>
        <w:t>0</w:t>
      </w:r>
      <w:r w:rsidRPr="009B4E2B">
        <w:rPr>
          <w:rtl/>
        </w:rPr>
        <w:t>.0375)، وفاصل الثقة يتضمن الصفر → وساطة غير دالة</w:t>
      </w:r>
      <w:r w:rsidRPr="009B4E2B">
        <w:rPr>
          <w:lang w:bidi="ar-EG"/>
        </w:rPr>
        <w:t xml:space="preserve"> </w:t>
      </w:r>
      <w:r>
        <w:rPr>
          <w:rFonts w:hint="cs"/>
          <w:rtl/>
          <w:lang w:bidi="ar-EG"/>
        </w:rPr>
        <w:t>(</w:t>
      </w:r>
      <w:r w:rsidRPr="009B4E2B">
        <w:rPr>
          <w:rtl/>
        </w:rPr>
        <w:t>رفض</w:t>
      </w:r>
      <w:r w:rsidRPr="009B4E2B">
        <w:rPr>
          <w:lang w:bidi="ar-EG"/>
        </w:rPr>
        <w:t xml:space="preserve"> H4b</w:t>
      </w:r>
      <w:r>
        <w:rPr>
          <w:rFonts w:hint="cs"/>
          <w:rtl/>
          <w:lang w:bidi="ar-EG"/>
        </w:rPr>
        <w:t>)</w:t>
      </w:r>
      <w:r w:rsidRPr="009B4E2B">
        <w:rPr>
          <w:lang w:bidi="ar-EG"/>
        </w:rPr>
        <w:t>.</w:t>
      </w:r>
    </w:p>
    <w:p w14:paraId="3A8D2701" w14:textId="77777777" w:rsidR="00793DFB" w:rsidRPr="009B4E2B" w:rsidRDefault="00793DFB" w:rsidP="00793DFB">
      <w:pPr>
        <w:numPr>
          <w:ilvl w:val="0"/>
          <w:numId w:val="195"/>
        </w:numPr>
        <w:bidi/>
        <w:rPr>
          <w:lang w:bidi="ar-EG"/>
        </w:rPr>
      </w:pPr>
      <w:r w:rsidRPr="009B4E2B">
        <w:rPr>
          <w:rtl/>
        </w:rPr>
        <w:t>عبر</w:t>
      </w:r>
      <w:r w:rsidRPr="009B4E2B">
        <w:rPr>
          <w:lang w:bidi="ar-EG"/>
        </w:rPr>
        <w:t xml:space="preserve"> ORG3 </w:t>
      </w:r>
      <w:r w:rsidRPr="009B4E2B">
        <w:rPr>
          <w:rtl/>
        </w:rPr>
        <w:t>بلغ (</w:t>
      </w:r>
      <w:r>
        <w:rPr>
          <w:rFonts w:hint="cs"/>
          <w:rtl/>
        </w:rPr>
        <w:t>0</w:t>
      </w:r>
      <w:r w:rsidRPr="009B4E2B">
        <w:rPr>
          <w:rtl/>
        </w:rPr>
        <w:t>.1224)، بفاصل ثقة موجب بالكامل → وساطة دالة</w:t>
      </w:r>
      <w:r w:rsidRPr="009B4E2B">
        <w:rPr>
          <w:lang w:bidi="ar-EG"/>
        </w:rPr>
        <w:t xml:space="preserve"> </w:t>
      </w:r>
      <w:r>
        <w:rPr>
          <w:rFonts w:hint="cs"/>
          <w:rtl/>
          <w:lang w:bidi="ar-EG"/>
        </w:rPr>
        <w:t>(</w:t>
      </w:r>
      <w:r w:rsidRPr="009B4E2B">
        <w:rPr>
          <w:rtl/>
        </w:rPr>
        <w:t>قبول</w:t>
      </w:r>
      <w:r w:rsidRPr="009B4E2B">
        <w:rPr>
          <w:lang w:bidi="ar-EG"/>
        </w:rPr>
        <w:t xml:space="preserve"> H4c</w:t>
      </w:r>
      <w:r>
        <w:rPr>
          <w:rFonts w:hint="cs"/>
          <w:rtl/>
          <w:lang w:bidi="ar-EG"/>
        </w:rPr>
        <w:t>)</w:t>
      </w:r>
      <w:r w:rsidRPr="009B4E2B">
        <w:rPr>
          <w:lang w:bidi="ar-EG"/>
        </w:rPr>
        <w:t>.</w:t>
      </w:r>
    </w:p>
    <w:p w14:paraId="541E1852" w14:textId="77777777" w:rsidR="00793DFB" w:rsidRPr="009B4E2B" w:rsidRDefault="00793DFB" w:rsidP="00793DFB">
      <w:pPr>
        <w:numPr>
          <w:ilvl w:val="0"/>
          <w:numId w:val="195"/>
        </w:numPr>
        <w:bidi/>
        <w:rPr>
          <w:lang w:bidi="ar-EG"/>
        </w:rPr>
      </w:pPr>
      <w:r w:rsidRPr="009B4E2B">
        <w:rPr>
          <w:rtl/>
        </w:rPr>
        <w:t>عبر</w:t>
      </w:r>
      <w:r w:rsidRPr="009B4E2B">
        <w:rPr>
          <w:lang w:bidi="ar-EG"/>
        </w:rPr>
        <w:t xml:space="preserve"> ORG4 </w:t>
      </w:r>
      <w:r w:rsidRPr="009B4E2B">
        <w:rPr>
          <w:rtl/>
        </w:rPr>
        <w:t>بلغ (</w:t>
      </w:r>
      <w:r>
        <w:rPr>
          <w:rFonts w:hint="cs"/>
          <w:rtl/>
        </w:rPr>
        <w:t>0</w:t>
      </w:r>
      <w:r w:rsidRPr="009B4E2B">
        <w:rPr>
          <w:rtl/>
        </w:rPr>
        <w:t>.1560)، وهو أعلى تأثير غير مباشر، بفاصل ثقة موجب → وساطة دالة</w:t>
      </w:r>
      <w:r w:rsidRPr="009B4E2B">
        <w:rPr>
          <w:lang w:bidi="ar-EG"/>
        </w:rPr>
        <w:t xml:space="preserve"> </w:t>
      </w:r>
      <w:r>
        <w:rPr>
          <w:rFonts w:hint="cs"/>
          <w:rtl/>
          <w:lang w:bidi="ar-EG"/>
        </w:rPr>
        <w:t>(</w:t>
      </w:r>
      <w:r w:rsidRPr="009B4E2B">
        <w:rPr>
          <w:rtl/>
        </w:rPr>
        <w:t>قبول</w:t>
      </w:r>
      <w:r w:rsidRPr="009B4E2B">
        <w:rPr>
          <w:lang w:bidi="ar-EG"/>
        </w:rPr>
        <w:t xml:space="preserve"> H4d</w:t>
      </w:r>
      <w:r>
        <w:rPr>
          <w:rFonts w:hint="cs"/>
          <w:rtl/>
          <w:lang w:bidi="ar-EG"/>
        </w:rPr>
        <w:t>)</w:t>
      </w:r>
      <w:r w:rsidRPr="009B4E2B">
        <w:rPr>
          <w:lang w:bidi="ar-EG"/>
        </w:rPr>
        <w:t>.</w:t>
      </w:r>
    </w:p>
    <w:p w14:paraId="2197DC28" w14:textId="77777777" w:rsidR="00793DFB" w:rsidRPr="009B4E2B" w:rsidRDefault="00793DFB" w:rsidP="00793DFB">
      <w:pPr>
        <w:bidi/>
        <w:rPr>
          <w:b/>
          <w:bCs/>
          <w:lang w:bidi="ar-EG"/>
        </w:rPr>
      </w:pPr>
      <w:r w:rsidRPr="009B4E2B">
        <w:rPr>
          <w:b/>
          <w:bCs/>
          <w:rtl/>
        </w:rPr>
        <w:t>رابعًا: طبيعة الوساطة</w:t>
      </w:r>
    </w:p>
    <w:p w14:paraId="59E5A041" w14:textId="77777777" w:rsidR="00793DFB" w:rsidRPr="009B4E2B" w:rsidRDefault="00793DFB" w:rsidP="00793DFB">
      <w:pPr>
        <w:bidi/>
        <w:rPr>
          <w:lang w:bidi="ar-EG"/>
        </w:rPr>
      </w:pPr>
      <w:r w:rsidRPr="009B4E2B">
        <w:rPr>
          <w:rtl/>
        </w:rPr>
        <w:t>بما أن</w:t>
      </w:r>
      <w:r w:rsidRPr="009B4E2B">
        <w:rPr>
          <w:lang w:bidi="ar-EG"/>
        </w:rPr>
        <w:t>:</w:t>
      </w:r>
    </w:p>
    <w:p w14:paraId="5941C084" w14:textId="77777777" w:rsidR="00793DFB" w:rsidRPr="009B4E2B" w:rsidRDefault="00793DFB" w:rsidP="00793DFB">
      <w:pPr>
        <w:numPr>
          <w:ilvl w:val="0"/>
          <w:numId w:val="196"/>
        </w:numPr>
        <w:bidi/>
        <w:rPr>
          <w:lang w:bidi="ar-EG"/>
        </w:rPr>
      </w:pPr>
      <w:r w:rsidRPr="009B4E2B">
        <w:rPr>
          <w:rtl/>
        </w:rPr>
        <w:t>الأثر المباشر لـ</w:t>
      </w:r>
      <w:r w:rsidRPr="009B4E2B">
        <w:rPr>
          <w:lang w:bidi="ar-EG"/>
        </w:rPr>
        <w:t xml:space="preserve"> HPWS </w:t>
      </w:r>
      <w:r w:rsidRPr="009B4E2B">
        <w:rPr>
          <w:rtl/>
        </w:rPr>
        <w:t>ظل دالًا بعد إدخال المتغيرات الوسيطة،</w:t>
      </w:r>
    </w:p>
    <w:p w14:paraId="4A837F2A" w14:textId="77777777" w:rsidR="00793DFB" w:rsidRPr="009B4E2B" w:rsidRDefault="00793DFB" w:rsidP="00793DFB">
      <w:pPr>
        <w:numPr>
          <w:ilvl w:val="0"/>
          <w:numId w:val="196"/>
        </w:numPr>
        <w:bidi/>
        <w:rPr>
          <w:lang w:bidi="ar-EG"/>
        </w:rPr>
      </w:pPr>
      <w:r w:rsidRPr="009B4E2B">
        <w:rPr>
          <w:rtl/>
        </w:rPr>
        <w:t>والأثر غير المباشر الكلي كان دالًا إحصائيًا،</w:t>
      </w:r>
    </w:p>
    <w:p w14:paraId="31B247B9" w14:textId="77777777" w:rsidR="00793DFB" w:rsidRPr="009B4E2B" w:rsidRDefault="00793DFB" w:rsidP="00793DFB">
      <w:pPr>
        <w:bidi/>
        <w:rPr>
          <w:lang w:bidi="ar-EG"/>
        </w:rPr>
      </w:pPr>
      <w:r w:rsidRPr="009B4E2B">
        <w:rPr>
          <w:rtl/>
        </w:rPr>
        <w:lastRenderedPageBreak/>
        <w:t xml:space="preserve">فإن نمط الوساطة المصاحب هو </w:t>
      </w:r>
      <w:r w:rsidRPr="009B4E2B">
        <w:rPr>
          <w:b/>
          <w:bCs/>
          <w:rtl/>
        </w:rPr>
        <w:t>وساطة جزئية متعددة المسارات</w:t>
      </w:r>
      <w:r>
        <w:rPr>
          <w:rFonts w:hint="cs"/>
          <w:b/>
          <w:bCs/>
          <w:rtl/>
          <w:lang w:bidi="ar-EG"/>
        </w:rPr>
        <w:t xml:space="preserve"> </w:t>
      </w:r>
      <w:r w:rsidRPr="009B4E2B">
        <w:rPr>
          <w:b/>
          <w:bCs/>
          <w:lang w:bidi="ar-EG"/>
        </w:rPr>
        <w:t>(Parallel Partial Mediation)</w:t>
      </w:r>
      <w:r>
        <w:rPr>
          <w:rFonts w:hint="cs"/>
          <w:rtl/>
          <w:lang w:bidi="ar-EG"/>
        </w:rPr>
        <w:t>.</w:t>
      </w:r>
    </w:p>
    <w:p w14:paraId="1F765967" w14:textId="77777777" w:rsidR="00793DFB" w:rsidRPr="009B4E2B" w:rsidRDefault="00793DFB" w:rsidP="00793DFB">
      <w:pPr>
        <w:bidi/>
        <w:rPr>
          <w:lang w:bidi="ar-EG"/>
        </w:rPr>
      </w:pPr>
      <w:r w:rsidRPr="009B4E2B">
        <w:rPr>
          <w:rtl/>
        </w:rPr>
        <w:t>وتشير النتائج إلى أن التأثير البنيوي لأنظمة العمل عالية الأداء على الإبداع الوظيفي يتحقق عبر مسارين متزامنين</w:t>
      </w:r>
      <w:r w:rsidRPr="009B4E2B">
        <w:rPr>
          <w:lang w:bidi="ar-EG"/>
        </w:rPr>
        <w:t>:</w:t>
      </w:r>
    </w:p>
    <w:p w14:paraId="1A508C0D" w14:textId="77777777" w:rsidR="00793DFB" w:rsidRPr="009B4E2B" w:rsidRDefault="00793DFB" w:rsidP="00793DFB">
      <w:pPr>
        <w:numPr>
          <w:ilvl w:val="0"/>
          <w:numId w:val="197"/>
        </w:numPr>
        <w:bidi/>
        <w:rPr>
          <w:lang w:bidi="ar-EG"/>
        </w:rPr>
      </w:pPr>
      <w:r w:rsidRPr="009B4E2B">
        <w:rPr>
          <w:rtl/>
        </w:rPr>
        <w:t>مسار مباشر مرتبط بممارسات التمكين والتحفيز والتطوير</w:t>
      </w:r>
      <w:r w:rsidRPr="009B4E2B">
        <w:rPr>
          <w:lang w:bidi="ar-EG"/>
        </w:rPr>
        <w:t>.</w:t>
      </w:r>
    </w:p>
    <w:p w14:paraId="1F199B14" w14:textId="77777777" w:rsidR="00793DFB" w:rsidRPr="009B4E2B" w:rsidRDefault="00793DFB" w:rsidP="00793DFB">
      <w:pPr>
        <w:numPr>
          <w:ilvl w:val="0"/>
          <w:numId w:val="197"/>
        </w:numPr>
        <w:bidi/>
        <w:rPr>
          <w:lang w:bidi="ar-EG"/>
        </w:rPr>
      </w:pPr>
      <w:r w:rsidRPr="009B4E2B">
        <w:rPr>
          <w:rtl/>
        </w:rPr>
        <w:t>مسار غير مباشر يمر عبر أبعاد ثقافية محددة، ويعد البعد الرابع ثم الثالث الأكثر إسهامًا في تفسير العلاقة</w:t>
      </w:r>
      <w:r w:rsidRPr="009B4E2B">
        <w:rPr>
          <w:lang w:bidi="ar-EG"/>
        </w:rPr>
        <w:t>.</w:t>
      </w:r>
    </w:p>
    <w:p w14:paraId="345F0544" w14:textId="77777777" w:rsidR="00793DFB" w:rsidRDefault="00793DFB" w:rsidP="00793DFB">
      <w:pPr>
        <w:bidi/>
        <w:rPr>
          <w:rtl/>
          <w:lang w:bidi="ar-EG"/>
        </w:rPr>
      </w:pPr>
      <w:r w:rsidRPr="009B4E2B">
        <w:rPr>
          <w:rtl/>
        </w:rPr>
        <w:t>تكشف النتائج أن الثقافة التنظيمية لا تؤدي دورًا تجميليًا في النموذج، بل تمثل آلية تفسيرية بنيوية تفسر كيفية تحول ممارسات العمل عالية الأداء إلى مخرجات إبداعية. كما يظهر التباين بين الأبعاد أن بعض المكونات الثقافية أكثر ارتباطًا بالإبداع من غيرها، الأمر الذي يعزز الطرح النظري القائل بأن الثقافة التنظيمية بناء متعدد المستويات وليس كيانًا أحاديًا</w:t>
      </w:r>
      <w:r w:rsidRPr="009B4E2B">
        <w:rPr>
          <w:lang w:bidi="ar-EG"/>
        </w:rPr>
        <w:t>.</w:t>
      </w:r>
    </w:p>
    <w:p w14:paraId="3C59C19E" w14:textId="77777777" w:rsidR="00793DFB" w:rsidRPr="009B4E2B" w:rsidRDefault="00793DFB" w:rsidP="00793DFB">
      <w:pPr>
        <w:bidi/>
        <w:rPr>
          <w:lang w:bidi="ar-EG"/>
        </w:rPr>
      </w:pPr>
    </w:p>
    <w:p w14:paraId="5A65A1EA" w14:textId="77777777" w:rsidR="00793DFB" w:rsidRPr="008873C9" w:rsidRDefault="00793DFB" w:rsidP="00793DFB">
      <w:pPr>
        <w:bidi/>
        <w:rPr>
          <w:b/>
          <w:bCs/>
          <w:lang w:bidi="ar-EG"/>
        </w:rPr>
      </w:pPr>
      <w:r>
        <w:rPr>
          <w:rFonts w:hint="cs"/>
          <w:b/>
          <w:bCs/>
          <w:rtl/>
        </w:rPr>
        <w:t xml:space="preserve">4.14. </w:t>
      </w:r>
      <w:r w:rsidRPr="008873C9">
        <w:rPr>
          <w:b/>
          <w:bCs/>
          <w:rtl/>
        </w:rPr>
        <w:t>اختبار الفرضية الخامسة: الفروق في متغيرات الدراسة باختلاف نوع القطاع</w:t>
      </w:r>
    </w:p>
    <w:p w14:paraId="08016DD8" w14:textId="3F68DF91" w:rsidR="00793DFB" w:rsidRDefault="00793DFB" w:rsidP="00793DFB">
      <w:pPr>
        <w:bidi/>
        <w:rPr>
          <w:rtl/>
          <w:lang w:bidi="ar-EG"/>
        </w:rPr>
      </w:pPr>
      <w:r w:rsidRPr="008873C9">
        <w:rPr>
          <w:rtl/>
        </w:rPr>
        <w:t>هدفت الفرضية الخامسة إلى التحقق من وجود فروق ذات دلالة إحصائية في الأداء الإبداعي، والثقافة التنظيمية، وأنظمة العمل عالية الأداء تبعًا لنوع القطاع (</w:t>
      </w:r>
      <w:r w:rsidR="00EB39A8" w:rsidRPr="008873C9">
        <w:rPr>
          <w:rtl/>
        </w:rPr>
        <w:t>الفن</w:t>
      </w:r>
      <w:r w:rsidR="00EB39A8">
        <w:rPr>
          <w:rFonts w:hint="cs"/>
          <w:rtl/>
        </w:rPr>
        <w:t>ادق</w:t>
      </w:r>
      <w:r w:rsidR="00EB39A8" w:rsidRPr="008873C9">
        <w:rPr>
          <w:rtl/>
        </w:rPr>
        <w:t xml:space="preserve"> والمط</w:t>
      </w:r>
      <w:r w:rsidR="00EB39A8">
        <w:rPr>
          <w:rFonts w:hint="cs"/>
          <w:rtl/>
        </w:rPr>
        <w:t>اعم</w:t>
      </w:r>
      <w:r w:rsidRPr="008873C9">
        <w:rPr>
          <w:rtl/>
        </w:rPr>
        <w:t>). ولتحقيق ذلك، تم استخدام اختبار</w:t>
      </w:r>
      <w:r w:rsidRPr="008873C9">
        <w:rPr>
          <w:lang w:bidi="ar-EG"/>
        </w:rPr>
        <w:t xml:space="preserve"> (t) </w:t>
      </w:r>
      <w:r w:rsidRPr="008873C9">
        <w:rPr>
          <w:rtl/>
        </w:rPr>
        <w:t>لعينتين مستقلتين بعد التأكد من تحقق افتراض تجانس التباين باستخدام اختبار</w:t>
      </w:r>
      <w:r w:rsidRPr="008873C9">
        <w:rPr>
          <w:lang w:bidi="ar-EG"/>
        </w:rPr>
        <w:t>Levene</w:t>
      </w:r>
      <w:r>
        <w:rPr>
          <w:rFonts w:hint="cs"/>
          <w:rtl/>
          <w:lang w:bidi="ar-EG"/>
        </w:rPr>
        <w:t>.</w:t>
      </w:r>
    </w:p>
    <w:p w14:paraId="39DFB729" w14:textId="16883E11" w:rsidR="00793DFB" w:rsidRDefault="00793DFB" w:rsidP="00793DFB">
      <w:pPr>
        <w:bidi/>
        <w:rPr>
          <w:rtl/>
          <w:lang w:bidi="ar-EG"/>
        </w:rPr>
      </w:pPr>
      <w:r w:rsidRPr="009546BB">
        <w:rPr>
          <w:rFonts w:cs="Arial" w:hint="cs"/>
          <w:rtl/>
          <w:lang w:bidi="ar-EG"/>
        </w:rPr>
        <w:t>الجدول</w:t>
      </w:r>
      <w:r w:rsidRPr="009546BB">
        <w:rPr>
          <w:rFonts w:cs="Arial"/>
          <w:rtl/>
          <w:lang w:bidi="ar-EG"/>
        </w:rPr>
        <w:t xml:space="preserve"> (4-19): </w:t>
      </w:r>
      <w:r w:rsidRPr="009546BB">
        <w:rPr>
          <w:rFonts w:cs="Arial" w:hint="cs"/>
          <w:rtl/>
          <w:lang w:bidi="ar-EG"/>
        </w:rPr>
        <w:t>نتائج</w:t>
      </w:r>
      <w:r w:rsidRPr="009546BB">
        <w:rPr>
          <w:rFonts w:cs="Arial"/>
          <w:rtl/>
          <w:lang w:bidi="ar-EG"/>
        </w:rPr>
        <w:t xml:space="preserve"> </w:t>
      </w:r>
      <w:r w:rsidRPr="009546BB">
        <w:rPr>
          <w:rFonts w:cs="Arial" w:hint="cs"/>
          <w:rtl/>
          <w:lang w:bidi="ar-EG"/>
        </w:rPr>
        <w:t>اختبار</w:t>
      </w:r>
      <w:r w:rsidRPr="009546BB">
        <w:rPr>
          <w:rFonts w:cs="Arial"/>
          <w:rtl/>
          <w:lang w:bidi="ar-EG"/>
        </w:rPr>
        <w:t xml:space="preserve"> (</w:t>
      </w:r>
      <w:r w:rsidRPr="009546BB">
        <w:rPr>
          <w:lang w:bidi="ar-EG"/>
        </w:rPr>
        <w:t>t</w:t>
      </w:r>
      <w:r w:rsidRPr="009546BB">
        <w:rPr>
          <w:rFonts w:cs="Arial"/>
          <w:rtl/>
          <w:lang w:bidi="ar-EG"/>
        </w:rPr>
        <w:t xml:space="preserve">) </w:t>
      </w:r>
      <w:r w:rsidRPr="009546BB">
        <w:rPr>
          <w:rFonts w:cs="Arial" w:hint="cs"/>
          <w:rtl/>
          <w:lang w:bidi="ar-EG"/>
        </w:rPr>
        <w:t>لقياس</w:t>
      </w:r>
      <w:r w:rsidRPr="009546BB">
        <w:rPr>
          <w:rFonts w:cs="Arial"/>
          <w:rtl/>
          <w:lang w:bidi="ar-EG"/>
        </w:rPr>
        <w:t xml:space="preserve"> </w:t>
      </w:r>
      <w:r w:rsidRPr="009546BB">
        <w:rPr>
          <w:rFonts w:cs="Arial" w:hint="cs"/>
          <w:rtl/>
          <w:lang w:bidi="ar-EG"/>
        </w:rPr>
        <w:t>الفروق</w:t>
      </w:r>
      <w:r w:rsidRPr="009546BB">
        <w:rPr>
          <w:rFonts w:cs="Arial"/>
          <w:rtl/>
          <w:lang w:bidi="ar-EG"/>
        </w:rPr>
        <w:t xml:space="preserve"> </w:t>
      </w:r>
      <w:r w:rsidRPr="009546BB">
        <w:rPr>
          <w:rFonts w:cs="Arial" w:hint="cs"/>
          <w:rtl/>
          <w:lang w:bidi="ar-EG"/>
        </w:rPr>
        <w:t>في</w:t>
      </w:r>
      <w:r w:rsidRPr="009546BB">
        <w:rPr>
          <w:rFonts w:cs="Arial"/>
          <w:rtl/>
          <w:lang w:bidi="ar-EG"/>
        </w:rPr>
        <w:t xml:space="preserve"> </w:t>
      </w:r>
      <w:r w:rsidRPr="009546BB">
        <w:rPr>
          <w:rFonts w:cs="Arial" w:hint="cs"/>
          <w:rtl/>
          <w:lang w:bidi="ar-EG"/>
        </w:rPr>
        <w:t>متغيرات</w:t>
      </w:r>
      <w:r w:rsidRPr="009546BB">
        <w:rPr>
          <w:rFonts w:cs="Arial"/>
          <w:rtl/>
          <w:lang w:bidi="ar-EG"/>
        </w:rPr>
        <w:t xml:space="preserve"> </w:t>
      </w:r>
      <w:r w:rsidRPr="009546BB">
        <w:rPr>
          <w:rFonts w:cs="Arial" w:hint="cs"/>
          <w:rtl/>
          <w:lang w:bidi="ar-EG"/>
        </w:rPr>
        <w:t>الدراسة</w:t>
      </w:r>
      <w:r w:rsidRPr="009546BB">
        <w:rPr>
          <w:rFonts w:cs="Arial"/>
          <w:rtl/>
          <w:lang w:bidi="ar-EG"/>
        </w:rPr>
        <w:t xml:space="preserve"> </w:t>
      </w:r>
      <w:r w:rsidRPr="009546BB">
        <w:rPr>
          <w:rFonts w:cs="Arial" w:hint="cs"/>
          <w:rtl/>
          <w:lang w:bidi="ar-EG"/>
        </w:rPr>
        <w:t>حسب</w:t>
      </w:r>
      <w:r w:rsidRPr="009546BB">
        <w:rPr>
          <w:rFonts w:cs="Arial"/>
          <w:rtl/>
          <w:lang w:bidi="ar-EG"/>
        </w:rPr>
        <w:t xml:space="preserve"> </w:t>
      </w:r>
      <w:r w:rsidRPr="009546BB">
        <w:rPr>
          <w:rFonts w:cs="Arial" w:hint="cs"/>
          <w:rtl/>
          <w:lang w:bidi="ar-EG"/>
        </w:rPr>
        <w:t>نوع</w:t>
      </w:r>
      <w:r w:rsidRPr="009546BB">
        <w:rPr>
          <w:rFonts w:cs="Arial"/>
          <w:rtl/>
          <w:lang w:bidi="ar-EG"/>
        </w:rPr>
        <w:t xml:space="preserve"> </w:t>
      </w:r>
      <w:r w:rsidRPr="009546BB">
        <w:rPr>
          <w:rFonts w:cs="Arial" w:hint="cs"/>
          <w:rtl/>
          <w:lang w:bidi="ar-EG"/>
        </w:rPr>
        <w:t>القطاع</w:t>
      </w:r>
      <w:r w:rsidRPr="009546BB">
        <w:rPr>
          <w:rFonts w:cs="Arial"/>
          <w:rtl/>
          <w:lang w:bidi="ar-EG"/>
        </w:rPr>
        <w:t xml:space="preserve"> (</w:t>
      </w:r>
      <w:r w:rsidR="00EB39A8" w:rsidRPr="008873C9">
        <w:rPr>
          <w:rtl/>
        </w:rPr>
        <w:t>الفن</w:t>
      </w:r>
      <w:r w:rsidR="00EB39A8">
        <w:rPr>
          <w:rFonts w:hint="cs"/>
          <w:rtl/>
        </w:rPr>
        <w:t>ادق</w:t>
      </w:r>
      <w:r w:rsidR="00EB39A8" w:rsidRPr="008873C9">
        <w:rPr>
          <w:rtl/>
        </w:rPr>
        <w:t xml:space="preserve"> والمط</w:t>
      </w:r>
      <w:r w:rsidR="00EB39A8">
        <w:rPr>
          <w:rFonts w:hint="cs"/>
          <w:rtl/>
        </w:rPr>
        <w:t>اعم</w:t>
      </w:r>
      <w:r w:rsidRPr="009546BB">
        <w:rPr>
          <w:rFonts w:cs="Arial"/>
          <w:rtl/>
          <w:lang w:bidi="ar-EG"/>
        </w:rPr>
        <w:t>) (</w:t>
      </w:r>
      <w:r w:rsidRPr="009546BB">
        <w:rPr>
          <w:lang w:bidi="ar-EG"/>
        </w:rPr>
        <w:t>N = 400</w:t>
      </w:r>
      <w:r w:rsidRPr="009546BB">
        <w:rPr>
          <w:rFonts w:cs="Arial"/>
          <w:rtl/>
          <w:lang w:bidi="ar-EG"/>
        </w:rPr>
        <w:t>)</w:t>
      </w:r>
    </w:p>
    <w:tbl>
      <w:tblPr>
        <w:bidiVisual/>
        <w:tblW w:w="9540" w:type="dxa"/>
        <w:tblLook w:val="04A0" w:firstRow="1" w:lastRow="0" w:firstColumn="1" w:lastColumn="0" w:noHBand="0" w:noVBand="1"/>
      </w:tblPr>
      <w:tblGrid>
        <w:gridCol w:w="1060"/>
        <w:gridCol w:w="1060"/>
        <w:gridCol w:w="1060"/>
        <w:gridCol w:w="1060"/>
        <w:gridCol w:w="1060"/>
        <w:gridCol w:w="1060"/>
        <w:gridCol w:w="1060"/>
        <w:gridCol w:w="1060"/>
        <w:gridCol w:w="1060"/>
      </w:tblGrid>
      <w:tr w:rsidR="00793DFB" w:rsidRPr="009546BB" w14:paraId="5C05CA18" w14:textId="77777777" w:rsidTr="009F1C88">
        <w:trPr>
          <w:trHeight w:val="924"/>
        </w:trPr>
        <w:tc>
          <w:tcPr>
            <w:tcW w:w="1060" w:type="dxa"/>
            <w:tcBorders>
              <w:top w:val="single" w:sz="4" w:space="0" w:color="auto"/>
              <w:left w:val="single" w:sz="4" w:space="0" w:color="auto"/>
              <w:bottom w:val="single" w:sz="4" w:space="0" w:color="auto"/>
              <w:right w:val="single" w:sz="4" w:space="0" w:color="auto"/>
            </w:tcBorders>
            <w:vAlign w:val="center"/>
            <w:hideMark/>
          </w:tcPr>
          <w:p w14:paraId="56826281" w14:textId="77777777" w:rsidR="00793DFB" w:rsidRPr="009546BB" w:rsidRDefault="00793DFB" w:rsidP="009F1C88">
            <w:pPr>
              <w:bidi/>
              <w:spacing w:after="0" w:line="240" w:lineRule="auto"/>
              <w:jc w:val="center"/>
              <w:rPr>
                <w:rFonts w:ascii="Aptos Narrow" w:eastAsia="Times New Roman" w:hAnsi="Aptos Narrow" w:cs="Times New Roman"/>
                <w:b/>
                <w:bCs/>
                <w:color w:val="000000"/>
                <w:kern w:val="0"/>
                <w:sz w:val="22"/>
                <w:szCs w:val="22"/>
                <w:lang w:val="en-GB" w:eastAsia="en-GB"/>
                <w14:ligatures w14:val="none"/>
              </w:rPr>
            </w:pPr>
            <w:r w:rsidRPr="009546BB">
              <w:rPr>
                <w:rFonts w:ascii="Aptos Narrow" w:eastAsia="Times New Roman" w:hAnsi="Aptos Narrow" w:cs="Times New Roman"/>
                <w:b/>
                <w:bCs/>
                <w:color w:val="000000"/>
                <w:kern w:val="0"/>
                <w:sz w:val="22"/>
                <w:szCs w:val="22"/>
                <w:rtl/>
                <w:lang w:val="en-GB" w:eastAsia="en-GB"/>
                <w14:ligatures w14:val="none"/>
              </w:rPr>
              <w:t>المتغير</w:t>
            </w:r>
          </w:p>
        </w:tc>
        <w:tc>
          <w:tcPr>
            <w:tcW w:w="1060" w:type="dxa"/>
            <w:tcBorders>
              <w:top w:val="single" w:sz="4" w:space="0" w:color="auto"/>
              <w:left w:val="single" w:sz="4" w:space="0" w:color="auto"/>
              <w:bottom w:val="single" w:sz="4" w:space="0" w:color="auto"/>
              <w:right w:val="single" w:sz="4" w:space="0" w:color="auto"/>
            </w:tcBorders>
            <w:vAlign w:val="center"/>
            <w:hideMark/>
          </w:tcPr>
          <w:p w14:paraId="6309DB0F" w14:textId="77777777" w:rsidR="00793DFB" w:rsidRPr="009546BB" w:rsidRDefault="00793DFB" w:rsidP="009F1C88">
            <w:pPr>
              <w:bidi/>
              <w:spacing w:after="0" w:line="240" w:lineRule="auto"/>
              <w:jc w:val="center"/>
              <w:rPr>
                <w:rFonts w:ascii="Aptos Narrow" w:eastAsia="Times New Roman" w:hAnsi="Aptos Narrow" w:cs="Times New Roman"/>
                <w:b/>
                <w:bCs/>
                <w:color w:val="000000"/>
                <w:kern w:val="0"/>
                <w:sz w:val="22"/>
                <w:szCs w:val="22"/>
                <w:rtl/>
                <w:lang w:val="en-GB" w:eastAsia="en-GB"/>
                <w14:ligatures w14:val="none"/>
              </w:rPr>
            </w:pPr>
            <w:r w:rsidRPr="009546BB">
              <w:rPr>
                <w:rFonts w:ascii="Aptos Narrow" w:eastAsia="Times New Roman" w:hAnsi="Aptos Narrow" w:cs="Times New Roman"/>
                <w:b/>
                <w:bCs/>
                <w:color w:val="000000"/>
                <w:kern w:val="0"/>
                <w:sz w:val="22"/>
                <w:szCs w:val="22"/>
                <w:rtl/>
                <w:lang w:val="en-GB" w:eastAsia="en-GB"/>
                <w14:ligatures w14:val="none"/>
              </w:rPr>
              <w:t>نوع القطاع</w:t>
            </w:r>
          </w:p>
        </w:tc>
        <w:tc>
          <w:tcPr>
            <w:tcW w:w="1060" w:type="dxa"/>
            <w:tcBorders>
              <w:top w:val="single" w:sz="4" w:space="0" w:color="auto"/>
              <w:left w:val="single" w:sz="4" w:space="0" w:color="auto"/>
              <w:bottom w:val="single" w:sz="4" w:space="0" w:color="auto"/>
              <w:right w:val="single" w:sz="4" w:space="0" w:color="auto"/>
            </w:tcBorders>
            <w:vAlign w:val="center"/>
            <w:hideMark/>
          </w:tcPr>
          <w:p w14:paraId="0C25B362" w14:textId="77777777" w:rsidR="00793DFB" w:rsidRPr="009546BB" w:rsidRDefault="00793DFB" w:rsidP="009F1C88">
            <w:pPr>
              <w:bidi/>
              <w:spacing w:after="0" w:line="240" w:lineRule="auto"/>
              <w:jc w:val="center"/>
              <w:rPr>
                <w:rFonts w:ascii="Aptos Narrow" w:eastAsia="Times New Roman" w:hAnsi="Aptos Narrow" w:cs="Times New Roman"/>
                <w:b/>
                <w:bCs/>
                <w:color w:val="000000"/>
                <w:kern w:val="0"/>
                <w:sz w:val="22"/>
                <w:szCs w:val="22"/>
                <w:rtl/>
                <w:lang w:val="en-GB" w:eastAsia="en-GB"/>
                <w14:ligatures w14:val="none"/>
              </w:rPr>
            </w:pPr>
            <w:r w:rsidRPr="009546BB">
              <w:rPr>
                <w:rFonts w:ascii="Aptos Narrow" w:eastAsia="Times New Roman" w:hAnsi="Aptos Narrow" w:cs="Times New Roman"/>
                <w:b/>
                <w:bCs/>
                <w:color w:val="000000"/>
                <w:kern w:val="0"/>
                <w:sz w:val="22"/>
                <w:szCs w:val="22"/>
                <w:rtl/>
                <w:lang w:val="en-GB" w:eastAsia="en-GB"/>
                <w14:ligatures w14:val="none"/>
              </w:rPr>
              <w:t>المتوسط الحسابي (</w:t>
            </w:r>
            <w:r w:rsidRPr="009546BB">
              <w:rPr>
                <w:rFonts w:ascii="Aptos Narrow" w:eastAsia="Times New Roman" w:hAnsi="Aptos Narrow" w:cs="Times New Roman"/>
                <w:b/>
                <w:bCs/>
                <w:color w:val="000000"/>
                <w:kern w:val="0"/>
                <w:sz w:val="22"/>
                <w:szCs w:val="22"/>
                <w:lang w:val="en-GB" w:eastAsia="en-GB"/>
                <w14:ligatures w14:val="none"/>
              </w:rPr>
              <w:t>M</w:t>
            </w:r>
            <w:r w:rsidRPr="009546BB">
              <w:rPr>
                <w:rFonts w:ascii="Aptos Narrow" w:eastAsia="Times New Roman" w:hAnsi="Aptos Narrow" w:cs="Times New Roman"/>
                <w:b/>
                <w:bCs/>
                <w:color w:val="000000"/>
                <w:kern w:val="0"/>
                <w:sz w:val="22"/>
                <w:szCs w:val="22"/>
                <w:rtl/>
                <w:lang w:val="en-GB" w:eastAsia="en-GB"/>
                <w14:ligatures w14:val="none"/>
              </w:rPr>
              <w:t>)</w:t>
            </w:r>
          </w:p>
        </w:tc>
        <w:tc>
          <w:tcPr>
            <w:tcW w:w="1060" w:type="dxa"/>
            <w:tcBorders>
              <w:top w:val="single" w:sz="4" w:space="0" w:color="auto"/>
              <w:left w:val="single" w:sz="4" w:space="0" w:color="auto"/>
              <w:bottom w:val="single" w:sz="4" w:space="0" w:color="auto"/>
              <w:right w:val="single" w:sz="4" w:space="0" w:color="auto"/>
            </w:tcBorders>
            <w:vAlign w:val="center"/>
            <w:hideMark/>
          </w:tcPr>
          <w:p w14:paraId="1D5F5D6B" w14:textId="77777777" w:rsidR="00793DFB" w:rsidRPr="009546BB" w:rsidRDefault="00793DFB" w:rsidP="009F1C88">
            <w:pPr>
              <w:bidi/>
              <w:spacing w:after="0" w:line="240" w:lineRule="auto"/>
              <w:jc w:val="center"/>
              <w:rPr>
                <w:rFonts w:ascii="Aptos Narrow" w:eastAsia="Times New Roman" w:hAnsi="Aptos Narrow" w:cs="Times New Roman"/>
                <w:b/>
                <w:bCs/>
                <w:color w:val="000000"/>
                <w:kern w:val="0"/>
                <w:sz w:val="22"/>
                <w:szCs w:val="22"/>
                <w:rtl/>
                <w:lang w:val="en-GB" w:eastAsia="en-GB"/>
                <w14:ligatures w14:val="none"/>
              </w:rPr>
            </w:pPr>
            <w:r w:rsidRPr="009546BB">
              <w:rPr>
                <w:rFonts w:ascii="Aptos Narrow" w:eastAsia="Times New Roman" w:hAnsi="Aptos Narrow" w:cs="Times New Roman"/>
                <w:b/>
                <w:bCs/>
                <w:color w:val="000000"/>
                <w:kern w:val="0"/>
                <w:sz w:val="22"/>
                <w:szCs w:val="22"/>
                <w:rtl/>
                <w:lang w:val="en-GB" w:eastAsia="en-GB"/>
                <w14:ligatures w14:val="none"/>
              </w:rPr>
              <w:t>الانحراف المعياري (</w:t>
            </w:r>
            <w:r w:rsidRPr="009546BB">
              <w:rPr>
                <w:rFonts w:ascii="Aptos Narrow" w:eastAsia="Times New Roman" w:hAnsi="Aptos Narrow" w:cs="Times New Roman"/>
                <w:b/>
                <w:bCs/>
                <w:color w:val="000000"/>
                <w:kern w:val="0"/>
                <w:sz w:val="22"/>
                <w:szCs w:val="22"/>
                <w:lang w:val="en-GB" w:eastAsia="en-GB"/>
                <w14:ligatures w14:val="none"/>
              </w:rPr>
              <w:t>SD</w:t>
            </w:r>
            <w:r w:rsidRPr="009546BB">
              <w:rPr>
                <w:rFonts w:ascii="Aptos Narrow" w:eastAsia="Times New Roman" w:hAnsi="Aptos Narrow" w:cs="Times New Roman"/>
                <w:b/>
                <w:bCs/>
                <w:color w:val="000000"/>
                <w:kern w:val="0"/>
                <w:sz w:val="22"/>
                <w:szCs w:val="22"/>
                <w:rtl/>
                <w:lang w:val="en-GB" w:eastAsia="en-GB"/>
                <w14:ligatures w14:val="none"/>
              </w:rPr>
              <w:t>)</w:t>
            </w:r>
          </w:p>
        </w:tc>
        <w:tc>
          <w:tcPr>
            <w:tcW w:w="1060" w:type="dxa"/>
            <w:tcBorders>
              <w:top w:val="single" w:sz="4" w:space="0" w:color="auto"/>
              <w:left w:val="single" w:sz="4" w:space="0" w:color="auto"/>
              <w:bottom w:val="single" w:sz="4" w:space="0" w:color="auto"/>
              <w:right w:val="single" w:sz="4" w:space="0" w:color="auto"/>
            </w:tcBorders>
            <w:vAlign w:val="center"/>
            <w:hideMark/>
          </w:tcPr>
          <w:p w14:paraId="6E8F88CB" w14:textId="77777777" w:rsidR="00793DFB" w:rsidRPr="009546BB" w:rsidRDefault="00793DFB" w:rsidP="009F1C88">
            <w:pPr>
              <w:bidi/>
              <w:spacing w:after="0" w:line="240" w:lineRule="auto"/>
              <w:jc w:val="center"/>
              <w:rPr>
                <w:rFonts w:ascii="Aptos Narrow" w:eastAsia="Times New Roman" w:hAnsi="Aptos Narrow" w:cs="Times New Roman"/>
                <w:b/>
                <w:bCs/>
                <w:color w:val="000000"/>
                <w:kern w:val="0"/>
                <w:sz w:val="22"/>
                <w:szCs w:val="22"/>
                <w:rtl/>
                <w:lang w:val="en-GB" w:eastAsia="en-GB"/>
                <w14:ligatures w14:val="none"/>
              </w:rPr>
            </w:pPr>
            <w:r w:rsidRPr="009546BB">
              <w:rPr>
                <w:rFonts w:ascii="Aptos Narrow" w:eastAsia="Times New Roman" w:hAnsi="Aptos Narrow" w:cs="Times New Roman"/>
                <w:b/>
                <w:bCs/>
                <w:color w:val="000000"/>
                <w:kern w:val="0"/>
                <w:sz w:val="22"/>
                <w:szCs w:val="22"/>
                <w:rtl/>
                <w:lang w:val="en-GB" w:eastAsia="en-GB"/>
                <w14:ligatures w14:val="none"/>
              </w:rPr>
              <w:t xml:space="preserve">قيمة </w:t>
            </w:r>
            <w:r w:rsidRPr="009546BB">
              <w:rPr>
                <w:rFonts w:ascii="Aptos Narrow" w:eastAsia="Times New Roman" w:hAnsi="Aptos Narrow" w:cs="Times New Roman"/>
                <w:b/>
                <w:bCs/>
                <w:color w:val="000000"/>
                <w:kern w:val="0"/>
                <w:sz w:val="22"/>
                <w:szCs w:val="22"/>
                <w:lang w:val="en-GB" w:eastAsia="en-GB"/>
                <w14:ligatures w14:val="none"/>
              </w:rPr>
              <w:t>t</w:t>
            </w:r>
          </w:p>
        </w:tc>
        <w:tc>
          <w:tcPr>
            <w:tcW w:w="1060" w:type="dxa"/>
            <w:tcBorders>
              <w:top w:val="single" w:sz="4" w:space="0" w:color="auto"/>
              <w:left w:val="single" w:sz="4" w:space="0" w:color="auto"/>
              <w:bottom w:val="single" w:sz="4" w:space="0" w:color="auto"/>
              <w:right w:val="single" w:sz="4" w:space="0" w:color="auto"/>
            </w:tcBorders>
            <w:vAlign w:val="center"/>
            <w:hideMark/>
          </w:tcPr>
          <w:p w14:paraId="137FB30F" w14:textId="77777777" w:rsidR="00793DFB" w:rsidRPr="009546BB" w:rsidRDefault="00793DFB" w:rsidP="009F1C88">
            <w:pPr>
              <w:bidi/>
              <w:spacing w:after="0" w:line="240" w:lineRule="auto"/>
              <w:jc w:val="center"/>
              <w:rPr>
                <w:rFonts w:ascii="Aptos Narrow" w:eastAsia="Times New Roman" w:hAnsi="Aptos Narrow" w:cs="Times New Roman"/>
                <w:b/>
                <w:bCs/>
                <w:color w:val="000000"/>
                <w:kern w:val="0"/>
                <w:sz w:val="22"/>
                <w:szCs w:val="22"/>
                <w:rtl/>
                <w:lang w:val="en-GB" w:eastAsia="en-GB"/>
                <w14:ligatures w14:val="none"/>
              </w:rPr>
            </w:pPr>
            <w:r w:rsidRPr="009546BB">
              <w:rPr>
                <w:rFonts w:ascii="Aptos Narrow" w:eastAsia="Times New Roman" w:hAnsi="Aptos Narrow" w:cs="Times New Roman"/>
                <w:b/>
                <w:bCs/>
                <w:color w:val="000000"/>
                <w:kern w:val="0"/>
                <w:sz w:val="22"/>
                <w:szCs w:val="22"/>
                <w:rtl/>
                <w:lang w:val="en-GB" w:eastAsia="en-GB"/>
                <w14:ligatures w14:val="none"/>
              </w:rPr>
              <w:t>درجات الحرية (</w:t>
            </w:r>
            <w:proofErr w:type="spellStart"/>
            <w:r w:rsidRPr="009546BB">
              <w:rPr>
                <w:rFonts w:ascii="Aptos Narrow" w:eastAsia="Times New Roman" w:hAnsi="Aptos Narrow" w:cs="Times New Roman"/>
                <w:b/>
                <w:bCs/>
                <w:color w:val="000000"/>
                <w:kern w:val="0"/>
                <w:sz w:val="22"/>
                <w:szCs w:val="22"/>
                <w:lang w:val="en-GB" w:eastAsia="en-GB"/>
                <w14:ligatures w14:val="none"/>
              </w:rPr>
              <w:t>df</w:t>
            </w:r>
            <w:proofErr w:type="spellEnd"/>
            <w:r w:rsidRPr="009546BB">
              <w:rPr>
                <w:rFonts w:ascii="Aptos Narrow" w:eastAsia="Times New Roman" w:hAnsi="Aptos Narrow" w:cs="Times New Roman"/>
                <w:b/>
                <w:bCs/>
                <w:color w:val="000000"/>
                <w:kern w:val="0"/>
                <w:sz w:val="22"/>
                <w:szCs w:val="22"/>
                <w:rtl/>
                <w:lang w:val="en-GB" w:eastAsia="en-GB"/>
                <w14:ligatures w14:val="none"/>
              </w:rPr>
              <w:t>)</w:t>
            </w:r>
          </w:p>
        </w:tc>
        <w:tc>
          <w:tcPr>
            <w:tcW w:w="1060" w:type="dxa"/>
            <w:tcBorders>
              <w:top w:val="single" w:sz="4" w:space="0" w:color="auto"/>
              <w:left w:val="single" w:sz="4" w:space="0" w:color="auto"/>
              <w:bottom w:val="single" w:sz="4" w:space="0" w:color="auto"/>
              <w:right w:val="single" w:sz="4" w:space="0" w:color="auto"/>
            </w:tcBorders>
            <w:vAlign w:val="center"/>
            <w:hideMark/>
          </w:tcPr>
          <w:p w14:paraId="2504FBBA" w14:textId="77777777" w:rsidR="00793DFB" w:rsidRPr="009546BB" w:rsidRDefault="00793DFB" w:rsidP="009F1C88">
            <w:pPr>
              <w:bidi/>
              <w:spacing w:after="0" w:line="240" w:lineRule="auto"/>
              <w:jc w:val="center"/>
              <w:rPr>
                <w:rFonts w:ascii="Aptos Narrow" w:eastAsia="Times New Roman" w:hAnsi="Aptos Narrow" w:cs="Times New Roman"/>
                <w:b/>
                <w:bCs/>
                <w:color w:val="000000"/>
                <w:kern w:val="0"/>
                <w:sz w:val="22"/>
                <w:szCs w:val="22"/>
                <w:rtl/>
                <w:lang w:val="en-GB" w:eastAsia="en-GB"/>
                <w14:ligatures w14:val="none"/>
              </w:rPr>
            </w:pPr>
            <w:r w:rsidRPr="009546BB">
              <w:rPr>
                <w:rFonts w:ascii="Aptos Narrow" w:eastAsia="Times New Roman" w:hAnsi="Aptos Narrow" w:cs="Times New Roman"/>
                <w:b/>
                <w:bCs/>
                <w:color w:val="000000"/>
                <w:kern w:val="0"/>
                <w:sz w:val="22"/>
                <w:szCs w:val="22"/>
                <w:rtl/>
                <w:lang w:val="en-GB" w:eastAsia="en-GB"/>
                <w14:ligatures w14:val="none"/>
              </w:rPr>
              <w:t>مستوى الدلالة (</w:t>
            </w:r>
            <w:r w:rsidRPr="009546BB">
              <w:rPr>
                <w:rFonts w:ascii="Aptos Narrow" w:eastAsia="Times New Roman" w:hAnsi="Aptos Narrow" w:cs="Times New Roman"/>
                <w:b/>
                <w:bCs/>
                <w:color w:val="000000"/>
                <w:kern w:val="0"/>
                <w:sz w:val="22"/>
                <w:szCs w:val="22"/>
                <w:lang w:val="en-GB" w:eastAsia="en-GB"/>
                <w14:ligatures w14:val="none"/>
              </w:rPr>
              <w:t>Sig</w:t>
            </w:r>
            <w:r w:rsidRPr="009546BB">
              <w:rPr>
                <w:rFonts w:ascii="Aptos Narrow" w:eastAsia="Times New Roman" w:hAnsi="Aptos Narrow" w:cs="Times New Roman"/>
                <w:b/>
                <w:bCs/>
                <w:color w:val="000000"/>
                <w:kern w:val="0"/>
                <w:sz w:val="22"/>
                <w:szCs w:val="22"/>
                <w:rtl/>
                <w:lang w:val="en-GB" w:eastAsia="en-GB"/>
                <w14:ligatures w14:val="none"/>
              </w:rPr>
              <w:t>.)</w:t>
            </w:r>
          </w:p>
        </w:tc>
        <w:tc>
          <w:tcPr>
            <w:tcW w:w="1060" w:type="dxa"/>
            <w:tcBorders>
              <w:top w:val="single" w:sz="4" w:space="0" w:color="auto"/>
              <w:left w:val="single" w:sz="4" w:space="0" w:color="auto"/>
              <w:bottom w:val="single" w:sz="4" w:space="0" w:color="auto"/>
              <w:right w:val="single" w:sz="4" w:space="0" w:color="auto"/>
            </w:tcBorders>
            <w:vAlign w:val="center"/>
            <w:hideMark/>
          </w:tcPr>
          <w:p w14:paraId="4B39C7AA" w14:textId="77777777" w:rsidR="00793DFB" w:rsidRPr="009546BB" w:rsidRDefault="00793DFB" w:rsidP="009F1C88">
            <w:pPr>
              <w:bidi/>
              <w:spacing w:after="0" w:line="240" w:lineRule="auto"/>
              <w:jc w:val="center"/>
              <w:rPr>
                <w:rFonts w:ascii="Aptos Narrow" w:eastAsia="Times New Roman" w:hAnsi="Aptos Narrow" w:cs="Times New Roman"/>
                <w:b/>
                <w:bCs/>
                <w:color w:val="000000"/>
                <w:kern w:val="0"/>
                <w:sz w:val="22"/>
                <w:szCs w:val="22"/>
                <w:rtl/>
                <w:lang w:val="en-GB" w:eastAsia="en-GB"/>
                <w14:ligatures w14:val="none"/>
              </w:rPr>
            </w:pPr>
            <w:r w:rsidRPr="009546BB">
              <w:rPr>
                <w:rFonts w:ascii="Aptos Narrow" w:eastAsia="Times New Roman" w:hAnsi="Aptos Narrow" w:cs="Times New Roman"/>
                <w:b/>
                <w:bCs/>
                <w:color w:val="000000"/>
                <w:kern w:val="0"/>
                <w:sz w:val="22"/>
                <w:szCs w:val="22"/>
                <w:rtl/>
                <w:lang w:val="en-GB" w:eastAsia="en-GB"/>
                <w14:ligatures w14:val="none"/>
              </w:rPr>
              <w:t>فاصل الثقة 95% للفروق (</w:t>
            </w:r>
            <w:r w:rsidRPr="009546BB">
              <w:rPr>
                <w:rFonts w:ascii="Aptos Narrow" w:eastAsia="Times New Roman" w:hAnsi="Aptos Narrow" w:cs="Times New Roman"/>
                <w:b/>
                <w:bCs/>
                <w:color w:val="000000"/>
                <w:kern w:val="0"/>
                <w:sz w:val="22"/>
                <w:szCs w:val="22"/>
                <w:lang w:val="en-GB" w:eastAsia="en-GB"/>
                <w14:ligatures w14:val="none"/>
              </w:rPr>
              <w:t>CI</w:t>
            </w:r>
            <w:r w:rsidRPr="009546BB">
              <w:rPr>
                <w:rFonts w:ascii="Aptos Narrow" w:eastAsia="Times New Roman" w:hAnsi="Aptos Narrow" w:cs="Times New Roman"/>
                <w:b/>
                <w:bCs/>
                <w:color w:val="000000"/>
                <w:kern w:val="0"/>
                <w:sz w:val="22"/>
                <w:szCs w:val="22"/>
                <w:rtl/>
                <w:lang w:val="en-GB" w:eastAsia="en-GB"/>
                <w14:ligatures w14:val="none"/>
              </w:rPr>
              <w:t>)</w:t>
            </w:r>
          </w:p>
        </w:tc>
        <w:tc>
          <w:tcPr>
            <w:tcW w:w="1060" w:type="dxa"/>
            <w:tcBorders>
              <w:top w:val="single" w:sz="4" w:space="0" w:color="auto"/>
              <w:left w:val="single" w:sz="4" w:space="0" w:color="auto"/>
              <w:bottom w:val="single" w:sz="4" w:space="0" w:color="auto"/>
              <w:right w:val="single" w:sz="4" w:space="0" w:color="auto"/>
            </w:tcBorders>
            <w:vAlign w:val="center"/>
            <w:hideMark/>
          </w:tcPr>
          <w:p w14:paraId="02ADAE56" w14:textId="77777777" w:rsidR="00793DFB" w:rsidRPr="009546BB" w:rsidRDefault="00793DFB" w:rsidP="009F1C88">
            <w:pPr>
              <w:bidi/>
              <w:spacing w:after="0" w:line="240" w:lineRule="auto"/>
              <w:jc w:val="center"/>
              <w:rPr>
                <w:rFonts w:ascii="Aptos Narrow" w:eastAsia="Times New Roman" w:hAnsi="Aptos Narrow" w:cs="Times New Roman"/>
                <w:b/>
                <w:bCs/>
                <w:color w:val="000000"/>
                <w:kern w:val="0"/>
                <w:sz w:val="22"/>
                <w:szCs w:val="22"/>
                <w:rtl/>
                <w:lang w:val="en-GB" w:eastAsia="en-GB"/>
                <w14:ligatures w14:val="none"/>
              </w:rPr>
            </w:pPr>
            <w:r w:rsidRPr="009546BB">
              <w:rPr>
                <w:rFonts w:ascii="Aptos Narrow" w:eastAsia="Times New Roman" w:hAnsi="Aptos Narrow" w:cs="Times New Roman"/>
                <w:b/>
                <w:bCs/>
                <w:color w:val="000000"/>
                <w:kern w:val="0"/>
                <w:sz w:val="22"/>
                <w:szCs w:val="22"/>
                <w:rtl/>
                <w:lang w:val="en-GB" w:eastAsia="en-GB"/>
                <w14:ligatures w14:val="none"/>
              </w:rPr>
              <w:t>نتيجة الاختبار</w:t>
            </w:r>
          </w:p>
        </w:tc>
      </w:tr>
      <w:tr w:rsidR="00793DFB" w:rsidRPr="009546BB" w14:paraId="0CF9532D" w14:textId="77777777" w:rsidTr="009F1C88">
        <w:trPr>
          <w:trHeight w:val="1104"/>
        </w:trPr>
        <w:tc>
          <w:tcPr>
            <w:tcW w:w="1060" w:type="dxa"/>
            <w:vMerge w:val="restart"/>
            <w:tcBorders>
              <w:top w:val="nil"/>
              <w:left w:val="single" w:sz="4" w:space="0" w:color="auto"/>
              <w:bottom w:val="single" w:sz="4" w:space="0" w:color="auto"/>
              <w:right w:val="single" w:sz="4" w:space="0" w:color="auto"/>
            </w:tcBorders>
            <w:vAlign w:val="center"/>
            <w:hideMark/>
          </w:tcPr>
          <w:p w14:paraId="6526E50B" w14:textId="77777777" w:rsidR="00793DFB" w:rsidRPr="009546BB" w:rsidRDefault="00793DFB" w:rsidP="009F1C88">
            <w:pPr>
              <w:bidi/>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9546BB">
              <w:rPr>
                <w:rFonts w:ascii="Aptos Narrow" w:eastAsia="Times New Roman" w:hAnsi="Aptos Narrow" w:cs="Times New Roman"/>
                <w:color w:val="000000"/>
                <w:kern w:val="0"/>
                <w:sz w:val="22"/>
                <w:szCs w:val="22"/>
                <w:rtl/>
                <w:lang w:val="en-GB" w:eastAsia="en-GB"/>
                <w14:ligatures w14:val="none"/>
              </w:rPr>
              <w:t>الأداء الإبداعي</w:t>
            </w:r>
          </w:p>
        </w:tc>
        <w:tc>
          <w:tcPr>
            <w:tcW w:w="1060" w:type="dxa"/>
            <w:tcBorders>
              <w:top w:val="nil"/>
              <w:left w:val="single" w:sz="4" w:space="0" w:color="auto"/>
              <w:bottom w:val="single" w:sz="4" w:space="0" w:color="auto"/>
              <w:right w:val="single" w:sz="4" w:space="0" w:color="auto"/>
            </w:tcBorders>
            <w:vAlign w:val="center"/>
            <w:hideMark/>
          </w:tcPr>
          <w:p w14:paraId="202DBE2D" w14:textId="7E7A40A1" w:rsidR="00793DFB" w:rsidRPr="009546BB" w:rsidRDefault="00EB39A8" w:rsidP="009F1C88">
            <w:pPr>
              <w:bidi/>
              <w:spacing w:after="0" w:line="240" w:lineRule="auto"/>
              <w:jc w:val="center"/>
              <w:rPr>
                <w:rFonts w:ascii="Aptos Narrow" w:eastAsia="Times New Roman" w:hAnsi="Aptos Narrow" w:cs="Times New Roman"/>
                <w:color w:val="000000"/>
                <w:kern w:val="0"/>
                <w:sz w:val="22"/>
                <w:szCs w:val="22"/>
                <w:rtl/>
                <w:lang w:val="en-GB" w:eastAsia="en-GB"/>
                <w14:ligatures w14:val="none"/>
              </w:rPr>
            </w:pPr>
            <w:r>
              <w:rPr>
                <w:rFonts w:ascii="Aptos Narrow" w:eastAsia="Times New Roman" w:hAnsi="Aptos Narrow" w:cs="Times New Roman" w:hint="cs"/>
                <w:color w:val="000000"/>
                <w:kern w:val="0"/>
                <w:sz w:val="22"/>
                <w:szCs w:val="22"/>
                <w:rtl/>
                <w:lang w:val="en-GB" w:eastAsia="en-GB"/>
                <w14:ligatures w14:val="none"/>
              </w:rPr>
              <w:t>الفنادق</w:t>
            </w:r>
          </w:p>
        </w:tc>
        <w:tc>
          <w:tcPr>
            <w:tcW w:w="1060" w:type="dxa"/>
            <w:tcBorders>
              <w:top w:val="nil"/>
              <w:left w:val="single" w:sz="4" w:space="0" w:color="auto"/>
              <w:bottom w:val="single" w:sz="4" w:space="0" w:color="auto"/>
              <w:right w:val="single" w:sz="4" w:space="0" w:color="auto"/>
            </w:tcBorders>
            <w:vAlign w:val="center"/>
            <w:hideMark/>
          </w:tcPr>
          <w:p w14:paraId="15E57C66"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3.4578</w:t>
            </w:r>
          </w:p>
        </w:tc>
        <w:tc>
          <w:tcPr>
            <w:tcW w:w="1060" w:type="dxa"/>
            <w:tcBorders>
              <w:top w:val="nil"/>
              <w:left w:val="single" w:sz="4" w:space="0" w:color="auto"/>
              <w:bottom w:val="single" w:sz="4" w:space="0" w:color="auto"/>
              <w:right w:val="single" w:sz="4" w:space="0" w:color="auto"/>
            </w:tcBorders>
            <w:vAlign w:val="center"/>
            <w:hideMark/>
          </w:tcPr>
          <w:p w14:paraId="1FE20370"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0.783</w:t>
            </w:r>
          </w:p>
        </w:tc>
        <w:tc>
          <w:tcPr>
            <w:tcW w:w="1060" w:type="dxa"/>
            <w:vMerge w:val="restart"/>
            <w:tcBorders>
              <w:top w:val="nil"/>
              <w:left w:val="single" w:sz="4" w:space="0" w:color="auto"/>
              <w:bottom w:val="single" w:sz="4" w:space="0" w:color="auto"/>
              <w:right w:val="single" w:sz="4" w:space="0" w:color="auto"/>
            </w:tcBorders>
            <w:vAlign w:val="center"/>
            <w:hideMark/>
          </w:tcPr>
          <w:p w14:paraId="3CAAA3DF"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-0.904</w:t>
            </w:r>
          </w:p>
        </w:tc>
        <w:tc>
          <w:tcPr>
            <w:tcW w:w="1060" w:type="dxa"/>
            <w:vMerge w:val="restart"/>
            <w:tcBorders>
              <w:top w:val="nil"/>
              <w:left w:val="single" w:sz="4" w:space="0" w:color="auto"/>
              <w:bottom w:val="single" w:sz="4" w:space="0" w:color="auto"/>
              <w:right w:val="single" w:sz="4" w:space="0" w:color="auto"/>
            </w:tcBorders>
            <w:vAlign w:val="center"/>
            <w:hideMark/>
          </w:tcPr>
          <w:p w14:paraId="795D8716"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398</w:t>
            </w:r>
          </w:p>
        </w:tc>
        <w:tc>
          <w:tcPr>
            <w:tcW w:w="1060" w:type="dxa"/>
            <w:vMerge w:val="restart"/>
            <w:tcBorders>
              <w:top w:val="nil"/>
              <w:left w:val="single" w:sz="4" w:space="0" w:color="auto"/>
              <w:bottom w:val="single" w:sz="4" w:space="0" w:color="auto"/>
              <w:right w:val="single" w:sz="4" w:space="0" w:color="auto"/>
            </w:tcBorders>
            <w:vAlign w:val="center"/>
            <w:hideMark/>
          </w:tcPr>
          <w:p w14:paraId="14145879"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0.367</w:t>
            </w:r>
          </w:p>
        </w:tc>
        <w:tc>
          <w:tcPr>
            <w:tcW w:w="1060" w:type="dxa"/>
            <w:vMerge w:val="restart"/>
            <w:tcBorders>
              <w:top w:val="nil"/>
              <w:left w:val="single" w:sz="4" w:space="0" w:color="auto"/>
              <w:bottom w:val="single" w:sz="4" w:space="0" w:color="auto"/>
              <w:right w:val="single" w:sz="4" w:space="0" w:color="auto"/>
            </w:tcBorders>
            <w:vAlign w:val="center"/>
            <w:hideMark/>
          </w:tcPr>
          <w:p w14:paraId="6B92C8A3"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[-0.</w:t>
            </w:r>
            <w:proofErr w:type="gramStart"/>
            <w:r w:rsidRPr="009546BB">
              <w:rPr>
                <w:rFonts w:ascii="Aptos Narrow" w:eastAsia="Times New Roman" w:hAnsi="Aptos Narrow" w:cs="Times New Roman"/>
                <w:color w:val="000000"/>
                <w:kern w:val="0"/>
                <w:sz w:val="22"/>
                <w:szCs w:val="22"/>
                <w:lang w:val="en-GB" w:eastAsia="en-GB"/>
                <w14:ligatures w14:val="none"/>
              </w:rPr>
              <w:t>22646 ,</w:t>
            </w:r>
            <w:proofErr w:type="gramEnd"/>
            <w:r w:rsidRPr="009546BB">
              <w:rPr>
                <w:rFonts w:ascii="Aptos Narrow" w:eastAsia="Times New Roman" w:hAnsi="Aptos Narrow" w:cs="Times New Roman"/>
                <w:color w:val="000000"/>
                <w:kern w:val="0"/>
                <w:sz w:val="22"/>
                <w:szCs w:val="22"/>
                <w:lang w:val="en-GB" w:eastAsia="en-GB"/>
                <w14:ligatures w14:val="none"/>
              </w:rPr>
              <w:t xml:space="preserve"> 0.08384]</w:t>
            </w:r>
          </w:p>
        </w:tc>
        <w:tc>
          <w:tcPr>
            <w:tcW w:w="1060" w:type="dxa"/>
            <w:vMerge w:val="restart"/>
            <w:tcBorders>
              <w:top w:val="nil"/>
              <w:left w:val="single" w:sz="4" w:space="0" w:color="auto"/>
              <w:bottom w:val="single" w:sz="4" w:space="0" w:color="auto"/>
              <w:right w:val="single" w:sz="4" w:space="0" w:color="auto"/>
            </w:tcBorders>
            <w:vAlign w:val="center"/>
            <w:hideMark/>
          </w:tcPr>
          <w:p w14:paraId="7927F545" w14:textId="77777777" w:rsidR="00793DFB" w:rsidRPr="009546BB"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rtl/>
                <w:lang w:val="en-GB" w:eastAsia="en-GB"/>
                <w14:ligatures w14:val="none"/>
              </w:rPr>
              <w:t>لا توجد فروق دالة إحصائيًا</w:t>
            </w:r>
          </w:p>
        </w:tc>
      </w:tr>
      <w:tr w:rsidR="00793DFB" w:rsidRPr="009546BB" w14:paraId="370FD159" w14:textId="77777777" w:rsidTr="009F1C88">
        <w:trPr>
          <w:trHeight w:val="312"/>
        </w:trPr>
        <w:tc>
          <w:tcPr>
            <w:tcW w:w="1060" w:type="dxa"/>
            <w:vMerge/>
            <w:tcBorders>
              <w:top w:val="nil"/>
              <w:left w:val="single" w:sz="4" w:space="0" w:color="auto"/>
              <w:bottom w:val="single" w:sz="4" w:space="0" w:color="auto"/>
              <w:right w:val="single" w:sz="4" w:space="0" w:color="auto"/>
            </w:tcBorders>
            <w:vAlign w:val="center"/>
            <w:hideMark/>
          </w:tcPr>
          <w:p w14:paraId="53F8A99B"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060" w:type="dxa"/>
            <w:tcBorders>
              <w:top w:val="nil"/>
              <w:left w:val="single" w:sz="4" w:space="0" w:color="auto"/>
              <w:bottom w:val="single" w:sz="4" w:space="0" w:color="auto"/>
              <w:right w:val="single" w:sz="4" w:space="0" w:color="auto"/>
            </w:tcBorders>
            <w:vAlign w:val="center"/>
            <w:hideMark/>
          </w:tcPr>
          <w:p w14:paraId="058F8B5C" w14:textId="386179C3" w:rsidR="00793DFB" w:rsidRPr="009546BB" w:rsidRDefault="00EB39A8" w:rsidP="009F1C88">
            <w:pPr>
              <w:bidi/>
              <w:spacing w:after="0" w:line="240" w:lineRule="auto"/>
              <w:jc w:val="center"/>
              <w:rPr>
                <w:rFonts w:ascii="Aptos Narrow" w:eastAsia="Times New Roman" w:hAnsi="Aptos Narrow" w:cs="Times New Roman"/>
                <w:color w:val="000000"/>
                <w:kern w:val="0"/>
                <w:sz w:val="22"/>
                <w:szCs w:val="22"/>
                <w:rtl/>
                <w:lang w:val="en-GB" w:eastAsia="en-GB"/>
                <w14:ligatures w14:val="none"/>
              </w:rPr>
            </w:pPr>
            <w:r>
              <w:rPr>
                <w:rFonts w:ascii="Aptos Narrow" w:eastAsia="Times New Roman" w:hAnsi="Aptos Narrow" w:cs="Times New Roman" w:hint="cs"/>
                <w:color w:val="000000"/>
                <w:kern w:val="0"/>
                <w:sz w:val="22"/>
                <w:szCs w:val="22"/>
                <w:rtl/>
                <w:lang w:val="en-GB" w:eastAsia="en-GB"/>
                <w14:ligatures w14:val="none"/>
              </w:rPr>
              <w:t>المطاعم</w:t>
            </w:r>
          </w:p>
        </w:tc>
        <w:tc>
          <w:tcPr>
            <w:tcW w:w="1060" w:type="dxa"/>
            <w:tcBorders>
              <w:top w:val="nil"/>
              <w:left w:val="single" w:sz="4" w:space="0" w:color="auto"/>
              <w:bottom w:val="single" w:sz="4" w:space="0" w:color="auto"/>
              <w:right w:val="single" w:sz="4" w:space="0" w:color="auto"/>
            </w:tcBorders>
            <w:vAlign w:val="center"/>
            <w:hideMark/>
          </w:tcPr>
          <w:p w14:paraId="6EE1F90C"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3.5291</w:t>
            </w:r>
          </w:p>
        </w:tc>
        <w:tc>
          <w:tcPr>
            <w:tcW w:w="1060" w:type="dxa"/>
            <w:tcBorders>
              <w:top w:val="nil"/>
              <w:left w:val="single" w:sz="4" w:space="0" w:color="auto"/>
              <w:bottom w:val="single" w:sz="4" w:space="0" w:color="auto"/>
              <w:right w:val="single" w:sz="4" w:space="0" w:color="auto"/>
            </w:tcBorders>
            <w:vAlign w:val="center"/>
            <w:hideMark/>
          </w:tcPr>
          <w:p w14:paraId="6E1C3D23"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0.7346</w:t>
            </w:r>
          </w:p>
        </w:tc>
        <w:tc>
          <w:tcPr>
            <w:tcW w:w="1060" w:type="dxa"/>
            <w:vMerge/>
            <w:tcBorders>
              <w:top w:val="nil"/>
              <w:left w:val="single" w:sz="4" w:space="0" w:color="auto"/>
              <w:bottom w:val="single" w:sz="4" w:space="0" w:color="auto"/>
              <w:right w:val="single" w:sz="4" w:space="0" w:color="auto"/>
            </w:tcBorders>
            <w:vAlign w:val="center"/>
            <w:hideMark/>
          </w:tcPr>
          <w:p w14:paraId="4C626A9D"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060" w:type="dxa"/>
            <w:vMerge/>
            <w:tcBorders>
              <w:top w:val="nil"/>
              <w:left w:val="single" w:sz="4" w:space="0" w:color="auto"/>
              <w:bottom w:val="single" w:sz="4" w:space="0" w:color="auto"/>
              <w:right w:val="single" w:sz="4" w:space="0" w:color="auto"/>
            </w:tcBorders>
            <w:vAlign w:val="center"/>
            <w:hideMark/>
          </w:tcPr>
          <w:p w14:paraId="76A0EF76"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060" w:type="dxa"/>
            <w:vMerge/>
            <w:tcBorders>
              <w:top w:val="nil"/>
              <w:left w:val="single" w:sz="4" w:space="0" w:color="auto"/>
              <w:bottom w:val="single" w:sz="4" w:space="0" w:color="auto"/>
              <w:right w:val="single" w:sz="4" w:space="0" w:color="auto"/>
            </w:tcBorders>
            <w:vAlign w:val="center"/>
            <w:hideMark/>
          </w:tcPr>
          <w:p w14:paraId="170F6753"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060" w:type="dxa"/>
            <w:vMerge/>
            <w:tcBorders>
              <w:top w:val="nil"/>
              <w:left w:val="single" w:sz="4" w:space="0" w:color="auto"/>
              <w:bottom w:val="single" w:sz="4" w:space="0" w:color="auto"/>
              <w:right w:val="single" w:sz="4" w:space="0" w:color="auto"/>
            </w:tcBorders>
            <w:vAlign w:val="center"/>
            <w:hideMark/>
          </w:tcPr>
          <w:p w14:paraId="44FB8C88"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060" w:type="dxa"/>
            <w:vMerge/>
            <w:tcBorders>
              <w:top w:val="nil"/>
              <w:left w:val="single" w:sz="4" w:space="0" w:color="auto"/>
              <w:bottom w:val="single" w:sz="4" w:space="0" w:color="auto"/>
              <w:right w:val="single" w:sz="4" w:space="0" w:color="auto"/>
            </w:tcBorders>
            <w:vAlign w:val="center"/>
            <w:hideMark/>
          </w:tcPr>
          <w:p w14:paraId="014B0BC9"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r>
      <w:tr w:rsidR="00793DFB" w:rsidRPr="009546BB" w14:paraId="51C8D406" w14:textId="77777777" w:rsidTr="009F1C88">
        <w:trPr>
          <w:trHeight w:val="924"/>
        </w:trPr>
        <w:tc>
          <w:tcPr>
            <w:tcW w:w="1060" w:type="dxa"/>
            <w:vMerge w:val="restart"/>
            <w:tcBorders>
              <w:top w:val="nil"/>
              <w:left w:val="single" w:sz="4" w:space="0" w:color="auto"/>
              <w:bottom w:val="single" w:sz="4" w:space="0" w:color="auto"/>
              <w:right w:val="single" w:sz="4" w:space="0" w:color="auto"/>
            </w:tcBorders>
            <w:vAlign w:val="center"/>
            <w:hideMark/>
          </w:tcPr>
          <w:p w14:paraId="74DF0711" w14:textId="77777777" w:rsidR="00793DFB" w:rsidRPr="009546BB"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rtl/>
                <w:lang w:val="en-GB" w:eastAsia="en-GB"/>
                <w14:ligatures w14:val="none"/>
              </w:rPr>
              <w:t>الثقافة التنظيمية</w:t>
            </w:r>
          </w:p>
        </w:tc>
        <w:tc>
          <w:tcPr>
            <w:tcW w:w="1060" w:type="dxa"/>
            <w:tcBorders>
              <w:top w:val="nil"/>
              <w:left w:val="single" w:sz="4" w:space="0" w:color="auto"/>
              <w:bottom w:val="single" w:sz="4" w:space="0" w:color="auto"/>
              <w:right w:val="single" w:sz="4" w:space="0" w:color="auto"/>
            </w:tcBorders>
            <w:vAlign w:val="center"/>
            <w:hideMark/>
          </w:tcPr>
          <w:p w14:paraId="2B1F0446" w14:textId="6C48B4FC" w:rsidR="00793DFB" w:rsidRPr="009546BB" w:rsidRDefault="00EB39A8" w:rsidP="009F1C88">
            <w:pPr>
              <w:bidi/>
              <w:spacing w:after="0" w:line="240" w:lineRule="auto"/>
              <w:jc w:val="center"/>
              <w:rPr>
                <w:rFonts w:ascii="Aptos Narrow" w:eastAsia="Times New Roman" w:hAnsi="Aptos Narrow" w:cs="Times New Roman"/>
                <w:color w:val="000000"/>
                <w:kern w:val="0"/>
                <w:sz w:val="22"/>
                <w:szCs w:val="22"/>
                <w:rtl/>
                <w:lang w:val="en-GB" w:eastAsia="en-GB"/>
                <w14:ligatures w14:val="none"/>
              </w:rPr>
            </w:pPr>
            <w:r>
              <w:rPr>
                <w:rFonts w:ascii="Aptos Narrow" w:eastAsia="Times New Roman" w:hAnsi="Aptos Narrow" w:cs="Times New Roman" w:hint="cs"/>
                <w:color w:val="000000"/>
                <w:kern w:val="0"/>
                <w:sz w:val="22"/>
                <w:szCs w:val="22"/>
                <w:rtl/>
                <w:lang w:val="en-GB" w:eastAsia="en-GB"/>
                <w14:ligatures w14:val="none"/>
              </w:rPr>
              <w:t>الفنادق</w:t>
            </w:r>
          </w:p>
        </w:tc>
        <w:tc>
          <w:tcPr>
            <w:tcW w:w="1060" w:type="dxa"/>
            <w:tcBorders>
              <w:top w:val="nil"/>
              <w:left w:val="single" w:sz="4" w:space="0" w:color="auto"/>
              <w:bottom w:val="single" w:sz="4" w:space="0" w:color="auto"/>
              <w:right w:val="single" w:sz="4" w:space="0" w:color="auto"/>
            </w:tcBorders>
            <w:vAlign w:val="center"/>
            <w:hideMark/>
          </w:tcPr>
          <w:p w14:paraId="5FF3B6E3"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3.4525</w:t>
            </w:r>
          </w:p>
        </w:tc>
        <w:tc>
          <w:tcPr>
            <w:tcW w:w="1060" w:type="dxa"/>
            <w:tcBorders>
              <w:top w:val="nil"/>
              <w:left w:val="single" w:sz="4" w:space="0" w:color="auto"/>
              <w:bottom w:val="single" w:sz="4" w:space="0" w:color="auto"/>
              <w:right w:val="single" w:sz="4" w:space="0" w:color="auto"/>
            </w:tcBorders>
            <w:vAlign w:val="center"/>
            <w:hideMark/>
          </w:tcPr>
          <w:p w14:paraId="23BC0AEB"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0.8264</w:t>
            </w:r>
          </w:p>
        </w:tc>
        <w:tc>
          <w:tcPr>
            <w:tcW w:w="1060" w:type="dxa"/>
            <w:vMerge w:val="restart"/>
            <w:tcBorders>
              <w:top w:val="nil"/>
              <w:left w:val="single" w:sz="4" w:space="0" w:color="auto"/>
              <w:bottom w:val="single" w:sz="4" w:space="0" w:color="auto"/>
              <w:right w:val="single" w:sz="4" w:space="0" w:color="auto"/>
            </w:tcBorders>
            <w:vAlign w:val="center"/>
            <w:hideMark/>
          </w:tcPr>
          <w:p w14:paraId="7FFB94C9"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-0.938</w:t>
            </w:r>
          </w:p>
        </w:tc>
        <w:tc>
          <w:tcPr>
            <w:tcW w:w="1060" w:type="dxa"/>
            <w:vMerge w:val="restart"/>
            <w:tcBorders>
              <w:top w:val="nil"/>
              <w:left w:val="single" w:sz="4" w:space="0" w:color="auto"/>
              <w:bottom w:val="single" w:sz="4" w:space="0" w:color="auto"/>
              <w:right w:val="single" w:sz="4" w:space="0" w:color="auto"/>
            </w:tcBorders>
            <w:vAlign w:val="center"/>
            <w:hideMark/>
          </w:tcPr>
          <w:p w14:paraId="7187E4CB"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398</w:t>
            </w:r>
          </w:p>
        </w:tc>
        <w:tc>
          <w:tcPr>
            <w:tcW w:w="1060" w:type="dxa"/>
            <w:vMerge w:val="restart"/>
            <w:tcBorders>
              <w:top w:val="nil"/>
              <w:left w:val="single" w:sz="4" w:space="0" w:color="auto"/>
              <w:bottom w:val="single" w:sz="4" w:space="0" w:color="auto"/>
              <w:right w:val="single" w:sz="4" w:space="0" w:color="auto"/>
            </w:tcBorders>
            <w:vAlign w:val="center"/>
            <w:hideMark/>
          </w:tcPr>
          <w:p w14:paraId="056130AB"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0.349</w:t>
            </w:r>
          </w:p>
        </w:tc>
        <w:tc>
          <w:tcPr>
            <w:tcW w:w="1060" w:type="dxa"/>
            <w:vMerge w:val="restart"/>
            <w:tcBorders>
              <w:top w:val="nil"/>
              <w:left w:val="single" w:sz="4" w:space="0" w:color="auto"/>
              <w:bottom w:val="single" w:sz="4" w:space="0" w:color="auto"/>
              <w:right w:val="single" w:sz="4" w:space="0" w:color="auto"/>
            </w:tcBorders>
            <w:vAlign w:val="center"/>
            <w:hideMark/>
          </w:tcPr>
          <w:p w14:paraId="7C94B967"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[-0.</w:t>
            </w:r>
            <w:proofErr w:type="gramStart"/>
            <w:r w:rsidRPr="009546BB">
              <w:rPr>
                <w:rFonts w:ascii="Aptos Narrow" w:eastAsia="Times New Roman" w:hAnsi="Aptos Narrow" w:cs="Times New Roman"/>
                <w:color w:val="000000"/>
                <w:kern w:val="0"/>
                <w:sz w:val="22"/>
                <w:szCs w:val="22"/>
                <w:lang w:val="en-GB" w:eastAsia="en-GB"/>
                <w14:ligatures w14:val="none"/>
              </w:rPr>
              <w:t>24161 ,</w:t>
            </w:r>
            <w:proofErr w:type="gramEnd"/>
            <w:r w:rsidRPr="009546BB">
              <w:rPr>
                <w:rFonts w:ascii="Aptos Narrow" w:eastAsia="Times New Roman" w:hAnsi="Aptos Narrow" w:cs="Times New Roman"/>
                <w:color w:val="000000"/>
                <w:kern w:val="0"/>
                <w:sz w:val="22"/>
                <w:szCs w:val="22"/>
                <w:lang w:val="en-GB" w:eastAsia="en-GB"/>
                <w14:ligatures w14:val="none"/>
              </w:rPr>
              <w:t xml:space="preserve"> 0.08549]</w:t>
            </w:r>
          </w:p>
        </w:tc>
        <w:tc>
          <w:tcPr>
            <w:tcW w:w="1060" w:type="dxa"/>
            <w:vMerge w:val="restart"/>
            <w:tcBorders>
              <w:top w:val="nil"/>
              <w:left w:val="single" w:sz="4" w:space="0" w:color="auto"/>
              <w:bottom w:val="single" w:sz="4" w:space="0" w:color="auto"/>
              <w:right w:val="single" w:sz="4" w:space="0" w:color="auto"/>
            </w:tcBorders>
            <w:vAlign w:val="center"/>
            <w:hideMark/>
          </w:tcPr>
          <w:p w14:paraId="7099A7D7" w14:textId="77777777" w:rsidR="00793DFB" w:rsidRPr="009546BB"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rtl/>
                <w:lang w:val="en-GB" w:eastAsia="en-GB"/>
                <w14:ligatures w14:val="none"/>
              </w:rPr>
              <w:t>لا توجد فروق دالة إحصائيًا</w:t>
            </w:r>
          </w:p>
        </w:tc>
      </w:tr>
      <w:tr w:rsidR="00793DFB" w:rsidRPr="009546BB" w14:paraId="78928A08" w14:textId="77777777" w:rsidTr="009F1C88">
        <w:trPr>
          <w:trHeight w:val="312"/>
        </w:trPr>
        <w:tc>
          <w:tcPr>
            <w:tcW w:w="1060" w:type="dxa"/>
            <w:vMerge/>
            <w:tcBorders>
              <w:top w:val="nil"/>
              <w:left w:val="single" w:sz="4" w:space="0" w:color="auto"/>
              <w:bottom w:val="single" w:sz="4" w:space="0" w:color="auto"/>
              <w:right w:val="single" w:sz="4" w:space="0" w:color="auto"/>
            </w:tcBorders>
            <w:vAlign w:val="center"/>
            <w:hideMark/>
          </w:tcPr>
          <w:p w14:paraId="207AB9D5"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060" w:type="dxa"/>
            <w:tcBorders>
              <w:top w:val="nil"/>
              <w:left w:val="single" w:sz="4" w:space="0" w:color="auto"/>
              <w:bottom w:val="single" w:sz="4" w:space="0" w:color="auto"/>
              <w:right w:val="single" w:sz="4" w:space="0" w:color="auto"/>
            </w:tcBorders>
            <w:vAlign w:val="center"/>
            <w:hideMark/>
          </w:tcPr>
          <w:p w14:paraId="1F37D714" w14:textId="40873978" w:rsidR="00793DFB" w:rsidRPr="009546BB" w:rsidRDefault="00EB39A8" w:rsidP="009F1C88">
            <w:pPr>
              <w:bidi/>
              <w:spacing w:after="0" w:line="240" w:lineRule="auto"/>
              <w:jc w:val="center"/>
              <w:rPr>
                <w:rFonts w:ascii="Aptos Narrow" w:eastAsia="Times New Roman" w:hAnsi="Aptos Narrow" w:cs="Times New Roman"/>
                <w:color w:val="000000"/>
                <w:kern w:val="0"/>
                <w:sz w:val="22"/>
                <w:szCs w:val="22"/>
                <w:rtl/>
                <w:lang w:val="en-GB" w:eastAsia="en-GB"/>
                <w14:ligatures w14:val="none"/>
              </w:rPr>
            </w:pPr>
            <w:r>
              <w:rPr>
                <w:rFonts w:ascii="Aptos Narrow" w:eastAsia="Times New Roman" w:hAnsi="Aptos Narrow" w:cs="Times New Roman" w:hint="cs"/>
                <w:color w:val="000000"/>
                <w:kern w:val="0"/>
                <w:sz w:val="22"/>
                <w:szCs w:val="22"/>
                <w:rtl/>
                <w:lang w:val="en-GB" w:eastAsia="en-GB"/>
                <w14:ligatures w14:val="none"/>
              </w:rPr>
              <w:t>المطاعم</w:t>
            </w:r>
          </w:p>
        </w:tc>
        <w:tc>
          <w:tcPr>
            <w:tcW w:w="1060" w:type="dxa"/>
            <w:tcBorders>
              <w:top w:val="nil"/>
              <w:left w:val="single" w:sz="4" w:space="0" w:color="auto"/>
              <w:bottom w:val="single" w:sz="4" w:space="0" w:color="auto"/>
              <w:right w:val="single" w:sz="4" w:space="0" w:color="auto"/>
            </w:tcBorders>
            <w:vAlign w:val="center"/>
            <w:hideMark/>
          </w:tcPr>
          <w:p w14:paraId="3C42E4AC"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3.5305</w:t>
            </w:r>
          </w:p>
        </w:tc>
        <w:tc>
          <w:tcPr>
            <w:tcW w:w="1060" w:type="dxa"/>
            <w:tcBorders>
              <w:top w:val="nil"/>
              <w:left w:val="single" w:sz="4" w:space="0" w:color="auto"/>
              <w:bottom w:val="single" w:sz="4" w:space="0" w:color="auto"/>
              <w:right w:val="single" w:sz="4" w:space="0" w:color="auto"/>
            </w:tcBorders>
            <w:vAlign w:val="center"/>
            <w:hideMark/>
          </w:tcPr>
          <w:p w14:paraId="6D4B5C1E"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0.7727</w:t>
            </w:r>
          </w:p>
        </w:tc>
        <w:tc>
          <w:tcPr>
            <w:tcW w:w="1060" w:type="dxa"/>
            <w:vMerge/>
            <w:tcBorders>
              <w:top w:val="nil"/>
              <w:left w:val="single" w:sz="4" w:space="0" w:color="auto"/>
              <w:bottom w:val="single" w:sz="4" w:space="0" w:color="auto"/>
              <w:right w:val="single" w:sz="4" w:space="0" w:color="auto"/>
            </w:tcBorders>
            <w:vAlign w:val="center"/>
            <w:hideMark/>
          </w:tcPr>
          <w:p w14:paraId="7F19EF98"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060" w:type="dxa"/>
            <w:vMerge/>
            <w:tcBorders>
              <w:top w:val="nil"/>
              <w:left w:val="single" w:sz="4" w:space="0" w:color="auto"/>
              <w:bottom w:val="single" w:sz="4" w:space="0" w:color="auto"/>
              <w:right w:val="single" w:sz="4" w:space="0" w:color="auto"/>
            </w:tcBorders>
            <w:vAlign w:val="center"/>
            <w:hideMark/>
          </w:tcPr>
          <w:p w14:paraId="21098E6F"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060" w:type="dxa"/>
            <w:vMerge/>
            <w:tcBorders>
              <w:top w:val="nil"/>
              <w:left w:val="single" w:sz="4" w:space="0" w:color="auto"/>
              <w:bottom w:val="single" w:sz="4" w:space="0" w:color="auto"/>
              <w:right w:val="single" w:sz="4" w:space="0" w:color="auto"/>
            </w:tcBorders>
            <w:vAlign w:val="center"/>
            <w:hideMark/>
          </w:tcPr>
          <w:p w14:paraId="06AA07AD"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060" w:type="dxa"/>
            <w:vMerge/>
            <w:tcBorders>
              <w:top w:val="nil"/>
              <w:left w:val="single" w:sz="4" w:space="0" w:color="auto"/>
              <w:bottom w:val="single" w:sz="4" w:space="0" w:color="auto"/>
              <w:right w:val="single" w:sz="4" w:space="0" w:color="auto"/>
            </w:tcBorders>
            <w:vAlign w:val="center"/>
            <w:hideMark/>
          </w:tcPr>
          <w:p w14:paraId="43F53909"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060" w:type="dxa"/>
            <w:vMerge/>
            <w:tcBorders>
              <w:top w:val="nil"/>
              <w:left w:val="single" w:sz="4" w:space="0" w:color="auto"/>
              <w:bottom w:val="single" w:sz="4" w:space="0" w:color="auto"/>
              <w:right w:val="single" w:sz="4" w:space="0" w:color="auto"/>
            </w:tcBorders>
            <w:vAlign w:val="center"/>
            <w:hideMark/>
          </w:tcPr>
          <w:p w14:paraId="3199E929"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r>
      <w:tr w:rsidR="00793DFB" w:rsidRPr="009546BB" w14:paraId="30648BA3" w14:textId="77777777" w:rsidTr="009F1C88">
        <w:trPr>
          <w:trHeight w:val="900"/>
        </w:trPr>
        <w:tc>
          <w:tcPr>
            <w:tcW w:w="1060" w:type="dxa"/>
            <w:vMerge w:val="restart"/>
            <w:tcBorders>
              <w:top w:val="nil"/>
              <w:left w:val="single" w:sz="4" w:space="0" w:color="auto"/>
              <w:bottom w:val="single" w:sz="4" w:space="0" w:color="auto"/>
              <w:right w:val="single" w:sz="4" w:space="0" w:color="auto"/>
            </w:tcBorders>
            <w:vAlign w:val="center"/>
            <w:hideMark/>
          </w:tcPr>
          <w:p w14:paraId="28C64154" w14:textId="77777777" w:rsidR="00793DFB" w:rsidRPr="009546BB"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rtl/>
                <w:lang w:val="en-GB" w:eastAsia="en-GB"/>
                <w14:ligatures w14:val="none"/>
              </w:rPr>
              <w:t>أنظمة العمل عالية الأداء</w:t>
            </w:r>
          </w:p>
        </w:tc>
        <w:tc>
          <w:tcPr>
            <w:tcW w:w="1060" w:type="dxa"/>
            <w:tcBorders>
              <w:top w:val="nil"/>
              <w:left w:val="single" w:sz="4" w:space="0" w:color="auto"/>
              <w:bottom w:val="single" w:sz="4" w:space="0" w:color="auto"/>
              <w:right w:val="single" w:sz="4" w:space="0" w:color="auto"/>
            </w:tcBorders>
            <w:vAlign w:val="center"/>
            <w:hideMark/>
          </w:tcPr>
          <w:p w14:paraId="58C5070F" w14:textId="6A216C95" w:rsidR="00793DFB" w:rsidRPr="009546BB" w:rsidRDefault="00EB39A8" w:rsidP="009F1C88">
            <w:pPr>
              <w:bidi/>
              <w:spacing w:after="0" w:line="240" w:lineRule="auto"/>
              <w:jc w:val="center"/>
              <w:rPr>
                <w:rFonts w:ascii="Aptos Narrow" w:eastAsia="Times New Roman" w:hAnsi="Aptos Narrow" w:cs="Times New Roman"/>
                <w:color w:val="000000"/>
                <w:kern w:val="0"/>
                <w:sz w:val="22"/>
                <w:szCs w:val="22"/>
                <w:rtl/>
                <w:lang w:val="en-GB" w:eastAsia="en-GB"/>
                <w14:ligatures w14:val="none"/>
              </w:rPr>
            </w:pPr>
            <w:r>
              <w:rPr>
                <w:rFonts w:ascii="Aptos Narrow" w:eastAsia="Times New Roman" w:hAnsi="Aptos Narrow" w:cs="Times New Roman" w:hint="cs"/>
                <w:color w:val="000000"/>
                <w:kern w:val="0"/>
                <w:sz w:val="22"/>
                <w:szCs w:val="22"/>
                <w:rtl/>
                <w:lang w:val="en-GB" w:eastAsia="en-GB"/>
                <w14:ligatures w14:val="none"/>
              </w:rPr>
              <w:t>الفنادق</w:t>
            </w:r>
          </w:p>
        </w:tc>
        <w:tc>
          <w:tcPr>
            <w:tcW w:w="1060" w:type="dxa"/>
            <w:tcBorders>
              <w:top w:val="nil"/>
              <w:left w:val="single" w:sz="4" w:space="0" w:color="auto"/>
              <w:bottom w:val="single" w:sz="4" w:space="0" w:color="auto"/>
              <w:right w:val="single" w:sz="4" w:space="0" w:color="auto"/>
            </w:tcBorders>
            <w:vAlign w:val="center"/>
            <w:hideMark/>
          </w:tcPr>
          <w:p w14:paraId="19ACB899"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3.4102</w:t>
            </w:r>
          </w:p>
        </w:tc>
        <w:tc>
          <w:tcPr>
            <w:tcW w:w="1060" w:type="dxa"/>
            <w:tcBorders>
              <w:top w:val="nil"/>
              <w:left w:val="single" w:sz="4" w:space="0" w:color="auto"/>
              <w:bottom w:val="single" w:sz="4" w:space="0" w:color="auto"/>
              <w:right w:val="single" w:sz="4" w:space="0" w:color="auto"/>
            </w:tcBorders>
            <w:vAlign w:val="center"/>
            <w:hideMark/>
          </w:tcPr>
          <w:p w14:paraId="12327983"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0.7927</w:t>
            </w:r>
          </w:p>
        </w:tc>
        <w:tc>
          <w:tcPr>
            <w:tcW w:w="1060" w:type="dxa"/>
            <w:vMerge w:val="restart"/>
            <w:tcBorders>
              <w:top w:val="nil"/>
              <w:left w:val="single" w:sz="4" w:space="0" w:color="auto"/>
              <w:bottom w:val="single" w:sz="4" w:space="0" w:color="auto"/>
              <w:right w:val="single" w:sz="4" w:space="0" w:color="auto"/>
            </w:tcBorders>
            <w:vAlign w:val="center"/>
            <w:hideMark/>
          </w:tcPr>
          <w:p w14:paraId="356C4559"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-0.81</w:t>
            </w:r>
          </w:p>
        </w:tc>
        <w:tc>
          <w:tcPr>
            <w:tcW w:w="1060" w:type="dxa"/>
            <w:vMerge w:val="restart"/>
            <w:tcBorders>
              <w:top w:val="nil"/>
              <w:left w:val="single" w:sz="4" w:space="0" w:color="auto"/>
              <w:bottom w:val="single" w:sz="4" w:space="0" w:color="auto"/>
              <w:right w:val="single" w:sz="4" w:space="0" w:color="auto"/>
            </w:tcBorders>
            <w:vAlign w:val="center"/>
            <w:hideMark/>
          </w:tcPr>
          <w:p w14:paraId="15AD2800"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398</w:t>
            </w:r>
          </w:p>
        </w:tc>
        <w:tc>
          <w:tcPr>
            <w:tcW w:w="1060" w:type="dxa"/>
            <w:vMerge w:val="restart"/>
            <w:tcBorders>
              <w:top w:val="nil"/>
              <w:left w:val="single" w:sz="4" w:space="0" w:color="auto"/>
              <w:bottom w:val="single" w:sz="4" w:space="0" w:color="auto"/>
              <w:right w:val="single" w:sz="4" w:space="0" w:color="auto"/>
            </w:tcBorders>
            <w:vAlign w:val="center"/>
            <w:hideMark/>
          </w:tcPr>
          <w:p w14:paraId="2EE4321C"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0.418</w:t>
            </w:r>
          </w:p>
        </w:tc>
        <w:tc>
          <w:tcPr>
            <w:tcW w:w="1060" w:type="dxa"/>
            <w:vMerge w:val="restart"/>
            <w:tcBorders>
              <w:top w:val="nil"/>
              <w:left w:val="single" w:sz="4" w:space="0" w:color="auto"/>
              <w:bottom w:val="single" w:sz="4" w:space="0" w:color="auto"/>
              <w:right w:val="single" w:sz="4" w:space="0" w:color="auto"/>
            </w:tcBorders>
            <w:vAlign w:val="center"/>
            <w:hideMark/>
          </w:tcPr>
          <w:p w14:paraId="03633929"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[-0.</w:t>
            </w:r>
            <w:proofErr w:type="gramStart"/>
            <w:r w:rsidRPr="009546BB">
              <w:rPr>
                <w:rFonts w:ascii="Aptos Narrow" w:eastAsia="Times New Roman" w:hAnsi="Aptos Narrow" w:cs="Times New Roman"/>
                <w:color w:val="000000"/>
                <w:kern w:val="0"/>
                <w:sz w:val="22"/>
                <w:szCs w:val="22"/>
                <w:lang w:val="en-GB" w:eastAsia="en-GB"/>
                <w14:ligatures w14:val="none"/>
              </w:rPr>
              <w:t>22054 ,</w:t>
            </w:r>
            <w:proofErr w:type="gramEnd"/>
            <w:r w:rsidRPr="009546BB">
              <w:rPr>
                <w:rFonts w:ascii="Aptos Narrow" w:eastAsia="Times New Roman" w:hAnsi="Aptos Narrow" w:cs="Times New Roman"/>
                <w:color w:val="000000"/>
                <w:kern w:val="0"/>
                <w:sz w:val="22"/>
                <w:szCs w:val="22"/>
                <w:lang w:val="en-GB" w:eastAsia="en-GB"/>
                <w14:ligatures w14:val="none"/>
              </w:rPr>
              <w:t xml:space="preserve"> 0.09183]</w:t>
            </w:r>
          </w:p>
        </w:tc>
        <w:tc>
          <w:tcPr>
            <w:tcW w:w="1060" w:type="dxa"/>
            <w:vMerge w:val="restart"/>
            <w:tcBorders>
              <w:top w:val="nil"/>
              <w:left w:val="single" w:sz="4" w:space="0" w:color="auto"/>
              <w:bottom w:val="single" w:sz="4" w:space="0" w:color="auto"/>
              <w:right w:val="single" w:sz="4" w:space="0" w:color="auto"/>
            </w:tcBorders>
            <w:vAlign w:val="center"/>
            <w:hideMark/>
          </w:tcPr>
          <w:p w14:paraId="10949D55" w14:textId="77777777" w:rsidR="00793DFB" w:rsidRPr="009546BB"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rtl/>
                <w:lang w:val="en-GB" w:eastAsia="en-GB"/>
                <w14:ligatures w14:val="none"/>
              </w:rPr>
              <w:t>لا توجد فروق دالة إحصائيًا</w:t>
            </w:r>
          </w:p>
        </w:tc>
      </w:tr>
      <w:tr w:rsidR="00793DFB" w:rsidRPr="009546BB" w14:paraId="0D0347AA" w14:textId="77777777" w:rsidTr="009F1C88">
        <w:trPr>
          <w:trHeight w:val="276"/>
        </w:trPr>
        <w:tc>
          <w:tcPr>
            <w:tcW w:w="1060" w:type="dxa"/>
            <w:vMerge/>
            <w:tcBorders>
              <w:top w:val="nil"/>
              <w:left w:val="single" w:sz="4" w:space="0" w:color="auto"/>
              <w:bottom w:val="single" w:sz="4" w:space="0" w:color="auto"/>
              <w:right w:val="single" w:sz="4" w:space="0" w:color="auto"/>
            </w:tcBorders>
            <w:vAlign w:val="center"/>
            <w:hideMark/>
          </w:tcPr>
          <w:p w14:paraId="1C4DCA2D"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060" w:type="dxa"/>
            <w:tcBorders>
              <w:top w:val="nil"/>
              <w:left w:val="single" w:sz="4" w:space="0" w:color="auto"/>
              <w:bottom w:val="single" w:sz="4" w:space="0" w:color="auto"/>
              <w:right w:val="single" w:sz="4" w:space="0" w:color="auto"/>
            </w:tcBorders>
            <w:vAlign w:val="center"/>
            <w:hideMark/>
          </w:tcPr>
          <w:p w14:paraId="6F51F1A4" w14:textId="15092276" w:rsidR="00793DFB" w:rsidRPr="009546BB" w:rsidRDefault="00EB39A8" w:rsidP="009F1C88">
            <w:pPr>
              <w:bidi/>
              <w:spacing w:after="0" w:line="240" w:lineRule="auto"/>
              <w:jc w:val="center"/>
              <w:rPr>
                <w:rFonts w:ascii="Aptos Narrow" w:eastAsia="Times New Roman" w:hAnsi="Aptos Narrow" w:cs="Times New Roman"/>
                <w:color w:val="000000"/>
                <w:kern w:val="0"/>
                <w:sz w:val="22"/>
                <w:szCs w:val="22"/>
                <w:rtl/>
                <w:lang w:val="en-GB" w:eastAsia="en-GB"/>
                <w14:ligatures w14:val="none"/>
              </w:rPr>
            </w:pPr>
            <w:r>
              <w:rPr>
                <w:rFonts w:ascii="Aptos Narrow" w:eastAsia="Times New Roman" w:hAnsi="Aptos Narrow" w:cs="Times New Roman" w:hint="cs"/>
                <w:color w:val="000000"/>
                <w:kern w:val="0"/>
                <w:sz w:val="22"/>
                <w:szCs w:val="22"/>
                <w:rtl/>
                <w:lang w:val="en-GB" w:eastAsia="en-GB"/>
                <w14:ligatures w14:val="none"/>
              </w:rPr>
              <w:t>المطاعم</w:t>
            </w:r>
          </w:p>
        </w:tc>
        <w:tc>
          <w:tcPr>
            <w:tcW w:w="1060" w:type="dxa"/>
            <w:tcBorders>
              <w:top w:val="nil"/>
              <w:left w:val="single" w:sz="4" w:space="0" w:color="auto"/>
              <w:bottom w:val="single" w:sz="4" w:space="0" w:color="auto"/>
              <w:right w:val="single" w:sz="4" w:space="0" w:color="auto"/>
            </w:tcBorders>
            <w:vAlign w:val="center"/>
            <w:hideMark/>
          </w:tcPr>
          <w:p w14:paraId="35B023DA"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3.4745</w:t>
            </w:r>
          </w:p>
        </w:tc>
        <w:tc>
          <w:tcPr>
            <w:tcW w:w="1060" w:type="dxa"/>
            <w:tcBorders>
              <w:top w:val="nil"/>
              <w:left w:val="single" w:sz="4" w:space="0" w:color="auto"/>
              <w:bottom w:val="single" w:sz="4" w:space="0" w:color="auto"/>
              <w:right w:val="single" w:sz="4" w:space="0" w:color="auto"/>
            </w:tcBorders>
            <w:vAlign w:val="center"/>
            <w:hideMark/>
          </w:tcPr>
          <w:p w14:paraId="415C4507" w14:textId="77777777" w:rsidR="00793DFB" w:rsidRPr="009546BB"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9546BB">
              <w:rPr>
                <w:rFonts w:ascii="Aptos Narrow" w:eastAsia="Times New Roman" w:hAnsi="Aptos Narrow" w:cs="Times New Roman"/>
                <w:color w:val="000000"/>
                <w:kern w:val="0"/>
                <w:sz w:val="22"/>
                <w:szCs w:val="22"/>
                <w:lang w:val="en-GB" w:eastAsia="en-GB"/>
                <w14:ligatures w14:val="none"/>
              </w:rPr>
              <w:t>0.7315</w:t>
            </w:r>
          </w:p>
        </w:tc>
        <w:tc>
          <w:tcPr>
            <w:tcW w:w="1060" w:type="dxa"/>
            <w:vMerge/>
            <w:tcBorders>
              <w:top w:val="nil"/>
              <w:left w:val="single" w:sz="4" w:space="0" w:color="auto"/>
              <w:bottom w:val="single" w:sz="4" w:space="0" w:color="auto"/>
              <w:right w:val="single" w:sz="4" w:space="0" w:color="auto"/>
            </w:tcBorders>
            <w:vAlign w:val="center"/>
            <w:hideMark/>
          </w:tcPr>
          <w:p w14:paraId="0BD0E76D"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060" w:type="dxa"/>
            <w:vMerge/>
            <w:tcBorders>
              <w:top w:val="nil"/>
              <w:left w:val="single" w:sz="4" w:space="0" w:color="auto"/>
              <w:bottom w:val="single" w:sz="4" w:space="0" w:color="auto"/>
              <w:right w:val="single" w:sz="4" w:space="0" w:color="auto"/>
            </w:tcBorders>
            <w:vAlign w:val="center"/>
            <w:hideMark/>
          </w:tcPr>
          <w:p w14:paraId="684AF7D1"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060" w:type="dxa"/>
            <w:vMerge/>
            <w:tcBorders>
              <w:top w:val="nil"/>
              <w:left w:val="single" w:sz="4" w:space="0" w:color="auto"/>
              <w:bottom w:val="single" w:sz="4" w:space="0" w:color="auto"/>
              <w:right w:val="single" w:sz="4" w:space="0" w:color="auto"/>
            </w:tcBorders>
            <w:vAlign w:val="center"/>
            <w:hideMark/>
          </w:tcPr>
          <w:p w14:paraId="1F12081C"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060" w:type="dxa"/>
            <w:vMerge/>
            <w:tcBorders>
              <w:top w:val="nil"/>
              <w:left w:val="single" w:sz="4" w:space="0" w:color="auto"/>
              <w:bottom w:val="single" w:sz="4" w:space="0" w:color="auto"/>
              <w:right w:val="single" w:sz="4" w:space="0" w:color="auto"/>
            </w:tcBorders>
            <w:vAlign w:val="center"/>
            <w:hideMark/>
          </w:tcPr>
          <w:p w14:paraId="11CDE554"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060" w:type="dxa"/>
            <w:vMerge/>
            <w:tcBorders>
              <w:top w:val="nil"/>
              <w:left w:val="single" w:sz="4" w:space="0" w:color="auto"/>
              <w:bottom w:val="single" w:sz="4" w:space="0" w:color="auto"/>
              <w:right w:val="single" w:sz="4" w:space="0" w:color="auto"/>
            </w:tcBorders>
            <w:vAlign w:val="center"/>
            <w:hideMark/>
          </w:tcPr>
          <w:p w14:paraId="22E3821D" w14:textId="77777777" w:rsidR="00793DFB" w:rsidRPr="009546BB"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r>
    </w:tbl>
    <w:p w14:paraId="51E0EFEA" w14:textId="77777777" w:rsidR="00793DFB" w:rsidRPr="009546BB" w:rsidRDefault="00793DFB" w:rsidP="00793DFB">
      <w:pPr>
        <w:bidi/>
        <w:rPr>
          <w:lang w:val="en-GB" w:bidi="ar-EG"/>
        </w:rPr>
      </w:pPr>
    </w:p>
    <w:p w14:paraId="3D60D5D3" w14:textId="77777777" w:rsidR="00793DFB" w:rsidRPr="008873C9" w:rsidRDefault="00793DFB" w:rsidP="00793DFB">
      <w:pPr>
        <w:bidi/>
        <w:rPr>
          <w:lang w:bidi="ar-EG"/>
        </w:rPr>
      </w:pPr>
      <w:r w:rsidRPr="008873C9">
        <w:rPr>
          <w:rtl/>
        </w:rPr>
        <w:t>أظهرت نتائج اختبار</w:t>
      </w:r>
      <w:r w:rsidRPr="008873C9">
        <w:rPr>
          <w:lang w:bidi="ar-EG"/>
        </w:rPr>
        <w:t xml:space="preserve"> Levene </w:t>
      </w:r>
      <w:r w:rsidRPr="008873C9">
        <w:rPr>
          <w:rtl/>
        </w:rPr>
        <w:t>عدم وجود فروق دالة في التباينات بين المجموعتين في جميع المتغيرات</w:t>
      </w:r>
      <w:r w:rsidRPr="008873C9">
        <w:rPr>
          <w:lang w:bidi="ar-EG"/>
        </w:rPr>
        <w:t xml:space="preserve"> (Sig &gt; 0.05)</w:t>
      </w:r>
      <w:r w:rsidRPr="008873C9">
        <w:rPr>
          <w:rtl/>
        </w:rPr>
        <w:t>، حيث بلغت قيمة الدلالة للأداء الإبداعي (0.086)، وللثقافة التنظيمية (0.187)، ولأنظمة العمل عالية الأداء (0.121)، مما يسمح باعتماد نتائج صف</w:t>
      </w:r>
      <w:r w:rsidRPr="008873C9">
        <w:rPr>
          <w:lang w:bidi="ar-EG"/>
        </w:rPr>
        <w:t xml:space="preserve"> "Equal variances assumed".</w:t>
      </w:r>
    </w:p>
    <w:p w14:paraId="46F7D61F" w14:textId="4580DACD" w:rsidR="00793DFB" w:rsidRPr="008873C9" w:rsidRDefault="00793DFB" w:rsidP="00793DFB">
      <w:pPr>
        <w:bidi/>
        <w:rPr>
          <w:lang w:bidi="ar-EG"/>
        </w:rPr>
      </w:pPr>
      <w:r w:rsidRPr="008873C9">
        <w:rPr>
          <w:rtl/>
        </w:rPr>
        <w:lastRenderedPageBreak/>
        <w:t>فيما يتعلق بالأداء الإبداعي، بلغ المتوسط الحسابي في القطاع الفندقي</w:t>
      </w:r>
      <w:r w:rsidRPr="008873C9">
        <w:rPr>
          <w:lang w:bidi="ar-EG"/>
        </w:rPr>
        <w:t xml:space="preserve"> (M = 3.4578</w:t>
      </w:r>
      <w:r w:rsidRPr="008873C9">
        <w:rPr>
          <w:rtl/>
        </w:rPr>
        <w:t xml:space="preserve">، </w:t>
      </w:r>
      <w:r w:rsidRPr="008873C9">
        <w:rPr>
          <w:lang w:bidi="ar-EG"/>
        </w:rPr>
        <w:t xml:space="preserve">SD = 0.7830) </w:t>
      </w:r>
      <w:r w:rsidRPr="008873C9">
        <w:rPr>
          <w:rtl/>
        </w:rPr>
        <w:t>مقابل</w:t>
      </w:r>
      <w:r w:rsidRPr="008873C9">
        <w:rPr>
          <w:lang w:bidi="ar-EG"/>
        </w:rPr>
        <w:t xml:space="preserve"> (M = 3.5291</w:t>
      </w:r>
      <w:r w:rsidRPr="008873C9">
        <w:rPr>
          <w:rtl/>
        </w:rPr>
        <w:t xml:space="preserve">، </w:t>
      </w:r>
      <w:r w:rsidRPr="008873C9">
        <w:rPr>
          <w:lang w:bidi="ar-EG"/>
        </w:rPr>
        <w:t xml:space="preserve">SD = 0.7346) </w:t>
      </w:r>
      <w:r w:rsidRPr="008873C9">
        <w:rPr>
          <w:rtl/>
        </w:rPr>
        <w:t xml:space="preserve">في القطاع </w:t>
      </w:r>
      <w:r w:rsidR="00EB39A8">
        <w:rPr>
          <w:rFonts w:hint="cs"/>
          <w:rtl/>
        </w:rPr>
        <w:t>المطاعم</w:t>
      </w:r>
      <w:r w:rsidRPr="008873C9">
        <w:rPr>
          <w:rtl/>
        </w:rPr>
        <w:t>. وأظهرت نتائج اختبار</w:t>
      </w:r>
      <w:r w:rsidRPr="008873C9">
        <w:rPr>
          <w:lang w:bidi="ar-EG"/>
        </w:rPr>
        <w:t xml:space="preserve"> (t) </w:t>
      </w:r>
      <w:r w:rsidRPr="008873C9">
        <w:rPr>
          <w:rtl/>
        </w:rPr>
        <w:t>عدم وجود فروق ذات دلالة إحصائية بين القطاعين</w:t>
      </w:r>
      <w:r w:rsidRPr="008873C9">
        <w:rPr>
          <w:lang w:bidi="ar-EG"/>
        </w:rPr>
        <w:t xml:space="preserve"> (t = -0.904</w:t>
      </w:r>
      <w:r w:rsidRPr="008873C9">
        <w:rPr>
          <w:rtl/>
        </w:rPr>
        <w:t xml:space="preserve">، </w:t>
      </w:r>
      <w:proofErr w:type="spellStart"/>
      <w:r w:rsidRPr="008873C9">
        <w:rPr>
          <w:lang w:bidi="ar-EG"/>
        </w:rPr>
        <w:t>df</w:t>
      </w:r>
      <w:proofErr w:type="spellEnd"/>
      <w:r w:rsidRPr="008873C9">
        <w:rPr>
          <w:lang w:bidi="ar-EG"/>
        </w:rPr>
        <w:t xml:space="preserve"> = 398</w:t>
      </w:r>
      <w:r w:rsidRPr="008873C9">
        <w:rPr>
          <w:rtl/>
        </w:rPr>
        <w:t xml:space="preserve">، </w:t>
      </w:r>
      <w:r w:rsidRPr="008873C9">
        <w:rPr>
          <w:lang w:bidi="ar-EG"/>
        </w:rPr>
        <w:t>p = 0.367)</w:t>
      </w:r>
      <w:r w:rsidRPr="008873C9">
        <w:rPr>
          <w:rtl/>
        </w:rPr>
        <w:t>، حيث شمل فاصل الثقة 95% الفرق الصفري</w:t>
      </w:r>
      <w:r w:rsidRPr="008873C9">
        <w:rPr>
          <w:lang w:bidi="ar-EG"/>
        </w:rPr>
        <w:t xml:space="preserve"> ([-0.22646</w:t>
      </w:r>
      <w:r w:rsidRPr="008873C9">
        <w:rPr>
          <w:rtl/>
        </w:rPr>
        <w:t>، 0.08384</w:t>
      </w:r>
      <w:r w:rsidRPr="008873C9">
        <w:rPr>
          <w:lang w:bidi="ar-EG"/>
        </w:rPr>
        <w:t>]).</w:t>
      </w:r>
    </w:p>
    <w:p w14:paraId="2CDE2E44" w14:textId="1E4B7825" w:rsidR="00793DFB" w:rsidRPr="008873C9" w:rsidRDefault="00793DFB" w:rsidP="00793DFB">
      <w:pPr>
        <w:bidi/>
        <w:rPr>
          <w:lang w:bidi="ar-EG"/>
        </w:rPr>
      </w:pPr>
      <w:r w:rsidRPr="008873C9">
        <w:rPr>
          <w:rtl/>
        </w:rPr>
        <w:t>أما بالنسبة للثقافة التنظيمية، فقد بلغ المتوسط في القطاع الفندقي</w:t>
      </w:r>
      <w:r w:rsidRPr="008873C9">
        <w:rPr>
          <w:lang w:bidi="ar-EG"/>
        </w:rPr>
        <w:t xml:space="preserve"> (M = 3.4525</w:t>
      </w:r>
      <w:r w:rsidRPr="008873C9">
        <w:rPr>
          <w:rtl/>
        </w:rPr>
        <w:t xml:space="preserve">، </w:t>
      </w:r>
      <w:r w:rsidRPr="008873C9">
        <w:rPr>
          <w:lang w:bidi="ar-EG"/>
        </w:rPr>
        <w:t xml:space="preserve">SD = 0.8264) </w:t>
      </w:r>
      <w:r w:rsidRPr="008873C9">
        <w:rPr>
          <w:rtl/>
        </w:rPr>
        <w:t>مقارنة بـ</w:t>
      </w:r>
      <w:r w:rsidRPr="008873C9">
        <w:rPr>
          <w:lang w:bidi="ar-EG"/>
        </w:rPr>
        <w:t xml:space="preserve"> (M = 3.5305</w:t>
      </w:r>
      <w:r w:rsidRPr="008873C9">
        <w:rPr>
          <w:rtl/>
        </w:rPr>
        <w:t xml:space="preserve">، </w:t>
      </w:r>
      <w:r w:rsidRPr="008873C9">
        <w:rPr>
          <w:lang w:bidi="ar-EG"/>
        </w:rPr>
        <w:t xml:space="preserve">SD = 0.7727) </w:t>
      </w:r>
      <w:r w:rsidRPr="008873C9">
        <w:rPr>
          <w:rtl/>
        </w:rPr>
        <w:t>في القطاع المط</w:t>
      </w:r>
      <w:r w:rsidR="00EB39A8">
        <w:rPr>
          <w:rFonts w:hint="cs"/>
          <w:rtl/>
        </w:rPr>
        <w:t>اعم</w:t>
      </w:r>
      <w:r w:rsidRPr="008873C9">
        <w:rPr>
          <w:rtl/>
        </w:rPr>
        <w:t>، ولم تكن الفروق دالة إحصائيًا</w:t>
      </w:r>
      <w:r w:rsidRPr="008873C9">
        <w:rPr>
          <w:lang w:bidi="ar-EG"/>
        </w:rPr>
        <w:t xml:space="preserve"> (t = -0.938</w:t>
      </w:r>
      <w:r w:rsidRPr="008873C9">
        <w:rPr>
          <w:rtl/>
        </w:rPr>
        <w:t xml:space="preserve">، </w:t>
      </w:r>
      <w:proofErr w:type="spellStart"/>
      <w:r w:rsidRPr="008873C9">
        <w:rPr>
          <w:lang w:bidi="ar-EG"/>
        </w:rPr>
        <w:t>df</w:t>
      </w:r>
      <w:proofErr w:type="spellEnd"/>
      <w:r w:rsidRPr="008873C9">
        <w:rPr>
          <w:lang w:bidi="ar-EG"/>
        </w:rPr>
        <w:t xml:space="preserve"> = 398</w:t>
      </w:r>
      <w:r w:rsidRPr="008873C9">
        <w:rPr>
          <w:rtl/>
        </w:rPr>
        <w:t xml:space="preserve">، </w:t>
      </w:r>
      <w:r w:rsidRPr="008873C9">
        <w:rPr>
          <w:lang w:bidi="ar-EG"/>
        </w:rPr>
        <w:t>p = 0.349)</w:t>
      </w:r>
      <w:r w:rsidRPr="008873C9">
        <w:rPr>
          <w:rtl/>
        </w:rPr>
        <w:t>، كما أن فاصل الثقة 95</w:t>
      </w:r>
      <w:r w:rsidRPr="008873C9">
        <w:rPr>
          <w:lang w:bidi="ar-EG"/>
        </w:rPr>
        <w:t>% ([-0.24161</w:t>
      </w:r>
      <w:r w:rsidRPr="008873C9">
        <w:rPr>
          <w:rtl/>
        </w:rPr>
        <w:t>، 0.08549</w:t>
      </w:r>
      <w:r w:rsidRPr="008873C9">
        <w:rPr>
          <w:lang w:bidi="ar-EG"/>
        </w:rPr>
        <w:t xml:space="preserve">]) </w:t>
      </w:r>
      <w:r w:rsidRPr="008873C9">
        <w:rPr>
          <w:rtl/>
        </w:rPr>
        <w:t>احتوى على الصفر</w:t>
      </w:r>
      <w:r w:rsidRPr="008873C9">
        <w:rPr>
          <w:lang w:bidi="ar-EG"/>
        </w:rPr>
        <w:t>.</w:t>
      </w:r>
    </w:p>
    <w:p w14:paraId="62A1B9B9" w14:textId="4DE3E18A" w:rsidR="00793DFB" w:rsidRPr="008873C9" w:rsidRDefault="00793DFB" w:rsidP="00793DFB">
      <w:pPr>
        <w:bidi/>
        <w:rPr>
          <w:lang w:bidi="ar-EG"/>
        </w:rPr>
      </w:pPr>
      <w:r w:rsidRPr="008873C9">
        <w:rPr>
          <w:rtl/>
        </w:rPr>
        <w:t>وبالنسبة لأنظمة العمل عالية الأداء، بلغ المتوسط في القطاع الفندقي</w:t>
      </w:r>
      <w:r w:rsidRPr="008873C9">
        <w:rPr>
          <w:lang w:bidi="ar-EG"/>
        </w:rPr>
        <w:t xml:space="preserve"> (M = 3.4102</w:t>
      </w:r>
      <w:r w:rsidRPr="008873C9">
        <w:rPr>
          <w:rtl/>
        </w:rPr>
        <w:t xml:space="preserve">، </w:t>
      </w:r>
      <w:r w:rsidRPr="008873C9">
        <w:rPr>
          <w:lang w:bidi="ar-EG"/>
        </w:rPr>
        <w:t>SD = 0.7927)</w:t>
      </w:r>
      <w:r w:rsidRPr="008873C9">
        <w:rPr>
          <w:rtl/>
        </w:rPr>
        <w:t xml:space="preserve">، وفي القطاع </w:t>
      </w:r>
      <w:proofErr w:type="gramStart"/>
      <w:r w:rsidR="00EB39A8">
        <w:rPr>
          <w:rFonts w:hint="cs"/>
          <w:rtl/>
        </w:rPr>
        <w:t xml:space="preserve">المطاعم </w:t>
      </w:r>
      <w:r w:rsidRPr="008873C9">
        <w:rPr>
          <w:lang w:bidi="ar-EG"/>
        </w:rPr>
        <w:t xml:space="preserve"> (</w:t>
      </w:r>
      <w:proofErr w:type="gramEnd"/>
      <w:r w:rsidRPr="008873C9">
        <w:rPr>
          <w:lang w:bidi="ar-EG"/>
        </w:rPr>
        <w:t>M = 3.4745</w:t>
      </w:r>
      <w:r w:rsidRPr="008873C9">
        <w:rPr>
          <w:rtl/>
        </w:rPr>
        <w:t xml:space="preserve">، </w:t>
      </w:r>
      <w:r w:rsidRPr="008873C9">
        <w:rPr>
          <w:lang w:bidi="ar-EG"/>
        </w:rPr>
        <w:t>SD = 0.7315)</w:t>
      </w:r>
      <w:r w:rsidRPr="008873C9">
        <w:rPr>
          <w:rtl/>
        </w:rPr>
        <w:t>، وأظهرت النتائج عدم وجود فروق ذات دلالة إحصائية</w:t>
      </w:r>
      <w:r w:rsidRPr="008873C9">
        <w:rPr>
          <w:lang w:bidi="ar-EG"/>
        </w:rPr>
        <w:t xml:space="preserve"> (t = -0.810</w:t>
      </w:r>
      <w:r w:rsidRPr="008873C9">
        <w:rPr>
          <w:rtl/>
        </w:rPr>
        <w:t xml:space="preserve">، </w:t>
      </w:r>
      <w:proofErr w:type="spellStart"/>
      <w:r w:rsidRPr="008873C9">
        <w:rPr>
          <w:lang w:bidi="ar-EG"/>
        </w:rPr>
        <w:t>df</w:t>
      </w:r>
      <w:proofErr w:type="spellEnd"/>
      <w:r w:rsidRPr="008873C9">
        <w:rPr>
          <w:lang w:bidi="ar-EG"/>
        </w:rPr>
        <w:t xml:space="preserve"> = 398</w:t>
      </w:r>
      <w:r w:rsidRPr="008873C9">
        <w:rPr>
          <w:rtl/>
        </w:rPr>
        <w:t xml:space="preserve">، </w:t>
      </w:r>
      <w:r w:rsidRPr="008873C9">
        <w:rPr>
          <w:lang w:bidi="ar-EG"/>
        </w:rPr>
        <w:t>p = 0.418)</w:t>
      </w:r>
      <w:r w:rsidRPr="008873C9">
        <w:rPr>
          <w:rtl/>
        </w:rPr>
        <w:t>، حيث تضمن فاصل الثقة 95</w:t>
      </w:r>
      <w:r w:rsidRPr="008873C9">
        <w:rPr>
          <w:lang w:bidi="ar-EG"/>
        </w:rPr>
        <w:t>% ([-0.22054</w:t>
      </w:r>
      <w:r w:rsidRPr="008873C9">
        <w:rPr>
          <w:rtl/>
        </w:rPr>
        <w:t>، 0.09183</w:t>
      </w:r>
      <w:r w:rsidRPr="008873C9">
        <w:rPr>
          <w:lang w:bidi="ar-EG"/>
        </w:rPr>
        <w:t xml:space="preserve">]) </w:t>
      </w:r>
      <w:r w:rsidRPr="008873C9">
        <w:rPr>
          <w:rtl/>
        </w:rPr>
        <w:t>القيمة الصفرية</w:t>
      </w:r>
      <w:r w:rsidRPr="008873C9">
        <w:rPr>
          <w:lang w:bidi="ar-EG"/>
        </w:rPr>
        <w:t>.</w:t>
      </w:r>
    </w:p>
    <w:p w14:paraId="715ED1EF" w14:textId="33B78F2D" w:rsidR="00793DFB" w:rsidRPr="008873C9" w:rsidRDefault="00793DFB" w:rsidP="00793DFB">
      <w:pPr>
        <w:bidi/>
        <w:rPr>
          <w:lang w:bidi="ar-EG"/>
        </w:rPr>
      </w:pPr>
      <w:r w:rsidRPr="008873C9">
        <w:rPr>
          <w:rtl/>
        </w:rPr>
        <w:t xml:space="preserve">تشير هذه النتائج إلى أن الفروق بين القطاعين، رغم وجود اختلافات طفيفة في المتوسطات لصالح القطاع </w:t>
      </w:r>
      <w:r w:rsidR="00EB39A8">
        <w:rPr>
          <w:rFonts w:hint="cs"/>
          <w:rtl/>
        </w:rPr>
        <w:t>المطاعم</w:t>
      </w:r>
      <w:r w:rsidRPr="008873C9">
        <w:rPr>
          <w:rtl/>
        </w:rPr>
        <w:t>، لا ترقى إلى مستوى الدلالة الإحصائية، مما يعني أن طبيعة القطاع (</w:t>
      </w:r>
      <w:r w:rsidR="00EB39A8" w:rsidRPr="008873C9">
        <w:rPr>
          <w:rtl/>
        </w:rPr>
        <w:t>الفن</w:t>
      </w:r>
      <w:r w:rsidR="00EB39A8">
        <w:rPr>
          <w:rFonts w:hint="cs"/>
          <w:rtl/>
        </w:rPr>
        <w:t>ادق</w:t>
      </w:r>
      <w:r w:rsidR="00EB39A8" w:rsidRPr="008873C9">
        <w:rPr>
          <w:rtl/>
        </w:rPr>
        <w:t xml:space="preserve"> والمط</w:t>
      </w:r>
      <w:r w:rsidR="00EB39A8">
        <w:rPr>
          <w:rFonts w:hint="cs"/>
          <w:rtl/>
        </w:rPr>
        <w:t>اعم</w:t>
      </w:r>
      <w:r w:rsidRPr="008873C9">
        <w:rPr>
          <w:rtl/>
        </w:rPr>
        <w:t>) لا تُحدث تأثيرًا جوهريًا في مستويات الأداء الإبداعي أو الثقافة التنظيمية أو تطبيق أنظمة العمل عالية الأداء ضمن عينة الدراسة</w:t>
      </w:r>
      <w:r w:rsidRPr="008873C9">
        <w:rPr>
          <w:lang w:bidi="ar-EG"/>
        </w:rPr>
        <w:t>.</w:t>
      </w:r>
    </w:p>
    <w:p w14:paraId="5DA8B4F5" w14:textId="66E8DDCC" w:rsidR="00793DFB" w:rsidRDefault="00793DFB" w:rsidP="00793DFB">
      <w:pPr>
        <w:bidi/>
        <w:rPr>
          <w:rtl/>
          <w:lang w:bidi="ar-EG"/>
        </w:rPr>
      </w:pPr>
      <w:r w:rsidRPr="008873C9">
        <w:rPr>
          <w:rtl/>
        </w:rPr>
        <w:t>بناءً على نتائج اختبار</w:t>
      </w:r>
      <w:r w:rsidRPr="008873C9">
        <w:rPr>
          <w:lang w:bidi="ar-EG"/>
        </w:rPr>
        <w:t xml:space="preserve"> (t) </w:t>
      </w:r>
      <w:r w:rsidRPr="008873C9">
        <w:rPr>
          <w:rtl/>
        </w:rPr>
        <w:t xml:space="preserve">لعينتين مستقلتين، يتم </w:t>
      </w:r>
      <w:r w:rsidRPr="008873C9">
        <w:rPr>
          <w:b/>
          <w:bCs/>
          <w:rtl/>
        </w:rPr>
        <w:t>رفض الفرضية الخامسة</w:t>
      </w:r>
      <w:r w:rsidRPr="008873C9">
        <w:rPr>
          <w:rtl/>
        </w:rPr>
        <w:t xml:space="preserve"> التي تفترض وجود فروق ذات دلالة إحصائية بين القطاعين الفن</w:t>
      </w:r>
      <w:r w:rsidR="00EB39A8">
        <w:rPr>
          <w:rFonts w:hint="cs"/>
          <w:rtl/>
        </w:rPr>
        <w:t>ادق</w:t>
      </w:r>
      <w:r w:rsidRPr="008873C9">
        <w:rPr>
          <w:rtl/>
        </w:rPr>
        <w:t xml:space="preserve"> والمط</w:t>
      </w:r>
      <w:r w:rsidR="00EB39A8">
        <w:rPr>
          <w:rFonts w:hint="cs"/>
          <w:rtl/>
        </w:rPr>
        <w:t>اعم</w:t>
      </w:r>
      <w:r w:rsidRPr="008873C9">
        <w:rPr>
          <w:rtl/>
        </w:rPr>
        <w:t xml:space="preserve"> في متغيرات الدراسة، وقبول الفرضية الصفرية التي تقضي بعدم وجود فروق معنوية</w:t>
      </w:r>
      <w:r w:rsidRPr="008873C9">
        <w:rPr>
          <w:lang w:bidi="ar-EG"/>
        </w:rPr>
        <w:t>.</w:t>
      </w:r>
    </w:p>
    <w:p w14:paraId="2C331404" w14:textId="77777777" w:rsidR="00793DFB" w:rsidRPr="008873C9" w:rsidRDefault="00793DFB" w:rsidP="00793DFB">
      <w:pPr>
        <w:bidi/>
        <w:rPr>
          <w:lang w:bidi="ar-EG"/>
        </w:rPr>
      </w:pPr>
    </w:p>
    <w:p w14:paraId="3E939E57" w14:textId="77777777" w:rsidR="00793DFB" w:rsidRPr="008873C9" w:rsidRDefault="00793DFB" w:rsidP="00793DFB">
      <w:pPr>
        <w:bidi/>
        <w:rPr>
          <w:b/>
          <w:bCs/>
          <w:lang w:bidi="ar-EG"/>
        </w:rPr>
      </w:pPr>
      <w:r>
        <w:rPr>
          <w:rFonts w:hint="cs"/>
          <w:b/>
          <w:bCs/>
          <w:rtl/>
          <w:lang w:bidi="ar-EG"/>
        </w:rPr>
        <w:t xml:space="preserve">4.15. </w:t>
      </w:r>
      <w:r w:rsidRPr="008873C9">
        <w:rPr>
          <w:b/>
          <w:bCs/>
          <w:rtl/>
        </w:rPr>
        <w:t>ملخص نتائج اختبار الفرضيات</w:t>
      </w:r>
    </w:p>
    <w:p w14:paraId="402E54FC" w14:textId="77777777" w:rsidR="00793DFB" w:rsidRPr="008873C9" w:rsidRDefault="00793DFB" w:rsidP="00793DFB">
      <w:pPr>
        <w:bidi/>
        <w:rPr>
          <w:lang w:bidi="ar-EG"/>
        </w:rPr>
      </w:pPr>
      <w:r w:rsidRPr="008873C9">
        <w:rPr>
          <w:rtl/>
        </w:rPr>
        <w:t>أسفرت نتائج التحليل الإحصائي عن دعمٍ جوهري لمعظم الفرضيات الرئيسة للدراسة، مع تباين في قوة واتجاه التأثيرات على مستوى الأبعاد الفرعية. فقد أظهرت النتائج وجود أثر مباشر موجب ودال إحصائيًا لأنظمة العمل عالية الأداء</w:t>
      </w:r>
      <w:r w:rsidRPr="008873C9">
        <w:rPr>
          <w:lang w:bidi="ar-EG"/>
        </w:rPr>
        <w:t xml:space="preserve"> (HPWS) </w:t>
      </w:r>
      <w:r w:rsidRPr="008873C9">
        <w:rPr>
          <w:rtl/>
        </w:rPr>
        <w:t>على الإبداع الوظيفي</w:t>
      </w:r>
      <w:r w:rsidRPr="008873C9">
        <w:rPr>
          <w:lang w:bidi="ar-EG"/>
        </w:rPr>
        <w:t xml:space="preserve"> (CREAT)</w:t>
      </w:r>
      <w:r w:rsidRPr="008873C9">
        <w:rPr>
          <w:rtl/>
        </w:rPr>
        <w:t>، حيث بلغ معامل المسار غير المعياري</w:t>
      </w:r>
      <w:r w:rsidRPr="008873C9">
        <w:rPr>
          <w:lang w:bidi="ar-EG"/>
        </w:rPr>
        <w:t xml:space="preserve"> (B = 0.4862) </w:t>
      </w:r>
      <w:r w:rsidRPr="008873C9">
        <w:rPr>
          <w:rtl/>
        </w:rPr>
        <w:t>بقيمة</w:t>
      </w:r>
      <w:r w:rsidRPr="008873C9">
        <w:rPr>
          <w:lang w:bidi="ar-EG"/>
        </w:rPr>
        <w:t xml:space="preserve"> (t = 8.452) </w:t>
      </w:r>
      <w:r w:rsidRPr="008873C9">
        <w:rPr>
          <w:rtl/>
        </w:rPr>
        <w:t>عند مستوى دلالة</w:t>
      </w:r>
      <w:r w:rsidRPr="008873C9">
        <w:rPr>
          <w:lang w:bidi="ar-EG"/>
        </w:rPr>
        <w:t xml:space="preserve"> (p &lt; 0.001)</w:t>
      </w:r>
      <w:r w:rsidRPr="008873C9">
        <w:rPr>
          <w:rtl/>
        </w:rPr>
        <w:t>، مما يثبت صحة الفرضية الأولى المتعلقة بالأثر المباشر. وعند احتساب الأثر الكلي، والذي يجمع بين الأثر المباشر وغير المباشر، بلغت القيمة التقريبية (0.8785)، وهو ما يعكس قوة التأثير الإجمالي لأنظمة العمل عالية الأداء في تفسير التباين في الإبداع الوظيفي</w:t>
      </w:r>
      <w:r w:rsidRPr="008873C9">
        <w:rPr>
          <w:lang w:bidi="ar-EG"/>
        </w:rPr>
        <w:t>.</w:t>
      </w:r>
    </w:p>
    <w:p w14:paraId="4C7F182B" w14:textId="77777777" w:rsidR="00793DFB" w:rsidRPr="008873C9" w:rsidRDefault="00793DFB" w:rsidP="00793DFB">
      <w:pPr>
        <w:bidi/>
        <w:rPr>
          <w:lang w:bidi="ar-EG"/>
        </w:rPr>
      </w:pPr>
      <w:r w:rsidRPr="008873C9">
        <w:rPr>
          <w:rtl/>
        </w:rPr>
        <w:t>وعلى مستوى تحليل الأبعاد الفرعية لأنظمة العمل عالية الأداء، أظهرت النتائج أن بعض الممارسات كان لها تأثير مباشر دال إحصائيًا على الإبداع الوظيفي، في حين لم يظهر البعض الآخر أثرًا معنويًا. فقد ثبت وجود تأثير موجب ودال لكل من نظم الحوافز والمكافآت</w:t>
      </w:r>
      <w:r w:rsidRPr="008873C9">
        <w:rPr>
          <w:lang w:bidi="ar-EG"/>
        </w:rPr>
        <w:t xml:space="preserve"> (B = 0.188, p &lt; 0.001)</w:t>
      </w:r>
      <w:r w:rsidRPr="008873C9">
        <w:rPr>
          <w:rtl/>
        </w:rPr>
        <w:t>، والمشاركة في اتخاذ القرار</w:t>
      </w:r>
      <w:r w:rsidRPr="008873C9">
        <w:rPr>
          <w:lang w:bidi="ar-EG"/>
        </w:rPr>
        <w:t xml:space="preserve"> (B = 0.129, p = 0.001)</w:t>
      </w:r>
      <w:r w:rsidRPr="008873C9">
        <w:rPr>
          <w:rtl/>
        </w:rPr>
        <w:t>، وتقييم الأداء</w:t>
      </w:r>
      <w:r w:rsidRPr="008873C9">
        <w:rPr>
          <w:lang w:bidi="ar-EG"/>
        </w:rPr>
        <w:t xml:space="preserve"> (B = 0.113, p = 0.004)</w:t>
      </w:r>
      <w:r w:rsidRPr="008873C9">
        <w:rPr>
          <w:rtl/>
        </w:rPr>
        <w:t>، وتمكين العاملين</w:t>
      </w:r>
      <w:r w:rsidRPr="008873C9">
        <w:rPr>
          <w:lang w:bidi="ar-EG"/>
        </w:rPr>
        <w:t xml:space="preserve"> (B = 0.348, p &lt; 0.001)</w:t>
      </w:r>
      <w:r w:rsidRPr="008873C9">
        <w:rPr>
          <w:rtl/>
        </w:rPr>
        <w:t>، حيث كان التمكين هو البعد الأقوى تأثيرًا من بين الممارسات المدروسة. في المقابل، لم يثبت وجود تأثير مباشر دال لكل من التوظيف الانتقائي</w:t>
      </w:r>
      <w:r w:rsidRPr="008873C9">
        <w:rPr>
          <w:lang w:bidi="ar-EG"/>
        </w:rPr>
        <w:t xml:space="preserve"> (p = 0.629) </w:t>
      </w:r>
      <w:r w:rsidRPr="008873C9">
        <w:rPr>
          <w:rtl/>
        </w:rPr>
        <w:t>أو التدريب والتطوير</w:t>
      </w:r>
      <w:r w:rsidRPr="008873C9">
        <w:rPr>
          <w:lang w:bidi="ar-EG"/>
        </w:rPr>
        <w:t xml:space="preserve"> (p = 0.125) </w:t>
      </w:r>
      <w:r w:rsidRPr="008873C9">
        <w:rPr>
          <w:rtl/>
        </w:rPr>
        <w:t>في ظل إدخال المتغيرات الأخرى في نموذج الانحدار المتعدد، مما يشير إلى احتمال انتقال أثرهما عبر آليات غير مباشرة</w:t>
      </w:r>
      <w:r w:rsidRPr="008873C9">
        <w:rPr>
          <w:lang w:bidi="ar-EG"/>
        </w:rPr>
        <w:t>.</w:t>
      </w:r>
    </w:p>
    <w:p w14:paraId="42CF148B" w14:textId="77777777" w:rsidR="00793DFB" w:rsidRPr="008873C9" w:rsidRDefault="00793DFB" w:rsidP="00793DFB">
      <w:pPr>
        <w:bidi/>
        <w:rPr>
          <w:lang w:bidi="ar-EG"/>
        </w:rPr>
      </w:pPr>
      <w:r w:rsidRPr="008873C9">
        <w:rPr>
          <w:rtl/>
        </w:rPr>
        <w:t>وفيما يتعلق بالفرضية الثانية، أكدت النتائج وجود تأثير قوي وموجب لأنظمة العمل عالية الأداء على الثقافة التنظيمية</w:t>
      </w:r>
      <w:r w:rsidRPr="008873C9">
        <w:rPr>
          <w:lang w:bidi="ar-EG"/>
        </w:rPr>
        <w:t xml:space="preserve"> (</w:t>
      </w:r>
      <w:proofErr w:type="spellStart"/>
      <w:r w:rsidRPr="008873C9">
        <w:rPr>
          <w:lang w:bidi="ar-EG"/>
        </w:rPr>
        <w:t>Org_Cul</w:t>
      </w:r>
      <w:proofErr w:type="spellEnd"/>
      <w:r w:rsidRPr="008873C9">
        <w:rPr>
          <w:lang w:bidi="ar-EG"/>
        </w:rPr>
        <w:t>)</w:t>
      </w:r>
      <w:r w:rsidRPr="008873C9">
        <w:rPr>
          <w:rtl/>
        </w:rPr>
        <w:t>، إذ بلغ معامل المسار</w:t>
      </w:r>
      <w:r w:rsidRPr="008873C9">
        <w:rPr>
          <w:lang w:bidi="ar-EG"/>
        </w:rPr>
        <w:t xml:space="preserve"> (B = 0.9690) </w:t>
      </w:r>
      <w:r w:rsidRPr="008873C9">
        <w:rPr>
          <w:rtl/>
        </w:rPr>
        <w:t>بقيمة</w:t>
      </w:r>
      <w:r w:rsidRPr="008873C9">
        <w:rPr>
          <w:lang w:bidi="ar-EG"/>
        </w:rPr>
        <w:t xml:space="preserve"> (t = 48.594) </w:t>
      </w:r>
      <w:r w:rsidRPr="008873C9">
        <w:rPr>
          <w:rtl/>
        </w:rPr>
        <w:t>عند مستوى دلالة</w:t>
      </w:r>
      <w:r w:rsidRPr="008873C9">
        <w:rPr>
          <w:lang w:bidi="ar-EG"/>
        </w:rPr>
        <w:t xml:space="preserve"> (p &lt; 0.001)</w:t>
      </w:r>
      <w:r w:rsidRPr="008873C9">
        <w:rPr>
          <w:rtl/>
        </w:rPr>
        <w:t>، مع قدرة تفسيرية مرتفعة للنموذج</w:t>
      </w:r>
      <w:r w:rsidRPr="008873C9">
        <w:rPr>
          <w:lang w:bidi="ar-EG"/>
        </w:rPr>
        <w:t xml:space="preserve"> (R² = 0.8558)</w:t>
      </w:r>
      <w:r w:rsidRPr="008873C9">
        <w:rPr>
          <w:rtl/>
        </w:rPr>
        <w:t xml:space="preserve">، بما يعني أن ما يقارب 85.6% من التباين في الثقافة التنظيمية يمكن تفسيره من </w:t>
      </w:r>
      <w:r w:rsidRPr="008873C9">
        <w:rPr>
          <w:rtl/>
        </w:rPr>
        <w:lastRenderedPageBreak/>
        <w:t>خلال أنظمة العمل عالية الأداء. كما أظهرت التحليلات الجزئية أن جميع أبعاد الثقافة التنظيمية</w:t>
      </w:r>
      <w:r w:rsidRPr="008873C9">
        <w:rPr>
          <w:lang w:bidi="ar-EG"/>
        </w:rPr>
        <w:t xml:space="preserve"> (ORG1–ORG4) </w:t>
      </w:r>
      <w:r w:rsidRPr="008873C9">
        <w:rPr>
          <w:rtl/>
        </w:rPr>
        <w:t>تأثرت إيجابيًا وبدرجة معنوية مرتفعة بأنظمة العمل عالية الأداء</w:t>
      </w:r>
      <w:r w:rsidRPr="008873C9">
        <w:rPr>
          <w:lang w:bidi="ar-EG"/>
        </w:rPr>
        <w:t>.</w:t>
      </w:r>
    </w:p>
    <w:p w14:paraId="1D53FA0E" w14:textId="77777777" w:rsidR="00793DFB" w:rsidRPr="008873C9" w:rsidRDefault="00793DFB" w:rsidP="00793DFB">
      <w:pPr>
        <w:bidi/>
        <w:rPr>
          <w:lang w:bidi="ar-EG"/>
        </w:rPr>
      </w:pPr>
      <w:r w:rsidRPr="008873C9">
        <w:rPr>
          <w:rtl/>
        </w:rPr>
        <w:t>أما الفرضية الثالثة، فقد أظهرت النتائج وجود تأثير موجب ودال للثقافة التنظيمية على الإبداع الوظيفي، حيث بلغ معامل المسار</w:t>
      </w:r>
      <w:r w:rsidRPr="008873C9">
        <w:rPr>
          <w:lang w:bidi="ar-EG"/>
        </w:rPr>
        <w:t xml:space="preserve"> (B = 0.834) </w:t>
      </w:r>
      <w:r w:rsidRPr="008873C9">
        <w:rPr>
          <w:rtl/>
        </w:rPr>
        <w:t>بقيمة</w:t>
      </w:r>
      <w:r w:rsidRPr="008873C9">
        <w:rPr>
          <w:lang w:bidi="ar-EG"/>
        </w:rPr>
        <w:t xml:space="preserve"> (t = 36.869) </w:t>
      </w:r>
      <w:r w:rsidRPr="008873C9">
        <w:rPr>
          <w:rtl/>
        </w:rPr>
        <w:t>عند مستوى دلالة</w:t>
      </w:r>
      <w:r w:rsidRPr="008873C9">
        <w:rPr>
          <w:lang w:bidi="ar-EG"/>
        </w:rPr>
        <w:t xml:space="preserve"> (p &lt; 0.001)</w:t>
      </w:r>
      <w:r w:rsidRPr="008873C9">
        <w:rPr>
          <w:rtl/>
        </w:rPr>
        <w:t>، مع قدرة تفسيرية بلغت نحو</w:t>
      </w:r>
      <w:r w:rsidRPr="008873C9">
        <w:rPr>
          <w:lang w:bidi="ar-EG"/>
        </w:rPr>
        <w:t xml:space="preserve"> (R² ≈ 0.774)</w:t>
      </w:r>
      <w:r w:rsidRPr="008873C9">
        <w:rPr>
          <w:rtl/>
        </w:rPr>
        <w:t>، مما يعكس الدور المحوري للثقافة التنظيمية في تعزيز السلوك الإبداعي داخل المنظمات</w:t>
      </w:r>
      <w:r w:rsidRPr="008873C9">
        <w:rPr>
          <w:lang w:bidi="ar-EG"/>
        </w:rPr>
        <w:t>.</w:t>
      </w:r>
    </w:p>
    <w:p w14:paraId="39ACB198" w14:textId="77777777" w:rsidR="00793DFB" w:rsidRPr="008873C9" w:rsidRDefault="00793DFB" w:rsidP="00793DFB">
      <w:pPr>
        <w:bidi/>
        <w:rPr>
          <w:lang w:bidi="ar-EG"/>
        </w:rPr>
      </w:pPr>
      <w:r w:rsidRPr="008873C9">
        <w:rPr>
          <w:rtl/>
        </w:rPr>
        <w:t>وفيما يتعلق بدور الثقافة التنظيمية كمتغير وسيط، فقد تم اختبار الفرضية الرابعة باستخدام أسلوب</w:t>
      </w:r>
      <w:r w:rsidRPr="008873C9">
        <w:rPr>
          <w:lang w:bidi="ar-EG"/>
        </w:rPr>
        <w:t xml:space="preserve"> Bootstrap </w:t>
      </w:r>
      <w:r w:rsidRPr="008873C9">
        <w:rPr>
          <w:rtl/>
        </w:rPr>
        <w:t>بعدد (5000) عينة معاد سحبها، وأظهرت النتائج أن الأثر غير المباشر لأنظمة العمل عالية الأداء على الإبداع الوظيفي عبر الثقافة التنظيمية بلغ (0.3923)، مع فاصل ثقة 95% [0.2782, 0.5114] لا يتضمن الصفر، مما يؤكد دلالة الوساطة إحصائيًا. وبالنظر إلى استمرار دلالة الأثر المباشر بعد إدخال المتغير الوسيط، يمكن توصيف طبيعة الوساطة بأنها وساطة جزئية. كما بيّنت تحليلات الوساطة المتعددة أن ثلاثة من أبعاد الثقافة التنظيمية</w:t>
      </w:r>
      <w:r w:rsidRPr="008873C9">
        <w:rPr>
          <w:lang w:bidi="ar-EG"/>
        </w:rPr>
        <w:t xml:space="preserve"> (ORG1</w:t>
      </w:r>
      <w:r w:rsidRPr="008873C9">
        <w:rPr>
          <w:rtl/>
        </w:rPr>
        <w:t xml:space="preserve">، </w:t>
      </w:r>
      <w:r w:rsidRPr="008873C9">
        <w:rPr>
          <w:lang w:bidi="ar-EG"/>
        </w:rPr>
        <w:t>ORG3</w:t>
      </w:r>
      <w:r w:rsidRPr="008873C9">
        <w:rPr>
          <w:rtl/>
        </w:rPr>
        <w:t xml:space="preserve">، </w:t>
      </w:r>
      <w:r w:rsidRPr="008873C9">
        <w:rPr>
          <w:lang w:bidi="ar-EG"/>
        </w:rPr>
        <w:t xml:space="preserve">ORG4) </w:t>
      </w:r>
      <w:r w:rsidRPr="008873C9">
        <w:rPr>
          <w:rtl/>
        </w:rPr>
        <w:t>أدت دورًا وسيطًا دالًا، في حين لم يثبت الدور الوسيط للبعد</w:t>
      </w:r>
      <w:r w:rsidRPr="008873C9">
        <w:rPr>
          <w:lang w:bidi="ar-EG"/>
        </w:rPr>
        <w:t xml:space="preserve"> ORG2.</w:t>
      </w:r>
    </w:p>
    <w:p w14:paraId="3125EB23" w14:textId="77777777" w:rsidR="00793DFB" w:rsidRPr="008873C9" w:rsidRDefault="00793DFB" w:rsidP="00793DFB">
      <w:pPr>
        <w:bidi/>
        <w:rPr>
          <w:lang w:bidi="ar-EG"/>
        </w:rPr>
      </w:pPr>
      <w:r w:rsidRPr="008873C9">
        <w:rPr>
          <w:rtl/>
        </w:rPr>
        <w:t>بناءً على ما سبق، يمكن الاستنتاج أن أنظمة العمل عالية الأداء تؤثر في الإبداع الوظيفي تأثيرًا مباشرًا وغير مباشر عبر الثقافة التنظيمية، وأن بعض ممارساتها – خاصة التمكين ونظم الحوافز – تمثل المحركات الأكثر تأثيرًا في تعزيز الأداء الإبداعي. وتؤكد هذه النتائج أهمية التكامل بين الممارسات الإدارية والبيئة الثقافية الداخلية لضمان تحقيق مستويات مرتفعة من الإبداع الوظيفي داخل منظمات قطاعي الفنادق والمطاعم بمدينة الرياض</w:t>
      </w:r>
      <w:r w:rsidRPr="008873C9">
        <w:rPr>
          <w:lang w:bidi="ar-EG"/>
        </w:rPr>
        <w:t>.</w:t>
      </w:r>
    </w:p>
    <w:p w14:paraId="16BA6C2B" w14:textId="77777777" w:rsidR="00793DFB" w:rsidRDefault="00793DFB" w:rsidP="00793DFB">
      <w:pPr>
        <w:bidi/>
        <w:rPr>
          <w:rFonts w:cs="Arial"/>
          <w:lang w:bidi="ar-EG"/>
        </w:rPr>
      </w:pPr>
      <w:r w:rsidRPr="008873C9">
        <w:rPr>
          <w:rFonts w:cs="Arial" w:hint="cs"/>
          <w:rtl/>
          <w:lang w:bidi="ar-EG"/>
        </w:rPr>
        <w:t>جدول</w:t>
      </w:r>
      <w:r>
        <w:rPr>
          <w:rFonts w:cs="Arial" w:hint="cs"/>
          <w:rtl/>
          <w:lang w:bidi="ar-EG"/>
        </w:rPr>
        <w:t xml:space="preserve"> (4-20)</w:t>
      </w:r>
      <w:r w:rsidRPr="008873C9">
        <w:rPr>
          <w:rFonts w:cs="Arial"/>
          <w:rtl/>
          <w:lang w:bidi="ar-EG"/>
        </w:rPr>
        <w:t xml:space="preserve">: </w:t>
      </w:r>
      <w:r w:rsidRPr="008873C9">
        <w:rPr>
          <w:rFonts w:cs="Arial" w:hint="cs"/>
          <w:rtl/>
          <w:lang w:bidi="ar-EG"/>
        </w:rPr>
        <w:t>ملخّص</w:t>
      </w:r>
      <w:r w:rsidRPr="008873C9">
        <w:rPr>
          <w:rFonts w:cs="Arial"/>
          <w:rtl/>
          <w:lang w:bidi="ar-EG"/>
        </w:rPr>
        <w:t xml:space="preserve"> </w:t>
      </w:r>
      <w:r w:rsidRPr="008873C9">
        <w:rPr>
          <w:rFonts w:cs="Arial" w:hint="cs"/>
          <w:rtl/>
          <w:lang w:bidi="ar-EG"/>
        </w:rPr>
        <w:t>نتائج</w:t>
      </w:r>
      <w:r w:rsidRPr="008873C9">
        <w:rPr>
          <w:rFonts w:cs="Arial"/>
          <w:rtl/>
          <w:lang w:bidi="ar-EG"/>
        </w:rPr>
        <w:t xml:space="preserve"> </w:t>
      </w:r>
      <w:r w:rsidRPr="008873C9">
        <w:rPr>
          <w:rFonts w:cs="Arial" w:hint="cs"/>
          <w:rtl/>
          <w:lang w:bidi="ar-EG"/>
        </w:rPr>
        <w:t>الفرضيات</w:t>
      </w:r>
    </w:p>
    <w:tbl>
      <w:tblPr>
        <w:bidiVisual/>
        <w:tblW w:w="8930" w:type="dxa"/>
        <w:jc w:val="center"/>
        <w:tblLook w:val="04A0" w:firstRow="1" w:lastRow="0" w:firstColumn="1" w:lastColumn="0" w:noHBand="0" w:noVBand="1"/>
      </w:tblPr>
      <w:tblGrid>
        <w:gridCol w:w="1002"/>
        <w:gridCol w:w="2268"/>
        <w:gridCol w:w="1447"/>
        <w:gridCol w:w="1184"/>
        <w:gridCol w:w="1917"/>
        <w:gridCol w:w="1112"/>
      </w:tblGrid>
      <w:tr w:rsidR="00793DFB" w:rsidRPr="008873C9" w14:paraId="35D221BE" w14:textId="77777777" w:rsidTr="009F1C88">
        <w:trPr>
          <w:trHeight w:val="528"/>
          <w:jc w:val="center"/>
        </w:trPr>
        <w:tc>
          <w:tcPr>
            <w:tcW w:w="1002" w:type="dxa"/>
            <w:tcBorders>
              <w:top w:val="single" w:sz="8" w:space="0" w:color="auto"/>
              <w:left w:val="single" w:sz="8" w:space="0" w:color="auto"/>
              <w:bottom w:val="single" w:sz="4" w:space="0" w:color="auto"/>
              <w:right w:val="single" w:sz="4" w:space="0" w:color="auto"/>
            </w:tcBorders>
            <w:vAlign w:val="center"/>
            <w:hideMark/>
          </w:tcPr>
          <w:p w14:paraId="08D467EB"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رقم الفرضية</w:t>
            </w:r>
          </w:p>
        </w:tc>
        <w:tc>
          <w:tcPr>
            <w:tcW w:w="2268" w:type="dxa"/>
            <w:tcBorders>
              <w:top w:val="single" w:sz="8" w:space="0" w:color="auto"/>
              <w:left w:val="single" w:sz="4" w:space="0" w:color="auto"/>
              <w:bottom w:val="single" w:sz="4" w:space="0" w:color="auto"/>
              <w:right w:val="single" w:sz="4" w:space="0" w:color="auto"/>
            </w:tcBorders>
            <w:vAlign w:val="center"/>
            <w:hideMark/>
          </w:tcPr>
          <w:p w14:paraId="57A361FC"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rtl/>
                <w14:ligatures w14:val="none"/>
              </w:rPr>
            </w:pPr>
            <w:r w:rsidRPr="008873C9">
              <w:rPr>
                <w:rFonts w:ascii="Arial" w:eastAsia="Times New Roman" w:hAnsi="Arial" w:cs="Arial"/>
                <w:b/>
                <w:bCs/>
                <w:color w:val="000000"/>
                <w:kern w:val="0"/>
                <w:sz w:val="20"/>
                <w:szCs w:val="20"/>
                <w:rtl/>
                <w14:ligatures w14:val="none"/>
              </w:rPr>
              <w:t>النص/المسار</w:t>
            </w:r>
          </w:p>
        </w:tc>
        <w:tc>
          <w:tcPr>
            <w:tcW w:w="1447" w:type="dxa"/>
            <w:tcBorders>
              <w:top w:val="single" w:sz="8" w:space="0" w:color="auto"/>
              <w:left w:val="single" w:sz="4" w:space="0" w:color="auto"/>
              <w:bottom w:val="single" w:sz="4" w:space="0" w:color="auto"/>
              <w:right w:val="single" w:sz="4" w:space="0" w:color="auto"/>
            </w:tcBorders>
            <w:vAlign w:val="center"/>
            <w:hideMark/>
          </w:tcPr>
          <w:p w14:paraId="31F2E28E"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rtl/>
                <w14:ligatures w14:val="none"/>
              </w:rPr>
            </w:pPr>
            <w:r w:rsidRPr="008873C9">
              <w:rPr>
                <w:rFonts w:ascii="Arial" w:eastAsia="Times New Roman" w:hAnsi="Arial" w:cs="Arial"/>
                <w:b/>
                <w:bCs/>
                <w:color w:val="000000"/>
                <w:kern w:val="0"/>
                <w:sz w:val="20"/>
                <w:szCs w:val="20"/>
                <w:rtl/>
                <w14:ligatures w14:val="none"/>
              </w:rPr>
              <w:t>معامل المسار (</w:t>
            </w:r>
            <w:r w:rsidRPr="008873C9">
              <w:rPr>
                <w:rFonts w:ascii="Arial" w:eastAsia="Times New Roman" w:hAnsi="Arial" w:cs="Arial"/>
                <w:b/>
                <w:bCs/>
                <w:color w:val="000000"/>
                <w:kern w:val="0"/>
                <w:sz w:val="20"/>
                <w:szCs w:val="20"/>
                <w14:ligatures w14:val="none"/>
              </w:rPr>
              <w:t>B</w:t>
            </w:r>
            <w:r w:rsidRPr="008873C9">
              <w:rPr>
                <w:rFonts w:ascii="Arial" w:eastAsia="Times New Roman" w:hAnsi="Arial" w:cs="Arial"/>
                <w:b/>
                <w:bCs/>
                <w:color w:val="000000"/>
                <w:kern w:val="0"/>
                <w:sz w:val="20"/>
                <w:szCs w:val="20"/>
                <w:rtl/>
                <w14:ligatures w14:val="none"/>
              </w:rPr>
              <w:t>)</w:t>
            </w:r>
          </w:p>
        </w:tc>
        <w:tc>
          <w:tcPr>
            <w:tcW w:w="1184" w:type="dxa"/>
            <w:tcBorders>
              <w:top w:val="single" w:sz="8" w:space="0" w:color="auto"/>
              <w:left w:val="single" w:sz="4" w:space="0" w:color="auto"/>
              <w:bottom w:val="single" w:sz="4" w:space="0" w:color="auto"/>
              <w:right w:val="single" w:sz="4" w:space="0" w:color="auto"/>
            </w:tcBorders>
            <w:vAlign w:val="center"/>
            <w:hideMark/>
          </w:tcPr>
          <w:p w14:paraId="4DEA2B8A"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rtl/>
                <w14:ligatures w14:val="none"/>
              </w:rPr>
            </w:pPr>
            <w:r w:rsidRPr="008873C9">
              <w:rPr>
                <w:rFonts w:ascii="Arial" w:eastAsia="Times New Roman" w:hAnsi="Arial" w:cs="Arial"/>
                <w:b/>
                <w:bCs/>
                <w:color w:val="000000"/>
                <w:kern w:val="0"/>
                <w:sz w:val="20"/>
                <w:szCs w:val="20"/>
                <w:rtl/>
                <w14:ligatures w14:val="none"/>
              </w:rPr>
              <w:t xml:space="preserve">قيمة </w:t>
            </w:r>
            <w:r w:rsidRPr="008873C9">
              <w:rPr>
                <w:rFonts w:ascii="Arial" w:eastAsia="Times New Roman" w:hAnsi="Arial" w:cs="Arial"/>
                <w:b/>
                <w:bCs/>
                <w:color w:val="000000"/>
                <w:kern w:val="0"/>
                <w:sz w:val="20"/>
                <w:szCs w:val="20"/>
                <w14:ligatures w14:val="none"/>
              </w:rPr>
              <w:t>t</w:t>
            </w:r>
          </w:p>
        </w:tc>
        <w:tc>
          <w:tcPr>
            <w:tcW w:w="1917" w:type="dxa"/>
            <w:tcBorders>
              <w:top w:val="single" w:sz="8" w:space="0" w:color="auto"/>
              <w:left w:val="single" w:sz="4" w:space="0" w:color="auto"/>
              <w:bottom w:val="single" w:sz="4" w:space="0" w:color="auto"/>
              <w:right w:val="single" w:sz="4" w:space="0" w:color="auto"/>
            </w:tcBorders>
            <w:vAlign w:val="center"/>
            <w:hideMark/>
          </w:tcPr>
          <w:p w14:paraId="2B9531B0"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rtl/>
                <w14:ligatures w14:val="none"/>
              </w:rPr>
            </w:pPr>
            <w:r w:rsidRPr="008873C9">
              <w:rPr>
                <w:rFonts w:ascii="Arial" w:eastAsia="Times New Roman" w:hAnsi="Arial" w:cs="Arial"/>
                <w:b/>
                <w:bCs/>
                <w:color w:val="000000"/>
                <w:kern w:val="0"/>
                <w:sz w:val="20"/>
                <w:szCs w:val="20"/>
                <w:rtl/>
                <w14:ligatures w14:val="none"/>
              </w:rPr>
              <w:t>مستوى الدلالة (</w:t>
            </w:r>
            <w:r w:rsidRPr="008873C9">
              <w:rPr>
                <w:rFonts w:ascii="Arial" w:eastAsia="Times New Roman" w:hAnsi="Arial" w:cs="Arial"/>
                <w:b/>
                <w:bCs/>
                <w:color w:val="000000"/>
                <w:kern w:val="0"/>
                <w:sz w:val="20"/>
                <w:szCs w:val="20"/>
                <w14:ligatures w14:val="none"/>
              </w:rPr>
              <w:t>p</w:t>
            </w:r>
            <w:r w:rsidRPr="008873C9">
              <w:rPr>
                <w:rFonts w:ascii="Arial" w:eastAsia="Times New Roman" w:hAnsi="Arial" w:cs="Arial"/>
                <w:b/>
                <w:bCs/>
                <w:color w:val="000000"/>
                <w:kern w:val="0"/>
                <w:sz w:val="20"/>
                <w:szCs w:val="20"/>
                <w:rtl/>
                <w14:ligatures w14:val="none"/>
              </w:rPr>
              <w:t>)</w:t>
            </w:r>
          </w:p>
        </w:tc>
        <w:tc>
          <w:tcPr>
            <w:tcW w:w="1112" w:type="dxa"/>
            <w:tcBorders>
              <w:top w:val="single" w:sz="8" w:space="0" w:color="auto"/>
              <w:left w:val="single" w:sz="4" w:space="0" w:color="auto"/>
              <w:bottom w:val="single" w:sz="4" w:space="0" w:color="auto"/>
              <w:right w:val="single" w:sz="8" w:space="0" w:color="auto"/>
            </w:tcBorders>
            <w:vAlign w:val="center"/>
            <w:hideMark/>
          </w:tcPr>
          <w:p w14:paraId="159FFDA3"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rtl/>
                <w14:ligatures w14:val="none"/>
              </w:rPr>
            </w:pPr>
            <w:r w:rsidRPr="008873C9">
              <w:rPr>
                <w:rFonts w:ascii="Arial" w:eastAsia="Times New Roman" w:hAnsi="Arial" w:cs="Arial"/>
                <w:b/>
                <w:bCs/>
                <w:color w:val="000000"/>
                <w:kern w:val="0"/>
                <w:sz w:val="20"/>
                <w:szCs w:val="20"/>
                <w:rtl/>
                <w14:ligatures w14:val="none"/>
              </w:rPr>
              <w:t>القرار</w:t>
            </w:r>
          </w:p>
        </w:tc>
      </w:tr>
      <w:tr w:rsidR="00793DFB" w:rsidRPr="008873C9" w14:paraId="65506C3D" w14:textId="77777777" w:rsidTr="009F1C88">
        <w:trPr>
          <w:trHeight w:val="1056"/>
          <w:jc w:val="center"/>
        </w:trPr>
        <w:tc>
          <w:tcPr>
            <w:tcW w:w="1002" w:type="dxa"/>
            <w:tcBorders>
              <w:top w:val="nil"/>
              <w:left w:val="single" w:sz="8" w:space="0" w:color="auto"/>
              <w:bottom w:val="single" w:sz="4" w:space="0" w:color="auto"/>
              <w:right w:val="single" w:sz="4" w:space="0" w:color="auto"/>
            </w:tcBorders>
            <w:vAlign w:val="center"/>
            <w:hideMark/>
          </w:tcPr>
          <w:p w14:paraId="59655375"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H</w:t>
            </w:r>
            <w:r w:rsidRPr="008873C9">
              <w:rPr>
                <w:rFonts w:ascii="Cambria Math" w:eastAsia="Times New Roman" w:hAnsi="Cambria Math" w:cs="Cambria Math"/>
                <w:color w:val="000000"/>
                <w:kern w:val="0"/>
                <w:sz w:val="20"/>
                <w:szCs w:val="20"/>
                <w14:ligatures w14:val="none"/>
              </w:rPr>
              <w:t>₁</w:t>
            </w:r>
          </w:p>
        </w:tc>
        <w:tc>
          <w:tcPr>
            <w:tcW w:w="2268" w:type="dxa"/>
            <w:tcBorders>
              <w:top w:val="nil"/>
              <w:left w:val="single" w:sz="4" w:space="0" w:color="auto"/>
              <w:bottom w:val="single" w:sz="4" w:space="0" w:color="auto"/>
              <w:right w:val="single" w:sz="4" w:space="0" w:color="auto"/>
            </w:tcBorders>
            <w:vAlign w:val="center"/>
            <w:hideMark/>
          </w:tcPr>
          <w:p w14:paraId="1F3F9CC0"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 xml:space="preserve">العلاقة بين </w:t>
            </w:r>
            <w:r w:rsidRPr="008873C9">
              <w:rPr>
                <w:rFonts w:ascii="Arial" w:eastAsia="Times New Roman" w:hAnsi="Arial" w:cs="Arial"/>
                <w:b/>
                <w:bCs/>
                <w:color w:val="000000"/>
                <w:kern w:val="0"/>
                <w:sz w:val="20"/>
                <w:szCs w:val="20"/>
                <w14:ligatures w14:val="none"/>
              </w:rPr>
              <w:t>HPWS</w:t>
            </w:r>
            <w:r w:rsidRPr="008873C9">
              <w:rPr>
                <w:rFonts w:ascii="Arial" w:eastAsia="Times New Roman" w:hAnsi="Arial" w:cs="Arial"/>
                <w:b/>
                <w:bCs/>
                <w:color w:val="000000"/>
                <w:kern w:val="0"/>
                <w:sz w:val="20"/>
                <w:szCs w:val="20"/>
                <w:rtl/>
                <w14:ligatures w14:val="none"/>
              </w:rPr>
              <w:t xml:space="preserve"> → الإبداع الوظيفي (</w:t>
            </w:r>
            <w:r w:rsidRPr="008873C9">
              <w:rPr>
                <w:rFonts w:ascii="Arial" w:eastAsia="Times New Roman" w:hAnsi="Arial" w:cs="Arial"/>
                <w:b/>
                <w:bCs/>
                <w:color w:val="000000"/>
                <w:kern w:val="0"/>
                <w:sz w:val="20"/>
                <w:szCs w:val="20"/>
                <w14:ligatures w14:val="none"/>
              </w:rPr>
              <w:t>CREAT</w:t>
            </w:r>
            <w:r w:rsidRPr="008873C9">
              <w:rPr>
                <w:rFonts w:ascii="Arial" w:eastAsia="Times New Roman" w:hAnsi="Arial" w:cs="Arial"/>
                <w:b/>
                <w:bCs/>
                <w:color w:val="000000"/>
                <w:kern w:val="0"/>
                <w:sz w:val="20"/>
                <w:szCs w:val="20"/>
                <w:rtl/>
                <w14:ligatures w14:val="none"/>
              </w:rPr>
              <w:t>)</w:t>
            </w:r>
            <w:r w:rsidRPr="008873C9">
              <w:rPr>
                <w:rFonts w:ascii="Arial" w:eastAsia="Times New Roman" w:hAnsi="Arial" w:cs="Arial"/>
                <w:color w:val="000000"/>
                <w:kern w:val="0"/>
                <w:sz w:val="20"/>
                <w:szCs w:val="20"/>
                <w:rtl/>
                <w14:ligatures w14:val="none"/>
              </w:rPr>
              <w:t xml:space="preserve"> — </w:t>
            </w:r>
            <w:r w:rsidRPr="008873C9">
              <w:rPr>
                <w:rFonts w:ascii="Arial" w:eastAsia="Times New Roman" w:hAnsi="Arial" w:cs="Arial"/>
                <w:i/>
                <w:iCs/>
                <w:color w:val="000000"/>
                <w:kern w:val="0"/>
                <w:sz w:val="20"/>
                <w:szCs w:val="20"/>
                <w:rtl/>
                <w14:ligatures w14:val="none"/>
              </w:rPr>
              <w:t>أثر مباشر</w:t>
            </w:r>
          </w:p>
        </w:tc>
        <w:tc>
          <w:tcPr>
            <w:tcW w:w="1447" w:type="dxa"/>
            <w:tcBorders>
              <w:top w:val="nil"/>
              <w:left w:val="single" w:sz="4" w:space="0" w:color="auto"/>
              <w:bottom w:val="single" w:sz="4" w:space="0" w:color="auto"/>
              <w:right w:val="single" w:sz="4" w:space="0" w:color="auto"/>
            </w:tcBorders>
            <w:vAlign w:val="center"/>
            <w:hideMark/>
          </w:tcPr>
          <w:p w14:paraId="666D4525" w14:textId="77777777" w:rsidR="00793DFB" w:rsidRPr="008873C9"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8873C9">
              <w:rPr>
                <w:rFonts w:ascii="Arial" w:eastAsia="Times New Roman" w:hAnsi="Arial" w:cs="Arial"/>
                <w:b/>
                <w:bCs/>
                <w:color w:val="000000"/>
                <w:kern w:val="0"/>
                <w:sz w:val="20"/>
                <w:szCs w:val="20"/>
                <w14:ligatures w14:val="none"/>
              </w:rPr>
              <w:t>0.4862</w:t>
            </w:r>
          </w:p>
        </w:tc>
        <w:tc>
          <w:tcPr>
            <w:tcW w:w="1184" w:type="dxa"/>
            <w:tcBorders>
              <w:top w:val="nil"/>
              <w:left w:val="single" w:sz="4" w:space="0" w:color="auto"/>
              <w:bottom w:val="single" w:sz="4" w:space="0" w:color="auto"/>
              <w:right w:val="single" w:sz="4" w:space="0" w:color="auto"/>
            </w:tcBorders>
            <w:vAlign w:val="center"/>
            <w:hideMark/>
          </w:tcPr>
          <w:p w14:paraId="09027CA7"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8.452</w:t>
            </w:r>
          </w:p>
        </w:tc>
        <w:tc>
          <w:tcPr>
            <w:tcW w:w="1917" w:type="dxa"/>
            <w:tcBorders>
              <w:top w:val="nil"/>
              <w:left w:val="single" w:sz="4" w:space="0" w:color="auto"/>
              <w:bottom w:val="single" w:sz="4" w:space="0" w:color="auto"/>
              <w:right w:val="single" w:sz="4" w:space="0" w:color="auto"/>
            </w:tcBorders>
            <w:vAlign w:val="center"/>
            <w:hideMark/>
          </w:tcPr>
          <w:p w14:paraId="3F74CED6"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&lt; .001</w:t>
            </w:r>
          </w:p>
        </w:tc>
        <w:tc>
          <w:tcPr>
            <w:tcW w:w="1112" w:type="dxa"/>
            <w:tcBorders>
              <w:top w:val="nil"/>
              <w:left w:val="single" w:sz="4" w:space="0" w:color="auto"/>
              <w:bottom w:val="single" w:sz="4" w:space="0" w:color="auto"/>
              <w:right w:val="single" w:sz="8" w:space="0" w:color="auto"/>
            </w:tcBorders>
            <w:vAlign w:val="center"/>
            <w:hideMark/>
          </w:tcPr>
          <w:p w14:paraId="7F2FBC1C"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تُقبل</w:t>
            </w:r>
            <w:r w:rsidRPr="008873C9">
              <w:rPr>
                <w:rFonts w:ascii="Arial" w:eastAsia="Times New Roman" w:hAnsi="Arial" w:cs="Arial"/>
                <w:color w:val="000000"/>
                <w:kern w:val="0"/>
                <w:sz w:val="20"/>
                <w:szCs w:val="20"/>
                <w:rtl/>
                <w14:ligatures w14:val="none"/>
              </w:rPr>
              <w:t xml:space="preserve"> (أثر مباشر دال)</w:t>
            </w:r>
          </w:p>
        </w:tc>
      </w:tr>
      <w:tr w:rsidR="00793DFB" w:rsidRPr="008873C9" w14:paraId="16D053EB" w14:textId="77777777" w:rsidTr="009F1C88">
        <w:trPr>
          <w:trHeight w:val="1320"/>
          <w:jc w:val="center"/>
        </w:trPr>
        <w:tc>
          <w:tcPr>
            <w:tcW w:w="1002" w:type="dxa"/>
            <w:tcBorders>
              <w:top w:val="nil"/>
              <w:left w:val="single" w:sz="8" w:space="0" w:color="auto"/>
              <w:bottom w:val="single" w:sz="4" w:space="0" w:color="auto"/>
              <w:right w:val="single" w:sz="4" w:space="0" w:color="auto"/>
            </w:tcBorders>
            <w:vAlign w:val="center"/>
            <w:hideMark/>
          </w:tcPr>
          <w:p w14:paraId="595559EB"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w:t>
            </w:r>
          </w:p>
        </w:tc>
        <w:tc>
          <w:tcPr>
            <w:tcW w:w="2268" w:type="dxa"/>
            <w:tcBorders>
              <w:top w:val="nil"/>
              <w:left w:val="single" w:sz="4" w:space="0" w:color="auto"/>
              <w:bottom w:val="single" w:sz="4" w:space="0" w:color="auto"/>
              <w:right w:val="single" w:sz="4" w:space="0" w:color="auto"/>
            </w:tcBorders>
            <w:vAlign w:val="center"/>
            <w:hideMark/>
          </w:tcPr>
          <w:p w14:paraId="3A676C94"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w:t>
            </w:r>
            <w:r w:rsidRPr="008873C9">
              <w:rPr>
                <w:rFonts w:ascii="Arial" w:eastAsia="Times New Roman" w:hAnsi="Arial" w:cs="Arial"/>
                <w:color w:val="000000"/>
                <w:kern w:val="0"/>
                <w:sz w:val="20"/>
                <w:szCs w:val="20"/>
                <w:rtl/>
                <w14:ligatures w14:val="none"/>
              </w:rPr>
              <w:t>ملاحظة: الأثر الكلّي = 0.8785</w:t>
            </w:r>
            <w:r w:rsidRPr="008873C9">
              <w:rPr>
                <w:rFonts w:ascii="Arial" w:eastAsia="Times New Roman" w:hAnsi="Arial" w:cs="Arial"/>
                <w:color w:val="000000"/>
                <w:kern w:val="0"/>
                <w:sz w:val="20"/>
                <w:szCs w:val="20"/>
                <w14:ligatures w14:val="none"/>
              </w:rPr>
              <w:t xml:space="preserve"> = 0.4862 </w:t>
            </w:r>
            <w:r w:rsidRPr="008873C9">
              <w:rPr>
                <w:rFonts w:ascii="Arial" w:eastAsia="Times New Roman" w:hAnsi="Arial" w:cs="Arial"/>
                <w:color w:val="000000"/>
                <w:kern w:val="0"/>
                <w:sz w:val="20"/>
                <w:szCs w:val="20"/>
                <w:rtl/>
                <w14:ligatures w14:val="none"/>
              </w:rPr>
              <w:t>(مباشر) + 0.3923 (غير مباشر)</w:t>
            </w:r>
            <w:r w:rsidRPr="008873C9">
              <w:rPr>
                <w:rFonts w:ascii="Arial" w:eastAsia="Times New Roman" w:hAnsi="Arial" w:cs="Arial"/>
                <w:color w:val="000000"/>
                <w:kern w:val="0"/>
                <w:sz w:val="20"/>
                <w:szCs w:val="20"/>
                <w14:ligatures w14:val="none"/>
              </w:rPr>
              <w:t>)</w:t>
            </w:r>
          </w:p>
        </w:tc>
        <w:tc>
          <w:tcPr>
            <w:tcW w:w="1447" w:type="dxa"/>
            <w:tcBorders>
              <w:top w:val="nil"/>
              <w:left w:val="single" w:sz="4" w:space="0" w:color="auto"/>
              <w:bottom w:val="single" w:sz="4" w:space="0" w:color="auto"/>
              <w:right w:val="single" w:sz="4" w:space="0" w:color="auto"/>
            </w:tcBorders>
            <w:vAlign w:val="center"/>
            <w:hideMark/>
          </w:tcPr>
          <w:p w14:paraId="2CBD4C4C"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w:t>
            </w:r>
          </w:p>
        </w:tc>
        <w:tc>
          <w:tcPr>
            <w:tcW w:w="1184" w:type="dxa"/>
            <w:tcBorders>
              <w:top w:val="nil"/>
              <w:left w:val="single" w:sz="4" w:space="0" w:color="auto"/>
              <w:bottom w:val="single" w:sz="4" w:space="0" w:color="auto"/>
              <w:right w:val="single" w:sz="4" w:space="0" w:color="auto"/>
            </w:tcBorders>
            <w:vAlign w:val="center"/>
            <w:hideMark/>
          </w:tcPr>
          <w:p w14:paraId="7524D3FA"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w:t>
            </w:r>
          </w:p>
        </w:tc>
        <w:tc>
          <w:tcPr>
            <w:tcW w:w="1917" w:type="dxa"/>
            <w:tcBorders>
              <w:top w:val="nil"/>
              <w:left w:val="single" w:sz="4" w:space="0" w:color="auto"/>
              <w:bottom w:val="single" w:sz="4" w:space="0" w:color="auto"/>
              <w:right w:val="single" w:sz="4" w:space="0" w:color="auto"/>
            </w:tcBorders>
            <w:vAlign w:val="center"/>
            <w:hideMark/>
          </w:tcPr>
          <w:p w14:paraId="20E50BE4"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w:t>
            </w:r>
          </w:p>
        </w:tc>
        <w:tc>
          <w:tcPr>
            <w:tcW w:w="1112" w:type="dxa"/>
            <w:tcBorders>
              <w:top w:val="nil"/>
              <w:left w:val="single" w:sz="4" w:space="0" w:color="auto"/>
              <w:bottom w:val="single" w:sz="4" w:space="0" w:color="auto"/>
              <w:right w:val="single" w:sz="8" w:space="0" w:color="auto"/>
            </w:tcBorders>
            <w:vAlign w:val="center"/>
            <w:hideMark/>
          </w:tcPr>
          <w:p w14:paraId="0E05FD3A"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w:t>
            </w:r>
          </w:p>
        </w:tc>
      </w:tr>
      <w:tr w:rsidR="00793DFB" w:rsidRPr="008873C9" w14:paraId="1F29285B" w14:textId="77777777" w:rsidTr="009F1C88">
        <w:trPr>
          <w:trHeight w:val="528"/>
          <w:jc w:val="center"/>
        </w:trPr>
        <w:tc>
          <w:tcPr>
            <w:tcW w:w="1002" w:type="dxa"/>
            <w:tcBorders>
              <w:top w:val="nil"/>
              <w:left w:val="single" w:sz="8" w:space="0" w:color="auto"/>
              <w:bottom w:val="single" w:sz="4" w:space="0" w:color="auto"/>
              <w:right w:val="single" w:sz="4" w:space="0" w:color="auto"/>
            </w:tcBorders>
            <w:vAlign w:val="center"/>
            <w:hideMark/>
          </w:tcPr>
          <w:p w14:paraId="51301A8A"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H</w:t>
            </w:r>
            <w:r w:rsidRPr="008873C9">
              <w:rPr>
                <w:rFonts w:ascii="Cambria Math" w:eastAsia="Times New Roman" w:hAnsi="Cambria Math" w:cs="Cambria Math"/>
                <w:color w:val="000000"/>
                <w:kern w:val="0"/>
                <w:sz w:val="20"/>
                <w:szCs w:val="20"/>
                <w14:ligatures w14:val="none"/>
              </w:rPr>
              <w:t>₁</w:t>
            </w:r>
            <w:r w:rsidRPr="008873C9">
              <w:rPr>
                <w:rFonts w:ascii="Arial" w:eastAsia="Times New Roman" w:hAnsi="Arial" w:cs="Arial"/>
                <w:color w:val="000000"/>
                <w:kern w:val="0"/>
                <w:sz w:val="20"/>
                <w:szCs w:val="20"/>
                <w14:ligatures w14:val="none"/>
              </w:rPr>
              <w:t>-1</w:t>
            </w:r>
          </w:p>
        </w:tc>
        <w:tc>
          <w:tcPr>
            <w:tcW w:w="2268" w:type="dxa"/>
            <w:tcBorders>
              <w:top w:val="nil"/>
              <w:left w:val="single" w:sz="4" w:space="0" w:color="auto"/>
              <w:bottom w:val="single" w:sz="4" w:space="0" w:color="auto"/>
              <w:right w:val="single" w:sz="4" w:space="0" w:color="auto"/>
            </w:tcBorders>
            <w:vAlign w:val="center"/>
            <w:hideMark/>
          </w:tcPr>
          <w:p w14:paraId="3D76F481"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التوظيف الانتقائي → الإبداع الوظيفي</w:t>
            </w:r>
          </w:p>
        </w:tc>
        <w:tc>
          <w:tcPr>
            <w:tcW w:w="1447" w:type="dxa"/>
            <w:tcBorders>
              <w:top w:val="nil"/>
              <w:left w:val="single" w:sz="4" w:space="0" w:color="auto"/>
              <w:bottom w:val="single" w:sz="4" w:space="0" w:color="auto"/>
              <w:right w:val="single" w:sz="4" w:space="0" w:color="auto"/>
            </w:tcBorders>
            <w:vAlign w:val="center"/>
            <w:hideMark/>
          </w:tcPr>
          <w:p w14:paraId="178EC093"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0.019</w:t>
            </w:r>
          </w:p>
        </w:tc>
        <w:tc>
          <w:tcPr>
            <w:tcW w:w="1184" w:type="dxa"/>
            <w:tcBorders>
              <w:top w:val="nil"/>
              <w:left w:val="single" w:sz="4" w:space="0" w:color="auto"/>
              <w:bottom w:val="single" w:sz="4" w:space="0" w:color="auto"/>
              <w:right w:val="single" w:sz="4" w:space="0" w:color="auto"/>
            </w:tcBorders>
            <w:vAlign w:val="center"/>
            <w:hideMark/>
          </w:tcPr>
          <w:p w14:paraId="5A7E745C"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0.483</w:t>
            </w:r>
          </w:p>
        </w:tc>
        <w:tc>
          <w:tcPr>
            <w:tcW w:w="1917" w:type="dxa"/>
            <w:tcBorders>
              <w:top w:val="nil"/>
              <w:left w:val="single" w:sz="4" w:space="0" w:color="auto"/>
              <w:bottom w:val="single" w:sz="4" w:space="0" w:color="auto"/>
              <w:right w:val="single" w:sz="4" w:space="0" w:color="auto"/>
            </w:tcBorders>
            <w:vAlign w:val="center"/>
            <w:hideMark/>
          </w:tcPr>
          <w:p w14:paraId="4042C6A9"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0.629</w:t>
            </w:r>
          </w:p>
        </w:tc>
        <w:tc>
          <w:tcPr>
            <w:tcW w:w="1112" w:type="dxa"/>
            <w:tcBorders>
              <w:top w:val="nil"/>
              <w:left w:val="single" w:sz="4" w:space="0" w:color="auto"/>
              <w:bottom w:val="single" w:sz="4" w:space="0" w:color="auto"/>
              <w:right w:val="single" w:sz="8" w:space="0" w:color="auto"/>
            </w:tcBorders>
            <w:vAlign w:val="center"/>
            <w:hideMark/>
          </w:tcPr>
          <w:p w14:paraId="5CCC280B"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تُرفض</w:t>
            </w:r>
            <w:r w:rsidRPr="008873C9">
              <w:rPr>
                <w:rFonts w:ascii="Arial" w:eastAsia="Times New Roman" w:hAnsi="Arial" w:cs="Arial"/>
                <w:color w:val="000000"/>
                <w:kern w:val="0"/>
                <w:sz w:val="20"/>
                <w:szCs w:val="20"/>
                <w:rtl/>
                <w14:ligatures w14:val="none"/>
              </w:rPr>
              <w:t xml:space="preserve"> (غير دال)</w:t>
            </w:r>
          </w:p>
        </w:tc>
      </w:tr>
      <w:tr w:rsidR="00793DFB" w:rsidRPr="008873C9" w14:paraId="034C0497" w14:textId="77777777" w:rsidTr="009F1C88">
        <w:trPr>
          <w:trHeight w:val="792"/>
          <w:jc w:val="center"/>
        </w:trPr>
        <w:tc>
          <w:tcPr>
            <w:tcW w:w="1002" w:type="dxa"/>
            <w:tcBorders>
              <w:top w:val="nil"/>
              <w:left w:val="single" w:sz="8" w:space="0" w:color="auto"/>
              <w:bottom w:val="single" w:sz="4" w:space="0" w:color="auto"/>
              <w:right w:val="single" w:sz="4" w:space="0" w:color="auto"/>
            </w:tcBorders>
            <w:vAlign w:val="center"/>
            <w:hideMark/>
          </w:tcPr>
          <w:p w14:paraId="08FDF64A"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H</w:t>
            </w:r>
            <w:r w:rsidRPr="008873C9">
              <w:rPr>
                <w:rFonts w:ascii="Cambria Math" w:eastAsia="Times New Roman" w:hAnsi="Cambria Math" w:cs="Cambria Math"/>
                <w:color w:val="000000"/>
                <w:kern w:val="0"/>
                <w:sz w:val="20"/>
                <w:szCs w:val="20"/>
                <w14:ligatures w14:val="none"/>
              </w:rPr>
              <w:t>₁</w:t>
            </w:r>
            <w:r w:rsidRPr="008873C9">
              <w:rPr>
                <w:rFonts w:ascii="Arial" w:eastAsia="Times New Roman" w:hAnsi="Arial" w:cs="Arial"/>
                <w:color w:val="000000"/>
                <w:kern w:val="0"/>
                <w:sz w:val="20"/>
                <w:szCs w:val="20"/>
                <w14:ligatures w14:val="none"/>
              </w:rPr>
              <w:t>-2</w:t>
            </w:r>
          </w:p>
        </w:tc>
        <w:tc>
          <w:tcPr>
            <w:tcW w:w="2268" w:type="dxa"/>
            <w:tcBorders>
              <w:top w:val="nil"/>
              <w:left w:val="single" w:sz="4" w:space="0" w:color="auto"/>
              <w:bottom w:val="single" w:sz="4" w:space="0" w:color="auto"/>
              <w:right w:val="single" w:sz="4" w:space="0" w:color="auto"/>
            </w:tcBorders>
            <w:vAlign w:val="center"/>
            <w:hideMark/>
          </w:tcPr>
          <w:p w14:paraId="11DE3673"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التدريب والتطوير المستمر → الإبداع الوظيفي</w:t>
            </w:r>
          </w:p>
        </w:tc>
        <w:tc>
          <w:tcPr>
            <w:tcW w:w="1447" w:type="dxa"/>
            <w:tcBorders>
              <w:top w:val="nil"/>
              <w:left w:val="single" w:sz="4" w:space="0" w:color="auto"/>
              <w:bottom w:val="single" w:sz="4" w:space="0" w:color="auto"/>
              <w:right w:val="single" w:sz="4" w:space="0" w:color="auto"/>
            </w:tcBorders>
            <w:vAlign w:val="center"/>
            <w:hideMark/>
          </w:tcPr>
          <w:p w14:paraId="14DB8AC9"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0.067</w:t>
            </w:r>
          </w:p>
        </w:tc>
        <w:tc>
          <w:tcPr>
            <w:tcW w:w="1184" w:type="dxa"/>
            <w:tcBorders>
              <w:top w:val="nil"/>
              <w:left w:val="single" w:sz="4" w:space="0" w:color="auto"/>
              <w:bottom w:val="single" w:sz="4" w:space="0" w:color="auto"/>
              <w:right w:val="single" w:sz="4" w:space="0" w:color="auto"/>
            </w:tcBorders>
            <w:vAlign w:val="center"/>
            <w:hideMark/>
          </w:tcPr>
          <w:p w14:paraId="4567EC8E"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1.536</w:t>
            </w:r>
          </w:p>
        </w:tc>
        <w:tc>
          <w:tcPr>
            <w:tcW w:w="1917" w:type="dxa"/>
            <w:tcBorders>
              <w:top w:val="nil"/>
              <w:left w:val="single" w:sz="4" w:space="0" w:color="auto"/>
              <w:bottom w:val="single" w:sz="4" w:space="0" w:color="auto"/>
              <w:right w:val="single" w:sz="4" w:space="0" w:color="auto"/>
            </w:tcBorders>
            <w:vAlign w:val="center"/>
            <w:hideMark/>
          </w:tcPr>
          <w:p w14:paraId="3EEACB84"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0.125</w:t>
            </w:r>
          </w:p>
        </w:tc>
        <w:tc>
          <w:tcPr>
            <w:tcW w:w="1112" w:type="dxa"/>
            <w:tcBorders>
              <w:top w:val="nil"/>
              <w:left w:val="single" w:sz="4" w:space="0" w:color="auto"/>
              <w:bottom w:val="single" w:sz="4" w:space="0" w:color="auto"/>
              <w:right w:val="single" w:sz="8" w:space="0" w:color="auto"/>
            </w:tcBorders>
            <w:vAlign w:val="center"/>
            <w:hideMark/>
          </w:tcPr>
          <w:p w14:paraId="508E6F2D"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تُرفض</w:t>
            </w:r>
            <w:r w:rsidRPr="008873C9">
              <w:rPr>
                <w:rFonts w:ascii="Arial" w:eastAsia="Times New Roman" w:hAnsi="Arial" w:cs="Arial"/>
                <w:color w:val="000000"/>
                <w:kern w:val="0"/>
                <w:sz w:val="20"/>
                <w:szCs w:val="20"/>
                <w:rtl/>
                <w14:ligatures w14:val="none"/>
              </w:rPr>
              <w:t xml:space="preserve"> (غير دال)</w:t>
            </w:r>
          </w:p>
        </w:tc>
      </w:tr>
      <w:tr w:rsidR="00793DFB" w:rsidRPr="008873C9" w14:paraId="2D628B8F" w14:textId="77777777" w:rsidTr="009F1C88">
        <w:trPr>
          <w:trHeight w:val="792"/>
          <w:jc w:val="center"/>
        </w:trPr>
        <w:tc>
          <w:tcPr>
            <w:tcW w:w="1002" w:type="dxa"/>
            <w:tcBorders>
              <w:top w:val="nil"/>
              <w:left w:val="single" w:sz="8" w:space="0" w:color="auto"/>
              <w:bottom w:val="single" w:sz="4" w:space="0" w:color="auto"/>
              <w:right w:val="single" w:sz="4" w:space="0" w:color="auto"/>
            </w:tcBorders>
            <w:vAlign w:val="center"/>
            <w:hideMark/>
          </w:tcPr>
          <w:p w14:paraId="1658D645"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H</w:t>
            </w:r>
            <w:r w:rsidRPr="008873C9">
              <w:rPr>
                <w:rFonts w:ascii="Cambria Math" w:eastAsia="Times New Roman" w:hAnsi="Cambria Math" w:cs="Cambria Math"/>
                <w:color w:val="000000"/>
                <w:kern w:val="0"/>
                <w:sz w:val="20"/>
                <w:szCs w:val="20"/>
                <w14:ligatures w14:val="none"/>
              </w:rPr>
              <w:t>₁</w:t>
            </w:r>
            <w:r w:rsidRPr="008873C9">
              <w:rPr>
                <w:rFonts w:ascii="Arial" w:eastAsia="Times New Roman" w:hAnsi="Arial" w:cs="Arial"/>
                <w:color w:val="000000"/>
                <w:kern w:val="0"/>
                <w:sz w:val="20"/>
                <w:szCs w:val="20"/>
                <w14:ligatures w14:val="none"/>
              </w:rPr>
              <w:t>-3</w:t>
            </w:r>
          </w:p>
        </w:tc>
        <w:tc>
          <w:tcPr>
            <w:tcW w:w="2268" w:type="dxa"/>
            <w:tcBorders>
              <w:top w:val="nil"/>
              <w:left w:val="single" w:sz="4" w:space="0" w:color="auto"/>
              <w:bottom w:val="single" w:sz="4" w:space="0" w:color="auto"/>
              <w:right w:val="single" w:sz="4" w:space="0" w:color="auto"/>
            </w:tcBorders>
            <w:vAlign w:val="center"/>
            <w:hideMark/>
          </w:tcPr>
          <w:p w14:paraId="6920DE7F"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نظم الحوافز والمكافآت → الإبداع الوظيفي</w:t>
            </w:r>
          </w:p>
        </w:tc>
        <w:tc>
          <w:tcPr>
            <w:tcW w:w="1447" w:type="dxa"/>
            <w:tcBorders>
              <w:top w:val="nil"/>
              <w:left w:val="single" w:sz="4" w:space="0" w:color="auto"/>
              <w:bottom w:val="single" w:sz="4" w:space="0" w:color="auto"/>
              <w:right w:val="single" w:sz="4" w:space="0" w:color="auto"/>
            </w:tcBorders>
            <w:vAlign w:val="center"/>
            <w:hideMark/>
          </w:tcPr>
          <w:p w14:paraId="2D049F48"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0.188</w:t>
            </w:r>
          </w:p>
        </w:tc>
        <w:tc>
          <w:tcPr>
            <w:tcW w:w="1184" w:type="dxa"/>
            <w:tcBorders>
              <w:top w:val="nil"/>
              <w:left w:val="single" w:sz="4" w:space="0" w:color="auto"/>
              <w:bottom w:val="single" w:sz="4" w:space="0" w:color="auto"/>
              <w:right w:val="single" w:sz="4" w:space="0" w:color="auto"/>
            </w:tcBorders>
            <w:vAlign w:val="center"/>
            <w:hideMark/>
          </w:tcPr>
          <w:p w14:paraId="255F4B46"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4.608</w:t>
            </w:r>
          </w:p>
        </w:tc>
        <w:tc>
          <w:tcPr>
            <w:tcW w:w="1917" w:type="dxa"/>
            <w:tcBorders>
              <w:top w:val="nil"/>
              <w:left w:val="single" w:sz="4" w:space="0" w:color="auto"/>
              <w:bottom w:val="single" w:sz="4" w:space="0" w:color="auto"/>
              <w:right w:val="single" w:sz="4" w:space="0" w:color="auto"/>
            </w:tcBorders>
            <w:vAlign w:val="center"/>
            <w:hideMark/>
          </w:tcPr>
          <w:p w14:paraId="53D78629"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&lt; .001</w:t>
            </w:r>
          </w:p>
        </w:tc>
        <w:tc>
          <w:tcPr>
            <w:tcW w:w="1112" w:type="dxa"/>
            <w:tcBorders>
              <w:top w:val="nil"/>
              <w:left w:val="single" w:sz="4" w:space="0" w:color="auto"/>
              <w:bottom w:val="single" w:sz="4" w:space="0" w:color="auto"/>
              <w:right w:val="single" w:sz="8" w:space="0" w:color="auto"/>
            </w:tcBorders>
            <w:vAlign w:val="center"/>
            <w:hideMark/>
          </w:tcPr>
          <w:p w14:paraId="0E42A28C"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تُقبل</w:t>
            </w:r>
            <w:r w:rsidRPr="008873C9">
              <w:rPr>
                <w:rFonts w:ascii="Arial" w:eastAsia="Times New Roman" w:hAnsi="Arial" w:cs="Arial"/>
                <w:color w:val="000000"/>
                <w:kern w:val="0"/>
                <w:sz w:val="20"/>
                <w:szCs w:val="20"/>
                <w:rtl/>
                <w14:ligatures w14:val="none"/>
              </w:rPr>
              <w:t xml:space="preserve"> (دال)</w:t>
            </w:r>
          </w:p>
        </w:tc>
      </w:tr>
      <w:tr w:rsidR="00793DFB" w:rsidRPr="008873C9" w14:paraId="07B9F228" w14:textId="77777777" w:rsidTr="009F1C88">
        <w:trPr>
          <w:trHeight w:val="792"/>
          <w:jc w:val="center"/>
        </w:trPr>
        <w:tc>
          <w:tcPr>
            <w:tcW w:w="1002" w:type="dxa"/>
            <w:tcBorders>
              <w:top w:val="nil"/>
              <w:left w:val="single" w:sz="8" w:space="0" w:color="auto"/>
              <w:bottom w:val="single" w:sz="4" w:space="0" w:color="auto"/>
              <w:right w:val="single" w:sz="4" w:space="0" w:color="auto"/>
            </w:tcBorders>
            <w:vAlign w:val="center"/>
            <w:hideMark/>
          </w:tcPr>
          <w:p w14:paraId="3890B75B"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H</w:t>
            </w:r>
            <w:r w:rsidRPr="008873C9">
              <w:rPr>
                <w:rFonts w:ascii="Cambria Math" w:eastAsia="Times New Roman" w:hAnsi="Cambria Math" w:cs="Cambria Math"/>
                <w:color w:val="000000"/>
                <w:kern w:val="0"/>
                <w:sz w:val="20"/>
                <w:szCs w:val="20"/>
                <w14:ligatures w14:val="none"/>
              </w:rPr>
              <w:t>₁</w:t>
            </w:r>
            <w:r w:rsidRPr="008873C9">
              <w:rPr>
                <w:rFonts w:ascii="Arial" w:eastAsia="Times New Roman" w:hAnsi="Arial" w:cs="Arial"/>
                <w:color w:val="000000"/>
                <w:kern w:val="0"/>
                <w:sz w:val="20"/>
                <w:szCs w:val="20"/>
                <w14:ligatures w14:val="none"/>
              </w:rPr>
              <w:t>-4</w:t>
            </w:r>
          </w:p>
        </w:tc>
        <w:tc>
          <w:tcPr>
            <w:tcW w:w="2268" w:type="dxa"/>
            <w:tcBorders>
              <w:top w:val="nil"/>
              <w:left w:val="single" w:sz="4" w:space="0" w:color="auto"/>
              <w:bottom w:val="single" w:sz="4" w:space="0" w:color="auto"/>
              <w:right w:val="single" w:sz="4" w:space="0" w:color="auto"/>
            </w:tcBorders>
            <w:vAlign w:val="center"/>
            <w:hideMark/>
          </w:tcPr>
          <w:p w14:paraId="22D6DFB3"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المشاركة في اتخاذ القرار → الإبداع الوظيفي</w:t>
            </w:r>
          </w:p>
        </w:tc>
        <w:tc>
          <w:tcPr>
            <w:tcW w:w="1447" w:type="dxa"/>
            <w:tcBorders>
              <w:top w:val="nil"/>
              <w:left w:val="single" w:sz="4" w:space="0" w:color="auto"/>
              <w:bottom w:val="single" w:sz="4" w:space="0" w:color="auto"/>
              <w:right w:val="single" w:sz="4" w:space="0" w:color="auto"/>
            </w:tcBorders>
            <w:vAlign w:val="center"/>
            <w:hideMark/>
          </w:tcPr>
          <w:p w14:paraId="28508E00"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0.129</w:t>
            </w:r>
          </w:p>
        </w:tc>
        <w:tc>
          <w:tcPr>
            <w:tcW w:w="1184" w:type="dxa"/>
            <w:tcBorders>
              <w:top w:val="nil"/>
              <w:left w:val="single" w:sz="4" w:space="0" w:color="auto"/>
              <w:bottom w:val="single" w:sz="4" w:space="0" w:color="auto"/>
              <w:right w:val="single" w:sz="4" w:space="0" w:color="auto"/>
            </w:tcBorders>
            <w:vAlign w:val="center"/>
            <w:hideMark/>
          </w:tcPr>
          <w:p w14:paraId="356463C7"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3.506</w:t>
            </w:r>
          </w:p>
        </w:tc>
        <w:tc>
          <w:tcPr>
            <w:tcW w:w="1917" w:type="dxa"/>
            <w:tcBorders>
              <w:top w:val="nil"/>
              <w:left w:val="single" w:sz="4" w:space="0" w:color="auto"/>
              <w:bottom w:val="single" w:sz="4" w:space="0" w:color="auto"/>
              <w:right w:val="single" w:sz="4" w:space="0" w:color="auto"/>
            </w:tcBorders>
            <w:vAlign w:val="center"/>
            <w:hideMark/>
          </w:tcPr>
          <w:p w14:paraId="67549199"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0.001</w:t>
            </w:r>
          </w:p>
        </w:tc>
        <w:tc>
          <w:tcPr>
            <w:tcW w:w="1112" w:type="dxa"/>
            <w:tcBorders>
              <w:top w:val="nil"/>
              <w:left w:val="single" w:sz="4" w:space="0" w:color="auto"/>
              <w:bottom w:val="single" w:sz="4" w:space="0" w:color="auto"/>
              <w:right w:val="single" w:sz="8" w:space="0" w:color="auto"/>
            </w:tcBorders>
            <w:vAlign w:val="center"/>
            <w:hideMark/>
          </w:tcPr>
          <w:p w14:paraId="32627F49"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تُقبل</w:t>
            </w:r>
            <w:r w:rsidRPr="008873C9">
              <w:rPr>
                <w:rFonts w:ascii="Arial" w:eastAsia="Times New Roman" w:hAnsi="Arial" w:cs="Arial"/>
                <w:color w:val="000000"/>
                <w:kern w:val="0"/>
                <w:sz w:val="20"/>
                <w:szCs w:val="20"/>
                <w:rtl/>
                <w14:ligatures w14:val="none"/>
              </w:rPr>
              <w:t xml:space="preserve"> (دال)</w:t>
            </w:r>
          </w:p>
        </w:tc>
      </w:tr>
      <w:tr w:rsidR="00793DFB" w:rsidRPr="008873C9" w14:paraId="0A5B4509" w14:textId="77777777" w:rsidTr="009F1C88">
        <w:trPr>
          <w:trHeight w:val="528"/>
          <w:jc w:val="center"/>
        </w:trPr>
        <w:tc>
          <w:tcPr>
            <w:tcW w:w="1002" w:type="dxa"/>
            <w:tcBorders>
              <w:top w:val="nil"/>
              <w:left w:val="single" w:sz="8" w:space="0" w:color="auto"/>
              <w:bottom w:val="single" w:sz="4" w:space="0" w:color="auto"/>
              <w:right w:val="single" w:sz="4" w:space="0" w:color="auto"/>
            </w:tcBorders>
            <w:vAlign w:val="center"/>
            <w:hideMark/>
          </w:tcPr>
          <w:p w14:paraId="038BABD2"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H</w:t>
            </w:r>
            <w:r w:rsidRPr="008873C9">
              <w:rPr>
                <w:rFonts w:ascii="Cambria Math" w:eastAsia="Times New Roman" w:hAnsi="Cambria Math" w:cs="Cambria Math"/>
                <w:color w:val="000000"/>
                <w:kern w:val="0"/>
                <w:sz w:val="20"/>
                <w:szCs w:val="20"/>
                <w14:ligatures w14:val="none"/>
              </w:rPr>
              <w:t>₁</w:t>
            </w:r>
            <w:r w:rsidRPr="008873C9">
              <w:rPr>
                <w:rFonts w:ascii="Arial" w:eastAsia="Times New Roman" w:hAnsi="Arial" w:cs="Arial"/>
                <w:color w:val="000000"/>
                <w:kern w:val="0"/>
                <w:sz w:val="20"/>
                <w:szCs w:val="20"/>
                <w14:ligatures w14:val="none"/>
              </w:rPr>
              <w:t>-5</w:t>
            </w:r>
          </w:p>
        </w:tc>
        <w:tc>
          <w:tcPr>
            <w:tcW w:w="2268" w:type="dxa"/>
            <w:tcBorders>
              <w:top w:val="nil"/>
              <w:left w:val="single" w:sz="4" w:space="0" w:color="auto"/>
              <w:bottom w:val="single" w:sz="4" w:space="0" w:color="auto"/>
              <w:right w:val="single" w:sz="4" w:space="0" w:color="auto"/>
            </w:tcBorders>
            <w:vAlign w:val="center"/>
            <w:hideMark/>
          </w:tcPr>
          <w:p w14:paraId="204B4F1D"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تقييم الأداء العادل → الإبداع الوظيفي</w:t>
            </w:r>
          </w:p>
        </w:tc>
        <w:tc>
          <w:tcPr>
            <w:tcW w:w="1447" w:type="dxa"/>
            <w:tcBorders>
              <w:top w:val="nil"/>
              <w:left w:val="single" w:sz="4" w:space="0" w:color="auto"/>
              <w:bottom w:val="single" w:sz="4" w:space="0" w:color="auto"/>
              <w:right w:val="single" w:sz="4" w:space="0" w:color="auto"/>
            </w:tcBorders>
            <w:vAlign w:val="center"/>
            <w:hideMark/>
          </w:tcPr>
          <w:p w14:paraId="0426CB61"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0.113</w:t>
            </w:r>
          </w:p>
        </w:tc>
        <w:tc>
          <w:tcPr>
            <w:tcW w:w="1184" w:type="dxa"/>
            <w:tcBorders>
              <w:top w:val="nil"/>
              <w:left w:val="single" w:sz="4" w:space="0" w:color="auto"/>
              <w:bottom w:val="single" w:sz="4" w:space="0" w:color="auto"/>
              <w:right w:val="single" w:sz="4" w:space="0" w:color="auto"/>
            </w:tcBorders>
            <w:vAlign w:val="center"/>
            <w:hideMark/>
          </w:tcPr>
          <w:p w14:paraId="5F54F26C"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2.936</w:t>
            </w:r>
          </w:p>
        </w:tc>
        <w:tc>
          <w:tcPr>
            <w:tcW w:w="1917" w:type="dxa"/>
            <w:tcBorders>
              <w:top w:val="nil"/>
              <w:left w:val="single" w:sz="4" w:space="0" w:color="auto"/>
              <w:bottom w:val="single" w:sz="4" w:space="0" w:color="auto"/>
              <w:right w:val="single" w:sz="4" w:space="0" w:color="auto"/>
            </w:tcBorders>
            <w:vAlign w:val="center"/>
            <w:hideMark/>
          </w:tcPr>
          <w:p w14:paraId="58E4FD30"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0.004</w:t>
            </w:r>
          </w:p>
        </w:tc>
        <w:tc>
          <w:tcPr>
            <w:tcW w:w="1112" w:type="dxa"/>
            <w:tcBorders>
              <w:top w:val="nil"/>
              <w:left w:val="single" w:sz="4" w:space="0" w:color="auto"/>
              <w:bottom w:val="single" w:sz="4" w:space="0" w:color="auto"/>
              <w:right w:val="single" w:sz="8" w:space="0" w:color="auto"/>
            </w:tcBorders>
            <w:vAlign w:val="center"/>
            <w:hideMark/>
          </w:tcPr>
          <w:p w14:paraId="63D2001D"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تُقبل</w:t>
            </w:r>
            <w:r w:rsidRPr="008873C9">
              <w:rPr>
                <w:rFonts w:ascii="Arial" w:eastAsia="Times New Roman" w:hAnsi="Arial" w:cs="Arial"/>
                <w:color w:val="000000"/>
                <w:kern w:val="0"/>
                <w:sz w:val="20"/>
                <w:szCs w:val="20"/>
                <w:rtl/>
                <w14:ligatures w14:val="none"/>
              </w:rPr>
              <w:t xml:space="preserve"> (دال)</w:t>
            </w:r>
          </w:p>
        </w:tc>
      </w:tr>
      <w:tr w:rsidR="00793DFB" w:rsidRPr="008873C9" w14:paraId="6A362148" w14:textId="77777777" w:rsidTr="009F1C88">
        <w:trPr>
          <w:trHeight w:val="528"/>
          <w:jc w:val="center"/>
        </w:trPr>
        <w:tc>
          <w:tcPr>
            <w:tcW w:w="1002" w:type="dxa"/>
            <w:tcBorders>
              <w:top w:val="nil"/>
              <w:left w:val="single" w:sz="8" w:space="0" w:color="auto"/>
              <w:bottom w:val="single" w:sz="4" w:space="0" w:color="auto"/>
              <w:right w:val="single" w:sz="4" w:space="0" w:color="auto"/>
            </w:tcBorders>
            <w:vAlign w:val="center"/>
            <w:hideMark/>
          </w:tcPr>
          <w:p w14:paraId="6A741E58"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lastRenderedPageBreak/>
              <w:t>H</w:t>
            </w:r>
            <w:r w:rsidRPr="008873C9">
              <w:rPr>
                <w:rFonts w:ascii="Cambria Math" w:eastAsia="Times New Roman" w:hAnsi="Cambria Math" w:cs="Cambria Math"/>
                <w:color w:val="000000"/>
                <w:kern w:val="0"/>
                <w:sz w:val="20"/>
                <w:szCs w:val="20"/>
                <w14:ligatures w14:val="none"/>
              </w:rPr>
              <w:t>₁</w:t>
            </w:r>
            <w:r w:rsidRPr="008873C9">
              <w:rPr>
                <w:rFonts w:ascii="Arial" w:eastAsia="Times New Roman" w:hAnsi="Arial" w:cs="Arial"/>
                <w:color w:val="000000"/>
                <w:kern w:val="0"/>
                <w:sz w:val="20"/>
                <w:szCs w:val="20"/>
                <w14:ligatures w14:val="none"/>
              </w:rPr>
              <w:t>-6</w:t>
            </w:r>
          </w:p>
        </w:tc>
        <w:tc>
          <w:tcPr>
            <w:tcW w:w="2268" w:type="dxa"/>
            <w:tcBorders>
              <w:top w:val="nil"/>
              <w:left w:val="single" w:sz="4" w:space="0" w:color="auto"/>
              <w:bottom w:val="single" w:sz="4" w:space="0" w:color="auto"/>
              <w:right w:val="single" w:sz="4" w:space="0" w:color="auto"/>
            </w:tcBorders>
            <w:vAlign w:val="center"/>
            <w:hideMark/>
          </w:tcPr>
          <w:p w14:paraId="03BCF907"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تمكين الموظفين → الإبداع الوظيفي</w:t>
            </w:r>
          </w:p>
        </w:tc>
        <w:tc>
          <w:tcPr>
            <w:tcW w:w="1447" w:type="dxa"/>
            <w:tcBorders>
              <w:top w:val="nil"/>
              <w:left w:val="single" w:sz="4" w:space="0" w:color="auto"/>
              <w:bottom w:val="single" w:sz="4" w:space="0" w:color="auto"/>
              <w:right w:val="single" w:sz="4" w:space="0" w:color="auto"/>
            </w:tcBorders>
            <w:vAlign w:val="center"/>
            <w:hideMark/>
          </w:tcPr>
          <w:p w14:paraId="03AA39F8"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0.348</w:t>
            </w:r>
          </w:p>
        </w:tc>
        <w:tc>
          <w:tcPr>
            <w:tcW w:w="1184" w:type="dxa"/>
            <w:tcBorders>
              <w:top w:val="nil"/>
              <w:left w:val="single" w:sz="4" w:space="0" w:color="auto"/>
              <w:bottom w:val="single" w:sz="4" w:space="0" w:color="auto"/>
              <w:right w:val="single" w:sz="4" w:space="0" w:color="auto"/>
            </w:tcBorders>
            <w:vAlign w:val="center"/>
            <w:hideMark/>
          </w:tcPr>
          <w:p w14:paraId="347E89F4"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7.119</w:t>
            </w:r>
          </w:p>
        </w:tc>
        <w:tc>
          <w:tcPr>
            <w:tcW w:w="1917" w:type="dxa"/>
            <w:tcBorders>
              <w:top w:val="nil"/>
              <w:left w:val="single" w:sz="4" w:space="0" w:color="auto"/>
              <w:bottom w:val="single" w:sz="4" w:space="0" w:color="auto"/>
              <w:right w:val="single" w:sz="4" w:space="0" w:color="auto"/>
            </w:tcBorders>
            <w:vAlign w:val="center"/>
            <w:hideMark/>
          </w:tcPr>
          <w:p w14:paraId="757F2B95"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&lt; .001</w:t>
            </w:r>
          </w:p>
        </w:tc>
        <w:tc>
          <w:tcPr>
            <w:tcW w:w="1112" w:type="dxa"/>
            <w:tcBorders>
              <w:top w:val="nil"/>
              <w:left w:val="single" w:sz="4" w:space="0" w:color="auto"/>
              <w:bottom w:val="single" w:sz="4" w:space="0" w:color="auto"/>
              <w:right w:val="single" w:sz="8" w:space="0" w:color="auto"/>
            </w:tcBorders>
            <w:vAlign w:val="center"/>
            <w:hideMark/>
          </w:tcPr>
          <w:p w14:paraId="2AB7DA15"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تُقبل</w:t>
            </w:r>
            <w:r w:rsidRPr="008873C9">
              <w:rPr>
                <w:rFonts w:ascii="Arial" w:eastAsia="Times New Roman" w:hAnsi="Arial" w:cs="Arial"/>
                <w:color w:val="000000"/>
                <w:kern w:val="0"/>
                <w:sz w:val="20"/>
                <w:szCs w:val="20"/>
                <w:rtl/>
                <w14:ligatures w14:val="none"/>
              </w:rPr>
              <w:t xml:space="preserve"> (دال، الأقوى)</w:t>
            </w:r>
          </w:p>
        </w:tc>
      </w:tr>
      <w:tr w:rsidR="00793DFB" w:rsidRPr="008873C9" w14:paraId="686C5CEF" w14:textId="77777777" w:rsidTr="009F1C88">
        <w:trPr>
          <w:trHeight w:val="792"/>
          <w:jc w:val="center"/>
        </w:trPr>
        <w:tc>
          <w:tcPr>
            <w:tcW w:w="1002" w:type="dxa"/>
            <w:tcBorders>
              <w:top w:val="nil"/>
              <w:left w:val="single" w:sz="8" w:space="0" w:color="auto"/>
              <w:bottom w:val="single" w:sz="4" w:space="0" w:color="auto"/>
              <w:right w:val="single" w:sz="4" w:space="0" w:color="auto"/>
            </w:tcBorders>
            <w:vAlign w:val="center"/>
            <w:hideMark/>
          </w:tcPr>
          <w:p w14:paraId="39A7B633"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H</w:t>
            </w:r>
            <w:r w:rsidRPr="008873C9">
              <w:rPr>
                <w:rFonts w:ascii="Cambria Math" w:eastAsia="Times New Roman" w:hAnsi="Cambria Math" w:cs="Cambria Math"/>
                <w:color w:val="000000"/>
                <w:kern w:val="0"/>
                <w:sz w:val="20"/>
                <w:szCs w:val="20"/>
                <w14:ligatures w14:val="none"/>
              </w:rPr>
              <w:t>₂</w:t>
            </w:r>
          </w:p>
        </w:tc>
        <w:tc>
          <w:tcPr>
            <w:tcW w:w="2268" w:type="dxa"/>
            <w:tcBorders>
              <w:top w:val="nil"/>
              <w:left w:val="single" w:sz="4" w:space="0" w:color="auto"/>
              <w:bottom w:val="single" w:sz="4" w:space="0" w:color="auto"/>
              <w:right w:val="single" w:sz="4" w:space="0" w:color="auto"/>
            </w:tcBorders>
            <w:vAlign w:val="center"/>
            <w:hideMark/>
          </w:tcPr>
          <w:p w14:paraId="7205A3B5"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 xml:space="preserve">العلاقة بين </w:t>
            </w:r>
            <w:r w:rsidRPr="008873C9">
              <w:rPr>
                <w:rFonts w:ascii="Arial" w:eastAsia="Times New Roman" w:hAnsi="Arial" w:cs="Arial"/>
                <w:b/>
                <w:bCs/>
                <w:color w:val="000000"/>
                <w:kern w:val="0"/>
                <w:sz w:val="20"/>
                <w:szCs w:val="20"/>
                <w14:ligatures w14:val="none"/>
              </w:rPr>
              <w:t>HPWS</w:t>
            </w:r>
            <w:r w:rsidRPr="008873C9">
              <w:rPr>
                <w:rFonts w:ascii="Arial" w:eastAsia="Times New Roman" w:hAnsi="Arial" w:cs="Arial"/>
                <w:b/>
                <w:bCs/>
                <w:color w:val="000000"/>
                <w:kern w:val="0"/>
                <w:sz w:val="20"/>
                <w:szCs w:val="20"/>
                <w:rtl/>
                <w14:ligatures w14:val="none"/>
              </w:rPr>
              <w:t xml:space="preserve"> → الثقافة التنظيمية (</w:t>
            </w:r>
            <w:proofErr w:type="spellStart"/>
            <w:r w:rsidRPr="008873C9">
              <w:rPr>
                <w:rFonts w:ascii="Arial" w:eastAsia="Times New Roman" w:hAnsi="Arial" w:cs="Arial"/>
                <w:b/>
                <w:bCs/>
                <w:color w:val="000000"/>
                <w:kern w:val="0"/>
                <w:sz w:val="20"/>
                <w:szCs w:val="20"/>
                <w14:ligatures w14:val="none"/>
              </w:rPr>
              <w:t>Org_Cul</w:t>
            </w:r>
            <w:proofErr w:type="spellEnd"/>
            <w:r w:rsidRPr="008873C9">
              <w:rPr>
                <w:rFonts w:ascii="Arial" w:eastAsia="Times New Roman" w:hAnsi="Arial" w:cs="Arial"/>
                <w:b/>
                <w:bCs/>
                <w:color w:val="000000"/>
                <w:kern w:val="0"/>
                <w:sz w:val="20"/>
                <w:szCs w:val="20"/>
                <w:rtl/>
                <w14:ligatures w14:val="none"/>
              </w:rPr>
              <w:t>)</w:t>
            </w:r>
          </w:p>
        </w:tc>
        <w:tc>
          <w:tcPr>
            <w:tcW w:w="1447" w:type="dxa"/>
            <w:tcBorders>
              <w:top w:val="nil"/>
              <w:left w:val="single" w:sz="4" w:space="0" w:color="auto"/>
              <w:bottom w:val="single" w:sz="4" w:space="0" w:color="auto"/>
              <w:right w:val="single" w:sz="4" w:space="0" w:color="auto"/>
            </w:tcBorders>
            <w:vAlign w:val="center"/>
            <w:hideMark/>
          </w:tcPr>
          <w:p w14:paraId="5D664725" w14:textId="77777777" w:rsidR="00793DFB" w:rsidRPr="008873C9"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8873C9">
              <w:rPr>
                <w:rFonts w:ascii="Arial" w:eastAsia="Times New Roman" w:hAnsi="Arial" w:cs="Arial"/>
                <w:b/>
                <w:bCs/>
                <w:color w:val="000000"/>
                <w:kern w:val="0"/>
                <w:sz w:val="20"/>
                <w:szCs w:val="20"/>
                <w14:ligatures w14:val="none"/>
              </w:rPr>
              <w:t>0.969</w:t>
            </w:r>
          </w:p>
        </w:tc>
        <w:tc>
          <w:tcPr>
            <w:tcW w:w="1184" w:type="dxa"/>
            <w:tcBorders>
              <w:top w:val="nil"/>
              <w:left w:val="single" w:sz="4" w:space="0" w:color="auto"/>
              <w:bottom w:val="single" w:sz="4" w:space="0" w:color="auto"/>
              <w:right w:val="single" w:sz="4" w:space="0" w:color="auto"/>
            </w:tcBorders>
            <w:vAlign w:val="center"/>
            <w:hideMark/>
          </w:tcPr>
          <w:p w14:paraId="37C441F7"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48.594</w:t>
            </w:r>
          </w:p>
        </w:tc>
        <w:tc>
          <w:tcPr>
            <w:tcW w:w="1917" w:type="dxa"/>
            <w:tcBorders>
              <w:top w:val="nil"/>
              <w:left w:val="single" w:sz="4" w:space="0" w:color="auto"/>
              <w:bottom w:val="single" w:sz="4" w:space="0" w:color="auto"/>
              <w:right w:val="single" w:sz="4" w:space="0" w:color="auto"/>
            </w:tcBorders>
            <w:vAlign w:val="center"/>
            <w:hideMark/>
          </w:tcPr>
          <w:p w14:paraId="7F236D4E"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&lt; .001</w:t>
            </w:r>
          </w:p>
        </w:tc>
        <w:tc>
          <w:tcPr>
            <w:tcW w:w="1112" w:type="dxa"/>
            <w:tcBorders>
              <w:top w:val="nil"/>
              <w:left w:val="single" w:sz="4" w:space="0" w:color="auto"/>
              <w:bottom w:val="single" w:sz="4" w:space="0" w:color="auto"/>
              <w:right w:val="single" w:sz="8" w:space="0" w:color="auto"/>
            </w:tcBorders>
            <w:vAlign w:val="center"/>
            <w:hideMark/>
          </w:tcPr>
          <w:p w14:paraId="0D253B9B"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تُقبل</w:t>
            </w:r>
          </w:p>
        </w:tc>
      </w:tr>
      <w:tr w:rsidR="00793DFB" w:rsidRPr="008873C9" w14:paraId="755B94A1" w14:textId="77777777" w:rsidTr="009F1C88">
        <w:trPr>
          <w:trHeight w:val="2112"/>
          <w:jc w:val="center"/>
        </w:trPr>
        <w:tc>
          <w:tcPr>
            <w:tcW w:w="1002" w:type="dxa"/>
            <w:tcBorders>
              <w:top w:val="nil"/>
              <w:left w:val="single" w:sz="8" w:space="0" w:color="auto"/>
              <w:bottom w:val="single" w:sz="4" w:space="0" w:color="auto"/>
              <w:right w:val="single" w:sz="4" w:space="0" w:color="auto"/>
            </w:tcBorders>
            <w:vAlign w:val="center"/>
            <w:hideMark/>
          </w:tcPr>
          <w:p w14:paraId="20361C6F"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H</w:t>
            </w:r>
            <w:r w:rsidRPr="008873C9">
              <w:rPr>
                <w:rFonts w:ascii="Cambria Math" w:eastAsia="Times New Roman" w:hAnsi="Cambria Math" w:cs="Cambria Math"/>
                <w:color w:val="000000"/>
                <w:kern w:val="0"/>
                <w:sz w:val="20"/>
                <w:szCs w:val="20"/>
                <w14:ligatures w14:val="none"/>
              </w:rPr>
              <w:t>₂</w:t>
            </w:r>
            <w:r w:rsidRPr="008873C9">
              <w:rPr>
                <w:rFonts w:ascii="Arial" w:eastAsia="Times New Roman" w:hAnsi="Arial" w:cs="Arial"/>
                <w:color w:val="000000"/>
                <w:kern w:val="0"/>
                <w:sz w:val="20"/>
                <w:szCs w:val="20"/>
                <w14:ligatures w14:val="none"/>
              </w:rPr>
              <w:t>-(</w:t>
            </w:r>
            <w:r w:rsidRPr="008873C9">
              <w:rPr>
                <w:rFonts w:ascii="Arial" w:eastAsia="Times New Roman" w:hAnsi="Arial" w:cs="Arial"/>
                <w:color w:val="000000"/>
                <w:kern w:val="0"/>
                <w:sz w:val="20"/>
                <w:szCs w:val="20"/>
                <w:rtl/>
                <w14:ligatures w14:val="none"/>
              </w:rPr>
              <w:t>أبعاد</w:t>
            </w:r>
            <w:r w:rsidRPr="008873C9">
              <w:rPr>
                <w:rFonts w:ascii="Arial" w:eastAsia="Times New Roman" w:hAnsi="Arial" w:cs="Arial"/>
                <w:color w:val="000000"/>
                <w:kern w:val="0"/>
                <w:sz w:val="20"/>
                <w:szCs w:val="20"/>
                <w14:ligatures w14:val="none"/>
              </w:rPr>
              <w:t>)*</w:t>
            </w:r>
          </w:p>
        </w:tc>
        <w:tc>
          <w:tcPr>
            <w:tcW w:w="2268" w:type="dxa"/>
            <w:tcBorders>
              <w:top w:val="nil"/>
              <w:left w:val="single" w:sz="4" w:space="0" w:color="auto"/>
              <w:bottom w:val="single" w:sz="4" w:space="0" w:color="auto"/>
              <w:right w:val="single" w:sz="4" w:space="0" w:color="auto"/>
            </w:tcBorders>
            <w:vAlign w:val="center"/>
            <w:hideMark/>
          </w:tcPr>
          <w:p w14:paraId="56ED9F78"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 xml:space="preserve">تأثير </w:t>
            </w:r>
            <w:r w:rsidRPr="008873C9">
              <w:rPr>
                <w:rFonts w:ascii="Arial" w:eastAsia="Times New Roman" w:hAnsi="Arial" w:cs="Arial"/>
                <w:color w:val="000000"/>
                <w:kern w:val="0"/>
                <w:sz w:val="20"/>
                <w:szCs w:val="20"/>
                <w14:ligatures w14:val="none"/>
              </w:rPr>
              <w:t>HPWS</w:t>
            </w:r>
            <w:r w:rsidRPr="008873C9">
              <w:rPr>
                <w:rFonts w:ascii="Arial" w:eastAsia="Times New Roman" w:hAnsi="Arial" w:cs="Arial"/>
                <w:color w:val="000000"/>
                <w:kern w:val="0"/>
                <w:sz w:val="20"/>
                <w:szCs w:val="20"/>
                <w:rtl/>
                <w14:ligatures w14:val="none"/>
              </w:rPr>
              <w:t xml:space="preserve"> على أبعاد الثقافة (</w:t>
            </w:r>
            <w:r w:rsidRPr="008873C9">
              <w:rPr>
                <w:rFonts w:ascii="Arial" w:eastAsia="Times New Roman" w:hAnsi="Arial" w:cs="Arial"/>
                <w:color w:val="000000"/>
                <w:kern w:val="0"/>
                <w:sz w:val="20"/>
                <w:szCs w:val="20"/>
                <w14:ligatures w14:val="none"/>
              </w:rPr>
              <w:t>ORG1–ORG4</w:t>
            </w:r>
            <w:r w:rsidRPr="008873C9">
              <w:rPr>
                <w:rFonts w:ascii="Arial" w:eastAsia="Times New Roman" w:hAnsi="Arial" w:cs="Arial"/>
                <w:color w:val="000000"/>
                <w:kern w:val="0"/>
                <w:sz w:val="20"/>
                <w:szCs w:val="20"/>
                <w:rtl/>
                <w14:ligatures w14:val="none"/>
              </w:rPr>
              <w:t>) — ملخّص</w:t>
            </w:r>
          </w:p>
        </w:tc>
        <w:tc>
          <w:tcPr>
            <w:tcW w:w="1447" w:type="dxa"/>
            <w:tcBorders>
              <w:top w:val="nil"/>
              <w:left w:val="single" w:sz="4" w:space="0" w:color="auto"/>
              <w:bottom w:val="single" w:sz="4" w:space="0" w:color="auto"/>
              <w:right w:val="single" w:sz="4" w:space="0" w:color="auto"/>
            </w:tcBorders>
            <w:vAlign w:val="center"/>
            <w:hideMark/>
          </w:tcPr>
          <w:p w14:paraId="750BB3EE"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ORG1: 0.8423; ORG2: 0.8764; ORG3: 1.0560; ORG4: 1.0572</w:t>
            </w:r>
          </w:p>
        </w:tc>
        <w:tc>
          <w:tcPr>
            <w:tcW w:w="1184" w:type="dxa"/>
            <w:tcBorders>
              <w:top w:val="nil"/>
              <w:left w:val="single" w:sz="4" w:space="0" w:color="auto"/>
              <w:bottom w:val="single" w:sz="4" w:space="0" w:color="auto"/>
              <w:right w:val="single" w:sz="4" w:space="0" w:color="auto"/>
            </w:tcBorders>
            <w:vAlign w:val="center"/>
            <w:hideMark/>
          </w:tcPr>
          <w:p w14:paraId="5D029C88"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 xml:space="preserve">جميع القيم </w:t>
            </w:r>
            <w:r w:rsidRPr="008873C9">
              <w:rPr>
                <w:rFonts w:ascii="Arial" w:eastAsia="Times New Roman" w:hAnsi="Arial" w:cs="Arial"/>
                <w:color w:val="000000"/>
                <w:kern w:val="0"/>
                <w:sz w:val="20"/>
                <w:szCs w:val="20"/>
                <w14:ligatures w14:val="none"/>
              </w:rPr>
              <w:t>t</w:t>
            </w:r>
            <w:r w:rsidRPr="008873C9">
              <w:rPr>
                <w:rFonts w:ascii="Arial" w:eastAsia="Times New Roman" w:hAnsi="Arial" w:cs="Arial"/>
                <w:color w:val="000000"/>
                <w:kern w:val="0"/>
                <w:sz w:val="20"/>
                <w:szCs w:val="20"/>
                <w:rtl/>
                <w14:ligatures w14:val="none"/>
              </w:rPr>
              <w:t xml:space="preserve"> بين 24–36</w:t>
            </w:r>
          </w:p>
        </w:tc>
        <w:tc>
          <w:tcPr>
            <w:tcW w:w="1917" w:type="dxa"/>
            <w:tcBorders>
              <w:top w:val="nil"/>
              <w:left w:val="single" w:sz="4" w:space="0" w:color="auto"/>
              <w:bottom w:val="single" w:sz="4" w:space="0" w:color="auto"/>
              <w:right w:val="single" w:sz="4" w:space="0" w:color="auto"/>
            </w:tcBorders>
            <w:vAlign w:val="center"/>
            <w:hideMark/>
          </w:tcPr>
          <w:p w14:paraId="483BFCF9"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rtl/>
                <w14:ligatures w14:val="none"/>
              </w:rPr>
              <w:t xml:space="preserve">جميعها </w:t>
            </w:r>
            <w:r w:rsidRPr="008873C9">
              <w:rPr>
                <w:rFonts w:ascii="Arial" w:eastAsia="Times New Roman" w:hAnsi="Arial" w:cs="Arial"/>
                <w:color w:val="000000"/>
                <w:kern w:val="0"/>
                <w:sz w:val="20"/>
                <w:szCs w:val="20"/>
                <w14:ligatures w14:val="none"/>
              </w:rPr>
              <w:t>p</w:t>
            </w:r>
            <w:r w:rsidRPr="008873C9">
              <w:rPr>
                <w:rFonts w:ascii="Arial" w:eastAsia="Times New Roman" w:hAnsi="Arial" w:cs="Arial"/>
                <w:color w:val="000000"/>
                <w:kern w:val="0"/>
                <w:sz w:val="20"/>
                <w:szCs w:val="20"/>
                <w:rtl/>
                <w14:ligatures w14:val="none"/>
              </w:rPr>
              <w:t xml:space="preserve"> &lt; .001</w:t>
            </w:r>
          </w:p>
        </w:tc>
        <w:tc>
          <w:tcPr>
            <w:tcW w:w="1112" w:type="dxa"/>
            <w:tcBorders>
              <w:top w:val="nil"/>
              <w:left w:val="single" w:sz="4" w:space="0" w:color="auto"/>
              <w:bottom w:val="single" w:sz="4" w:space="0" w:color="auto"/>
              <w:right w:val="single" w:sz="8" w:space="0" w:color="auto"/>
            </w:tcBorders>
            <w:vAlign w:val="center"/>
            <w:hideMark/>
          </w:tcPr>
          <w:p w14:paraId="4064C80E"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rtl/>
                <w14:ligatures w14:val="none"/>
              </w:rPr>
            </w:pPr>
            <w:r w:rsidRPr="008873C9">
              <w:rPr>
                <w:rFonts w:ascii="Arial" w:eastAsia="Times New Roman" w:hAnsi="Arial" w:cs="Arial"/>
                <w:b/>
                <w:bCs/>
                <w:color w:val="000000"/>
                <w:kern w:val="0"/>
                <w:sz w:val="20"/>
                <w:szCs w:val="20"/>
                <w:rtl/>
                <w14:ligatures w14:val="none"/>
              </w:rPr>
              <w:t>تُقبل (كلها دالة)</w:t>
            </w:r>
          </w:p>
        </w:tc>
      </w:tr>
      <w:tr w:rsidR="00793DFB" w:rsidRPr="008873C9" w14:paraId="1A6ACE1F" w14:textId="77777777" w:rsidTr="009F1C88">
        <w:trPr>
          <w:trHeight w:val="792"/>
          <w:jc w:val="center"/>
        </w:trPr>
        <w:tc>
          <w:tcPr>
            <w:tcW w:w="1002" w:type="dxa"/>
            <w:tcBorders>
              <w:top w:val="nil"/>
              <w:left w:val="single" w:sz="8" w:space="0" w:color="auto"/>
              <w:bottom w:val="single" w:sz="4" w:space="0" w:color="auto"/>
              <w:right w:val="single" w:sz="4" w:space="0" w:color="auto"/>
            </w:tcBorders>
            <w:vAlign w:val="center"/>
            <w:hideMark/>
          </w:tcPr>
          <w:p w14:paraId="5561D2A2"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H</w:t>
            </w:r>
            <w:r w:rsidRPr="008873C9">
              <w:rPr>
                <w:rFonts w:ascii="Cambria Math" w:eastAsia="Times New Roman" w:hAnsi="Cambria Math" w:cs="Cambria Math"/>
                <w:color w:val="000000"/>
                <w:kern w:val="0"/>
                <w:sz w:val="20"/>
                <w:szCs w:val="20"/>
                <w14:ligatures w14:val="none"/>
              </w:rPr>
              <w:t>₃</w:t>
            </w:r>
          </w:p>
        </w:tc>
        <w:tc>
          <w:tcPr>
            <w:tcW w:w="2268" w:type="dxa"/>
            <w:tcBorders>
              <w:top w:val="nil"/>
              <w:left w:val="single" w:sz="4" w:space="0" w:color="auto"/>
              <w:bottom w:val="single" w:sz="4" w:space="0" w:color="auto"/>
              <w:right w:val="single" w:sz="4" w:space="0" w:color="auto"/>
            </w:tcBorders>
            <w:vAlign w:val="center"/>
            <w:hideMark/>
          </w:tcPr>
          <w:p w14:paraId="24DA6B4B"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 xml:space="preserve">العلاقة بين </w:t>
            </w:r>
            <w:r w:rsidRPr="008873C9">
              <w:rPr>
                <w:rFonts w:ascii="Arial" w:eastAsia="Times New Roman" w:hAnsi="Arial" w:cs="Arial"/>
                <w:b/>
                <w:bCs/>
                <w:color w:val="000000"/>
                <w:kern w:val="0"/>
                <w:sz w:val="20"/>
                <w:szCs w:val="20"/>
                <w:rtl/>
                <w14:ligatures w14:val="none"/>
              </w:rPr>
              <w:t>الثقافة التنظيمية → الإبداع الوظيفي</w:t>
            </w:r>
          </w:p>
        </w:tc>
        <w:tc>
          <w:tcPr>
            <w:tcW w:w="1447" w:type="dxa"/>
            <w:tcBorders>
              <w:top w:val="nil"/>
              <w:left w:val="single" w:sz="4" w:space="0" w:color="auto"/>
              <w:bottom w:val="single" w:sz="4" w:space="0" w:color="auto"/>
              <w:right w:val="single" w:sz="4" w:space="0" w:color="auto"/>
            </w:tcBorders>
            <w:vAlign w:val="center"/>
            <w:hideMark/>
          </w:tcPr>
          <w:p w14:paraId="6A52D8F0" w14:textId="77777777" w:rsidR="00793DFB" w:rsidRPr="008873C9"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8873C9">
              <w:rPr>
                <w:rFonts w:ascii="Arial" w:eastAsia="Times New Roman" w:hAnsi="Arial" w:cs="Arial"/>
                <w:b/>
                <w:bCs/>
                <w:color w:val="000000"/>
                <w:kern w:val="0"/>
                <w:sz w:val="20"/>
                <w:szCs w:val="20"/>
                <w14:ligatures w14:val="none"/>
              </w:rPr>
              <w:t>0.834</w:t>
            </w:r>
          </w:p>
        </w:tc>
        <w:tc>
          <w:tcPr>
            <w:tcW w:w="1184" w:type="dxa"/>
            <w:tcBorders>
              <w:top w:val="nil"/>
              <w:left w:val="single" w:sz="4" w:space="0" w:color="auto"/>
              <w:bottom w:val="single" w:sz="4" w:space="0" w:color="auto"/>
              <w:right w:val="single" w:sz="4" w:space="0" w:color="auto"/>
            </w:tcBorders>
            <w:vAlign w:val="center"/>
            <w:hideMark/>
          </w:tcPr>
          <w:p w14:paraId="07594DFA"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36.869</w:t>
            </w:r>
          </w:p>
        </w:tc>
        <w:tc>
          <w:tcPr>
            <w:tcW w:w="1917" w:type="dxa"/>
            <w:tcBorders>
              <w:top w:val="nil"/>
              <w:left w:val="single" w:sz="4" w:space="0" w:color="auto"/>
              <w:bottom w:val="single" w:sz="4" w:space="0" w:color="auto"/>
              <w:right w:val="single" w:sz="4" w:space="0" w:color="auto"/>
            </w:tcBorders>
            <w:vAlign w:val="center"/>
            <w:hideMark/>
          </w:tcPr>
          <w:p w14:paraId="08111AAF"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&lt; .001</w:t>
            </w:r>
          </w:p>
        </w:tc>
        <w:tc>
          <w:tcPr>
            <w:tcW w:w="1112" w:type="dxa"/>
            <w:tcBorders>
              <w:top w:val="nil"/>
              <w:left w:val="single" w:sz="4" w:space="0" w:color="auto"/>
              <w:bottom w:val="single" w:sz="4" w:space="0" w:color="auto"/>
              <w:right w:val="single" w:sz="8" w:space="0" w:color="auto"/>
            </w:tcBorders>
            <w:vAlign w:val="center"/>
            <w:hideMark/>
          </w:tcPr>
          <w:p w14:paraId="13395B28"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تُقبل</w:t>
            </w:r>
          </w:p>
        </w:tc>
      </w:tr>
      <w:tr w:rsidR="00793DFB" w:rsidRPr="008873C9" w14:paraId="18FBB5FD" w14:textId="77777777" w:rsidTr="009F1C88">
        <w:trPr>
          <w:trHeight w:val="2112"/>
          <w:jc w:val="center"/>
        </w:trPr>
        <w:tc>
          <w:tcPr>
            <w:tcW w:w="1002" w:type="dxa"/>
            <w:tcBorders>
              <w:top w:val="nil"/>
              <w:left w:val="single" w:sz="8" w:space="0" w:color="auto"/>
              <w:bottom w:val="single" w:sz="4" w:space="0" w:color="auto"/>
              <w:right w:val="single" w:sz="4" w:space="0" w:color="auto"/>
            </w:tcBorders>
            <w:vAlign w:val="center"/>
            <w:hideMark/>
          </w:tcPr>
          <w:p w14:paraId="0E7244C5"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H</w:t>
            </w:r>
            <w:r w:rsidRPr="008873C9">
              <w:rPr>
                <w:rFonts w:ascii="Cambria Math" w:eastAsia="Times New Roman" w:hAnsi="Cambria Math" w:cs="Cambria Math"/>
                <w:color w:val="000000"/>
                <w:kern w:val="0"/>
                <w:sz w:val="20"/>
                <w:szCs w:val="20"/>
                <w14:ligatures w14:val="none"/>
              </w:rPr>
              <w:t>₄</w:t>
            </w:r>
          </w:p>
        </w:tc>
        <w:tc>
          <w:tcPr>
            <w:tcW w:w="2268" w:type="dxa"/>
            <w:tcBorders>
              <w:top w:val="nil"/>
              <w:left w:val="single" w:sz="4" w:space="0" w:color="auto"/>
              <w:bottom w:val="single" w:sz="4" w:space="0" w:color="auto"/>
              <w:right w:val="single" w:sz="4" w:space="0" w:color="auto"/>
            </w:tcBorders>
            <w:vAlign w:val="center"/>
            <w:hideMark/>
          </w:tcPr>
          <w:p w14:paraId="50C4F44F"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 xml:space="preserve">الثقافة التنظيمية تتوسط العلاقة </w:t>
            </w:r>
            <w:r w:rsidRPr="008873C9">
              <w:rPr>
                <w:rFonts w:ascii="Arial" w:eastAsia="Times New Roman" w:hAnsi="Arial" w:cs="Arial"/>
                <w:color w:val="000000"/>
                <w:kern w:val="0"/>
                <w:sz w:val="20"/>
                <w:szCs w:val="20"/>
                <w14:ligatures w14:val="none"/>
              </w:rPr>
              <w:t>HPWS</w:t>
            </w:r>
            <w:r w:rsidRPr="008873C9">
              <w:rPr>
                <w:rFonts w:ascii="Arial" w:eastAsia="Times New Roman" w:hAnsi="Arial" w:cs="Arial"/>
                <w:color w:val="000000"/>
                <w:kern w:val="0"/>
                <w:sz w:val="20"/>
                <w:szCs w:val="20"/>
                <w:rtl/>
                <w14:ligatures w14:val="none"/>
              </w:rPr>
              <w:t xml:space="preserve"> → الإبداع (وساطة كلية/جزئية) — </w:t>
            </w:r>
            <w:r w:rsidRPr="008873C9">
              <w:rPr>
                <w:rFonts w:ascii="Arial" w:eastAsia="Times New Roman" w:hAnsi="Arial" w:cs="Arial"/>
                <w:i/>
                <w:iCs/>
                <w:color w:val="000000"/>
                <w:kern w:val="0"/>
                <w:sz w:val="20"/>
                <w:szCs w:val="20"/>
                <w:rtl/>
                <w14:ligatures w14:val="none"/>
              </w:rPr>
              <w:t xml:space="preserve">كما اختبر بـ </w:t>
            </w:r>
            <w:r w:rsidRPr="008873C9">
              <w:rPr>
                <w:rFonts w:ascii="Arial" w:eastAsia="Times New Roman" w:hAnsi="Arial" w:cs="Arial"/>
                <w:i/>
                <w:iCs/>
                <w:color w:val="000000"/>
                <w:kern w:val="0"/>
                <w:sz w:val="20"/>
                <w:szCs w:val="20"/>
                <w14:ligatures w14:val="none"/>
              </w:rPr>
              <w:t>PROCESS</w:t>
            </w:r>
          </w:p>
        </w:tc>
        <w:tc>
          <w:tcPr>
            <w:tcW w:w="1447" w:type="dxa"/>
            <w:tcBorders>
              <w:top w:val="nil"/>
              <w:left w:val="single" w:sz="4" w:space="0" w:color="auto"/>
              <w:bottom w:val="single" w:sz="4" w:space="0" w:color="auto"/>
              <w:right w:val="single" w:sz="4" w:space="0" w:color="auto"/>
            </w:tcBorders>
            <w:vAlign w:val="center"/>
            <w:hideMark/>
          </w:tcPr>
          <w:p w14:paraId="2EDD6420" w14:textId="77777777" w:rsidR="00793DFB" w:rsidRPr="008873C9" w:rsidRDefault="00793DFB" w:rsidP="009F1C88">
            <w:pPr>
              <w:spacing w:after="0" w:line="240" w:lineRule="auto"/>
              <w:jc w:val="center"/>
              <w:rPr>
                <w:rFonts w:ascii="Arial" w:eastAsia="Times New Roman" w:hAnsi="Arial" w:cs="Arial"/>
                <w:b/>
                <w:bCs/>
                <w:color w:val="000000"/>
                <w:kern w:val="0"/>
                <w:sz w:val="20"/>
                <w:szCs w:val="20"/>
                <w:rtl/>
                <w14:ligatures w14:val="none"/>
              </w:rPr>
            </w:pPr>
            <w:r w:rsidRPr="008873C9">
              <w:rPr>
                <w:rFonts w:ascii="Arial" w:eastAsia="Times New Roman" w:hAnsi="Arial" w:cs="Arial"/>
                <w:b/>
                <w:bCs/>
                <w:color w:val="000000"/>
                <w:kern w:val="0"/>
                <w:sz w:val="20"/>
                <w:szCs w:val="20"/>
                <w14:ligatures w14:val="none"/>
              </w:rPr>
              <w:t>Indirect = 0.3923</w:t>
            </w:r>
            <w:r w:rsidRPr="008873C9">
              <w:rPr>
                <w:rFonts w:ascii="Arial" w:eastAsia="Times New Roman" w:hAnsi="Arial" w:cs="Arial"/>
                <w:color w:val="000000"/>
                <w:kern w:val="0"/>
                <w:sz w:val="20"/>
                <w:szCs w:val="20"/>
                <w14:ligatures w14:val="none"/>
              </w:rPr>
              <w:t xml:space="preserve"> (</w:t>
            </w:r>
            <w:proofErr w:type="spellStart"/>
            <w:r w:rsidRPr="008873C9">
              <w:rPr>
                <w:rFonts w:ascii="Arial" w:eastAsia="Times New Roman" w:hAnsi="Arial" w:cs="Arial"/>
                <w:color w:val="000000"/>
                <w:kern w:val="0"/>
                <w:sz w:val="20"/>
                <w:szCs w:val="20"/>
                <w14:ligatures w14:val="none"/>
              </w:rPr>
              <w:t>BootSE</w:t>
            </w:r>
            <w:proofErr w:type="spellEnd"/>
            <w:r w:rsidRPr="008873C9">
              <w:rPr>
                <w:rFonts w:ascii="Arial" w:eastAsia="Times New Roman" w:hAnsi="Arial" w:cs="Arial"/>
                <w:color w:val="000000"/>
                <w:kern w:val="0"/>
                <w:sz w:val="20"/>
                <w:szCs w:val="20"/>
                <w14:ligatures w14:val="none"/>
              </w:rPr>
              <w:t xml:space="preserve"> = 0.0599; 95% CI [0.2782, 0.5114])</w:t>
            </w:r>
          </w:p>
        </w:tc>
        <w:tc>
          <w:tcPr>
            <w:tcW w:w="1184" w:type="dxa"/>
            <w:tcBorders>
              <w:top w:val="nil"/>
              <w:left w:val="single" w:sz="4" w:space="0" w:color="auto"/>
              <w:bottom w:val="single" w:sz="4" w:space="0" w:color="auto"/>
              <w:right w:val="single" w:sz="4" w:space="0" w:color="auto"/>
            </w:tcBorders>
            <w:vAlign w:val="center"/>
            <w:hideMark/>
          </w:tcPr>
          <w:p w14:paraId="7E56E8E7"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 (bootstrap)</w:t>
            </w:r>
          </w:p>
        </w:tc>
        <w:tc>
          <w:tcPr>
            <w:tcW w:w="1917" w:type="dxa"/>
            <w:tcBorders>
              <w:top w:val="nil"/>
              <w:left w:val="single" w:sz="4" w:space="0" w:color="auto"/>
              <w:bottom w:val="single" w:sz="4" w:space="0" w:color="auto"/>
              <w:right w:val="single" w:sz="4" w:space="0" w:color="auto"/>
            </w:tcBorders>
            <w:vAlign w:val="center"/>
            <w:hideMark/>
          </w:tcPr>
          <w:p w14:paraId="6731D87B"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 xml:space="preserve">CI </w:t>
            </w:r>
            <w:r w:rsidRPr="008873C9">
              <w:rPr>
                <w:rFonts w:ascii="Arial" w:eastAsia="Times New Roman" w:hAnsi="Arial" w:cs="Arial"/>
                <w:color w:val="000000"/>
                <w:kern w:val="0"/>
                <w:sz w:val="20"/>
                <w:szCs w:val="20"/>
                <w:rtl/>
                <w14:ligatures w14:val="none"/>
              </w:rPr>
              <w:t>لا تتضمن 0</w:t>
            </w:r>
            <w:r w:rsidRPr="008873C9">
              <w:rPr>
                <w:rFonts w:ascii="Arial" w:eastAsia="Times New Roman" w:hAnsi="Arial" w:cs="Arial"/>
                <w:color w:val="000000"/>
                <w:kern w:val="0"/>
                <w:sz w:val="20"/>
                <w:szCs w:val="20"/>
                <w14:ligatures w14:val="none"/>
              </w:rPr>
              <w:t xml:space="preserve"> (p &lt; .05)</w:t>
            </w:r>
          </w:p>
        </w:tc>
        <w:tc>
          <w:tcPr>
            <w:tcW w:w="1112" w:type="dxa"/>
            <w:tcBorders>
              <w:top w:val="nil"/>
              <w:left w:val="single" w:sz="4" w:space="0" w:color="auto"/>
              <w:bottom w:val="single" w:sz="4" w:space="0" w:color="auto"/>
              <w:right w:val="single" w:sz="8" w:space="0" w:color="auto"/>
            </w:tcBorders>
            <w:vAlign w:val="center"/>
            <w:hideMark/>
          </w:tcPr>
          <w:p w14:paraId="7E4ADC8B"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تُقبل — وساطة جزئية</w:t>
            </w:r>
          </w:p>
        </w:tc>
      </w:tr>
      <w:tr w:rsidR="00793DFB" w:rsidRPr="008873C9" w14:paraId="3118F14A" w14:textId="77777777" w:rsidTr="009F1C88">
        <w:trPr>
          <w:trHeight w:val="1320"/>
          <w:jc w:val="center"/>
        </w:trPr>
        <w:tc>
          <w:tcPr>
            <w:tcW w:w="1002" w:type="dxa"/>
            <w:tcBorders>
              <w:top w:val="nil"/>
              <w:left w:val="single" w:sz="8" w:space="0" w:color="auto"/>
              <w:bottom w:val="single" w:sz="4" w:space="0" w:color="auto"/>
              <w:right w:val="single" w:sz="4" w:space="0" w:color="auto"/>
            </w:tcBorders>
            <w:vAlign w:val="center"/>
            <w:hideMark/>
          </w:tcPr>
          <w:p w14:paraId="0B815732"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H</w:t>
            </w:r>
            <w:r w:rsidRPr="008873C9">
              <w:rPr>
                <w:rFonts w:ascii="Cambria Math" w:eastAsia="Times New Roman" w:hAnsi="Cambria Math" w:cs="Cambria Math"/>
                <w:color w:val="000000"/>
                <w:kern w:val="0"/>
                <w:sz w:val="20"/>
                <w:szCs w:val="20"/>
                <w14:ligatures w14:val="none"/>
              </w:rPr>
              <w:t>₄</w:t>
            </w:r>
            <w:r w:rsidRPr="008873C9">
              <w:rPr>
                <w:rFonts w:ascii="Arial" w:eastAsia="Times New Roman" w:hAnsi="Arial" w:cs="Arial"/>
                <w:color w:val="000000"/>
                <w:kern w:val="0"/>
                <w:sz w:val="20"/>
                <w:szCs w:val="20"/>
                <w14:ligatures w14:val="none"/>
              </w:rPr>
              <w:t>-1</w:t>
            </w:r>
          </w:p>
        </w:tc>
        <w:tc>
          <w:tcPr>
            <w:tcW w:w="2268" w:type="dxa"/>
            <w:tcBorders>
              <w:top w:val="nil"/>
              <w:left w:val="single" w:sz="4" w:space="0" w:color="auto"/>
              <w:bottom w:val="single" w:sz="4" w:space="0" w:color="auto"/>
              <w:right w:val="single" w:sz="4" w:space="0" w:color="auto"/>
            </w:tcBorders>
            <w:vAlign w:val="center"/>
            <w:hideMark/>
          </w:tcPr>
          <w:p w14:paraId="7BFADA0C"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 xml:space="preserve">وساطة البُعد </w:t>
            </w:r>
            <w:r w:rsidRPr="008873C9">
              <w:rPr>
                <w:rFonts w:ascii="Arial" w:eastAsia="Times New Roman" w:hAnsi="Arial" w:cs="Arial"/>
                <w:color w:val="000000"/>
                <w:kern w:val="0"/>
                <w:sz w:val="20"/>
                <w:szCs w:val="20"/>
                <w14:ligatures w14:val="none"/>
              </w:rPr>
              <w:t>ORG1</w:t>
            </w:r>
            <w:r w:rsidRPr="008873C9">
              <w:rPr>
                <w:rFonts w:ascii="Arial" w:eastAsia="Times New Roman" w:hAnsi="Arial" w:cs="Arial"/>
                <w:color w:val="000000"/>
                <w:kern w:val="0"/>
                <w:sz w:val="20"/>
                <w:szCs w:val="20"/>
                <w:rtl/>
                <w14:ligatures w14:val="none"/>
              </w:rPr>
              <w:t xml:space="preserve"> (جزء من الثقافة) في العلاقة </w:t>
            </w:r>
            <w:r w:rsidRPr="008873C9">
              <w:rPr>
                <w:rFonts w:ascii="Arial" w:eastAsia="Times New Roman" w:hAnsi="Arial" w:cs="Arial"/>
                <w:color w:val="000000"/>
                <w:kern w:val="0"/>
                <w:sz w:val="20"/>
                <w:szCs w:val="20"/>
                <w14:ligatures w14:val="none"/>
              </w:rPr>
              <w:t>HPWS</w:t>
            </w:r>
            <w:r w:rsidRPr="008873C9">
              <w:rPr>
                <w:rFonts w:ascii="Arial" w:eastAsia="Times New Roman" w:hAnsi="Arial" w:cs="Arial"/>
                <w:color w:val="000000"/>
                <w:kern w:val="0"/>
                <w:sz w:val="20"/>
                <w:szCs w:val="20"/>
                <w:rtl/>
                <w14:ligatures w14:val="none"/>
              </w:rPr>
              <w:t xml:space="preserve"> → الإبداع</w:t>
            </w:r>
          </w:p>
        </w:tc>
        <w:tc>
          <w:tcPr>
            <w:tcW w:w="1447" w:type="dxa"/>
            <w:tcBorders>
              <w:top w:val="nil"/>
              <w:left w:val="single" w:sz="4" w:space="0" w:color="auto"/>
              <w:bottom w:val="single" w:sz="4" w:space="0" w:color="auto"/>
              <w:right w:val="single" w:sz="4" w:space="0" w:color="auto"/>
            </w:tcBorders>
            <w:vAlign w:val="center"/>
            <w:hideMark/>
          </w:tcPr>
          <w:p w14:paraId="618C0A19"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Indirect = 0.0852</w:t>
            </w:r>
          </w:p>
        </w:tc>
        <w:tc>
          <w:tcPr>
            <w:tcW w:w="1184" w:type="dxa"/>
            <w:tcBorders>
              <w:top w:val="nil"/>
              <w:left w:val="single" w:sz="4" w:space="0" w:color="auto"/>
              <w:bottom w:val="single" w:sz="4" w:space="0" w:color="auto"/>
              <w:right w:val="single" w:sz="4" w:space="0" w:color="auto"/>
            </w:tcBorders>
            <w:vAlign w:val="center"/>
            <w:hideMark/>
          </w:tcPr>
          <w:p w14:paraId="546C5824"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w:t>
            </w:r>
          </w:p>
        </w:tc>
        <w:tc>
          <w:tcPr>
            <w:tcW w:w="1917" w:type="dxa"/>
            <w:tcBorders>
              <w:top w:val="nil"/>
              <w:left w:val="single" w:sz="4" w:space="0" w:color="auto"/>
              <w:bottom w:val="single" w:sz="4" w:space="0" w:color="auto"/>
              <w:right w:val="single" w:sz="4" w:space="0" w:color="auto"/>
            </w:tcBorders>
            <w:vAlign w:val="center"/>
            <w:hideMark/>
          </w:tcPr>
          <w:p w14:paraId="5B7E4EF8"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 xml:space="preserve">95% </w:t>
            </w:r>
            <w:proofErr w:type="spellStart"/>
            <w:r w:rsidRPr="008873C9">
              <w:rPr>
                <w:rFonts w:ascii="Arial" w:eastAsia="Times New Roman" w:hAnsi="Arial" w:cs="Arial"/>
                <w:color w:val="000000"/>
                <w:kern w:val="0"/>
                <w:sz w:val="20"/>
                <w:szCs w:val="20"/>
                <w14:ligatures w14:val="none"/>
              </w:rPr>
              <w:t>BootCI</w:t>
            </w:r>
            <w:proofErr w:type="spellEnd"/>
            <w:r w:rsidRPr="008873C9">
              <w:rPr>
                <w:rFonts w:ascii="Arial" w:eastAsia="Times New Roman" w:hAnsi="Arial" w:cs="Arial"/>
                <w:color w:val="000000"/>
                <w:kern w:val="0"/>
                <w:sz w:val="20"/>
                <w:szCs w:val="20"/>
                <w14:ligatures w14:val="none"/>
              </w:rPr>
              <w:t xml:space="preserve"> [0.0215, 0.1423] (p &lt; .05)</w:t>
            </w:r>
          </w:p>
        </w:tc>
        <w:tc>
          <w:tcPr>
            <w:tcW w:w="1112" w:type="dxa"/>
            <w:tcBorders>
              <w:top w:val="nil"/>
              <w:left w:val="single" w:sz="4" w:space="0" w:color="auto"/>
              <w:bottom w:val="single" w:sz="4" w:space="0" w:color="auto"/>
              <w:right w:val="single" w:sz="8" w:space="0" w:color="auto"/>
            </w:tcBorders>
            <w:vAlign w:val="center"/>
            <w:hideMark/>
          </w:tcPr>
          <w:p w14:paraId="17A85D88"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تُقبل</w:t>
            </w:r>
          </w:p>
        </w:tc>
      </w:tr>
      <w:tr w:rsidR="00793DFB" w:rsidRPr="008873C9" w14:paraId="214F1208" w14:textId="77777777" w:rsidTr="009F1C88">
        <w:trPr>
          <w:trHeight w:val="1584"/>
          <w:jc w:val="center"/>
        </w:trPr>
        <w:tc>
          <w:tcPr>
            <w:tcW w:w="1002" w:type="dxa"/>
            <w:tcBorders>
              <w:top w:val="nil"/>
              <w:left w:val="single" w:sz="8" w:space="0" w:color="auto"/>
              <w:bottom w:val="single" w:sz="4" w:space="0" w:color="auto"/>
              <w:right w:val="single" w:sz="4" w:space="0" w:color="auto"/>
            </w:tcBorders>
            <w:vAlign w:val="center"/>
            <w:hideMark/>
          </w:tcPr>
          <w:p w14:paraId="24ED7748"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H</w:t>
            </w:r>
            <w:r w:rsidRPr="008873C9">
              <w:rPr>
                <w:rFonts w:ascii="Cambria Math" w:eastAsia="Times New Roman" w:hAnsi="Cambria Math" w:cs="Cambria Math"/>
                <w:color w:val="000000"/>
                <w:kern w:val="0"/>
                <w:sz w:val="20"/>
                <w:szCs w:val="20"/>
                <w14:ligatures w14:val="none"/>
              </w:rPr>
              <w:t>₄</w:t>
            </w:r>
            <w:r w:rsidRPr="008873C9">
              <w:rPr>
                <w:rFonts w:ascii="Arial" w:eastAsia="Times New Roman" w:hAnsi="Arial" w:cs="Arial"/>
                <w:color w:val="000000"/>
                <w:kern w:val="0"/>
                <w:sz w:val="20"/>
                <w:szCs w:val="20"/>
                <w14:ligatures w14:val="none"/>
              </w:rPr>
              <w:t>-2</w:t>
            </w:r>
          </w:p>
        </w:tc>
        <w:tc>
          <w:tcPr>
            <w:tcW w:w="2268" w:type="dxa"/>
            <w:tcBorders>
              <w:top w:val="nil"/>
              <w:left w:val="single" w:sz="4" w:space="0" w:color="auto"/>
              <w:bottom w:val="single" w:sz="4" w:space="0" w:color="auto"/>
              <w:right w:val="single" w:sz="4" w:space="0" w:color="auto"/>
            </w:tcBorders>
            <w:vAlign w:val="center"/>
            <w:hideMark/>
          </w:tcPr>
          <w:p w14:paraId="4505BF00"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 xml:space="preserve">وساطة البُعد </w:t>
            </w:r>
            <w:r w:rsidRPr="008873C9">
              <w:rPr>
                <w:rFonts w:ascii="Arial" w:eastAsia="Times New Roman" w:hAnsi="Arial" w:cs="Arial"/>
                <w:color w:val="000000"/>
                <w:kern w:val="0"/>
                <w:sz w:val="20"/>
                <w:szCs w:val="20"/>
                <w14:ligatures w14:val="none"/>
              </w:rPr>
              <w:t>ORG2</w:t>
            </w:r>
          </w:p>
        </w:tc>
        <w:tc>
          <w:tcPr>
            <w:tcW w:w="1447" w:type="dxa"/>
            <w:tcBorders>
              <w:top w:val="nil"/>
              <w:left w:val="single" w:sz="4" w:space="0" w:color="auto"/>
              <w:bottom w:val="single" w:sz="4" w:space="0" w:color="auto"/>
              <w:right w:val="single" w:sz="4" w:space="0" w:color="auto"/>
            </w:tcBorders>
            <w:vAlign w:val="center"/>
            <w:hideMark/>
          </w:tcPr>
          <w:p w14:paraId="087D4589"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Indirect = 0.0375</w:t>
            </w:r>
          </w:p>
        </w:tc>
        <w:tc>
          <w:tcPr>
            <w:tcW w:w="1184" w:type="dxa"/>
            <w:tcBorders>
              <w:top w:val="nil"/>
              <w:left w:val="single" w:sz="4" w:space="0" w:color="auto"/>
              <w:bottom w:val="single" w:sz="4" w:space="0" w:color="auto"/>
              <w:right w:val="single" w:sz="4" w:space="0" w:color="auto"/>
            </w:tcBorders>
            <w:vAlign w:val="center"/>
            <w:hideMark/>
          </w:tcPr>
          <w:p w14:paraId="48E146C6"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w:t>
            </w:r>
          </w:p>
        </w:tc>
        <w:tc>
          <w:tcPr>
            <w:tcW w:w="1917" w:type="dxa"/>
            <w:tcBorders>
              <w:top w:val="nil"/>
              <w:left w:val="single" w:sz="4" w:space="0" w:color="auto"/>
              <w:bottom w:val="single" w:sz="4" w:space="0" w:color="auto"/>
              <w:right w:val="single" w:sz="4" w:space="0" w:color="auto"/>
            </w:tcBorders>
            <w:vAlign w:val="center"/>
            <w:hideMark/>
          </w:tcPr>
          <w:p w14:paraId="05650801"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 xml:space="preserve">95% </w:t>
            </w:r>
            <w:proofErr w:type="spellStart"/>
            <w:r w:rsidRPr="008873C9">
              <w:rPr>
                <w:rFonts w:ascii="Arial" w:eastAsia="Times New Roman" w:hAnsi="Arial" w:cs="Arial"/>
                <w:color w:val="000000"/>
                <w:kern w:val="0"/>
                <w:sz w:val="20"/>
                <w:szCs w:val="20"/>
                <w14:ligatures w14:val="none"/>
              </w:rPr>
              <w:t>BootCI</w:t>
            </w:r>
            <w:proofErr w:type="spellEnd"/>
            <w:r w:rsidRPr="008873C9">
              <w:rPr>
                <w:rFonts w:ascii="Arial" w:eastAsia="Times New Roman" w:hAnsi="Arial" w:cs="Arial"/>
                <w:color w:val="000000"/>
                <w:kern w:val="0"/>
                <w:sz w:val="20"/>
                <w:szCs w:val="20"/>
                <w14:ligatures w14:val="none"/>
              </w:rPr>
              <w:t xml:space="preserve"> [−0.0243, 0.0975] (</w:t>
            </w:r>
            <w:r w:rsidRPr="008873C9">
              <w:rPr>
                <w:rFonts w:ascii="Arial" w:eastAsia="Times New Roman" w:hAnsi="Arial" w:cs="Arial"/>
                <w:color w:val="000000"/>
                <w:kern w:val="0"/>
                <w:sz w:val="20"/>
                <w:szCs w:val="20"/>
                <w:rtl/>
                <w14:ligatures w14:val="none"/>
              </w:rPr>
              <w:t>يشمل صفر</w:t>
            </w:r>
            <w:r w:rsidRPr="008873C9">
              <w:rPr>
                <w:rFonts w:ascii="Arial" w:eastAsia="Times New Roman" w:hAnsi="Arial" w:cs="Arial"/>
                <w:color w:val="000000"/>
                <w:kern w:val="0"/>
                <w:sz w:val="20"/>
                <w:szCs w:val="20"/>
                <w14:ligatures w14:val="none"/>
              </w:rPr>
              <w:t>)</w:t>
            </w:r>
          </w:p>
        </w:tc>
        <w:tc>
          <w:tcPr>
            <w:tcW w:w="1112" w:type="dxa"/>
            <w:tcBorders>
              <w:top w:val="nil"/>
              <w:left w:val="single" w:sz="4" w:space="0" w:color="auto"/>
              <w:bottom w:val="single" w:sz="4" w:space="0" w:color="auto"/>
              <w:right w:val="single" w:sz="8" w:space="0" w:color="auto"/>
            </w:tcBorders>
            <w:vAlign w:val="center"/>
            <w:hideMark/>
          </w:tcPr>
          <w:p w14:paraId="0FF0BB53"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تُرفض</w:t>
            </w:r>
            <w:r w:rsidRPr="008873C9">
              <w:rPr>
                <w:rFonts w:ascii="Arial" w:eastAsia="Times New Roman" w:hAnsi="Arial" w:cs="Arial"/>
                <w:color w:val="000000"/>
                <w:kern w:val="0"/>
                <w:sz w:val="20"/>
                <w:szCs w:val="20"/>
                <w:rtl/>
                <w14:ligatures w14:val="none"/>
              </w:rPr>
              <w:t xml:space="preserve"> (غير دالّة وساطة عبر </w:t>
            </w:r>
            <w:r w:rsidRPr="008873C9">
              <w:rPr>
                <w:rFonts w:ascii="Arial" w:eastAsia="Times New Roman" w:hAnsi="Arial" w:cs="Arial"/>
                <w:color w:val="000000"/>
                <w:kern w:val="0"/>
                <w:sz w:val="20"/>
                <w:szCs w:val="20"/>
                <w14:ligatures w14:val="none"/>
              </w:rPr>
              <w:t>ORG2</w:t>
            </w:r>
            <w:r w:rsidRPr="008873C9">
              <w:rPr>
                <w:rFonts w:ascii="Arial" w:eastAsia="Times New Roman" w:hAnsi="Arial" w:cs="Arial"/>
                <w:color w:val="000000"/>
                <w:kern w:val="0"/>
                <w:sz w:val="20"/>
                <w:szCs w:val="20"/>
                <w:rtl/>
                <w14:ligatures w14:val="none"/>
              </w:rPr>
              <w:t>)</w:t>
            </w:r>
          </w:p>
        </w:tc>
      </w:tr>
      <w:tr w:rsidR="00793DFB" w:rsidRPr="008873C9" w14:paraId="471C23E0" w14:textId="77777777" w:rsidTr="009F1C88">
        <w:trPr>
          <w:trHeight w:val="1056"/>
          <w:jc w:val="center"/>
        </w:trPr>
        <w:tc>
          <w:tcPr>
            <w:tcW w:w="1002" w:type="dxa"/>
            <w:tcBorders>
              <w:top w:val="nil"/>
              <w:left w:val="single" w:sz="8" w:space="0" w:color="auto"/>
              <w:bottom w:val="single" w:sz="4" w:space="0" w:color="auto"/>
              <w:right w:val="single" w:sz="4" w:space="0" w:color="auto"/>
            </w:tcBorders>
            <w:vAlign w:val="center"/>
            <w:hideMark/>
          </w:tcPr>
          <w:p w14:paraId="71737D31"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H</w:t>
            </w:r>
            <w:r w:rsidRPr="008873C9">
              <w:rPr>
                <w:rFonts w:ascii="Cambria Math" w:eastAsia="Times New Roman" w:hAnsi="Cambria Math" w:cs="Cambria Math"/>
                <w:color w:val="000000"/>
                <w:kern w:val="0"/>
                <w:sz w:val="20"/>
                <w:szCs w:val="20"/>
                <w14:ligatures w14:val="none"/>
              </w:rPr>
              <w:t>₄</w:t>
            </w:r>
            <w:r w:rsidRPr="008873C9">
              <w:rPr>
                <w:rFonts w:ascii="Arial" w:eastAsia="Times New Roman" w:hAnsi="Arial" w:cs="Arial"/>
                <w:color w:val="000000"/>
                <w:kern w:val="0"/>
                <w:sz w:val="20"/>
                <w:szCs w:val="20"/>
                <w14:ligatures w14:val="none"/>
              </w:rPr>
              <w:t>-3</w:t>
            </w:r>
          </w:p>
        </w:tc>
        <w:tc>
          <w:tcPr>
            <w:tcW w:w="2268" w:type="dxa"/>
            <w:tcBorders>
              <w:top w:val="nil"/>
              <w:left w:val="single" w:sz="4" w:space="0" w:color="auto"/>
              <w:bottom w:val="single" w:sz="4" w:space="0" w:color="auto"/>
              <w:right w:val="single" w:sz="4" w:space="0" w:color="auto"/>
            </w:tcBorders>
            <w:vAlign w:val="center"/>
            <w:hideMark/>
          </w:tcPr>
          <w:p w14:paraId="7696BB28"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 xml:space="preserve">وساطة البُعد </w:t>
            </w:r>
            <w:r w:rsidRPr="008873C9">
              <w:rPr>
                <w:rFonts w:ascii="Arial" w:eastAsia="Times New Roman" w:hAnsi="Arial" w:cs="Arial"/>
                <w:color w:val="000000"/>
                <w:kern w:val="0"/>
                <w:sz w:val="20"/>
                <w:szCs w:val="20"/>
                <w14:ligatures w14:val="none"/>
              </w:rPr>
              <w:t>ORG3</w:t>
            </w:r>
          </w:p>
        </w:tc>
        <w:tc>
          <w:tcPr>
            <w:tcW w:w="1447" w:type="dxa"/>
            <w:tcBorders>
              <w:top w:val="nil"/>
              <w:left w:val="single" w:sz="4" w:space="0" w:color="auto"/>
              <w:bottom w:val="single" w:sz="4" w:space="0" w:color="auto"/>
              <w:right w:val="single" w:sz="4" w:space="0" w:color="auto"/>
            </w:tcBorders>
            <w:vAlign w:val="center"/>
            <w:hideMark/>
          </w:tcPr>
          <w:p w14:paraId="0F96DF33"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Indirect = 0.1224</w:t>
            </w:r>
          </w:p>
        </w:tc>
        <w:tc>
          <w:tcPr>
            <w:tcW w:w="1184" w:type="dxa"/>
            <w:tcBorders>
              <w:top w:val="nil"/>
              <w:left w:val="single" w:sz="4" w:space="0" w:color="auto"/>
              <w:bottom w:val="single" w:sz="4" w:space="0" w:color="auto"/>
              <w:right w:val="single" w:sz="4" w:space="0" w:color="auto"/>
            </w:tcBorders>
            <w:vAlign w:val="center"/>
            <w:hideMark/>
          </w:tcPr>
          <w:p w14:paraId="29FD7022"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w:t>
            </w:r>
          </w:p>
        </w:tc>
        <w:tc>
          <w:tcPr>
            <w:tcW w:w="1917" w:type="dxa"/>
            <w:tcBorders>
              <w:top w:val="nil"/>
              <w:left w:val="single" w:sz="4" w:space="0" w:color="auto"/>
              <w:bottom w:val="single" w:sz="4" w:space="0" w:color="auto"/>
              <w:right w:val="single" w:sz="4" w:space="0" w:color="auto"/>
            </w:tcBorders>
            <w:vAlign w:val="center"/>
            <w:hideMark/>
          </w:tcPr>
          <w:p w14:paraId="7AC3A290"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 xml:space="preserve">95% </w:t>
            </w:r>
            <w:proofErr w:type="spellStart"/>
            <w:r w:rsidRPr="008873C9">
              <w:rPr>
                <w:rFonts w:ascii="Arial" w:eastAsia="Times New Roman" w:hAnsi="Arial" w:cs="Arial"/>
                <w:color w:val="000000"/>
                <w:kern w:val="0"/>
                <w:sz w:val="20"/>
                <w:szCs w:val="20"/>
                <w14:ligatures w14:val="none"/>
              </w:rPr>
              <w:t>BootCI</w:t>
            </w:r>
            <w:proofErr w:type="spellEnd"/>
            <w:r w:rsidRPr="008873C9">
              <w:rPr>
                <w:rFonts w:ascii="Arial" w:eastAsia="Times New Roman" w:hAnsi="Arial" w:cs="Arial"/>
                <w:color w:val="000000"/>
                <w:kern w:val="0"/>
                <w:sz w:val="20"/>
                <w:szCs w:val="20"/>
                <w14:ligatures w14:val="none"/>
              </w:rPr>
              <w:t xml:space="preserve"> [0.0533, 0.1952]</w:t>
            </w:r>
          </w:p>
        </w:tc>
        <w:tc>
          <w:tcPr>
            <w:tcW w:w="1112" w:type="dxa"/>
            <w:tcBorders>
              <w:top w:val="nil"/>
              <w:left w:val="single" w:sz="4" w:space="0" w:color="auto"/>
              <w:bottom w:val="single" w:sz="4" w:space="0" w:color="auto"/>
              <w:right w:val="single" w:sz="8" w:space="0" w:color="auto"/>
            </w:tcBorders>
            <w:vAlign w:val="center"/>
            <w:hideMark/>
          </w:tcPr>
          <w:p w14:paraId="3E4062D4"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تُقبل</w:t>
            </w:r>
          </w:p>
        </w:tc>
      </w:tr>
      <w:tr w:rsidR="00793DFB" w:rsidRPr="008873C9" w14:paraId="4C2749FA" w14:textId="77777777" w:rsidTr="009F1C88">
        <w:trPr>
          <w:trHeight w:val="1056"/>
          <w:jc w:val="center"/>
        </w:trPr>
        <w:tc>
          <w:tcPr>
            <w:tcW w:w="1002" w:type="dxa"/>
            <w:tcBorders>
              <w:top w:val="nil"/>
              <w:left w:val="single" w:sz="8" w:space="0" w:color="auto"/>
              <w:bottom w:val="single" w:sz="4" w:space="0" w:color="auto"/>
              <w:right w:val="single" w:sz="4" w:space="0" w:color="auto"/>
            </w:tcBorders>
            <w:vAlign w:val="center"/>
            <w:hideMark/>
          </w:tcPr>
          <w:p w14:paraId="1D991F72"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H</w:t>
            </w:r>
            <w:r w:rsidRPr="008873C9">
              <w:rPr>
                <w:rFonts w:ascii="Cambria Math" w:eastAsia="Times New Roman" w:hAnsi="Cambria Math" w:cs="Cambria Math"/>
                <w:color w:val="000000"/>
                <w:kern w:val="0"/>
                <w:sz w:val="20"/>
                <w:szCs w:val="20"/>
                <w14:ligatures w14:val="none"/>
              </w:rPr>
              <w:t>₄</w:t>
            </w:r>
            <w:r w:rsidRPr="008873C9">
              <w:rPr>
                <w:rFonts w:ascii="Arial" w:eastAsia="Times New Roman" w:hAnsi="Arial" w:cs="Arial"/>
                <w:color w:val="000000"/>
                <w:kern w:val="0"/>
                <w:sz w:val="20"/>
                <w:szCs w:val="20"/>
                <w14:ligatures w14:val="none"/>
              </w:rPr>
              <w:t>-4</w:t>
            </w:r>
          </w:p>
        </w:tc>
        <w:tc>
          <w:tcPr>
            <w:tcW w:w="2268" w:type="dxa"/>
            <w:tcBorders>
              <w:top w:val="nil"/>
              <w:left w:val="single" w:sz="4" w:space="0" w:color="auto"/>
              <w:bottom w:val="single" w:sz="4" w:space="0" w:color="auto"/>
              <w:right w:val="single" w:sz="4" w:space="0" w:color="auto"/>
            </w:tcBorders>
            <w:vAlign w:val="center"/>
            <w:hideMark/>
          </w:tcPr>
          <w:p w14:paraId="16580E71"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 xml:space="preserve">وساطة البُعد </w:t>
            </w:r>
            <w:r w:rsidRPr="008873C9">
              <w:rPr>
                <w:rFonts w:ascii="Arial" w:eastAsia="Times New Roman" w:hAnsi="Arial" w:cs="Arial"/>
                <w:color w:val="000000"/>
                <w:kern w:val="0"/>
                <w:sz w:val="20"/>
                <w:szCs w:val="20"/>
                <w14:ligatures w14:val="none"/>
              </w:rPr>
              <w:t>ORG4</w:t>
            </w:r>
          </w:p>
        </w:tc>
        <w:tc>
          <w:tcPr>
            <w:tcW w:w="1447" w:type="dxa"/>
            <w:tcBorders>
              <w:top w:val="nil"/>
              <w:left w:val="single" w:sz="4" w:space="0" w:color="auto"/>
              <w:bottom w:val="single" w:sz="4" w:space="0" w:color="auto"/>
              <w:right w:val="single" w:sz="4" w:space="0" w:color="auto"/>
            </w:tcBorders>
            <w:vAlign w:val="center"/>
            <w:hideMark/>
          </w:tcPr>
          <w:p w14:paraId="4B2EB71A"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Indirect = 0.1560</w:t>
            </w:r>
          </w:p>
        </w:tc>
        <w:tc>
          <w:tcPr>
            <w:tcW w:w="1184" w:type="dxa"/>
            <w:tcBorders>
              <w:top w:val="nil"/>
              <w:left w:val="single" w:sz="4" w:space="0" w:color="auto"/>
              <w:bottom w:val="single" w:sz="4" w:space="0" w:color="auto"/>
              <w:right w:val="single" w:sz="4" w:space="0" w:color="auto"/>
            </w:tcBorders>
            <w:vAlign w:val="center"/>
            <w:hideMark/>
          </w:tcPr>
          <w:p w14:paraId="5A33472C"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w:t>
            </w:r>
          </w:p>
        </w:tc>
        <w:tc>
          <w:tcPr>
            <w:tcW w:w="1917" w:type="dxa"/>
            <w:tcBorders>
              <w:top w:val="nil"/>
              <w:left w:val="single" w:sz="4" w:space="0" w:color="auto"/>
              <w:bottom w:val="single" w:sz="4" w:space="0" w:color="auto"/>
              <w:right w:val="single" w:sz="4" w:space="0" w:color="auto"/>
            </w:tcBorders>
            <w:vAlign w:val="center"/>
            <w:hideMark/>
          </w:tcPr>
          <w:p w14:paraId="7C3E3DF2"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 xml:space="preserve">95% </w:t>
            </w:r>
            <w:proofErr w:type="spellStart"/>
            <w:r w:rsidRPr="008873C9">
              <w:rPr>
                <w:rFonts w:ascii="Arial" w:eastAsia="Times New Roman" w:hAnsi="Arial" w:cs="Arial"/>
                <w:color w:val="000000"/>
                <w:kern w:val="0"/>
                <w:sz w:val="20"/>
                <w:szCs w:val="20"/>
                <w14:ligatures w14:val="none"/>
              </w:rPr>
              <w:t>BootCI</w:t>
            </w:r>
            <w:proofErr w:type="spellEnd"/>
            <w:r w:rsidRPr="008873C9">
              <w:rPr>
                <w:rFonts w:ascii="Arial" w:eastAsia="Times New Roman" w:hAnsi="Arial" w:cs="Arial"/>
                <w:color w:val="000000"/>
                <w:kern w:val="0"/>
                <w:sz w:val="20"/>
                <w:szCs w:val="20"/>
                <w14:ligatures w14:val="none"/>
              </w:rPr>
              <w:t xml:space="preserve"> [0.0825, 0.2411]</w:t>
            </w:r>
          </w:p>
        </w:tc>
        <w:tc>
          <w:tcPr>
            <w:tcW w:w="1112" w:type="dxa"/>
            <w:tcBorders>
              <w:top w:val="nil"/>
              <w:left w:val="single" w:sz="4" w:space="0" w:color="auto"/>
              <w:bottom w:val="single" w:sz="4" w:space="0" w:color="auto"/>
              <w:right w:val="single" w:sz="8" w:space="0" w:color="auto"/>
            </w:tcBorders>
            <w:vAlign w:val="center"/>
            <w:hideMark/>
          </w:tcPr>
          <w:p w14:paraId="7ADB5A62"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تُقبل</w:t>
            </w:r>
          </w:p>
        </w:tc>
      </w:tr>
      <w:tr w:rsidR="00793DFB" w:rsidRPr="008873C9" w14:paraId="62F5B7E9" w14:textId="77777777" w:rsidTr="009F1C88">
        <w:trPr>
          <w:trHeight w:val="1068"/>
          <w:jc w:val="center"/>
        </w:trPr>
        <w:tc>
          <w:tcPr>
            <w:tcW w:w="1002" w:type="dxa"/>
            <w:tcBorders>
              <w:top w:val="nil"/>
              <w:left w:val="single" w:sz="8" w:space="0" w:color="auto"/>
              <w:bottom w:val="single" w:sz="8" w:space="0" w:color="auto"/>
              <w:right w:val="single" w:sz="4" w:space="0" w:color="auto"/>
            </w:tcBorders>
            <w:vAlign w:val="center"/>
            <w:hideMark/>
          </w:tcPr>
          <w:p w14:paraId="1A4DD6B6"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H</w:t>
            </w:r>
            <w:r w:rsidRPr="008873C9">
              <w:rPr>
                <w:rFonts w:ascii="Cambria Math" w:eastAsia="Times New Roman" w:hAnsi="Cambria Math" w:cs="Cambria Math"/>
                <w:color w:val="000000"/>
                <w:kern w:val="0"/>
                <w:sz w:val="20"/>
                <w:szCs w:val="20"/>
                <w14:ligatures w14:val="none"/>
              </w:rPr>
              <w:t>₅</w:t>
            </w:r>
          </w:p>
        </w:tc>
        <w:tc>
          <w:tcPr>
            <w:tcW w:w="2268" w:type="dxa"/>
            <w:tcBorders>
              <w:top w:val="nil"/>
              <w:left w:val="single" w:sz="4" w:space="0" w:color="auto"/>
              <w:bottom w:val="single" w:sz="8" w:space="0" w:color="auto"/>
              <w:right w:val="single" w:sz="4" w:space="0" w:color="auto"/>
            </w:tcBorders>
            <w:vAlign w:val="center"/>
            <w:hideMark/>
          </w:tcPr>
          <w:p w14:paraId="3732C442" w14:textId="77777777" w:rsidR="00793DFB" w:rsidRPr="008873C9" w:rsidRDefault="00793DFB" w:rsidP="009F1C88">
            <w:pPr>
              <w:bidi/>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rtl/>
                <w14:ligatures w14:val="none"/>
              </w:rPr>
              <w:t xml:space="preserve">فروق العلاقة بين </w:t>
            </w:r>
            <w:r w:rsidRPr="008873C9">
              <w:rPr>
                <w:rFonts w:ascii="Arial" w:eastAsia="Times New Roman" w:hAnsi="Arial" w:cs="Arial"/>
                <w:color w:val="000000"/>
                <w:kern w:val="0"/>
                <w:sz w:val="20"/>
                <w:szCs w:val="20"/>
                <w14:ligatures w14:val="none"/>
              </w:rPr>
              <w:t>HPWS</w:t>
            </w:r>
            <w:r w:rsidRPr="008873C9">
              <w:rPr>
                <w:rFonts w:ascii="Arial" w:eastAsia="Times New Roman" w:hAnsi="Arial" w:cs="Arial"/>
                <w:color w:val="000000"/>
                <w:kern w:val="0"/>
                <w:sz w:val="20"/>
                <w:szCs w:val="20"/>
                <w:rtl/>
                <w14:ligatures w14:val="none"/>
              </w:rPr>
              <w:t xml:space="preserve"> والإبداع باختلاف القطاع (فنادق </w:t>
            </w:r>
            <w:r w:rsidRPr="008873C9">
              <w:rPr>
                <w:rFonts w:ascii="Arial" w:eastAsia="Times New Roman" w:hAnsi="Arial" w:cs="Arial"/>
                <w:color w:val="000000"/>
                <w:kern w:val="0"/>
                <w:sz w:val="20"/>
                <w:szCs w:val="20"/>
                <w14:ligatures w14:val="none"/>
              </w:rPr>
              <w:t>vs</w:t>
            </w:r>
            <w:r w:rsidRPr="008873C9">
              <w:rPr>
                <w:rFonts w:ascii="Arial" w:eastAsia="Times New Roman" w:hAnsi="Arial" w:cs="Arial"/>
                <w:color w:val="000000"/>
                <w:kern w:val="0"/>
                <w:sz w:val="20"/>
                <w:szCs w:val="20"/>
                <w:rtl/>
                <w14:ligatures w14:val="none"/>
              </w:rPr>
              <w:t xml:space="preserve"> مطاعم)</w:t>
            </w:r>
          </w:p>
        </w:tc>
        <w:tc>
          <w:tcPr>
            <w:tcW w:w="1447" w:type="dxa"/>
            <w:tcBorders>
              <w:top w:val="nil"/>
              <w:left w:val="single" w:sz="4" w:space="0" w:color="auto"/>
              <w:bottom w:val="single" w:sz="8" w:space="0" w:color="auto"/>
              <w:right w:val="single" w:sz="4" w:space="0" w:color="auto"/>
            </w:tcBorders>
            <w:vAlign w:val="center"/>
            <w:hideMark/>
          </w:tcPr>
          <w:p w14:paraId="319FDE09" w14:textId="77777777" w:rsidR="00793DFB" w:rsidRPr="008873C9" w:rsidRDefault="00793DFB" w:rsidP="009F1C88">
            <w:pPr>
              <w:spacing w:after="0" w:line="240" w:lineRule="auto"/>
              <w:jc w:val="center"/>
              <w:rPr>
                <w:rFonts w:ascii="Arial" w:eastAsia="Times New Roman" w:hAnsi="Arial" w:cs="Arial"/>
                <w:color w:val="000000"/>
                <w:kern w:val="0"/>
                <w:sz w:val="20"/>
                <w:szCs w:val="20"/>
                <w:rtl/>
                <w14:ligatures w14:val="none"/>
              </w:rPr>
            </w:pPr>
            <w:r w:rsidRPr="008873C9">
              <w:rPr>
                <w:rFonts w:ascii="Arial" w:eastAsia="Times New Roman" w:hAnsi="Arial" w:cs="Arial"/>
                <w:color w:val="000000"/>
                <w:kern w:val="0"/>
                <w:sz w:val="20"/>
                <w:szCs w:val="20"/>
                <w14:ligatures w14:val="none"/>
              </w:rPr>
              <w:t>—</w:t>
            </w:r>
          </w:p>
        </w:tc>
        <w:tc>
          <w:tcPr>
            <w:tcW w:w="1184" w:type="dxa"/>
            <w:tcBorders>
              <w:top w:val="nil"/>
              <w:left w:val="single" w:sz="4" w:space="0" w:color="auto"/>
              <w:bottom w:val="single" w:sz="8" w:space="0" w:color="auto"/>
              <w:right w:val="single" w:sz="4" w:space="0" w:color="auto"/>
            </w:tcBorders>
            <w:vAlign w:val="center"/>
            <w:hideMark/>
          </w:tcPr>
          <w:p w14:paraId="5D15D2BD"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 xml:space="preserve">t </w:t>
            </w:r>
            <w:r w:rsidRPr="008873C9">
              <w:rPr>
                <w:rFonts w:ascii="Arial" w:eastAsia="Times New Roman" w:hAnsi="Arial" w:cs="Arial"/>
                <w:color w:val="000000"/>
                <w:kern w:val="0"/>
                <w:sz w:val="20"/>
                <w:szCs w:val="20"/>
                <w:rtl/>
                <w14:ligatures w14:val="none"/>
              </w:rPr>
              <w:t>تتراوح بين -0.810 و -0.938</w:t>
            </w:r>
          </w:p>
        </w:tc>
        <w:tc>
          <w:tcPr>
            <w:tcW w:w="1917" w:type="dxa"/>
            <w:tcBorders>
              <w:top w:val="nil"/>
              <w:left w:val="single" w:sz="4" w:space="0" w:color="auto"/>
              <w:bottom w:val="single" w:sz="8" w:space="0" w:color="auto"/>
              <w:right w:val="single" w:sz="4" w:space="0" w:color="auto"/>
            </w:tcBorders>
            <w:vAlign w:val="center"/>
            <w:hideMark/>
          </w:tcPr>
          <w:p w14:paraId="294283D7" w14:textId="77777777" w:rsidR="00793DFB" w:rsidRPr="008873C9" w:rsidRDefault="00793DFB" w:rsidP="009F1C88">
            <w:pPr>
              <w:spacing w:after="0" w:line="240" w:lineRule="auto"/>
              <w:jc w:val="center"/>
              <w:rPr>
                <w:rFonts w:ascii="Arial" w:eastAsia="Times New Roman" w:hAnsi="Arial" w:cs="Arial"/>
                <w:color w:val="000000"/>
                <w:kern w:val="0"/>
                <w:sz w:val="20"/>
                <w:szCs w:val="20"/>
                <w14:ligatures w14:val="none"/>
              </w:rPr>
            </w:pPr>
            <w:r w:rsidRPr="008873C9">
              <w:rPr>
                <w:rFonts w:ascii="Arial" w:eastAsia="Times New Roman" w:hAnsi="Arial" w:cs="Arial"/>
                <w:color w:val="000000"/>
                <w:kern w:val="0"/>
                <w:sz w:val="20"/>
                <w:szCs w:val="20"/>
                <w14:ligatures w14:val="none"/>
              </w:rPr>
              <w:t>&gt; 0.05</w:t>
            </w:r>
          </w:p>
        </w:tc>
        <w:tc>
          <w:tcPr>
            <w:tcW w:w="1112" w:type="dxa"/>
            <w:tcBorders>
              <w:top w:val="nil"/>
              <w:left w:val="single" w:sz="4" w:space="0" w:color="auto"/>
              <w:bottom w:val="single" w:sz="8" w:space="0" w:color="auto"/>
              <w:right w:val="single" w:sz="8" w:space="0" w:color="auto"/>
            </w:tcBorders>
            <w:vAlign w:val="center"/>
            <w:hideMark/>
          </w:tcPr>
          <w:p w14:paraId="77C88726" w14:textId="77777777" w:rsidR="00793DFB" w:rsidRPr="008873C9" w:rsidRDefault="00793DFB" w:rsidP="009F1C88">
            <w:pPr>
              <w:bidi/>
              <w:spacing w:after="0" w:line="240" w:lineRule="auto"/>
              <w:jc w:val="center"/>
              <w:rPr>
                <w:rFonts w:ascii="Arial" w:eastAsia="Times New Roman" w:hAnsi="Arial" w:cs="Arial"/>
                <w:b/>
                <w:bCs/>
                <w:color w:val="000000"/>
                <w:kern w:val="0"/>
                <w:sz w:val="20"/>
                <w:szCs w:val="20"/>
                <w14:ligatures w14:val="none"/>
              </w:rPr>
            </w:pPr>
            <w:r w:rsidRPr="008873C9">
              <w:rPr>
                <w:rFonts w:ascii="Arial" w:eastAsia="Times New Roman" w:hAnsi="Arial" w:cs="Arial"/>
                <w:b/>
                <w:bCs/>
                <w:color w:val="000000"/>
                <w:kern w:val="0"/>
                <w:sz w:val="20"/>
                <w:szCs w:val="20"/>
                <w:rtl/>
                <w14:ligatures w14:val="none"/>
              </w:rPr>
              <w:t xml:space="preserve">لا توجد دلالة </w:t>
            </w:r>
          </w:p>
        </w:tc>
      </w:tr>
    </w:tbl>
    <w:p w14:paraId="079D5045" w14:textId="77777777" w:rsidR="00793DFB" w:rsidRDefault="00793DFB" w:rsidP="00793DFB">
      <w:pPr>
        <w:bidi/>
        <w:rPr>
          <w:lang w:bidi="ar-EG"/>
        </w:rPr>
      </w:pPr>
    </w:p>
    <w:p w14:paraId="391D2CC0" w14:textId="77777777" w:rsidR="00793DFB" w:rsidRDefault="00793DFB" w:rsidP="00793DFB">
      <w:pPr>
        <w:bidi/>
        <w:rPr>
          <w:lang w:bidi="ar-EG"/>
        </w:rPr>
      </w:pPr>
    </w:p>
    <w:p w14:paraId="2F4A98BE" w14:textId="77777777" w:rsidR="00793DFB" w:rsidRPr="008873C9" w:rsidRDefault="00793DFB" w:rsidP="00793DFB">
      <w:pPr>
        <w:bidi/>
        <w:rPr>
          <w:b/>
          <w:bCs/>
          <w:lang w:bidi="ar-EG"/>
        </w:rPr>
      </w:pPr>
      <w:r>
        <w:rPr>
          <w:rFonts w:hint="cs"/>
          <w:b/>
          <w:bCs/>
          <w:rtl/>
          <w:lang w:bidi="ar-EG"/>
        </w:rPr>
        <w:t xml:space="preserve">4.15. </w:t>
      </w:r>
      <w:r w:rsidRPr="008873C9">
        <w:rPr>
          <w:b/>
          <w:bCs/>
          <w:rtl/>
        </w:rPr>
        <w:t>خلاصة نتائج الفصل وتمهيد للمناقشة</w:t>
      </w:r>
    </w:p>
    <w:p w14:paraId="5BD28671" w14:textId="77777777" w:rsidR="00793DFB" w:rsidRDefault="00793DFB" w:rsidP="00793DFB">
      <w:pPr>
        <w:bidi/>
        <w:rPr>
          <w:rtl/>
          <w:lang w:bidi="ar-EG"/>
        </w:rPr>
      </w:pPr>
      <w:r w:rsidRPr="008873C9">
        <w:rPr>
          <w:rtl/>
        </w:rPr>
        <w:t xml:space="preserve">عرض هذا الفصل نتائج التحليل الإحصائي الخاصة باختبار فرضيات الدراسة، وذلك بالاعتماد على نماذج الانحدار المتعدد، وتحليل الوساطة باستخدام </w:t>
      </w:r>
      <w:r w:rsidRPr="008873C9">
        <w:rPr>
          <w:b/>
          <w:bCs/>
          <w:lang w:bidi="ar-EG"/>
        </w:rPr>
        <w:t>PROCESS Macro</w:t>
      </w:r>
      <w:r>
        <w:rPr>
          <w:rFonts w:hint="cs"/>
          <w:rtl/>
          <w:lang w:bidi="ar-EG"/>
        </w:rPr>
        <w:t xml:space="preserve"> </w:t>
      </w:r>
      <w:r w:rsidRPr="008873C9">
        <w:rPr>
          <w:rtl/>
        </w:rPr>
        <w:t>وفق نموذج</w:t>
      </w:r>
      <w:r>
        <w:rPr>
          <w:rFonts w:hint="cs"/>
          <w:rtl/>
          <w:lang w:bidi="ar-EG"/>
        </w:rPr>
        <w:t xml:space="preserve"> </w:t>
      </w:r>
      <w:r w:rsidRPr="008873C9">
        <w:rPr>
          <w:lang w:bidi="ar-EG"/>
        </w:rPr>
        <w:t>(Model 4)</w:t>
      </w:r>
      <w:r w:rsidRPr="008873C9">
        <w:rPr>
          <w:rtl/>
        </w:rPr>
        <w:t>، إضافة إلى اختبار الفروق بين المجموعات باستخدام اختبار</w:t>
      </w:r>
      <w:r w:rsidRPr="008873C9">
        <w:rPr>
          <w:lang w:bidi="ar-EG"/>
        </w:rPr>
        <w:t xml:space="preserve"> (t) </w:t>
      </w:r>
      <w:r w:rsidRPr="008873C9">
        <w:rPr>
          <w:rtl/>
        </w:rPr>
        <w:t>لعينتين مستقلتين. وقد أسفرت النتائج عن مجموعة من المؤشرات الكمية التي تعكس طبيعة العلاقات بين أنظمة العمل عالية الأداء، والثقافة التنظيمية، والأداء الإبداعي في قطاعي الفنادق والمطاعم بمدينة الرياض</w:t>
      </w:r>
      <w:r w:rsidRPr="008873C9">
        <w:rPr>
          <w:lang w:bidi="ar-EG"/>
        </w:rPr>
        <w:t>.</w:t>
      </w:r>
    </w:p>
    <w:p w14:paraId="367C7997" w14:textId="77777777" w:rsidR="00793DFB" w:rsidRDefault="00793DFB" w:rsidP="00793DFB">
      <w:pPr>
        <w:bidi/>
        <w:rPr>
          <w:rtl/>
          <w:lang w:bidi="ar-EG"/>
        </w:rPr>
      </w:pPr>
      <w:r>
        <w:rPr>
          <w:rFonts w:hint="cs"/>
          <w:rtl/>
          <w:lang w:bidi="ar-EG"/>
        </w:rPr>
        <w:t xml:space="preserve">جدول (4-21): </w:t>
      </w:r>
      <w:r w:rsidRPr="00AA7A35">
        <w:rPr>
          <w:rtl/>
        </w:rPr>
        <w:t>الملخص النهائي لنتائج اختبار الفرضيات</w:t>
      </w:r>
    </w:p>
    <w:tbl>
      <w:tblPr>
        <w:bidiVisual/>
        <w:tblW w:w="7880" w:type="dxa"/>
        <w:jc w:val="center"/>
        <w:tblLook w:val="04A0" w:firstRow="1" w:lastRow="0" w:firstColumn="1" w:lastColumn="0" w:noHBand="0" w:noVBand="1"/>
      </w:tblPr>
      <w:tblGrid>
        <w:gridCol w:w="1060"/>
        <w:gridCol w:w="2200"/>
        <w:gridCol w:w="1660"/>
        <w:gridCol w:w="1500"/>
        <w:gridCol w:w="1460"/>
      </w:tblGrid>
      <w:tr w:rsidR="00793DFB" w:rsidRPr="00AA7A35" w14:paraId="61F2EA12" w14:textId="77777777" w:rsidTr="009F1C88">
        <w:trPr>
          <w:trHeight w:val="828"/>
          <w:jc w:val="center"/>
        </w:trPr>
        <w:tc>
          <w:tcPr>
            <w:tcW w:w="1060" w:type="dxa"/>
            <w:tcBorders>
              <w:top w:val="single" w:sz="4" w:space="0" w:color="auto"/>
              <w:left w:val="single" w:sz="4" w:space="0" w:color="auto"/>
              <w:bottom w:val="single" w:sz="4" w:space="0" w:color="auto"/>
              <w:right w:val="single" w:sz="4" w:space="0" w:color="auto"/>
            </w:tcBorders>
            <w:vAlign w:val="center"/>
            <w:hideMark/>
          </w:tcPr>
          <w:p w14:paraId="605155D8" w14:textId="77777777" w:rsidR="00793DFB" w:rsidRPr="00AA7A35" w:rsidRDefault="00793DFB" w:rsidP="009F1C88">
            <w:pPr>
              <w:bidi/>
              <w:spacing w:after="0" w:line="240" w:lineRule="auto"/>
              <w:jc w:val="center"/>
              <w:rPr>
                <w:rFonts w:ascii="Aptos Narrow" w:eastAsia="Times New Roman" w:hAnsi="Aptos Narrow" w:cs="Times New Roman"/>
                <w:b/>
                <w:bCs/>
                <w:color w:val="000000"/>
                <w:kern w:val="0"/>
                <w:sz w:val="22"/>
                <w:szCs w:val="22"/>
                <w:lang w:val="en-GB" w:eastAsia="en-GB"/>
                <w14:ligatures w14:val="none"/>
              </w:rPr>
            </w:pPr>
            <w:r w:rsidRPr="00AA7A35">
              <w:rPr>
                <w:rFonts w:ascii="Aptos Narrow" w:eastAsia="Times New Roman" w:hAnsi="Aptos Narrow" w:cs="Times New Roman"/>
                <w:b/>
                <w:bCs/>
                <w:color w:val="000000"/>
                <w:kern w:val="0"/>
                <w:sz w:val="22"/>
                <w:szCs w:val="22"/>
                <w:rtl/>
                <w:lang w:val="en-GB" w:eastAsia="en-GB"/>
                <w14:ligatures w14:val="none"/>
              </w:rPr>
              <w:t>رقم الفرضية</w:t>
            </w:r>
          </w:p>
        </w:tc>
        <w:tc>
          <w:tcPr>
            <w:tcW w:w="2200" w:type="dxa"/>
            <w:tcBorders>
              <w:top w:val="single" w:sz="4" w:space="0" w:color="auto"/>
              <w:left w:val="single" w:sz="4" w:space="0" w:color="auto"/>
              <w:bottom w:val="single" w:sz="4" w:space="0" w:color="auto"/>
              <w:right w:val="single" w:sz="4" w:space="0" w:color="auto"/>
            </w:tcBorders>
            <w:vAlign w:val="center"/>
            <w:hideMark/>
          </w:tcPr>
          <w:p w14:paraId="2B571DF4" w14:textId="77777777" w:rsidR="00793DFB" w:rsidRPr="00AA7A35" w:rsidRDefault="00793DFB" w:rsidP="009F1C88">
            <w:pPr>
              <w:bidi/>
              <w:spacing w:after="0" w:line="240" w:lineRule="auto"/>
              <w:jc w:val="center"/>
              <w:rPr>
                <w:rFonts w:ascii="Aptos Narrow" w:eastAsia="Times New Roman" w:hAnsi="Aptos Narrow" w:cs="Times New Roman"/>
                <w:b/>
                <w:bCs/>
                <w:color w:val="000000"/>
                <w:kern w:val="0"/>
                <w:sz w:val="22"/>
                <w:szCs w:val="22"/>
                <w:rtl/>
                <w:lang w:val="en-GB" w:eastAsia="en-GB"/>
                <w14:ligatures w14:val="none"/>
              </w:rPr>
            </w:pPr>
            <w:r w:rsidRPr="00AA7A35">
              <w:rPr>
                <w:rFonts w:ascii="Aptos Narrow" w:eastAsia="Times New Roman" w:hAnsi="Aptos Narrow" w:cs="Times New Roman"/>
                <w:b/>
                <w:bCs/>
                <w:color w:val="000000"/>
                <w:kern w:val="0"/>
                <w:sz w:val="22"/>
                <w:szCs w:val="22"/>
                <w:rtl/>
                <w:lang w:val="en-GB" w:eastAsia="en-GB"/>
                <w14:ligatures w14:val="none"/>
              </w:rPr>
              <w:t>نص الفرضية</w:t>
            </w:r>
          </w:p>
        </w:tc>
        <w:tc>
          <w:tcPr>
            <w:tcW w:w="1660" w:type="dxa"/>
            <w:tcBorders>
              <w:top w:val="single" w:sz="4" w:space="0" w:color="auto"/>
              <w:left w:val="single" w:sz="4" w:space="0" w:color="auto"/>
              <w:bottom w:val="single" w:sz="4" w:space="0" w:color="auto"/>
              <w:right w:val="single" w:sz="4" w:space="0" w:color="auto"/>
            </w:tcBorders>
            <w:vAlign w:val="center"/>
            <w:hideMark/>
          </w:tcPr>
          <w:p w14:paraId="4824F55A" w14:textId="77777777" w:rsidR="00793DFB" w:rsidRPr="00AA7A35" w:rsidRDefault="00793DFB" w:rsidP="009F1C88">
            <w:pPr>
              <w:bidi/>
              <w:spacing w:after="0" w:line="240" w:lineRule="auto"/>
              <w:jc w:val="center"/>
              <w:rPr>
                <w:rFonts w:ascii="Aptos Narrow" w:eastAsia="Times New Roman" w:hAnsi="Aptos Narrow" w:cs="Times New Roman"/>
                <w:b/>
                <w:bCs/>
                <w:color w:val="000000"/>
                <w:kern w:val="0"/>
                <w:sz w:val="22"/>
                <w:szCs w:val="22"/>
                <w:rtl/>
                <w:lang w:val="en-GB" w:eastAsia="en-GB"/>
                <w14:ligatures w14:val="none"/>
              </w:rPr>
            </w:pPr>
            <w:r w:rsidRPr="00AA7A35">
              <w:rPr>
                <w:rFonts w:ascii="Aptos Narrow" w:eastAsia="Times New Roman" w:hAnsi="Aptos Narrow" w:cs="Times New Roman"/>
                <w:b/>
                <w:bCs/>
                <w:color w:val="000000"/>
                <w:kern w:val="0"/>
                <w:sz w:val="22"/>
                <w:szCs w:val="22"/>
                <w:rtl/>
                <w:lang w:val="en-GB" w:eastAsia="en-GB"/>
                <w14:ligatures w14:val="none"/>
              </w:rPr>
              <w:t xml:space="preserve">معامل المسار / قيمة </w:t>
            </w:r>
            <w:r w:rsidRPr="00AA7A35">
              <w:rPr>
                <w:rFonts w:ascii="Aptos Narrow" w:eastAsia="Times New Roman" w:hAnsi="Aptos Narrow" w:cs="Times New Roman"/>
                <w:b/>
                <w:bCs/>
                <w:color w:val="000000"/>
                <w:kern w:val="0"/>
                <w:sz w:val="22"/>
                <w:szCs w:val="22"/>
                <w:lang w:val="en-GB" w:eastAsia="en-GB"/>
                <w14:ligatures w14:val="none"/>
              </w:rPr>
              <w:t>t</w:t>
            </w:r>
          </w:p>
        </w:tc>
        <w:tc>
          <w:tcPr>
            <w:tcW w:w="1500" w:type="dxa"/>
            <w:tcBorders>
              <w:top w:val="single" w:sz="4" w:space="0" w:color="auto"/>
              <w:left w:val="single" w:sz="4" w:space="0" w:color="auto"/>
              <w:bottom w:val="single" w:sz="4" w:space="0" w:color="auto"/>
              <w:right w:val="single" w:sz="4" w:space="0" w:color="auto"/>
            </w:tcBorders>
            <w:vAlign w:val="center"/>
            <w:hideMark/>
          </w:tcPr>
          <w:p w14:paraId="4CE5641F" w14:textId="77777777" w:rsidR="00793DFB" w:rsidRPr="00AA7A35" w:rsidRDefault="00793DFB" w:rsidP="009F1C88">
            <w:pPr>
              <w:bidi/>
              <w:spacing w:after="0" w:line="240" w:lineRule="auto"/>
              <w:jc w:val="center"/>
              <w:rPr>
                <w:rFonts w:ascii="Aptos Narrow" w:eastAsia="Times New Roman" w:hAnsi="Aptos Narrow" w:cs="Times New Roman"/>
                <w:b/>
                <w:bCs/>
                <w:color w:val="000000"/>
                <w:kern w:val="0"/>
                <w:sz w:val="22"/>
                <w:szCs w:val="22"/>
                <w:rtl/>
                <w:lang w:val="en-GB" w:eastAsia="en-GB"/>
                <w14:ligatures w14:val="none"/>
              </w:rPr>
            </w:pPr>
            <w:r w:rsidRPr="00AA7A35">
              <w:rPr>
                <w:rFonts w:ascii="Aptos Narrow" w:eastAsia="Times New Roman" w:hAnsi="Aptos Narrow" w:cs="Times New Roman"/>
                <w:b/>
                <w:bCs/>
                <w:color w:val="000000"/>
                <w:kern w:val="0"/>
                <w:sz w:val="22"/>
                <w:szCs w:val="22"/>
                <w:rtl/>
                <w:lang w:val="en-GB" w:eastAsia="en-GB"/>
                <w14:ligatures w14:val="none"/>
              </w:rPr>
              <w:t>مستوى الدلالة (</w:t>
            </w:r>
            <w:r w:rsidRPr="00AA7A35">
              <w:rPr>
                <w:rFonts w:ascii="Aptos Narrow" w:eastAsia="Times New Roman" w:hAnsi="Aptos Narrow" w:cs="Times New Roman"/>
                <w:b/>
                <w:bCs/>
                <w:color w:val="000000"/>
                <w:kern w:val="0"/>
                <w:sz w:val="22"/>
                <w:szCs w:val="22"/>
                <w:lang w:val="en-GB" w:eastAsia="en-GB"/>
                <w14:ligatures w14:val="none"/>
              </w:rPr>
              <w:t>p</w:t>
            </w:r>
            <w:r w:rsidRPr="00AA7A35">
              <w:rPr>
                <w:rFonts w:ascii="Aptos Narrow" w:eastAsia="Times New Roman" w:hAnsi="Aptos Narrow" w:cs="Times New Roman"/>
                <w:b/>
                <w:bCs/>
                <w:color w:val="000000"/>
                <w:kern w:val="0"/>
                <w:sz w:val="22"/>
                <w:szCs w:val="22"/>
                <w:rtl/>
                <w:lang w:val="en-GB" w:eastAsia="en-GB"/>
                <w14:ligatures w14:val="none"/>
              </w:rPr>
              <w:t>)</w:t>
            </w:r>
          </w:p>
        </w:tc>
        <w:tc>
          <w:tcPr>
            <w:tcW w:w="1460" w:type="dxa"/>
            <w:tcBorders>
              <w:top w:val="single" w:sz="4" w:space="0" w:color="auto"/>
              <w:left w:val="single" w:sz="4" w:space="0" w:color="auto"/>
              <w:bottom w:val="single" w:sz="4" w:space="0" w:color="auto"/>
              <w:right w:val="single" w:sz="4" w:space="0" w:color="auto"/>
            </w:tcBorders>
            <w:vAlign w:val="center"/>
            <w:hideMark/>
          </w:tcPr>
          <w:p w14:paraId="173EDEB8" w14:textId="77777777" w:rsidR="00793DFB" w:rsidRPr="00AA7A35" w:rsidRDefault="00793DFB" w:rsidP="009F1C88">
            <w:pPr>
              <w:bidi/>
              <w:spacing w:after="0" w:line="240" w:lineRule="auto"/>
              <w:jc w:val="center"/>
              <w:rPr>
                <w:rFonts w:ascii="Aptos Narrow" w:eastAsia="Times New Roman" w:hAnsi="Aptos Narrow" w:cs="Times New Roman"/>
                <w:b/>
                <w:bCs/>
                <w:color w:val="000000"/>
                <w:kern w:val="0"/>
                <w:sz w:val="22"/>
                <w:szCs w:val="22"/>
                <w:rtl/>
                <w:lang w:val="en-GB" w:eastAsia="en-GB"/>
                <w14:ligatures w14:val="none"/>
              </w:rPr>
            </w:pPr>
            <w:r w:rsidRPr="00AA7A35">
              <w:rPr>
                <w:rFonts w:ascii="Aptos Narrow" w:eastAsia="Times New Roman" w:hAnsi="Aptos Narrow" w:cs="Times New Roman"/>
                <w:b/>
                <w:bCs/>
                <w:color w:val="000000"/>
                <w:kern w:val="0"/>
                <w:sz w:val="22"/>
                <w:szCs w:val="22"/>
                <w:rtl/>
                <w:lang w:val="en-GB" w:eastAsia="en-GB"/>
                <w14:ligatures w14:val="none"/>
              </w:rPr>
              <w:t>القرار</w:t>
            </w:r>
          </w:p>
        </w:tc>
      </w:tr>
      <w:tr w:rsidR="00793DFB" w:rsidRPr="00AA7A35" w14:paraId="4EBA379E" w14:textId="77777777" w:rsidTr="009F1C88">
        <w:trPr>
          <w:trHeight w:val="276"/>
          <w:jc w:val="center"/>
        </w:trPr>
        <w:tc>
          <w:tcPr>
            <w:tcW w:w="1060" w:type="dxa"/>
            <w:vMerge w:val="restart"/>
            <w:tcBorders>
              <w:top w:val="nil"/>
              <w:left w:val="single" w:sz="4" w:space="0" w:color="auto"/>
              <w:bottom w:val="single" w:sz="4" w:space="0" w:color="auto"/>
              <w:right w:val="single" w:sz="4" w:space="0" w:color="auto"/>
            </w:tcBorders>
            <w:vAlign w:val="center"/>
            <w:hideMark/>
          </w:tcPr>
          <w:p w14:paraId="3F0A9B57"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H1</w:t>
            </w:r>
          </w:p>
        </w:tc>
        <w:tc>
          <w:tcPr>
            <w:tcW w:w="2200" w:type="dxa"/>
            <w:vMerge w:val="restart"/>
            <w:tcBorders>
              <w:top w:val="nil"/>
              <w:left w:val="single" w:sz="4" w:space="0" w:color="auto"/>
              <w:bottom w:val="single" w:sz="4" w:space="0" w:color="auto"/>
              <w:right w:val="single" w:sz="4" w:space="0" w:color="auto"/>
            </w:tcBorders>
            <w:vAlign w:val="center"/>
            <w:hideMark/>
          </w:tcPr>
          <w:p w14:paraId="14F63A8A"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يوجد أثر مباشر لأنظمة العمل عالية الأداء على الأداء الإبداعي</w:t>
            </w:r>
          </w:p>
        </w:tc>
        <w:tc>
          <w:tcPr>
            <w:tcW w:w="1660" w:type="dxa"/>
            <w:tcBorders>
              <w:top w:val="nil"/>
              <w:left w:val="single" w:sz="4" w:space="0" w:color="auto"/>
              <w:bottom w:val="single" w:sz="4" w:space="0" w:color="auto"/>
              <w:right w:val="single" w:sz="4" w:space="0" w:color="auto"/>
            </w:tcBorders>
            <w:vAlign w:val="center"/>
            <w:hideMark/>
          </w:tcPr>
          <w:p w14:paraId="4530831E"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B = 0.4862</w:t>
            </w:r>
          </w:p>
        </w:tc>
        <w:tc>
          <w:tcPr>
            <w:tcW w:w="1500" w:type="dxa"/>
            <w:vMerge w:val="restart"/>
            <w:tcBorders>
              <w:top w:val="nil"/>
              <w:left w:val="single" w:sz="4" w:space="0" w:color="auto"/>
              <w:bottom w:val="single" w:sz="4" w:space="0" w:color="auto"/>
              <w:right w:val="single" w:sz="4" w:space="0" w:color="auto"/>
            </w:tcBorders>
            <w:vAlign w:val="center"/>
            <w:hideMark/>
          </w:tcPr>
          <w:p w14:paraId="7122FE92"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&lt; 0.001</w:t>
            </w:r>
          </w:p>
        </w:tc>
        <w:tc>
          <w:tcPr>
            <w:tcW w:w="1460" w:type="dxa"/>
            <w:vMerge w:val="restart"/>
            <w:tcBorders>
              <w:top w:val="nil"/>
              <w:left w:val="single" w:sz="4" w:space="0" w:color="auto"/>
              <w:bottom w:val="single" w:sz="4" w:space="0" w:color="auto"/>
              <w:right w:val="single" w:sz="4" w:space="0" w:color="auto"/>
            </w:tcBorders>
            <w:vAlign w:val="center"/>
            <w:hideMark/>
          </w:tcPr>
          <w:p w14:paraId="668D1DB9"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مقبولة</w:t>
            </w:r>
          </w:p>
        </w:tc>
      </w:tr>
      <w:tr w:rsidR="00793DFB" w:rsidRPr="00AA7A35" w14:paraId="22D9BE69" w14:textId="77777777" w:rsidTr="009F1C88">
        <w:trPr>
          <w:trHeight w:val="276"/>
          <w:jc w:val="center"/>
        </w:trPr>
        <w:tc>
          <w:tcPr>
            <w:tcW w:w="1060" w:type="dxa"/>
            <w:vMerge/>
            <w:tcBorders>
              <w:top w:val="nil"/>
              <w:left w:val="single" w:sz="4" w:space="0" w:color="auto"/>
              <w:bottom w:val="single" w:sz="4" w:space="0" w:color="auto"/>
              <w:right w:val="single" w:sz="4" w:space="0" w:color="auto"/>
            </w:tcBorders>
            <w:vAlign w:val="center"/>
            <w:hideMark/>
          </w:tcPr>
          <w:p w14:paraId="58F49A70"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2200" w:type="dxa"/>
            <w:vMerge/>
            <w:tcBorders>
              <w:top w:val="nil"/>
              <w:left w:val="single" w:sz="4" w:space="0" w:color="auto"/>
              <w:bottom w:val="single" w:sz="4" w:space="0" w:color="auto"/>
              <w:right w:val="single" w:sz="4" w:space="0" w:color="auto"/>
            </w:tcBorders>
            <w:vAlign w:val="center"/>
            <w:hideMark/>
          </w:tcPr>
          <w:p w14:paraId="3AD5A60F"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660" w:type="dxa"/>
            <w:tcBorders>
              <w:top w:val="nil"/>
              <w:left w:val="single" w:sz="4" w:space="0" w:color="auto"/>
              <w:bottom w:val="single" w:sz="4" w:space="0" w:color="auto"/>
              <w:right w:val="single" w:sz="4" w:space="0" w:color="auto"/>
            </w:tcBorders>
            <w:vAlign w:val="center"/>
            <w:hideMark/>
          </w:tcPr>
          <w:p w14:paraId="31507274"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t = 8.452</w:t>
            </w:r>
          </w:p>
        </w:tc>
        <w:tc>
          <w:tcPr>
            <w:tcW w:w="1500" w:type="dxa"/>
            <w:vMerge/>
            <w:tcBorders>
              <w:top w:val="nil"/>
              <w:left w:val="single" w:sz="4" w:space="0" w:color="auto"/>
              <w:bottom w:val="single" w:sz="4" w:space="0" w:color="auto"/>
              <w:right w:val="single" w:sz="4" w:space="0" w:color="auto"/>
            </w:tcBorders>
            <w:vAlign w:val="center"/>
            <w:hideMark/>
          </w:tcPr>
          <w:p w14:paraId="7643A048"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460" w:type="dxa"/>
            <w:vMerge/>
            <w:tcBorders>
              <w:top w:val="nil"/>
              <w:left w:val="single" w:sz="4" w:space="0" w:color="auto"/>
              <w:bottom w:val="single" w:sz="4" w:space="0" w:color="auto"/>
              <w:right w:val="single" w:sz="4" w:space="0" w:color="auto"/>
            </w:tcBorders>
            <w:vAlign w:val="center"/>
            <w:hideMark/>
          </w:tcPr>
          <w:p w14:paraId="1B68E9B0"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r>
      <w:tr w:rsidR="00793DFB" w:rsidRPr="00AA7A35" w14:paraId="367A371B" w14:textId="77777777" w:rsidTr="009F1C88">
        <w:trPr>
          <w:trHeight w:val="552"/>
          <w:jc w:val="center"/>
        </w:trPr>
        <w:tc>
          <w:tcPr>
            <w:tcW w:w="1060" w:type="dxa"/>
            <w:tcBorders>
              <w:top w:val="nil"/>
              <w:left w:val="single" w:sz="4" w:space="0" w:color="auto"/>
              <w:bottom w:val="single" w:sz="4" w:space="0" w:color="auto"/>
              <w:right w:val="single" w:sz="4" w:space="0" w:color="auto"/>
            </w:tcBorders>
            <w:vAlign w:val="center"/>
            <w:hideMark/>
          </w:tcPr>
          <w:p w14:paraId="166A81D6"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H1-1</w:t>
            </w:r>
          </w:p>
        </w:tc>
        <w:tc>
          <w:tcPr>
            <w:tcW w:w="2200" w:type="dxa"/>
            <w:tcBorders>
              <w:top w:val="nil"/>
              <w:left w:val="single" w:sz="4" w:space="0" w:color="auto"/>
              <w:bottom w:val="single" w:sz="4" w:space="0" w:color="auto"/>
              <w:right w:val="single" w:sz="4" w:space="0" w:color="auto"/>
            </w:tcBorders>
            <w:vAlign w:val="center"/>
            <w:hideMark/>
          </w:tcPr>
          <w:p w14:paraId="0F03B15B"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يوجد أثر للتوظيف الانتقائي على الأداء الإبداعي</w:t>
            </w:r>
          </w:p>
        </w:tc>
        <w:tc>
          <w:tcPr>
            <w:tcW w:w="1660" w:type="dxa"/>
            <w:tcBorders>
              <w:top w:val="nil"/>
              <w:left w:val="single" w:sz="4" w:space="0" w:color="auto"/>
              <w:bottom w:val="single" w:sz="4" w:space="0" w:color="auto"/>
              <w:right w:val="single" w:sz="4" w:space="0" w:color="auto"/>
            </w:tcBorders>
            <w:vAlign w:val="center"/>
            <w:hideMark/>
          </w:tcPr>
          <w:p w14:paraId="1BB7B5E5"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t = 0.483</w:t>
            </w:r>
          </w:p>
        </w:tc>
        <w:tc>
          <w:tcPr>
            <w:tcW w:w="1500" w:type="dxa"/>
            <w:tcBorders>
              <w:top w:val="nil"/>
              <w:left w:val="single" w:sz="4" w:space="0" w:color="auto"/>
              <w:bottom w:val="single" w:sz="4" w:space="0" w:color="auto"/>
              <w:right w:val="single" w:sz="4" w:space="0" w:color="auto"/>
            </w:tcBorders>
            <w:vAlign w:val="center"/>
            <w:hideMark/>
          </w:tcPr>
          <w:p w14:paraId="71C9D0C1"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0.629</w:t>
            </w:r>
          </w:p>
        </w:tc>
        <w:tc>
          <w:tcPr>
            <w:tcW w:w="1460" w:type="dxa"/>
            <w:tcBorders>
              <w:top w:val="nil"/>
              <w:left w:val="single" w:sz="4" w:space="0" w:color="auto"/>
              <w:bottom w:val="single" w:sz="4" w:space="0" w:color="auto"/>
              <w:right w:val="single" w:sz="4" w:space="0" w:color="auto"/>
            </w:tcBorders>
            <w:vAlign w:val="center"/>
            <w:hideMark/>
          </w:tcPr>
          <w:p w14:paraId="665A6FA7"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مرفوضة</w:t>
            </w:r>
          </w:p>
        </w:tc>
      </w:tr>
      <w:tr w:rsidR="00793DFB" w:rsidRPr="00AA7A35" w14:paraId="3609B75B" w14:textId="77777777" w:rsidTr="009F1C88">
        <w:trPr>
          <w:trHeight w:val="552"/>
          <w:jc w:val="center"/>
        </w:trPr>
        <w:tc>
          <w:tcPr>
            <w:tcW w:w="1060" w:type="dxa"/>
            <w:tcBorders>
              <w:top w:val="nil"/>
              <w:left w:val="single" w:sz="4" w:space="0" w:color="auto"/>
              <w:bottom w:val="single" w:sz="4" w:space="0" w:color="auto"/>
              <w:right w:val="single" w:sz="4" w:space="0" w:color="auto"/>
            </w:tcBorders>
            <w:vAlign w:val="center"/>
            <w:hideMark/>
          </w:tcPr>
          <w:p w14:paraId="09A0CDB2"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H1-2</w:t>
            </w:r>
          </w:p>
        </w:tc>
        <w:tc>
          <w:tcPr>
            <w:tcW w:w="2200" w:type="dxa"/>
            <w:tcBorders>
              <w:top w:val="nil"/>
              <w:left w:val="single" w:sz="4" w:space="0" w:color="auto"/>
              <w:bottom w:val="single" w:sz="4" w:space="0" w:color="auto"/>
              <w:right w:val="single" w:sz="4" w:space="0" w:color="auto"/>
            </w:tcBorders>
            <w:vAlign w:val="center"/>
            <w:hideMark/>
          </w:tcPr>
          <w:p w14:paraId="78FFD2B1"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يوجد أثر للتدريب والتطوير على الأداء الإبداعي</w:t>
            </w:r>
          </w:p>
        </w:tc>
        <w:tc>
          <w:tcPr>
            <w:tcW w:w="1660" w:type="dxa"/>
            <w:tcBorders>
              <w:top w:val="nil"/>
              <w:left w:val="single" w:sz="4" w:space="0" w:color="auto"/>
              <w:bottom w:val="single" w:sz="4" w:space="0" w:color="auto"/>
              <w:right w:val="single" w:sz="4" w:space="0" w:color="auto"/>
            </w:tcBorders>
            <w:vAlign w:val="center"/>
            <w:hideMark/>
          </w:tcPr>
          <w:p w14:paraId="0942D6E0"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t = 1.536</w:t>
            </w:r>
          </w:p>
        </w:tc>
        <w:tc>
          <w:tcPr>
            <w:tcW w:w="1500" w:type="dxa"/>
            <w:tcBorders>
              <w:top w:val="nil"/>
              <w:left w:val="single" w:sz="4" w:space="0" w:color="auto"/>
              <w:bottom w:val="single" w:sz="4" w:space="0" w:color="auto"/>
              <w:right w:val="single" w:sz="4" w:space="0" w:color="auto"/>
            </w:tcBorders>
            <w:vAlign w:val="center"/>
            <w:hideMark/>
          </w:tcPr>
          <w:p w14:paraId="643A0B8A"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0.125</w:t>
            </w:r>
          </w:p>
        </w:tc>
        <w:tc>
          <w:tcPr>
            <w:tcW w:w="1460" w:type="dxa"/>
            <w:tcBorders>
              <w:top w:val="nil"/>
              <w:left w:val="single" w:sz="4" w:space="0" w:color="auto"/>
              <w:bottom w:val="single" w:sz="4" w:space="0" w:color="auto"/>
              <w:right w:val="single" w:sz="4" w:space="0" w:color="auto"/>
            </w:tcBorders>
            <w:vAlign w:val="center"/>
            <w:hideMark/>
          </w:tcPr>
          <w:p w14:paraId="21D9A7DE"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مرفوضة</w:t>
            </w:r>
          </w:p>
        </w:tc>
      </w:tr>
      <w:tr w:rsidR="00793DFB" w:rsidRPr="00AA7A35" w14:paraId="56D0A013" w14:textId="77777777" w:rsidTr="009F1C88">
        <w:trPr>
          <w:trHeight w:val="276"/>
          <w:jc w:val="center"/>
        </w:trPr>
        <w:tc>
          <w:tcPr>
            <w:tcW w:w="1060" w:type="dxa"/>
            <w:vMerge w:val="restart"/>
            <w:tcBorders>
              <w:top w:val="nil"/>
              <w:left w:val="single" w:sz="4" w:space="0" w:color="auto"/>
              <w:bottom w:val="single" w:sz="4" w:space="0" w:color="auto"/>
              <w:right w:val="single" w:sz="4" w:space="0" w:color="auto"/>
            </w:tcBorders>
            <w:vAlign w:val="center"/>
            <w:hideMark/>
          </w:tcPr>
          <w:p w14:paraId="2DCBF161"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H1-3</w:t>
            </w:r>
          </w:p>
        </w:tc>
        <w:tc>
          <w:tcPr>
            <w:tcW w:w="2200" w:type="dxa"/>
            <w:vMerge w:val="restart"/>
            <w:tcBorders>
              <w:top w:val="nil"/>
              <w:left w:val="single" w:sz="4" w:space="0" w:color="auto"/>
              <w:bottom w:val="single" w:sz="4" w:space="0" w:color="auto"/>
              <w:right w:val="single" w:sz="4" w:space="0" w:color="auto"/>
            </w:tcBorders>
            <w:vAlign w:val="center"/>
            <w:hideMark/>
          </w:tcPr>
          <w:p w14:paraId="03F7EF7B"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يوجد أثر لنظم الحوافز على الأداء الإبداعي</w:t>
            </w:r>
          </w:p>
        </w:tc>
        <w:tc>
          <w:tcPr>
            <w:tcW w:w="1660" w:type="dxa"/>
            <w:tcBorders>
              <w:top w:val="nil"/>
              <w:left w:val="single" w:sz="4" w:space="0" w:color="auto"/>
              <w:bottom w:val="single" w:sz="4" w:space="0" w:color="auto"/>
              <w:right w:val="single" w:sz="4" w:space="0" w:color="auto"/>
            </w:tcBorders>
            <w:vAlign w:val="center"/>
            <w:hideMark/>
          </w:tcPr>
          <w:p w14:paraId="59AB01F9"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B = 0.188</w:t>
            </w:r>
          </w:p>
        </w:tc>
        <w:tc>
          <w:tcPr>
            <w:tcW w:w="1500" w:type="dxa"/>
            <w:vMerge w:val="restart"/>
            <w:tcBorders>
              <w:top w:val="nil"/>
              <w:left w:val="single" w:sz="4" w:space="0" w:color="auto"/>
              <w:bottom w:val="single" w:sz="4" w:space="0" w:color="auto"/>
              <w:right w:val="single" w:sz="4" w:space="0" w:color="auto"/>
            </w:tcBorders>
            <w:vAlign w:val="center"/>
            <w:hideMark/>
          </w:tcPr>
          <w:p w14:paraId="10778174"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&lt; 0.001</w:t>
            </w:r>
          </w:p>
        </w:tc>
        <w:tc>
          <w:tcPr>
            <w:tcW w:w="1460" w:type="dxa"/>
            <w:vMerge w:val="restart"/>
            <w:tcBorders>
              <w:top w:val="nil"/>
              <w:left w:val="single" w:sz="4" w:space="0" w:color="auto"/>
              <w:bottom w:val="single" w:sz="4" w:space="0" w:color="auto"/>
              <w:right w:val="single" w:sz="4" w:space="0" w:color="auto"/>
            </w:tcBorders>
            <w:vAlign w:val="center"/>
            <w:hideMark/>
          </w:tcPr>
          <w:p w14:paraId="53AE0A5E"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مقبولة</w:t>
            </w:r>
          </w:p>
        </w:tc>
      </w:tr>
      <w:tr w:rsidR="00793DFB" w:rsidRPr="00AA7A35" w14:paraId="747CF6FD" w14:textId="77777777" w:rsidTr="009F1C88">
        <w:trPr>
          <w:trHeight w:val="276"/>
          <w:jc w:val="center"/>
        </w:trPr>
        <w:tc>
          <w:tcPr>
            <w:tcW w:w="1060" w:type="dxa"/>
            <w:vMerge/>
            <w:tcBorders>
              <w:top w:val="nil"/>
              <w:left w:val="single" w:sz="4" w:space="0" w:color="auto"/>
              <w:bottom w:val="single" w:sz="4" w:space="0" w:color="auto"/>
              <w:right w:val="single" w:sz="4" w:space="0" w:color="auto"/>
            </w:tcBorders>
            <w:vAlign w:val="center"/>
            <w:hideMark/>
          </w:tcPr>
          <w:p w14:paraId="1C99D045"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2200" w:type="dxa"/>
            <w:vMerge/>
            <w:tcBorders>
              <w:top w:val="nil"/>
              <w:left w:val="single" w:sz="4" w:space="0" w:color="auto"/>
              <w:bottom w:val="single" w:sz="4" w:space="0" w:color="auto"/>
              <w:right w:val="single" w:sz="4" w:space="0" w:color="auto"/>
            </w:tcBorders>
            <w:vAlign w:val="center"/>
            <w:hideMark/>
          </w:tcPr>
          <w:p w14:paraId="53D7B8F6"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660" w:type="dxa"/>
            <w:tcBorders>
              <w:top w:val="nil"/>
              <w:left w:val="single" w:sz="4" w:space="0" w:color="auto"/>
              <w:bottom w:val="single" w:sz="4" w:space="0" w:color="auto"/>
              <w:right w:val="single" w:sz="4" w:space="0" w:color="auto"/>
            </w:tcBorders>
            <w:vAlign w:val="center"/>
            <w:hideMark/>
          </w:tcPr>
          <w:p w14:paraId="15DFA3AA"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t = 4.608</w:t>
            </w:r>
          </w:p>
        </w:tc>
        <w:tc>
          <w:tcPr>
            <w:tcW w:w="1500" w:type="dxa"/>
            <w:vMerge/>
            <w:tcBorders>
              <w:top w:val="nil"/>
              <w:left w:val="single" w:sz="4" w:space="0" w:color="auto"/>
              <w:bottom w:val="single" w:sz="4" w:space="0" w:color="auto"/>
              <w:right w:val="single" w:sz="4" w:space="0" w:color="auto"/>
            </w:tcBorders>
            <w:vAlign w:val="center"/>
            <w:hideMark/>
          </w:tcPr>
          <w:p w14:paraId="3F96729F"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460" w:type="dxa"/>
            <w:vMerge/>
            <w:tcBorders>
              <w:top w:val="nil"/>
              <w:left w:val="single" w:sz="4" w:space="0" w:color="auto"/>
              <w:bottom w:val="single" w:sz="4" w:space="0" w:color="auto"/>
              <w:right w:val="single" w:sz="4" w:space="0" w:color="auto"/>
            </w:tcBorders>
            <w:vAlign w:val="center"/>
            <w:hideMark/>
          </w:tcPr>
          <w:p w14:paraId="09B80AA4"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r>
      <w:tr w:rsidR="00793DFB" w:rsidRPr="00AA7A35" w14:paraId="3607178C" w14:textId="77777777" w:rsidTr="009F1C88">
        <w:trPr>
          <w:trHeight w:val="276"/>
          <w:jc w:val="center"/>
        </w:trPr>
        <w:tc>
          <w:tcPr>
            <w:tcW w:w="1060" w:type="dxa"/>
            <w:vMerge w:val="restart"/>
            <w:tcBorders>
              <w:top w:val="nil"/>
              <w:left w:val="single" w:sz="4" w:space="0" w:color="auto"/>
              <w:bottom w:val="single" w:sz="4" w:space="0" w:color="auto"/>
              <w:right w:val="single" w:sz="4" w:space="0" w:color="auto"/>
            </w:tcBorders>
            <w:vAlign w:val="center"/>
            <w:hideMark/>
          </w:tcPr>
          <w:p w14:paraId="791C37B3"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H1-4</w:t>
            </w:r>
          </w:p>
        </w:tc>
        <w:tc>
          <w:tcPr>
            <w:tcW w:w="2200" w:type="dxa"/>
            <w:vMerge w:val="restart"/>
            <w:tcBorders>
              <w:top w:val="nil"/>
              <w:left w:val="single" w:sz="4" w:space="0" w:color="auto"/>
              <w:bottom w:val="single" w:sz="4" w:space="0" w:color="auto"/>
              <w:right w:val="single" w:sz="4" w:space="0" w:color="auto"/>
            </w:tcBorders>
            <w:vAlign w:val="center"/>
            <w:hideMark/>
          </w:tcPr>
          <w:p w14:paraId="4A91CE87"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يوجد أثر للمشاركة في اتخاذ القرار على الأداء الإبداعي</w:t>
            </w:r>
          </w:p>
        </w:tc>
        <w:tc>
          <w:tcPr>
            <w:tcW w:w="1660" w:type="dxa"/>
            <w:tcBorders>
              <w:top w:val="nil"/>
              <w:left w:val="single" w:sz="4" w:space="0" w:color="auto"/>
              <w:bottom w:val="single" w:sz="4" w:space="0" w:color="auto"/>
              <w:right w:val="single" w:sz="4" w:space="0" w:color="auto"/>
            </w:tcBorders>
            <w:vAlign w:val="center"/>
            <w:hideMark/>
          </w:tcPr>
          <w:p w14:paraId="56ACFEA9"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B = 0.129</w:t>
            </w:r>
          </w:p>
        </w:tc>
        <w:tc>
          <w:tcPr>
            <w:tcW w:w="1500" w:type="dxa"/>
            <w:vMerge w:val="restart"/>
            <w:tcBorders>
              <w:top w:val="nil"/>
              <w:left w:val="single" w:sz="4" w:space="0" w:color="auto"/>
              <w:bottom w:val="single" w:sz="4" w:space="0" w:color="auto"/>
              <w:right w:val="single" w:sz="4" w:space="0" w:color="auto"/>
            </w:tcBorders>
            <w:vAlign w:val="center"/>
            <w:hideMark/>
          </w:tcPr>
          <w:p w14:paraId="45B28FA2"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0.001</w:t>
            </w:r>
          </w:p>
        </w:tc>
        <w:tc>
          <w:tcPr>
            <w:tcW w:w="1460" w:type="dxa"/>
            <w:vMerge w:val="restart"/>
            <w:tcBorders>
              <w:top w:val="nil"/>
              <w:left w:val="single" w:sz="4" w:space="0" w:color="auto"/>
              <w:bottom w:val="single" w:sz="4" w:space="0" w:color="auto"/>
              <w:right w:val="single" w:sz="4" w:space="0" w:color="auto"/>
            </w:tcBorders>
            <w:vAlign w:val="center"/>
            <w:hideMark/>
          </w:tcPr>
          <w:p w14:paraId="6E3D0574"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مقبولة</w:t>
            </w:r>
          </w:p>
        </w:tc>
      </w:tr>
      <w:tr w:rsidR="00793DFB" w:rsidRPr="00AA7A35" w14:paraId="39E41289" w14:textId="77777777" w:rsidTr="009F1C88">
        <w:trPr>
          <w:trHeight w:val="276"/>
          <w:jc w:val="center"/>
        </w:trPr>
        <w:tc>
          <w:tcPr>
            <w:tcW w:w="1060" w:type="dxa"/>
            <w:vMerge/>
            <w:tcBorders>
              <w:top w:val="nil"/>
              <w:left w:val="single" w:sz="4" w:space="0" w:color="auto"/>
              <w:bottom w:val="single" w:sz="4" w:space="0" w:color="auto"/>
              <w:right w:val="single" w:sz="4" w:space="0" w:color="auto"/>
            </w:tcBorders>
            <w:vAlign w:val="center"/>
            <w:hideMark/>
          </w:tcPr>
          <w:p w14:paraId="491F189F"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2200" w:type="dxa"/>
            <w:vMerge/>
            <w:tcBorders>
              <w:top w:val="nil"/>
              <w:left w:val="single" w:sz="4" w:space="0" w:color="auto"/>
              <w:bottom w:val="single" w:sz="4" w:space="0" w:color="auto"/>
              <w:right w:val="single" w:sz="4" w:space="0" w:color="auto"/>
            </w:tcBorders>
            <w:vAlign w:val="center"/>
            <w:hideMark/>
          </w:tcPr>
          <w:p w14:paraId="49005F88"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660" w:type="dxa"/>
            <w:tcBorders>
              <w:top w:val="nil"/>
              <w:left w:val="single" w:sz="4" w:space="0" w:color="auto"/>
              <w:bottom w:val="single" w:sz="4" w:space="0" w:color="auto"/>
              <w:right w:val="single" w:sz="4" w:space="0" w:color="auto"/>
            </w:tcBorders>
            <w:vAlign w:val="center"/>
            <w:hideMark/>
          </w:tcPr>
          <w:p w14:paraId="2E5DC118"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t = 3.506</w:t>
            </w:r>
          </w:p>
        </w:tc>
        <w:tc>
          <w:tcPr>
            <w:tcW w:w="1500" w:type="dxa"/>
            <w:vMerge/>
            <w:tcBorders>
              <w:top w:val="nil"/>
              <w:left w:val="single" w:sz="4" w:space="0" w:color="auto"/>
              <w:bottom w:val="single" w:sz="4" w:space="0" w:color="auto"/>
              <w:right w:val="single" w:sz="4" w:space="0" w:color="auto"/>
            </w:tcBorders>
            <w:vAlign w:val="center"/>
            <w:hideMark/>
          </w:tcPr>
          <w:p w14:paraId="5DC583A5"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460" w:type="dxa"/>
            <w:vMerge/>
            <w:tcBorders>
              <w:top w:val="nil"/>
              <w:left w:val="single" w:sz="4" w:space="0" w:color="auto"/>
              <w:bottom w:val="single" w:sz="4" w:space="0" w:color="auto"/>
              <w:right w:val="single" w:sz="4" w:space="0" w:color="auto"/>
            </w:tcBorders>
            <w:vAlign w:val="center"/>
            <w:hideMark/>
          </w:tcPr>
          <w:p w14:paraId="7D58272E"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r>
      <w:tr w:rsidR="00793DFB" w:rsidRPr="00AA7A35" w14:paraId="47D421CC" w14:textId="77777777" w:rsidTr="009F1C88">
        <w:trPr>
          <w:trHeight w:val="276"/>
          <w:jc w:val="center"/>
        </w:trPr>
        <w:tc>
          <w:tcPr>
            <w:tcW w:w="1060" w:type="dxa"/>
            <w:vMerge w:val="restart"/>
            <w:tcBorders>
              <w:top w:val="nil"/>
              <w:left w:val="single" w:sz="4" w:space="0" w:color="auto"/>
              <w:bottom w:val="single" w:sz="4" w:space="0" w:color="auto"/>
              <w:right w:val="single" w:sz="4" w:space="0" w:color="auto"/>
            </w:tcBorders>
            <w:vAlign w:val="center"/>
            <w:hideMark/>
          </w:tcPr>
          <w:p w14:paraId="7DA7F14D"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H1-5</w:t>
            </w:r>
          </w:p>
        </w:tc>
        <w:tc>
          <w:tcPr>
            <w:tcW w:w="2200" w:type="dxa"/>
            <w:vMerge w:val="restart"/>
            <w:tcBorders>
              <w:top w:val="nil"/>
              <w:left w:val="single" w:sz="4" w:space="0" w:color="auto"/>
              <w:bottom w:val="single" w:sz="4" w:space="0" w:color="auto"/>
              <w:right w:val="single" w:sz="4" w:space="0" w:color="auto"/>
            </w:tcBorders>
            <w:vAlign w:val="center"/>
            <w:hideMark/>
          </w:tcPr>
          <w:p w14:paraId="2EE10784"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يوجد أثر لتقييم الأداء على الأداء الإبداعي</w:t>
            </w:r>
          </w:p>
        </w:tc>
        <w:tc>
          <w:tcPr>
            <w:tcW w:w="1660" w:type="dxa"/>
            <w:tcBorders>
              <w:top w:val="nil"/>
              <w:left w:val="single" w:sz="4" w:space="0" w:color="auto"/>
              <w:bottom w:val="single" w:sz="4" w:space="0" w:color="auto"/>
              <w:right w:val="single" w:sz="4" w:space="0" w:color="auto"/>
            </w:tcBorders>
            <w:vAlign w:val="center"/>
            <w:hideMark/>
          </w:tcPr>
          <w:p w14:paraId="09EA2634"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B = 0.113</w:t>
            </w:r>
          </w:p>
        </w:tc>
        <w:tc>
          <w:tcPr>
            <w:tcW w:w="1500" w:type="dxa"/>
            <w:vMerge w:val="restart"/>
            <w:tcBorders>
              <w:top w:val="nil"/>
              <w:left w:val="single" w:sz="4" w:space="0" w:color="auto"/>
              <w:bottom w:val="single" w:sz="4" w:space="0" w:color="auto"/>
              <w:right w:val="single" w:sz="4" w:space="0" w:color="auto"/>
            </w:tcBorders>
            <w:vAlign w:val="center"/>
            <w:hideMark/>
          </w:tcPr>
          <w:p w14:paraId="76C844CC"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0.004</w:t>
            </w:r>
          </w:p>
        </w:tc>
        <w:tc>
          <w:tcPr>
            <w:tcW w:w="1460" w:type="dxa"/>
            <w:vMerge w:val="restart"/>
            <w:tcBorders>
              <w:top w:val="nil"/>
              <w:left w:val="single" w:sz="4" w:space="0" w:color="auto"/>
              <w:bottom w:val="single" w:sz="4" w:space="0" w:color="auto"/>
              <w:right w:val="single" w:sz="4" w:space="0" w:color="auto"/>
            </w:tcBorders>
            <w:vAlign w:val="center"/>
            <w:hideMark/>
          </w:tcPr>
          <w:p w14:paraId="7C0430E1"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مقبولة</w:t>
            </w:r>
          </w:p>
        </w:tc>
      </w:tr>
      <w:tr w:rsidR="00793DFB" w:rsidRPr="00AA7A35" w14:paraId="37F47506" w14:textId="77777777" w:rsidTr="009F1C88">
        <w:trPr>
          <w:trHeight w:val="276"/>
          <w:jc w:val="center"/>
        </w:trPr>
        <w:tc>
          <w:tcPr>
            <w:tcW w:w="1060" w:type="dxa"/>
            <w:vMerge/>
            <w:tcBorders>
              <w:top w:val="nil"/>
              <w:left w:val="single" w:sz="4" w:space="0" w:color="auto"/>
              <w:bottom w:val="single" w:sz="4" w:space="0" w:color="auto"/>
              <w:right w:val="single" w:sz="4" w:space="0" w:color="auto"/>
            </w:tcBorders>
            <w:vAlign w:val="center"/>
            <w:hideMark/>
          </w:tcPr>
          <w:p w14:paraId="302164E7"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2200" w:type="dxa"/>
            <w:vMerge/>
            <w:tcBorders>
              <w:top w:val="nil"/>
              <w:left w:val="single" w:sz="4" w:space="0" w:color="auto"/>
              <w:bottom w:val="single" w:sz="4" w:space="0" w:color="auto"/>
              <w:right w:val="single" w:sz="4" w:space="0" w:color="auto"/>
            </w:tcBorders>
            <w:vAlign w:val="center"/>
            <w:hideMark/>
          </w:tcPr>
          <w:p w14:paraId="0C28CAF0"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660" w:type="dxa"/>
            <w:tcBorders>
              <w:top w:val="nil"/>
              <w:left w:val="single" w:sz="4" w:space="0" w:color="auto"/>
              <w:bottom w:val="single" w:sz="4" w:space="0" w:color="auto"/>
              <w:right w:val="single" w:sz="4" w:space="0" w:color="auto"/>
            </w:tcBorders>
            <w:vAlign w:val="center"/>
            <w:hideMark/>
          </w:tcPr>
          <w:p w14:paraId="13FE0493"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t = 2.936</w:t>
            </w:r>
          </w:p>
        </w:tc>
        <w:tc>
          <w:tcPr>
            <w:tcW w:w="1500" w:type="dxa"/>
            <w:vMerge/>
            <w:tcBorders>
              <w:top w:val="nil"/>
              <w:left w:val="single" w:sz="4" w:space="0" w:color="auto"/>
              <w:bottom w:val="single" w:sz="4" w:space="0" w:color="auto"/>
              <w:right w:val="single" w:sz="4" w:space="0" w:color="auto"/>
            </w:tcBorders>
            <w:vAlign w:val="center"/>
            <w:hideMark/>
          </w:tcPr>
          <w:p w14:paraId="13023566"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460" w:type="dxa"/>
            <w:vMerge/>
            <w:tcBorders>
              <w:top w:val="nil"/>
              <w:left w:val="single" w:sz="4" w:space="0" w:color="auto"/>
              <w:bottom w:val="single" w:sz="4" w:space="0" w:color="auto"/>
              <w:right w:val="single" w:sz="4" w:space="0" w:color="auto"/>
            </w:tcBorders>
            <w:vAlign w:val="center"/>
            <w:hideMark/>
          </w:tcPr>
          <w:p w14:paraId="56C75428"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r>
      <w:tr w:rsidR="00793DFB" w:rsidRPr="00AA7A35" w14:paraId="0CC33058" w14:textId="77777777" w:rsidTr="009F1C88">
        <w:trPr>
          <w:trHeight w:val="276"/>
          <w:jc w:val="center"/>
        </w:trPr>
        <w:tc>
          <w:tcPr>
            <w:tcW w:w="1060" w:type="dxa"/>
            <w:vMerge w:val="restart"/>
            <w:tcBorders>
              <w:top w:val="nil"/>
              <w:left w:val="single" w:sz="4" w:space="0" w:color="auto"/>
              <w:bottom w:val="single" w:sz="4" w:space="0" w:color="auto"/>
              <w:right w:val="single" w:sz="4" w:space="0" w:color="auto"/>
            </w:tcBorders>
            <w:vAlign w:val="center"/>
            <w:hideMark/>
          </w:tcPr>
          <w:p w14:paraId="383A2FA3"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H1-6</w:t>
            </w:r>
          </w:p>
        </w:tc>
        <w:tc>
          <w:tcPr>
            <w:tcW w:w="2200" w:type="dxa"/>
            <w:vMerge w:val="restart"/>
            <w:tcBorders>
              <w:top w:val="nil"/>
              <w:left w:val="single" w:sz="4" w:space="0" w:color="auto"/>
              <w:bottom w:val="single" w:sz="4" w:space="0" w:color="auto"/>
              <w:right w:val="single" w:sz="4" w:space="0" w:color="auto"/>
            </w:tcBorders>
            <w:vAlign w:val="center"/>
            <w:hideMark/>
          </w:tcPr>
          <w:p w14:paraId="2B424C7E"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يوجد أثر لتمكين العاملين على الأداء الإبداعي</w:t>
            </w:r>
          </w:p>
        </w:tc>
        <w:tc>
          <w:tcPr>
            <w:tcW w:w="1660" w:type="dxa"/>
            <w:tcBorders>
              <w:top w:val="nil"/>
              <w:left w:val="single" w:sz="4" w:space="0" w:color="auto"/>
              <w:bottom w:val="single" w:sz="4" w:space="0" w:color="auto"/>
              <w:right w:val="single" w:sz="4" w:space="0" w:color="auto"/>
            </w:tcBorders>
            <w:vAlign w:val="center"/>
            <w:hideMark/>
          </w:tcPr>
          <w:p w14:paraId="297D542B"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B = 0.348</w:t>
            </w:r>
          </w:p>
        </w:tc>
        <w:tc>
          <w:tcPr>
            <w:tcW w:w="1500" w:type="dxa"/>
            <w:vMerge w:val="restart"/>
            <w:tcBorders>
              <w:top w:val="nil"/>
              <w:left w:val="single" w:sz="4" w:space="0" w:color="auto"/>
              <w:bottom w:val="single" w:sz="4" w:space="0" w:color="auto"/>
              <w:right w:val="single" w:sz="4" w:space="0" w:color="auto"/>
            </w:tcBorders>
            <w:vAlign w:val="center"/>
            <w:hideMark/>
          </w:tcPr>
          <w:p w14:paraId="4812B9A8"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&lt; 0.001</w:t>
            </w:r>
          </w:p>
        </w:tc>
        <w:tc>
          <w:tcPr>
            <w:tcW w:w="1460" w:type="dxa"/>
            <w:vMerge w:val="restart"/>
            <w:tcBorders>
              <w:top w:val="nil"/>
              <w:left w:val="single" w:sz="4" w:space="0" w:color="auto"/>
              <w:bottom w:val="single" w:sz="4" w:space="0" w:color="auto"/>
              <w:right w:val="single" w:sz="4" w:space="0" w:color="auto"/>
            </w:tcBorders>
            <w:vAlign w:val="center"/>
            <w:hideMark/>
          </w:tcPr>
          <w:p w14:paraId="1169392D"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مقبولة</w:t>
            </w:r>
          </w:p>
        </w:tc>
      </w:tr>
      <w:tr w:rsidR="00793DFB" w:rsidRPr="00AA7A35" w14:paraId="59579677" w14:textId="77777777" w:rsidTr="009F1C88">
        <w:trPr>
          <w:trHeight w:val="276"/>
          <w:jc w:val="center"/>
        </w:trPr>
        <w:tc>
          <w:tcPr>
            <w:tcW w:w="1060" w:type="dxa"/>
            <w:vMerge/>
            <w:tcBorders>
              <w:top w:val="nil"/>
              <w:left w:val="single" w:sz="4" w:space="0" w:color="auto"/>
              <w:bottom w:val="single" w:sz="4" w:space="0" w:color="auto"/>
              <w:right w:val="single" w:sz="4" w:space="0" w:color="auto"/>
            </w:tcBorders>
            <w:vAlign w:val="center"/>
            <w:hideMark/>
          </w:tcPr>
          <w:p w14:paraId="37224DE7"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2200" w:type="dxa"/>
            <w:vMerge/>
            <w:tcBorders>
              <w:top w:val="nil"/>
              <w:left w:val="single" w:sz="4" w:space="0" w:color="auto"/>
              <w:bottom w:val="single" w:sz="4" w:space="0" w:color="auto"/>
              <w:right w:val="single" w:sz="4" w:space="0" w:color="auto"/>
            </w:tcBorders>
            <w:vAlign w:val="center"/>
            <w:hideMark/>
          </w:tcPr>
          <w:p w14:paraId="3A1357A8"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660" w:type="dxa"/>
            <w:tcBorders>
              <w:top w:val="nil"/>
              <w:left w:val="single" w:sz="4" w:space="0" w:color="auto"/>
              <w:bottom w:val="single" w:sz="4" w:space="0" w:color="auto"/>
              <w:right w:val="single" w:sz="4" w:space="0" w:color="auto"/>
            </w:tcBorders>
            <w:vAlign w:val="center"/>
            <w:hideMark/>
          </w:tcPr>
          <w:p w14:paraId="13169F7A"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t = 7.119</w:t>
            </w:r>
          </w:p>
        </w:tc>
        <w:tc>
          <w:tcPr>
            <w:tcW w:w="1500" w:type="dxa"/>
            <w:vMerge/>
            <w:tcBorders>
              <w:top w:val="nil"/>
              <w:left w:val="single" w:sz="4" w:space="0" w:color="auto"/>
              <w:bottom w:val="single" w:sz="4" w:space="0" w:color="auto"/>
              <w:right w:val="single" w:sz="4" w:space="0" w:color="auto"/>
            </w:tcBorders>
            <w:vAlign w:val="center"/>
            <w:hideMark/>
          </w:tcPr>
          <w:p w14:paraId="65F0BDD2"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460" w:type="dxa"/>
            <w:vMerge/>
            <w:tcBorders>
              <w:top w:val="nil"/>
              <w:left w:val="single" w:sz="4" w:space="0" w:color="auto"/>
              <w:bottom w:val="single" w:sz="4" w:space="0" w:color="auto"/>
              <w:right w:val="single" w:sz="4" w:space="0" w:color="auto"/>
            </w:tcBorders>
            <w:vAlign w:val="center"/>
            <w:hideMark/>
          </w:tcPr>
          <w:p w14:paraId="5FAF0B76"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r>
      <w:tr w:rsidR="00793DFB" w:rsidRPr="00AA7A35" w14:paraId="77A33759" w14:textId="77777777" w:rsidTr="009F1C88">
        <w:trPr>
          <w:trHeight w:val="276"/>
          <w:jc w:val="center"/>
        </w:trPr>
        <w:tc>
          <w:tcPr>
            <w:tcW w:w="1060" w:type="dxa"/>
            <w:vMerge w:val="restart"/>
            <w:tcBorders>
              <w:top w:val="nil"/>
              <w:left w:val="single" w:sz="4" w:space="0" w:color="auto"/>
              <w:bottom w:val="single" w:sz="4" w:space="0" w:color="auto"/>
              <w:right w:val="single" w:sz="4" w:space="0" w:color="auto"/>
            </w:tcBorders>
            <w:vAlign w:val="center"/>
            <w:hideMark/>
          </w:tcPr>
          <w:p w14:paraId="103442F4"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H2</w:t>
            </w:r>
          </w:p>
        </w:tc>
        <w:tc>
          <w:tcPr>
            <w:tcW w:w="2200" w:type="dxa"/>
            <w:vMerge w:val="restart"/>
            <w:tcBorders>
              <w:top w:val="nil"/>
              <w:left w:val="single" w:sz="4" w:space="0" w:color="auto"/>
              <w:bottom w:val="single" w:sz="4" w:space="0" w:color="auto"/>
              <w:right w:val="single" w:sz="4" w:space="0" w:color="auto"/>
            </w:tcBorders>
            <w:vAlign w:val="center"/>
            <w:hideMark/>
          </w:tcPr>
          <w:p w14:paraId="3FF93773"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يوجد أثر لأنظمة العمل عالية الأداء على الثقافة التنظيمية</w:t>
            </w:r>
          </w:p>
        </w:tc>
        <w:tc>
          <w:tcPr>
            <w:tcW w:w="1660" w:type="dxa"/>
            <w:tcBorders>
              <w:top w:val="nil"/>
              <w:left w:val="single" w:sz="4" w:space="0" w:color="auto"/>
              <w:bottom w:val="single" w:sz="4" w:space="0" w:color="auto"/>
              <w:right w:val="single" w:sz="4" w:space="0" w:color="auto"/>
            </w:tcBorders>
            <w:vAlign w:val="center"/>
            <w:hideMark/>
          </w:tcPr>
          <w:p w14:paraId="56D10214"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B = 0.9690</w:t>
            </w:r>
          </w:p>
        </w:tc>
        <w:tc>
          <w:tcPr>
            <w:tcW w:w="1500" w:type="dxa"/>
            <w:vMerge w:val="restart"/>
            <w:tcBorders>
              <w:top w:val="nil"/>
              <w:left w:val="single" w:sz="4" w:space="0" w:color="auto"/>
              <w:bottom w:val="single" w:sz="4" w:space="0" w:color="auto"/>
              <w:right w:val="single" w:sz="4" w:space="0" w:color="auto"/>
            </w:tcBorders>
            <w:vAlign w:val="center"/>
            <w:hideMark/>
          </w:tcPr>
          <w:p w14:paraId="2B49A829"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&lt; 0.001</w:t>
            </w:r>
          </w:p>
        </w:tc>
        <w:tc>
          <w:tcPr>
            <w:tcW w:w="1460" w:type="dxa"/>
            <w:vMerge w:val="restart"/>
            <w:tcBorders>
              <w:top w:val="nil"/>
              <w:left w:val="single" w:sz="4" w:space="0" w:color="auto"/>
              <w:bottom w:val="single" w:sz="4" w:space="0" w:color="auto"/>
              <w:right w:val="single" w:sz="4" w:space="0" w:color="auto"/>
            </w:tcBorders>
            <w:vAlign w:val="center"/>
            <w:hideMark/>
          </w:tcPr>
          <w:p w14:paraId="43C50024"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مقبولة</w:t>
            </w:r>
          </w:p>
        </w:tc>
      </w:tr>
      <w:tr w:rsidR="00793DFB" w:rsidRPr="00AA7A35" w14:paraId="696B24F6" w14:textId="77777777" w:rsidTr="009F1C88">
        <w:trPr>
          <w:trHeight w:val="276"/>
          <w:jc w:val="center"/>
        </w:trPr>
        <w:tc>
          <w:tcPr>
            <w:tcW w:w="1060" w:type="dxa"/>
            <w:vMerge/>
            <w:tcBorders>
              <w:top w:val="nil"/>
              <w:left w:val="single" w:sz="4" w:space="0" w:color="auto"/>
              <w:bottom w:val="single" w:sz="4" w:space="0" w:color="auto"/>
              <w:right w:val="single" w:sz="4" w:space="0" w:color="auto"/>
            </w:tcBorders>
            <w:vAlign w:val="center"/>
            <w:hideMark/>
          </w:tcPr>
          <w:p w14:paraId="4B8F3C1B"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2200" w:type="dxa"/>
            <w:vMerge/>
            <w:tcBorders>
              <w:top w:val="nil"/>
              <w:left w:val="single" w:sz="4" w:space="0" w:color="auto"/>
              <w:bottom w:val="single" w:sz="4" w:space="0" w:color="auto"/>
              <w:right w:val="single" w:sz="4" w:space="0" w:color="auto"/>
            </w:tcBorders>
            <w:vAlign w:val="center"/>
            <w:hideMark/>
          </w:tcPr>
          <w:p w14:paraId="5101AB81"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660" w:type="dxa"/>
            <w:tcBorders>
              <w:top w:val="nil"/>
              <w:left w:val="single" w:sz="4" w:space="0" w:color="auto"/>
              <w:bottom w:val="single" w:sz="4" w:space="0" w:color="auto"/>
              <w:right w:val="single" w:sz="4" w:space="0" w:color="auto"/>
            </w:tcBorders>
            <w:vAlign w:val="center"/>
            <w:hideMark/>
          </w:tcPr>
          <w:p w14:paraId="481D4995"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t = 48.594</w:t>
            </w:r>
          </w:p>
        </w:tc>
        <w:tc>
          <w:tcPr>
            <w:tcW w:w="1500" w:type="dxa"/>
            <w:vMerge/>
            <w:tcBorders>
              <w:top w:val="nil"/>
              <w:left w:val="single" w:sz="4" w:space="0" w:color="auto"/>
              <w:bottom w:val="single" w:sz="4" w:space="0" w:color="auto"/>
              <w:right w:val="single" w:sz="4" w:space="0" w:color="auto"/>
            </w:tcBorders>
            <w:vAlign w:val="center"/>
            <w:hideMark/>
          </w:tcPr>
          <w:p w14:paraId="269CAB2D"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460" w:type="dxa"/>
            <w:vMerge/>
            <w:tcBorders>
              <w:top w:val="nil"/>
              <w:left w:val="single" w:sz="4" w:space="0" w:color="auto"/>
              <w:bottom w:val="single" w:sz="4" w:space="0" w:color="auto"/>
              <w:right w:val="single" w:sz="4" w:space="0" w:color="auto"/>
            </w:tcBorders>
            <w:vAlign w:val="center"/>
            <w:hideMark/>
          </w:tcPr>
          <w:p w14:paraId="635FB337"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r>
      <w:tr w:rsidR="00793DFB" w:rsidRPr="00AA7A35" w14:paraId="4813376B" w14:textId="77777777" w:rsidTr="009F1C88">
        <w:trPr>
          <w:trHeight w:val="276"/>
          <w:jc w:val="center"/>
        </w:trPr>
        <w:tc>
          <w:tcPr>
            <w:tcW w:w="1060" w:type="dxa"/>
            <w:vMerge w:val="restart"/>
            <w:tcBorders>
              <w:top w:val="nil"/>
              <w:left w:val="single" w:sz="4" w:space="0" w:color="auto"/>
              <w:bottom w:val="single" w:sz="4" w:space="0" w:color="auto"/>
              <w:right w:val="single" w:sz="4" w:space="0" w:color="auto"/>
            </w:tcBorders>
            <w:vAlign w:val="center"/>
            <w:hideMark/>
          </w:tcPr>
          <w:p w14:paraId="4E75E55B"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H3</w:t>
            </w:r>
          </w:p>
        </w:tc>
        <w:tc>
          <w:tcPr>
            <w:tcW w:w="2200" w:type="dxa"/>
            <w:vMerge w:val="restart"/>
            <w:tcBorders>
              <w:top w:val="nil"/>
              <w:left w:val="single" w:sz="4" w:space="0" w:color="auto"/>
              <w:bottom w:val="single" w:sz="4" w:space="0" w:color="auto"/>
              <w:right w:val="single" w:sz="4" w:space="0" w:color="auto"/>
            </w:tcBorders>
            <w:vAlign w:val="center"/>
            <w:hideMark/>
          </w:tcPr>
          <w:p w14:paraId="1BECB4CB"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يوجد أثر للثقافة التنظيمية على الأداء الإبداعي</w:t>
            </w:r>
          </w:p>
        </w:tc>
        <w:tc>
          <w:tcPr>
            <w:tcW w:w="1660" w:type="dxa"/>
            <w:tcBorders>
              <w:top w:val="nil"/>
              <w:left w:val="single" w:sz="4" w:space="0" w:color="auto"/>
              <w:bottom w:val="single" w:sz="4" w:space="0" w:color="auto"/>
              <w:right w:val="single" w:sz="4" w:space="0" w:color="auto"/>
            </w:tcBorders>
            <w:vAlign w:val="center"/>
            <w:hideMark/>
          </w:tcPr>
          <w:p w14:paraId="62E09654"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B = 0.834</w:t>
            </w:r>
          </w:p>
        </w:tc>
        <w:tc>
          <w:tcPr>
            <w:tcW w:w="1500" w:type="dxa"/>
            <w:vMerge w:val="restart"/>
            <w:tcBorders>
              <w:top w:val="nil"/>
              <w:left w:val="single" w:sz="4" w:space="0" w:color="auto"/>
              <w:bottom w:val="single" w:sz="4" w:space="0" w:color="auto"/>
              <w:right w:val="single" w:sz="4" w:space="0" w:color="auto"/>
            </w:tcBorders>
            <w:vAlign w:val="center"/>
            <w:hideMark/>
          </w:tcPr>
          <w:p w14:paraId="5CF3F266"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&lt; 0.001</w:t>
            </w:r>
          </w:p>
        </w:tc>
        <w:tc>
          <w:tcPr>
            <w:tcW w:w="1460" w:type="dxa"/>
            <w:vMerge w:val="restart"/>
            <w:tcBorders>
              <w:top w:val="nil"/>
              <w:left w:val="single" w:sz="4" w:space="0" w:color="auto"/>
              <w:bottom w:val="single" w:sz="4" w:space="0" w:color="auto"/>
              <w:right w:val="single" w:sz="4" w:space="0" w:color="auto"/>
            </w:tcBorders>
            <w:vAlign w:val="center"/>
            <w:hideMark/>
          </w:tcPr>
          <w:p w14:paraId="15A723C0"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مقبولة</w:t>
            </w:r>
          </w:p>
        </w:tc>
      </w:tr>
      <w:tr w:rsidR="00793DFB" w:rsidRPr="00AA7A35" w14:paraId="3ACECC9C" w14:textId="77777777" w:rsidTr="009F1C88">
        <w:trPr>
          <w:trHeight w:val="276"/>
          <w:jc w:val="center"/>
        </w:trPr>
        <w:tc>
          <w:tcPr>
            <w:tcW w:w="1060" w:type="dxa"/>
            <w:vMerge/>
            <w:tcBorders>
              <w:top w:val="nil"/>
              <w:left w:val="single" w:sz="4" w:space="0" w:color="auto"/>
              <w:bottom w:val="single" w:sz="4" w:space="0" w:color="auto"/>
              <w:right w:val="single" w:sz="4" w:space="0" w:color="auto"/>
            </w:tcBorders>
            <w:vAlign w:val="center"/>
            <w:hideMark/>
          </w:tcPr>
          <w:p w14:paraId="2441E654"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2200" w:type="dxa"/>
            <w:vMerge/>
            <w:tcBorders>
              <w:top w:val="nil"/>
              <w:left w:val="single" w:sz="4" w:space="0" w:color="auto"/>
              <w:bottom w:val="single" w:sz="4" w:space="0" w:color="auto"/>
              <w:right w:val="single" w:sz="4" w:space="0" w:color="auto"/>
            </w:tcBorders>
            <w:vAlign w:val="center"/>
            <w:hideMark/>
          </w:tcPr>
          <w:p w14:paraId="0F2DF1EB"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660" w:type="dxa"/>
            <w:tcBorders>
              <w:top w:val="nil"/>
              <w:left w:val="single" w:sz="4" w:space="0" w:color="auto"/>
              <w:bottom w:val="single" w:sz="4" w:space="0" w:color="auto"/>
              <w:right w:val="single" w:sz="4" w:space="0" w:color="auto"/>
            </w:tcBorders>
            <w:vAlign w:val="center"/>
            <w:hideMark/>
          </w:tcPr>
          <w:p w14:paraId="70A69032"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t = 36.869</w:t>
            </w:r>
          </w:p>
        </w:tc>
        <w:tc>
          <w:tcPr>
            <w:tcW w:w="1500" w:type="dxa"/>
            <w:vMerge/>
            <w:tcBorders>
              <w:top w:val="nil"/>
              <w:left w:val="single" w:sz="4" w:space="0" w:color="auto"/>
              <w:bottom w:val="single" w:sz="4" w:space="0" w:color="auto"/>
              <w:right w:val="single" w:sz="4" w:space="0" w:color="auto"/>
            </w:tcBorders>
            <w:vAlign w:val="center"/>
            <w:hideMark/>
          </w:tcPr>
          <w:p w14:paraId="40F6C779"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460" w:type="dxa"/>
            <w:vMerge/>
            <w:tcBorders>
              <w:top w:val="nil"/>
              <w:left w:val="single" w:sz="4" w:space="0" w:color="auto"/>
              <w:bottom w:val="single" w:sz="4" w:space="0" w:color="auto"/>
              <w:right w:val="single" w:sz="4" w:space="0" w:color="auto"/>
            </w:tcBorders>
            <w:vAlign w:val="center"/>
            <w:hideMark/>
          </w:tcPr>
          <w:p w14:paraId="564F49CB"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r>
      <w:tr w:rsidR="00793DFB" w:rsidRPr="00AA7A35" w14:paraId="31BCF511" w14:textId="77777777" w:rsidTr="009F1C88">
        <w:trPr>
          <w:trHeight w:val="552"/>
          <w:jc w:val="center"/>
        </w:trPr>
        <w:tc>
          <w:tcPr>
            <w:tcW w:w="1060" w:type="dxa"/>
            <w:vMerge w:val="restart"/>
            <w:tcBorders>
              <w:top w:val="nil"/>
              <w:left w:val="single" w:sz="4" w:space="0" w:color="auto"/>
              <w:bottom w:val="single" w:sz="4" w:space="0" w:color="auto"/>
              <w:right w:val="single" w:sz="4" w:space="0" w:color="auto"/>
            </w:tcBorders>
            <w:vAlign w:val="center"/>
            <w:hideMark/>
          </w:tcPr>
          <w:p w14:paraId="2A8C4AAD"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H4</w:t>
            </w:r>
          </w:p>
        </w:tc>
        <w:tc>
          <w:tcPr>
            <w:tcW w:w="2200" w:type="dxa"/>
            <w:vMerge w:val="restart"/>
            <w:tcBorders>
              <w:top w:val="nil"/>
              <w:left w:val="single" w:sz="4" w:space="0" w:color="auto"/>
              <w:bottom w:val="single" w:sz="4" w:space="0" w:color="auto"/>
              <w:right w:val="single" w:sz="4" w:space="0" w:color="auto"/>
            </w:tcBorders>
            <w:vAlign w:val="center"/>
            <w:hideMark/>
          </w:tcPr>
          <w:p w14:paraId="631985B1"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تتوسط الثقافة التنظيمية العلاقة بين أنظمة العمل عالية الأداء والأداء الإبداعي</w:t>
            </w:r>
          </w:p>
        </w:tc>
        <w:tc>
          <w:tcPr>
            <w:tcW w:w="1660" w:type="dxa"/>
            <w:tcBorders>
              <w:top w:val="nil"/>
              <w:left w:val="single" w:sz="4" w:space="0" w:color="auto"/>
              <w:bottom w:val="single" w:sz="4" w:space="0" w:color="auto"/>
              <w:right w:val="single" w:sz="4" w:space="0" w:color="auto"/>
            </w:tcBorders>
            <w:vAlign w:val="center"/>
            <w:hideMark/>
          </w:tcPr>
          <w:p w14:paraId="652AD601"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Indirect Effect = 0.3923</w:t>
            </w:r>
          </w:p>
        </w:tc>
        <w:tc>
          <w:tcPr>
            <w:tcW w:w="1500" w:type="dxa"/>
            <w:vMerge w:val="restart"/>
            <w:tcBorders>
              <w:top w:val="nil"/>
              <w:left w:val="single" w:sz="4" w:space="0" w:color="auto"/>
              <w:bottom w:val="single" w:sz="4" w:space="0" w:color="auto"/>
              <w:right w:val="single" w:sz="4" w:space="0" w:color="auto"/>
            </w:tcBorders>
            <w:vAlign w:val="center"/>
            <w:hideMark/>
          </w:tcPr>
          <w:p w14:paraId="3760C41F"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Boot p &lt; 0.05</w:t>
            </w:r>
          </w:p>
        </w:tc>
        <w:tc>
          <w:tcPr>
            <w:tcW w:w="1460" w:type="dxa"/>
            <w:vMerge w:val="restart"/>
            <w:tcBorders>
              <w:top w:val="nil"/>
              <w:left w:val="single" w:sz="4" w:space="0" w:color="auto"/>
              <w:bottom w:val="single" w:sz="4" w:space="0" w:color="auto"/>
              <w:right w:val="single" w:sz="4" w:space="0" w:color="auto"/>
            </w:tcBorders>
            <w:vAlign w:val="center"/>
            <w:hideMark/>
          </w:tcPr>
          <w:p w14:paraId="1650B859"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مقبولة (وساطة جزئية)</w:t>
            </w:r>
          </w:p>
        </w:tc>
      </w:tr>
      <w:tr w:rsidR="00793DFB" w:rsidRPr="00AA7A35" w14:paraId="531D38C5" w14:textId="77777777" w:rsidTr="009F1C88">
        <w:trPr>
          <w:trHeight w:val="552"/>
          <w:jc w:val="center"/>
        </w:trPr>
        <w:tc>
          <w:tcPr>
            <w:tcW w:w="1060" w:type="dxa"/>
            <w:vMerge/>
            <w:tcBorders>
              <w:top w:val="nil"/>
              <w:left w:val="single" w:sz="4" w:space="0" w:color="auto"/>
              <w:bottom w:val="single" w:sz="4" w:space="0" w:color="auto"/>
              <w:right w:val="single" w:sz="4" w:space="0" w:color="auto"/>
            </w:tcBorders>
            <w:vAlign w:val="center"/>
            <w:hideMark/>
          </w:tcPr>
          <w:p w14:paraId="391252A3"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2200" w:type="dxa"/>
            <w:vMerge/>
            <w:tcBorders>
              <w:top w:val="nil"/>
              <w:left w:val="single" w:sz="4" w:space="0" w:color="auto"/>
              <w:bottom w:val="single" w:sz="4" w:space="0" w:color="auto"/>
              <w:right w:val="single" w:sz="4" w:space="0" w:color="auto"/>
            </w:tcBorders>
            <w:vAlign w:val="center"/>
            <w:hideMark/>
          </w:tcPr>
          <w:p w14:paraId="0EF8F94E"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660" w:type="dxa"/>
            <w:tcBorders>
              <w:top w:val="nil"/>
              <w:left w:val="single" w:sz="4" w:space="0" w:color="auto"/>
              <w:bottom w:val="single" w:sz="4" w:space="0" w:color="auto"/>
              <w:right w:val="single" w:sz="4" w:space="0" w:color="auto"/>
            </w:tcBorders>
            <w:vAlign w:val="center"/>
            <w:hideMark/>
          </w:tcPr>
          <w:p w14:paraId="0080E0C2"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95% CI [0.2782 – 0.5114]</w:t>
            </w:r>
          </w:p>
        </w:tc>
        <w:tc>
          <w:tcPr>
            <w:tcW w:w="1500" w:type="dxa"/>
            <w:vMerge/>
            <w:tcBorders>
              <w:top w:val="nil"/>
              <w:left w:val="single" w:sz="4" w:space="0" w:color="auto"/>
              <w:bottom w:val="single" w:sz="4" w:space="0" w:color="auto"/>
              <w:right w:val="single" w:sz="4" w:space="0" w:color="auto"/>
            </w:tcBorders>
            <w:vAlign w:val="center"/>
            <w:hideMark/>
          </w:tcPr>
          <w:p w14:paraId="6B3B2786"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c>
          <w:tcPr>
            <w:tcW w:w="1460" w:type="dxa"/>
            <w:vMerge/>
            <w:tcBorders>
              <w:top w:val="nil"/>
              <w:left w:val="single" w:sz="4" w:space="0" w:color="auto"/>
              <w:bottom w:val="single" w:sz="4" w:space="0" w:color="auto"/>
              <w:right w:val="single" w:sz="4" w:space="0" w:color="auto"/>
            </w:tcBorders>
            <w:vAlign w:val="center"/>
            <w:hideMark/>
          </w:tcPr>
          <w:p w14:paraId="57683099" w14:textId="77777777" w:rsidR="00793DFB" w:rsidRPr="00AA7A35" w:rsidRDefault="00793DFB" w:rsidP="009F1C88">
            <w:pPr>
              <w:bidi/>
              <w:spacing w:after="0" w:line="240" w:lineRule="auto"/>
              <w:rPr>
                <w:rFonts w:ascii="Aptos Narrow" w:eastAsia="Times New Roman" w:hAnsi="Aptos Narrow" w:cs="Times New Roman"/>
                <w:color w:val="000000"/>
                <w:kern w:val="0"/>
                <w:sz w:val="22"/>
                <w:szCs w:val="22"/>
                <w:lang w:val="en-GB" w:eastAsia="en-GB"/>
                <w14:ligatures w14:val="none"/>
              </w:rPr>
            </w:pPr>
          </w:p>
        </w:tc>
      </w:tr>
      <w:tr w:rsidR="00793DFB" w:rsidRPr="00AA7A35" w14:paraId="0946B494" w14:textId="77777777" w:rsidTr="009F1C88">
        <w:trPr>
          <w:trHeight w:val="828"/>
          <w:jc w:val="center"/>
        </w:trPr>
        <w:tc>
          <w:tcPr>
            <w:tcW w:w="1060" w:type="dxa"/>
            <w:tcBorders>
              <w:top w:val="nil"/>
              <w:left w:val="single" w:sz="4" w:space="0" w:color="auto"/>
              <w:bottom w:val="single" w:sz="4" w:space="0" w:color="auto"/>
              <w:right w:val="single" w:sz="4" w:space="0" w:color="auto"/>
            </w:tcBorders>
            <w:vAlign w:val="center"/>
            <w:hideMark/>
          </w:tcPr>
          <w:p w14:paraId="2317B995"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H5</w:t>
            </w:r>
          </w:p>
        </w:tc>
        <w:tc>
          <w:tcPr>
            <w:tcW w:w="2200" w:type="dxa"/>
            <w:tcBorders>
              <w:top w:val="nil"/>
              <w:left w:val="single" w:sz="4" w:space="0" w:color="auto"/>
              <w:bottom w:val="single" w:sz="4" w:space="0" w:color="auto"/>
              <w:right w:val="single" w:sz="4" w:space="0" w:color="auto"/>
            </w:tcBorders>
            <w:vAlign w:val="center"/>
            <w:hideMark/>
          </w:tcPr>
          <w:p w14:paraId="60373EB3"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توجد فروق ذات دلالة إحصائية في متغيرات الدراسة تعزى لنوع القطاع</w:t>
            </w:r>
          </w:p>
        </w:tc>
        <w:tc>
          <w:tcPr>
            <w:tcW w:w="1660" w:type="dxa"/>
            <w:tcBorders>
              <w:top w:val="nil"/>
              <w:left w:val="single" w:sz="4" w:space="0" w:color="auto"/>
              <w:bottom w:val="single" w:sz="4" w:space="0" w:color="auto"/>
              <w:right w:val="single" w:sz="4" w:space="0" w:color="auto"/>
            </w:tcBorders>
            <w:vAlign w:val="center"/>
            <w:hideMark/>
          </w:tcPr>
          <w:p w14:paraId="426D545C"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rtl/>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 xml:space="preserve">t </w:t>
            </w:r>
            <w:r w:rsidRPr="00AA7A35">
              <w:rPr>
                <w:rFonts w:ascii="Aptos Narrow" w:eastAsia="Times New Roman" w:hAnsi="Aptos Narrow" w:cs="Times New Roman"/>
                <w:color w:val="000000"/>
                <w:kern w:val="0"/>
                <w:sz w:val="22"/>
                <w:szCs w:val="22"/>
                <w:rtl/>
                <w:lang w:val="en-GB" w:eastAsia="en-GB"/>
                <w14:ligatures w14:val="none"/>
              </w:rPr>
              <w:t>تتراوح بين -0.810 و -0.938</w:t>
            </w:r>
          </w:p>
        </w:tc>
        <w:tc>
          <w:tcPr>
            <w:tcW w:w="1500" w:type="dxa"/>
            <w:tcBorders>
              <w:top w:val="nil"/>
              <w:left w:val="single" w:sz="4" w:space="0" w:color="auto"/>
              <w:bottom w:val="single" w:sz="4" w:space="0" w:color="auto"/>
              <w:right w:val="single" w:sz="4" w:space="0" w:color="auto"/>
            </w:tcBorders>
            <w:vAlign w:val="center"/>
            <w:hideMark/>
          </w:tcPr>
          <w:p w14:paraId="774A2682" w14:textId="77777777" w:rsidR="00793DFB" w:rsidRPr="00AA7A35" w:rsidRDefault="00793DFB" w:rsidP="009F1C88">
            <w:pPr>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lang w:val="en-GB" w:eastAsia="en-GB"/>
                <w14:ligatures w14:val="none"/>
              </w:rPr>
              <w:t>&gt; 0.05</w:t>
            </w:r>
          </w:p>
        </w:tc>
        <w:tc>
          <w:tcPr>
            <w:tcW w:w="1460" w:type="dxa"/>
            <w:tcBorders>
              <w:top w:val="nil"/>
              <w:left w:val="single" w:sz="4" w:space="0" w:color="auto"/>
              <w:bottom w:val="single" w:sz="4" w:space="0" w:color="auto"/>
              <w:right w:val="single" w:sz="4" w:space="0" w:color="auto"/>
            </w:tcBorders>
            <w:vAlign w:val="center"/>
            <w:hideMark/>
          </w:tcPr>
          <w:p w14:paraId="72B4484D" w14:textId="77777777" w:rsidR="00793DFB" w:rsidRPr="00AA7A35" w:rsidRDefault="00793DFB" w:rsidP="009F1C88">
            <w:pPr>
              <w:bidi/>
              <w:spacing w:after="0" w:line="240" w:lineRule="auto"/>
              <w:jc w:val="center"/>
              <w:rPr>
                <w:rFonts w:ascii="Aptos Narrow" w:eastAsia="Times New Roman" w:hAnsi="Aptos Narrow" w:cs="Times New Roman"/>
                <w:color w:val="000000"/>
                <w:kern w:val="0"/>
                <w:sz w:val="22"/>
                <w:szCs w:val="22"/>
                <w:lang w:val="en-GB" w:eastAsia="en-GB"/>
                <w14:ligatures w14:val="none"/>
              </w:rPr>
            </w:pPr>
            <w:r w:rsidRPr="00AA7A35">
              <w:rPr>
                <w:rFonts w:ascii="Aptos Narrow" w:eastAsia="Times New Roman" w:hAnsi="Aptos Narrow" w:cs="Times New Roman"/>
                <w:color w:val="000000"/>
                <w:kern w:val="0"/>
                <w:sz w:val="22"/>
                <w:szCs w:val="22"/>
                <w:rtl/>
                <w:lang w:val="en-GB" w:eastAsia="en-GB"/>
                <w14:ligatures w14:val="none"/>
              </w:rPr>
              <w:t>مرفوضة</w:t>
            </w:r>
          </w:p>
        </w:tc>
      </w:tr>
    </w:tbl>
    <w:p w14:paraId="788A35F4" w14:textId="77777777" w:rsidR="00793DFB" w:rsidRPr="008873C9" w:rsidRDefault="00793DFB" w:rsidP="00793DFB">
      <w:pPr>
        <w:bidi/>
        <w:rPr>
          <w:lang w:bidi="ar-EG"/>
        </w:rPr>
      </w:pPr>
      <w:r w:rsidRPr="008873C9">
        <w:rPr>
          <w:rtl/>
        </w:rPr>
        <w:t>أولاً، أثبتت النتائج وجود أثر مباشر موجب ودال إحصائيًا لأنظمة العمل عالية الأداء على الأداء الإبداعي، مما يشير إلى أن تبني ممارسات إدارية متكاملة قائمة على التمكين، والحوافز، والمشاركة، والتقييم المنهجي يسهم في تعزيز السلوك الإبداعي للعاملين. وقد بلغ معامل المسار المباشر (0.4862) عند مستوى دلالة أقل من (0.001)، وهو ما يعكس قوة تفسيرية معتبرة ضمن النموذج البنائي الكلي</w:t>
      </w:r>
      <w:r w:rsidRPr="008873C9">
        <w:rPr>
          <w:lang w:bidi="ar-EG"/>
        </w:rPr>
        <w:t>.</w:t>
      </w:r>
    </w:p>
    <w:p w14:paraId="6944C793" w14:textId="77777777" w:rsidR="00793DFB" w:rsidRPr="008873C9" w:rsidRDefault="00793DFB" w:rsidP="00793DFB">
      <w:pPr>
        <w:bidi/>
        <w:rPr>
          <w:lang w:bidi="ar-EG"/>
        </w:rPr>
      </w:pPr>
      <w:r w:rsidRPr="008873C9">
        <w:rPr>
          <w:rtl/>
        </w:rPr>
        <w:lastRenderedPageBreak/>
        <w:t>ثانيًا، أوضحت النتائج أن التأثير الأقوى ضمن ممارسات أنظمة العمل عالية الأداء يعود إلى تمكين العاملين، يليه نظام الحوافز والمشاركة في اتخاذ القرار، في حين لم يظهر كل من التوظيف الانتقائي والتدريب والتطوير أثرًا مباشرًا ذا دلالة إحصائية في النموذج المتعدد. ويُفهم من ذلك أن بعض الممارسات قد تمارس تأثيرها بصورة غير مباشرة أو من خلال التفاعل مع البيئة الثقافية الداخلية</w:t>
      </w:r>
      <w:r w:rsidRPr="008873C9">
        <w:rPr>
          <w:lang w:bidi="ar-EG"/>
        </w:rPr>
        <w:t>.</w:t>
      </w:r>
    </w:p>
    <w:p w14:paraId="0EA94F03" w14:textId="77777777" w:rsidR="00793DFB" w:rsidRPr="008873C9" w:rsidRDefault="00793DFB" w:rsidP="00793DFB">
      <w:pPr>
        <w:bidi/>
        <w:rPr>
          <w:lang w:bidi="ar-EG"/>
        </w:rPr>
      </w:pPr>
      <w:r w:rsidRPr="008873C9">
        <w:rPr>
          <w:rtl/>
        </w:rPr>
        <w:t>ثالثًا، كشفت النتائج عن علاقة قوية بين أنظمة العمل عالية الأداء والثقافة التنظيمية، حيث فسّر المتغير المستقل نسبة مرتفعة من التباين في الثقافة التنظيمية</w:t>
      </w:r>
      <w:r w:rsidRPr="008873C9">
        <w:rPr>
          <w:lang w:bidi="ar-EG"/>
        </w:rPr>
        <w:t xml:space="preserve"> (R² = 0.8558). </w:t>
      </w:r>
      <w:r w:rsidRPr="008873C9">
        <w:rPr>
          <w:rtl/>
        </w:rPr>
        <w:t>كما ثبت وجود أثر دال للثقافة التنظيمية على الأداء الإبداعي، مما يعكس دورها المحوري كبيئة حاضنة ومحفزة للسلوك الإبداعي داخل المنظمات</w:t>
      </w:r>
      <w:r w:rsidRPr="008873C9">
        <w:rPr>
          <w:lang w:bidi="ar-EG"/>
        </w:rPr>
        <w:t>.</w:t>
      </w:r>
    </w:p>
    <w:p w14:paraId="1048DC31" w14:textId="77777777" w:rsidR="00793DFB" w:rsidRPr="008873C9" w:rsidRDefault="00793DFB" w:rsidP="00793DFB">
      <w:pPr>
        <w:bidi/>
        <w:rPr>
          <w:lang w:bidi="ar-EG"/>
        </w:rPr>
      </w:pPr>
      <w:r w:rsidRPr="008873C9">
        <w:rPr>
          <w:rtl/>
        </w:rPr>
        <w:t>رابعًا، أثبت تحليل الوساطة أن الثقافة التنظيمية تمثل متغيرًا وسيطًا جزئيًا في العلاقة بين أنظمة العمل عالية الأداء والأداء الإبداعي، إذ بلغ الأثر غير المباشر (0.3923) مع فاصل ثقة لا يتضمن الصفر. ويشير ذلك إلى أن جزءًا جوهريًا من تأثير الممارسات الإدارية ينتقل عبر تشكيل مناخ تنظيمي داعم للإبداع، دون أن يُلغي ذلك التأثير المباشر لهذه الممارسات</w:t>
      </w:r>
      <w:r w:rsidRPr="008873C9">
        <w:rPr>
          <w:lang w:bidi="ar-EG"/>
        </w:rPr>
        <w:t>.</w:t>
      </w:r>
    </w:p>
    <w:p w14:paraId="5633FCD2" w14:textId="52994871" w:rsidR="00793DFB" w:rsidRDefault="00793DFB" w:rsidP="00793DFB">
      <w:pPr>
        <w:bidi/>
        <w:rPr>
          <w:rtl/>
          <w:lang w:bidi="ar-EG"/>
        </w:rPr>
      </w:pPr>
      <w:r w:rsidRPr="008873C9">
        <w:rPr>
          <w:rtl/>
        </w:rPr>
        <w:t>خامسًا، أظهرت نتائج اختبار الفروق عدم وجود فروق ذات دلالة إحصائية بين القطاعين الفن</w:t>
      </w:r>
      <w:r w:rsidR="00EB39A8">
        <w:rPr>
          <w:rFonts w:hint="cs"/>
          <w:rtl/>
        </w:rPr>
        <w:t>ادق</w:t>
      </w:r>
      <w:r w:rsidRPr="008873C9">
        <w:rPr>
          <w:rtl/>
        </w:rPr>
        <w:t xml:space="preserve"> والمط</w:t>
      </w:r>
      <w:r w:rsidR="00EB39A8">
        <w:rPr>
          <w:rFonts w:hint="cs"/>
          <w:rtl/>
        </w:rPr>
        <w:t>اعم</w:t>
      </w:r>
      <w:r w:rsidRPr="008873C9">
        <w:rPr>
          <w:rtl/>
        </w:rPr>
        <w:t xml:space="preserve"> في أي من متغيرات الدراسة، وهو ما يدل على تقارب في أنماط الإدارة والثقافة التنظيمية ومستويات الإبداع بين القطاعين محل الدراسة</w:t>
      </w:r>
      <w:r w:rsidRPr="008873C9">
        <w:rPr>
          <w:lang w:bidi="ar-EG"/>
        </w:rPr>
        <w:t>.</w:t>
      </w:r>
    </w:p>
    <w:p w14:paraId="2376E6E6" w14:textId="77777777" w:rsidR="00793DFB" w:rsidRPr="00AA7A35" w:rsidRDefault="00793DFB" w:rsidP="00793DFB">
      <w:pPr>
        <w:bidi/>
        <w:rPr>
          <w:lang w:val="en-GB"/>
        </w:rPr>
      </w:pPr>
      <w:r w:rsidRPr="00AA7A35">
        <w:rPr>
          <w:b/>
          <w:bCs/>
          <w:rtl/>
        </w:rPr>
        <w:t>ملخص نتائج اختبار الفروض وربطها بالتساؤلات البحثية</w:t>
      </w:r>
    </w:p>
    <w:tbl>
      <w:tblPr>
        <w:bidiVisual/>
        <w:tblW w:w="9260" w:type="dxa"/>
        <w:tblLook w:val="04A0" w:firstRow="1" w:lastRow="0" w:firstColumn="1" w:lastColumn="0" w:noHBand="0" w:noVBand="1"/>
      </w:tblPr>
      <w:tblGrid>
        <w:gridCol w:w="762"/>
        <w:gridCol w:w="2829"/>
        <w:gridCol w:w="2418"/>
        <w:gridCol w:w="1805"/>
        <w:gridCol w:w="1446"/>
      </w:tblGrid>
      <w:tr w:rsidR="00793DFB" w:rsidRPr="00AA7A35" w14:paraId="2A8A5B8B" w14:textId="77777777" w:rsidTr="009F1C88">
        <w:trPr>
          <w:trHeight w:val="624"/>
        </w:trPr>
        <w:tc>
          <w:tcPr>
            <w:tcW w:w="762" w:type="dxa"/>
            <w:tcBorders>
              <w:top w:val="single" w:sz="4" w:space="0" w:color="auto"/>
              <w:left w:val="single" w:sz="4" w:space="0" w:color="auto"/>
              <w:bottom w:val="single" w:sz="4" w:space="0" w:color="auto"/>
              <w:right w:val="single" w:sz="4" w:space="0" w:color="auto"/>
            </w:tcBorders>
            <w:vAlign w:val="center"/>
            <w:hideMark/>
          </w:tcPr>
          <w:p w14:paraId="2384BA88" w14:textId="77777777" w:rsidR="00793DFB" w:rsidRPr="00AA7A35" w:rsidRDefault="00793DFB" w:rsidP="009F1C88">
            <w:pPr>
              <w:bidi/>
              <w:spacing w:after="0" w:line="240" w:lineRule="auto"/>
              <w:jc w:val="center"/>
              <w:rPr>
                <w:rFonts w:ascii="Arial" w:eastAsia="Times New Roman" w:hAnsi="Arial" w:cs="Arial"/>
                <w:b/>
                <w:bCs/>
                <w:color w:val="000000"/>
                <w:kern w:val="0"/>
                <w:lang w:val="en-GB" w:eastAsia="en-GB"/>
                <w14:ligatures w14:val="none"/>
              </w:rPr>
            </w:pPr>
            <w:r w:rsidRPr="00AA7A35">
              <w:rPr>
                <w:rFonts w:ascii="Arial" w:eastAsia="Times New Roman" w:hAnsi="Arial" w:cs="Arial" w:hint="cs"/>
                <w:b/>
                <w:bCs/>
                <w:color w:val="000000"/>
                <w:kern w:val="0"/>
                <w:rtl/>
                <w:lang w:val="en-GB" w:eastAsia="en-GB"/>
                <w14:ligatures w14:val="none"/>
              </w:rPr>
              <w:t>رقم الفرض</w:t>
            </w:r>
          </w:p>
        </w:tc>
        <w:tc>
          <w:tcPr>
            <w:tcW w:w="2829" w:type="dxa"/>
            <w:tcBorders>
              <w:top w:val="single" w:sz="4" w:space="0" w:color="auto"/>
              <w:left w:val="single" w:sz="4" w:space="0" w:color="auto"/>
              <w:bottom w:val="single" w:sz="4" w:space="0" w:color="auto"/>
              <w:right w:val="single" w:sz="4" w:space="0" w:color="auto"/>
            </w:tcBorders>
            <w:vAlign w:val="center"/>
            <w:hideMark/>
          </w:tcPr>
          <w:p w14:paraId="35F4B6FE" w14:textId="77777777" w:rsidR="00793DFB" w:rsidRPr="00AA7A35" w:rsidRDefault="00793DFB" w:rsidP="009F1C88">
            <w:pPr>
              <w:bidi/>
              <w:spacing w:after="0" w:line="240" w:lineRule="auto"/>
              <w:jc w:val="center"/>
              <w:rPr>
                <w:rFonts w:ascii="Arial" w:eastAsia="Times New Roman" w:hAnsi="Arial" w:cs="Arial"/>
                <w:b/>
                <w:bCs/>
                <w:color w:val="000000"/>
                <w:kern w:val="0"/>
                <w:rtl/>
                <w:lang w:val="en-GB" w:eastAsia="en-GB"/>
                <w14:ligatures w14:val="none"/>
              </w:rPr>
            </w:pPr>
            <w:r w:rsidRPr="00AA7A35">
              <w:rPr>
                <w:rFonts w:ascii="Arial" w:eastAsia="Times New Roman" w:hAnsi="Arial" w:cs="Arial" w:hint="cs"/>
                <w:b/>
                <w:bCs/>
                <w:color w:val="000000"/>
                <w:kern w:val="0"/>
                <w:rtl/>
                <w:lang w:val="en-GB" w:eastAsia="en-GB"/>
                <w14:ligatures w14:val="none"/>
              </w:rPr>
              <w:t>التساؤل البحثي</w:t>
            </w:r>
          </w:p>
        </w:tc>
        <w:tc>
          <w:tcPr>
            <w:tcW w:w="2418" w:type="dxa"/>
            <w:tcBorders>
              <w:top w:val="single" w:sz="4" w:space="0" w:color="auto"/>
              <w:left w:val="single" w:sz="4" w:space="0" w:color="auto"/>
              <w:bottom w:val="single" w:sz="4" w:space="0" w:color="auto"/>
              <w:right w:val="single" w:sz="4" w:space="0" w:color="auto"/>
            </w:tcBorders>
            <w:vAlign w:val="center"/>
            <w:hideMark/>
          </w:tcPr>
          <w:p w14:paraId="081D01F9" w14:textId="77777777" w:rsidR="00793DFB" w:rsidRPr="00AA7A35" w:rsidRDefault="00793DFB" w:rsidP="009F1C88">
            <w:pPr>
              <w:bidi/>
              <w:spacing w:after="0" w:line="240" w:lineRule="auto"/>
              <w:jc w:val="center"/>
              <w:rPr>
                <w:rFonts w:ascii="Arial" w:eastAsia="Times New Roman" w:hAnsi="Arial" w:cs="Arial"/>
                <w:b/>
                <w:bCs/>
                <w:color w:val="000000"/>
                <w:kern w:val="0"/>
                <w:rtl/>
                <w:lang w:val="en-GB" w:eastAsia="en-GB"/>
                <w14:ligatures w14:val="none"/>
              </w:rPr>
            </w:pPr>
            <w:r w:rsidRPr="00AA7A35">
              <w:rPr>
                <w:rFonts w:ascii="Arial" w:eastAsia="Times New Roman" w:hAnsi="Arial" w:cs="Arial" w:hint="cs"/>
                <w:b/>
                <w:bCs/>
                <w:color w:val="000000"/>
                <w:kern w:val="0"/>
                <w:rtl/>
                <w:lang w:val="en-GB" w:eastAsia="en-GB"/>
                <w14:ligatures w14:val="none"/>
              </w:rPr>
              <w:t>الفرض</w:t>
            </w:r>
          </w:p>
        </w:tc>
        <w:tc>
          <w:tcPr>
            <w:tcW w:w="1805" w:type="dxa"/>
            <w:tcBorders>
              <w:top w:val="single" w:sz="4" w:space="0" w:color="auto"/>
              <w:left w:val="single" w:sz="4" w:space="0" w:color="auto"/>
              <w:bottom w:val="single" w:sz="4" w:space="0" w:color="auto"/>
              <w:right w:val="single" w:sz="4" w:space="0" w:color="auto"/>
            </w:tcBorders>
            <w:vAlign w:val="center"/>
            <w:hideMark/>
          </w:tcPr>
          <w:p w14:paraId="5BE15CCF" w14:textId="77777777" w:rsidR="00793DFB" w:rsidRPr="00AA7A35" w:rsidRDefault="00793DFB" w:rsidP="009F1C88">
            <w:pPr>
              <w:bidi/>
              <w:spacing w:after="0" w:line="240" w:lineRule="auto"/>
              <w:jc w:val="center"/>
              <w:rPr>
                <w:rFonts w:ascii="Arial" w:eastAsia="Times New Roman" w:hAnsi="Arial" w:cs="Arial"/>
                <w:b/>
                <w:bCs/>
                <w:color w:val="000000"/>
                <w:kern w:val="0"/>
                <w:rtl/>
                <w:lang w:val="en-GB" w:eastAsia="en-GB"/>
                <w14:ligatures w14:val="none"/>
              </w:rPr>
            </w:pPr>
            <w:r w:rsidRPr="00AA7A35">
              <w:rPr>
                <w:rFonts w:ascii="Arial" w:eastAsia="Times New Roman" w:hAnsi="Arial" w:cs="Arial" w:hint="cs"/>
                <w:b/>
                <w:bCs/>
                <w:color w:val="000000"/>
                <w:kern w:val="0"/>
                <w:rtl/>
                <w:lang w:val="en-GB" w:eastAsia="en-GB"/>
                <w14:ligatures w14:val="none"/>
              </w:rPr>
              <w:t>أسلوب التحليل الإحصائي</w:t>
            </w:r>
          </w:p>
        </w:tc>
        <w:tc>
          <w:tcPr>
            <w:tcW w:w="1446" w:type="dxa"/>
            <w:tcBorders>
              <w:top w:val="single" w:sz="4" w:space="0" w:color="auto"/>
              <w:left w:val="single" w:sz="4" w:space="0" w:color="auto"/>
              <w:bottom w:val="single" w:sz="4" w:space="0" w:color="auto"/>
              <w:right w:val="single" w:sz="4" w:space="0" w:color="auto"/>
            </w:tcBorders>
            <w:vAlign w:val="center"/>
            <w:hideMark/>
          </w:tcPr>
          <w:p w14:paraId="6FB2699B" w14:textId="77777777" w:rsidR="00793DFB" w:rsidRPr="00AA7A35" w:rsidRDefault="00793DFB" w:rsidP="009F1C88">
            <w:pPr>
              <w:bidi/>
              <w:spacing w:after="0" w:line="240" w:lineRule="auto"/>
              <w:jc w:val="center"/>
              <w:rPr>
                <w:rFonts w:ascii="Arial" w:eastAsia="Times New Roman" w:hAnsi="Arial" w:cs="Arial"/>
                <w:b/>
                <w:bCs/>
                <w:color w:val="000000"/>
                <w:kern w:val="0"/>
                <w:rtl/>
                <w:lang w:val="en-GB" w:eastAsia="en-GB"/>
                <w14:ligatures w14:val="none"/>
              </w:rPr>
            </w:pPr>
            <w:r w:rsidRPr="00AA7A35">
              <w:rPr>
                <w:rFonts w:ascii="Arial" w:eastAsia="Times New Roman" w:hAnsi="Arial" w:cs="Arial" w:hint="cs"/>
                <w:b/>
                <w:bCs/>
                <w:color w:val="000000"/>
                <w:kern w:val="0"/>
                <w:rtl/>
                <w:lang w:val="en-GB" w:eastAsia="en-GB"/>
                <w14:ligatures w14:val="none"/>
              </w:rPr>
              <w:t>القرار</w:t>
            </w:r>
          </w:p>
        </w:tc>
      </w:tr>
      <w:tr w:rsidR="00793DFB" w:rsidRPr="00AA7A35" w14:paraId="598089AA" w14:textId="77777777" w:rsidTr="009F1C88">
        <w:trPr>
          <w:trHeight w:val="629"/>
        </w:trPr>
        <w:tc>
          <w:tcPr>
            <w:tcW w:w="762" w:type="dxa"/>
            <w:tcBorders>
              <w:top w:val="nil"/>
              <w:left w:val="single" w:sz="4" w:space="0" w:color="auto"/>
              <w:bottom w:val="single" w:sz="4" w:space="0" w:color="auto"/>
              <w:right w:val="single" w:sz="4" w:space="0" w:color="auto"/>
            </w:tcBorders>
            <w:vAlign w:val="center"/>
            <w:hideMark/>
          </w:tcPr>
          <w:p w14:paraId="18E69D45" w14:textId="77777777" w:rsidR="00793DFB" w:rsidRPr="00AA7A35" w:rsidRDefault="00793DFB" w:rsidP="009F1C88">
            <w:pPr>
              <w:bidi/>
              <w:spacing w:after="0" w:line="240" w:lineRule="auto"/>
              <w:jc w:val="center"/>
              <w:rPr>
                <w:rFonts w:ascii="Aptos" w:eastAsia="Times New Roman" w:hAnsi="Aptos" w:cs="Times New Roman"/>
                <w:color w:val="000000"/>
                <w:kern w:val="0"/>
                <w:rtl/>
                <w:lang w:val="en-GB" w:eastAsia="en-GB"/>
                <w14:ligatures w14:val="none"/>
              </w:rPr>
            </w:pPr>
            <w:r w:rsidRPr="00AA7A35">
              <w:rPr>
                <w:rFonts w:ascii="Aptos" w:eastAsia="Times New Roman" w:hAnsi="Aptos" w:cs="Times New Roman"/>
                <w:color w:val="000000"/>
                <w:kern w:val="0"/>
                <w:lang w:val="en-GB" w:eastAsia="en-GB"/>
                <w14:ligatures w14:val="none"/>
              </w:rPr>
              <w:t>H1</w:t>
            </w:r>
          </w:p>
        </w:tc>
        <w:tc>
          <w:tcPr>
            <w:tcW w:w="2829" w:type="dxa"/>
            <w:tcBorders>
              <w:top w:val="nil"/>
              <w:left w:val="single" w:sz="4" w:space="0" w:color="auto"/>
              <w:bottom w:val="single" w:sz="4" w:space="0" w:color="auto"/>
              <w:right w:val="single" w:sz="4" w:space="0" w:color="auto"/>
            </w:tcBorders>
            <w:vAlign w:val="center"/>
            <w:hideMark/>
          </w:tcPr>
          <w:p w14:paraId="622C1544"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ما أثر أنظمة العمل عالية الأداء على الأداء الإبداعي؟</w:t>
            </w:r>
          </w:p>
        </w:tc>
        <w:tc>
          <w:tcPr>
            <w:tcW w:w="2418" w:type="dxa"/>
            <w:tcBorders>
              <w:top w:val="nil"/>
              <w:left w:val="single" w:sz="4" w:space="0" w:color="auto"/>
              <w:bottom w:val="single" w:sz="4" w:space="0" w:color="auto"/>
              <w:right w:val="single" w:sz="4" w:space="0" w:color="auto"/>
            </w:tcBorders>
            <w:vAlign w:val="center"/>
            <w:hideMark/>
          </w:tcPr>
          <w:p w14:paraId="5038AA31"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توجد علاقة ذات دلالة إحصائية بين أنظمة العمل عالية الأداء والأداء الإبداعي</w:t>
            </w:r>
          </w:p>
        </w:tc>
        <w:tc>
          <w:tcPr>
            <w:tcW w:w="1805" w:type="dxa"/>
            <w:tcBorders>
              <w:top w:val="nil"/>
              <w:left w:val="single" w:sz="4" w:space="0" w:color="auto"/>
              <w:bottom w:val="single" w:sz="4" w:space="0" w:color="auto"/>
              <w:right w:val="single" w:sz="4" w:space="0" w:color="auto"/>
            </w:tcBorders>
            <w:vAlign w:val="center"/>
            <w:hideMark/>
          </w:tcPr>
          <w:p w14:paraId="28E6077F"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نمذجة المعادلات الهيكلية</w:t>
            </w:r>
            <w:r w:rsidRPr="00AA7A35">
              <w:rPr>
                <w:rFonts w:ascii="Aptos" w:eastAsia="Times New Roman" w:hAnsi="Aptos" w:cs="Arial"/>
                <w:color w:val="000000"/>
                <w:kern w:val="0"/>
                <w:rtl/>
                <w:lang w:val="en-GB" w:eastAsia="en-GB"/>
                <w14:ligatures w14:val="none"/>
              </w:rPr>
              <w:t xml:space="preserve"> (</w:t>
            </w:r>
            <w:r w:rsidRPr="00AA7A35">
              <w:rPr>
                <w:rFonts w:ascii="Aptos" w:eastAsia="Times New Roman" w:hAnsi="Aptos" w:cs="Arial"/>
                <w:color w:val="000000"/>
                <w:kern w:val="0"/>
                <w:lang w:val="en-GB" w:eastAsia="en-GB"/>
                <w14:ligatures w14:val="none"/>
              </w:rPr>
              <w:t>SEM</w:t>
            </w:r>
            <w:r w:rsidRPr="00AA7A35">
              <w:rPr>
                <w:rFonts w:ascii="Aptos" w:eastAsia="Times New Roman" w:hAnsi="Aptos" w:cs="Arial"/>
                <w:color w:val="000000"/>
                <w:kern w:val="0"/>
                <w:rtl/>
                <w:lang w:val="en-GB" w:eastAsia="en-GB"/>
                <w14:ligatures w14:val="none"/>
              </w:rPr>
              <w:t xml:space="preserve">) / </w:t>
            </w:r>
            <w:r w:rsidRPr="00AA7A35">
              <w:rPr>
                <w:rFonts w:ascii="Arial" w:eastAsia="Times New Roman" w:hAnsi="Arial" w:cs="Arial"/>
                <w:color w:val="000000"/>
                <w:kern w:val="0"/>
                <w:rtl/>
                <w:lang w:val="en-GB" w:eastAsia="en-GB"/>
                <w14:ligatures w14:val="none"/>
              </w:rPr>
              <w:t>تحليل المسار</w:t>
            </w:r>
          </w:p>
        </w:tc>
        <w:tc>
          <w:tcPr>
            <w:tcW w:w="1446" w:type="dxa"/>
            <w:tcBorders>
              <w:top w:val="nil"/>
              <w:left w:val="single" w:sz="4" w:space="0" w:color="auto"/>
              <w:bottom w:val="single" w:sz="4" w:space="0" w:color="auto"/>
              <w:right w:val="single" w:sz="4" w:space="0" w:color="auto"/>
            </w:tcBorders>
            <w:vAlign w:val="center"/>
            <w:hideMark/>
          </w:tcPr>
          <w:p w14:paraId="1BBA69FB"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مقبول</w:t>
            </w:r>
          </w:p>
        </w:tc>
      </w:tr>
      <w:tr w:rsidR="00793DFB" w:rsidRPr="00AA7A35" w14:paraId="74693EFD" w14:textId="77777777" w:rsidTr="009F1C88">
        <w:trPr>
          <w:trHeight w:val="484"/>
        </w:trPr>
        <w:tc>
          <w:tcPr>
            <w:tcW w:w="762" w:type="dxa"/>
            <w:tcBorders>
              <w:top w:val="nil"/>
              <w:left w:val="single" w:sz="4" w:space="0" w:color="auto"/>
              <w:bottom w:val="single" w:sz="4" w:space="0" w:color="auto"/>
              <w:right w:val="single" w:sz="4" w:space="0" w:color="auto"/>
            </w:tcBorders>
            <w:vAlign w:val="center"/>
            <w:hideMark/>
          </w:tcPr>
          <w:p w14:paraId="332E238A" w14:textId="77777777" w:rsidR="00793DFB" w:rsidRPr="00AA7A35" w:rsidRDefault="00793DFB" w:rsidP="009F1C88">
            <w:pPr>
              <w:bidi/>
              <w:spacing w:after="0" w:line="240" w:lineRule="auto"/>
              <w:jc w:val="center"/>
              <w:rPr>
                <w:rFonts w:ascii="Aptos" w:eastAsia="Times New Roman" w:hAnsi="Aptos" w:cs="Times New Roman"/>
                <w:color w:val="000000"/>
                <w:kern w:val="0"/>
                <w:rtl/>
                <w:lang w:val="en-GB" w:eastAsia="en-GB"/>
                <w14:ligatures w14:val="none"/>
              </w:rPr>
            </w:pPr>
            <w:r w:rsidRPr="00AA7A35">
              <w:rPr>
                <w:rFonts w:ascii="Aptos" w:eastAsia="Times New Roman" w:hAnsi="Aptos" w:cs="Times New Roman"/>
                <w:color w:val="000000"/>
                <w:kern w:val="0"/>
                <w:lang w:val="en-GB" w:eastAsia="en-GB"/>
                <w14:ligatures w14:val="none"/>
              </w:rPr>
              <w:t>H2</w:t>
            </w:r>
          </w:p>
        </w:tc>
        <w:tc>
          <w:tcPr>
            <w:tcW w:w="2829" w:type="dxa"/>
            <w:tcBorders>
              <w:top w:val="nil"/>
              <w:left w:val="single" w:sz="4" w:space="0" w:color="auto"/>
              <w:bottom w:val="single" w:sz="4" w:space="0" w:color="auto"/>
              <w:right w:val="single" w:sz="4" w:space="0" w:color="auto"/>
            </w:tcBorders>
            <w:vAlign w:val="center"/>
            <w:hideMark/>
          </w:tcPr>
          <w:p w14:paraId="0C162460"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ما أثر أنظمة العمل عالية الأداء على الثقافة التنظيمية؟</w:t>
            </w:r>
          </w:p>
        </w:tc>
        <w:tc>
          <w:tcPr>
            <w:tcW w:w="2418" w:type="dxa"/>
            <w:tcBorders>
              <w:top w:val="nil"/>
              <w:left w:val="single" w:sz="4" w:space="0" w:color="auto"/>
              <w:bottom w:val="single" w:sz="4" w:space="0" w:color="auto"/>
              <w:right w:val="single" w:sz="4" w:space="0" w:color="auto"/>
            </w:tcBorders>
            <w:vAlign w:val="center"/>
            <w:hideMark/>
          </w:tcPr>
          <w:p w14:paraId="487E360A"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توجد علاقة ذات دلالة إحصائية بين أنظمة العمل عالية الأداء والثقافة التنظيمية</w:t>
            </w:r>
          </w:p>
        </w:tc>
        <w:tc>
          <w:tcPr>
            <w:tcW w:w="1805" w:type="dxa"/>
            <w:tcBorders>
              <w:top w:val="nil"/>
              <w:left w:val="single" w:sz="4" w:space="0" w:color="auto"/>
              <w:bottom w:val="single" w:sz="4" w:space="0" w:color="auto"/>
              <w:right w:val="single" w:sz="4" w:space="0" w:color="auto"/>
            </w:tcBorders>
            <w:vAlign w:val="center"/>
            <w:hideMark/>
          </w:tcPr>
          <w:p w14:paraId="2CEBFC32"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نمذجة المعادلات الهيكلية</w:t>
            </w:r>
            <w:r w:rsidRPr="00AA7A35">
              <w:rPr>
                <w:rFonts w:ascii="Aptos" w:eastAsia="Times New Roman" w:hAnsi="Aptos" w:cs="Arial"/>
                <w:color w:val="000000"/>
                <w:kern w:val="0"/>
                <w:rtl/>
                <w:lang w:val="en-GB" w:eastAsia="en-GB"/>
                <w14:ligatures w14:val="none"/>
              </w:rPr>
              <w:t xml:space="preserve"> (</w:t>
            </w:r>
            <w:r w:rsidRPr="00AA7A35">
              <w:rPr>
                <w:rFonts w:ascii="Aptos" w:eastAsia="Times New Roman" w:hAnsi="Aptos" w:cs="Arial"/>
                <w:color w:val="000000"/>
                <w:kern w:val="0"/>
                <w:lang w:val="en-GB" w:eastAsia="en-GB"/>
                <w14:ligatures w14:val="none"/>
              </w:rPr>
              <w:t>SEM</w:t>
            </w:r>
            <w:r w:rsidRPr="00AA7A35">
              <w:rPr>
                <w:rFonts w:ascii="Aptos" w:eastAsia="Times New Roman" w:hAnsi="Aptos" w:cs="Arial"/>
                <w:color w:val="000000"/>
                <w:kern w:val="0"/>
                <w:rtl/>
                <w:lang w:val="en-GB" w:eastAsia="en-GB"/>
                <w14:ligatures w14:val="none"/>
              </w:rPr>
              <w:t xml:space="preserve">) / </w:t>
            </w:r>
            <w:r w:rsidRPr="00AA7A35">
              <w:rPr>
                <w:rFonts w:ascii="Arial" w:eastAsia="Times New Roman" w:hAnsi="Arial" w:cs="Arial"/>
                <w:color w:val="000000"/>
                <w:kern w:val="0"/>
                <w:rtl/>
                <w:lang w:val="en-GB" w:eastAsia="en-GB"/>
                <w14:ligatures w14:val="none"/>
              </w:rPr>
              <w:t>تحليل المسار</w:t>
            </w:r>
          </w:p>
        </w:tc>
        <w:tc>
          <w:tcPr>
            <w:tcW w:w="1446" w:type="dxa"/>
            <w:tcBorders>
              <w:top w:val="nil"/>
              <w:left w:val="single" w:sz="4" w:space="0" w:color="auto"/>
              <w:bottom w:val="single" w:sz="4" w:space="0" w:color="auto"/>
              <w:right w:val="single" w:sz="4" w:space="0" w:color="auto"/>
            </w:tcBorders>
            <w:vAlign w:val="center"/>
            <w:hideMark/>
          </w:tcPr>
          <w:p w14:paraId="7436C67A"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مقبول</w:t>
            </w:r>
          </w:p>
        </w:tc>
      </w:tr>
      <w:tr w:rsidR="00793DFB" w:rsidRPr="00AA7A35" w14:paraId="7CD0C419" w14:textId="77777777" w:rsidTr="009F1C88">
        <w:trPr>
          <w:trHeight w:val="483"/>
        </w:trPr>
        <w:tc>
          <w:tcPr>
            <w:tcW w:w="762" w:type="dxa"/>
            <w:tcBorders>
              <w:top w:val="nil"/>
              <w:left w:val="single" w:sz="4" w:space="0" w:color="auto"/>
              <w:bottom w:val="single" w:sz="4" w:space="0" w:color="auto"/>
              <w:right w:val="single" w:sz="4" w:space="0" w:color="auto"/>
            </w:tcBorders>
            <w:vAlign w:val="center"/>
            <w:hideMark/>
          </w:tcPr>
          <w:p w14:paraId="04A255BE" w14:textId="77777777" w:rsidR="00793DFB" w:rsidRPr="00AA7A35" w:rsidRDefault="00793DFB" w:rsidP="009F1C88">
            <w:pPr>
              <w:bidi/>
              <w:spacing w:after="0" w:line="240" w:lineRule="auto"/>
              <w:jc w:val="center"/>
              <w:rPr>
                <w:rFonts w:ascii="Aptos" w:eastAsia="Times New Roman" w:hAnsi="Aptos" w:cs="Times New Roman"/>
                <w:color w:val="000000"/>
                <w:kern w:val="0"/>
                <w:rtl/>
                <w:lang w:val="en-GB" w:eastAsia="en-GB"/>
                <w14:ligatures w14:val="none"/>
              </w:rPr>
            </w:pPr>
            <w:r w:rsidRPr="00AA7A35">
              <w:rPr>
                <w:rFonts w:ascii="Aptos" w:eastAsia="Times New Roman" w:hAnsi="Aptos" w:cs="Times New Roman"/>
                <w:color w:val="000000"/>
                <w:kern w:val="0"/>
                <w:lang w:val="en-GB" w:eastAsia="en-GB"/>
                <w14:ligatures w14:val="none"/>
              </w:rPr>
              <w:t>H3</w:t>
            </w:r>
          </w:p>
        </w:tc>
        <w:tc>
          <w:tcPr>
            <w:tcW w:w="2829" w:type="dxa"/>
            <w:tcBorders>
              <w:top w:val="nil"/>
              <w:left w:val="single" w:sz="4" w:space="0" w:color="auto"/>
              <w:bottom w:val="single" w:sz="4" w:space="0" w:color="auto"/>
              <w:right w:val="single" w:sz="4" w:space="0" w:color="auto"/>
            </w:tcBorders>
            <w:vAlign w:val="center"/>
            <w:hideMark/>
          </w:tcPr>
          <w:p w14:paraId="62C007CE"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ما أثر الثقافة التنظيمية على الأداء الإبداعي؟</w:t>
            </w:r>
          </w:p>
        </w:tc>
        <w:tc>
          <w:tcPr>
            <w:tcW w:w="2418" w:type="dxa"/>
            <w:tcBorders>
              <w:top w:val="nil"/>
              <w:left w:val="single" w:sz="4" w:space="0" w:color="auto"/>
              <w:bottom w:val="single" w:sz="4" w:space="0" w:color="auto"/>
              <w:right w:val="single" w:sz="4" w:space="0" w:color="auto"/>
            </w:tcBorders>
            <w:vAlign w:val="center"/>
            <w:hideMark/>
          </w:tcPr>
          <w:p w14:paraId="7BF842FF"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توجد علاقة ذات دلالة إحصائية بين الثقافة التنظيمية والأداء الإبداعي</w:t>
            </w:r>
          </w:p>
        </w:tc>
        <w:tc>
          <w:tcPr>
            <w:tcW w:w="1805" w:type="dxa"/>
            <w:tcBorders>
              <w:top w:val="nil"/>
              <w:left w:val="single" w:sz="4" w:space="0" w:color="auto"/>
              <w:bottom w:val="single" w:sz="4" w:space="0" w:color="auto"/>
              <w:right w:val="single" w:sz="4" w:space="0" w:color="auto"/>
            </w:tcBorders>
            <w:vAlign w:val="center"/>
            <w:hideMark/>
          </w:tcPr>
          <w:p w14:paraId="7E2F36AE"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نمذجة المعادلات الهيكلية</w:t>
            </w:r>
            <w:r w:rsidRPr="00AA7A35">
              <w:rPr>
                <w:rFonts w:ascii="Aptos" w:eastAsia="Times New Roman" w:hAnsi="Aptos" w:cs="Arial"/>
                <w:color w:val="000000"/>
                <w:kern w:val="0"/>
                <w:rtl/>
                <w:lang w:val="en-GB" w:eastAsia="en-GB"/>
                <w14:ligatures w14:val="none"/>
              </w:rPr>
              <w:t xml:space="preserve"> (</w:t>
            </w:r>
            <w:r w:rsidRPr="00AA7A35">
              <w:rPr>
                <w:rFonts w:ascii="Aptos" w:eastAsia="Times New Roman" w:hAnsi="Aptos" w:cs="Arial"/>
                <w:color w:val="000000"/>
                <w:kern w:val="0"/>
                <w:lang w:val="en-GB" w:eastAsia="en-GB"/>
                <w14:ligatures w14:val="none"/>
              </w:rPr>
              <w:t>SEM</w:t>
            </w:r>
            <w:r w:rsidRPr="00AA7A35">
              <w:rPr>
                <w:rFonts w:ascii="Aptos" w:eastAsia="Times New Roman" w:hAnsi="Aptos" w:cs="Arial"/>
                <w:color w:val="000000"/>
                <w:kern w:val="0"/>
                <w:rtl/>
                <w:lang w:val="en-GB" w:eastAsia="en-GB"/>
                <w14:ligatures w14:val="none"/>
              </w:rPr>
              <w:t xml:space="preserve">) / </w:t>
            </w:r>
            <w:r w:rsidRPr="00AA7A35">
              <w:rPr>
                <w:rFonts w:ascii="Arial" w:eastAsia="Times New Roman" w:hAnsi="Arial" w:cs="Arial"/>
                <w:color w:val="000000"/>
                <w:kern w:val="0"/>
                <w:rtl/>
                <w:lang w:val="en-GB" w:eastAsia="en-GB"/>
                <w14:ligatures w14:val="none"/>
              </w:rPr>
              <w:t>تحليل المسار</w:t>
            </w:r>
          </w:p>
        </w:tc>
        <w:tc>
          <w:tcPr>
            <w:tcW w:w="1446" w:type="dxa"/>
            <w:tcBorders>
              <w:top w:val="nil"/>
              <w:left w:val="single" w:sz="4" w:space="0" w:color="auto"/>
              <w:bottom w:val="single" w:sz="4" w:space="0" w:color="auto"/>
              <w:right w:val="single" w:sz="4" w:space="0" w:color="auto"/>
            </w:tcBorders>
            <w:vAlign w:val="center"/>
            <w:hideMark/>
          </w:tcPr>
          <w:p w14:paraId="7451AFC3"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مقبول</w:t>
            </w:r>
          </w:p>
        </w:tc>
      </w:tr>
      <w:tr w:rsidR="00793DFB" w:rsidRPr="00AA7A35" w14:paraId="2372BF6D" w14:textId="77777777" w:rsidTr="009F1C88">
        <w:trPr>
          <w:trHeight w:val="608"/>
        </w:trPr>
        <w:tc>
          <w:tcPr>
            <w:tcW w:w="762" w:type="dxa"/>
            <w:tcBorders>
              <w:top w:val="nil"/>
              <w:left w:val="single" w:sz="4" w:space="0" w:color="auto"/>
              <w:bottom w:val="single" w:sz="4" w:space="0" w:color="auto"/>
              <w:right w:val="single" w:sz="4" w:space="0" w:color="auto"/>
            </w:tcBorders>
            <w:vAlign w:val="center"/>
            <w:hideMark/>
          </w:tcPr>
          <w:p w14:paraId="6FFFE173" w14:textId="77777777" w:rsidR="00793DFB" w:rsidRPr="00AA7A35" w:rsidRDefault="00793DFB" w:rsidP="009F1C88">
            <w:pPr>
              <w:bidi/>
              <w:spacing w:after="0" w:line="240" w:lineRule="auto"/>
              <w:jc w:val="center"/>
              <w:rPr>
                <w:rFonts w:ascii="Aptos" w:eastAsia="Times New Roman" w:hAnsi="Aptos" w:cs="Times New Roman"/>
                <w:color w:val="000000"/>
                <w:kern w:val="0"/>
                <w:rtl/>
                <w:lang w:val="en-GB" w:eastAsia="en-GB"/>
                <w14:ligatures w14:val="none"/>
              </w:rPr>
            </w:pPr>
            <w:r w:rsidRPr="00AA7A35">
              <w:rPr>
                <w:rFonts w:ascii="Aptos" w:eastAsia="Times New Roman" w:hAnsi="Aptos" w:cs="Times New Roman"/>
                <w:color w:val="000000"/>
                <w:kern w:val="0"/>
                <w:lang w:val="en-GB" w:eastAsia="en-GB"/>
                <w14:ligatures w14:val="none"/>
              </w:rPr>
              <w:t>H4</w:t>
            </w:r>
          </w:p>
        </w:tc>
        <w:tc>
          <w:tcPr>
            <w:tcW w:w="2829" w:type="dxa"/>
            <w:tcBorders>
              <w:top w:val="nil"/>
              <w:left w:val="single" w:sz="4" w:space="0" w:color="auto"/>
              <w:bottom w:val="single" w:sz="4" w:space="0" w:color="auto"/>
              <w:right w:val="single" w:sz="4" w:space="0" w:color="auto"/>
            </w:tcBorders>
            <w:vAlign w:val="center"/>
            <w:hideMark/>
          </w:tcPr>
          <w:p w14:paraId="4678E80C"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هل تتوسط الثقافة التنظيمية العلاقة بين أنظمة العمل عالية الأداء والأداء الإبداعي؟</w:t>
            </w:r>
          </w:p>
        </w:tc>
        <w:tc>
          <w:tcPr>
            <w:tcW w:w="2418" w:type="dxa"/>
            <w:tcBorders>
              <w:top w:val="nil"/>
              <w:left w:val="single" w:sz="4" w:space="0" w:color="auto"/>
              <w:bottom w:val="single" w:sz="4" w:space="0" w:color="auto"/>
              <w:right w:val="single" w:sz="4" w:space="0" w:color="auto"/>
            </w:tcBorders>
            <w:vAlign w:val="center"/>
            <w:hideMark/>
          </w:tcPr>
          <w:p w14:paraId="276AE429"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تتوسط الثقافة التنظيمية العلاقة بين أنظمة العمل عالية الأداء والأداء الإبداعي</w:t>
            </w:r>
          </w:p>
        </w:tc>
        <w:tc>
          <w:tcPr>
            <w:tcW w:w="1805" w:type="dxa"/>
            <w:tcBorders>
              <w:top w:val="nil"/>
              <w:left w:val="single" w:sz="4" w:space="0" w:color="auto"/>
              <w:bottom w:val="single" w:sz="4" w:space="0" w:color="auto"/>
              <w:right w:val="single" w:sz="4" w:space="0" w:color="auto"/>
            </w:tcBorders>
            <w:vAlign w:val="center"/>
            <w:hideMark/>
          </w:tcPr>
          <w:p w14:paraId="4ABFBD87"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تحليل الوساطة</w:t>
            </w:r>
            <w:r w:rsidRPr="00AA7A35">
              <w:rPr>
                <w:rFonts w:ascii="Aptos" w:eastAsia="Times New Roman" w:hAnsi="Aptos" w:cs="Arial"/>
                <w:color w:val="000000"/>
                <w:kern w:val="0"/>
                <w:rtl/>
                <w:lang w:val="en-GB" w:eastAsia="en-GB"/>
                <w14:ligatures w14:val="none"/>
              </w:rPr>
              <w:t xml:space="preserve"> (</w:t>
            </w:r>
            <w:r w:rsidRPr="00AA7A35">
              <w:rPr>
                <w:rFonts w:ascii="Aptos" w:eastAsia="Times New Roman" w:hAnsi="Aptos" w:cs="Arial"/>
                <w:color w:val="000000"/>
                <w:kern w:val="0"/>
                <w:lang w:val="en-GB" w:eastAsia="en-GB"/>
                <w14:ligatures w14:val="none"/>
              </w:rPr>
              <w:t>SEM / Bootstrap</w:t>
            </w:r>
            <w:r w:rsidRPr="00AA7A35">
              <w:rPr>
                <w:rFonts w:ascii="Aptos" w:eastAsia="Times New Roman" w:hAnsi="Aptos" w:cs="Arial"/>
                <w:color w:val="000000"/>
                <w:kern w:val="0"/>
                <w:rtl/>
                <w:lang w:val="en-GB" w:eastAsia="en-GB"/>
                <w14:ligatures w14:val="none"/>
              </w:rPr>
              <w:t>)</w:t>
            </w:r>
          </w:p>
        </w:tc>
        <w:tc>
          <w:tcPr>
            <w:tcW w:w="1446" w:type="dxa"/>
            <w:tcBorders>
              <w:top w:val="nil"/>
              <w:left w:val="single" w:sz="4" w:space="0" w:color="auto"/>
              <w:bottom w:val="single" w:sz="4" w:space="0" w:color="auto"/>
              <w:right w:val="single" w:sz="4" w:space="0" w:color="auto"/>
            </w:tcBorders>
            <w:vAlign w:val="center"/>
            <w:hideMark/>
          </w:tcPr>
          <w:p w14:paraId="38D6CC92"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مقبول (وساطة جزئية/كلية حسب النتائج)</w:t>
            </w:r>
          </w:p>
        </w:tc>
      </w:tr>
      <w:tr w:rsidR="00793DFB" w:rsidRPr="00AA7A35" w14:paraId="6326E3DF" w14:textId="77777777" w:rsidTr="009F1C88">
        <w:trPr>
          <w:trHeight w:val="451"/>
        </w:trPr>
        <w:tc>
          <w:tcPr>
            <w:tcW w:w="762" w:type="dxa"/>
            <w:tcBorders>
              <w:top w:val="nil"/>
              <w:left w:val="single" w:sz="4" w:space="0" w:color="auto"/>
              <w:bottom w:val="single" w:sz="4" w:space="0" w:color="auto"/>
              <w:right w:val="single" w:sz="4" w:space="0" w:color="auto"/>
            </w:tcBorders>
            <w:vAlign w:val="center"/>
            <w:hideMark/>
          </w:tcPr>
          <w:p w14:paraId="04268FE5" w14:textId="77777777" w:rsidR="00793DFB" w:rsidRPr="00AA7A35" w:rsidRDefault="00793DFB" w:rsidP="009F1C88">
            <w:pPr>
              <w:bidi/>
              <w:spacing w:after="0" w:line="240" w:lineRule="auto"/>
              <w:jc w:val="center"/>
              <w:rPr>
                <w:rFonts w:ascii="Aptos" w:eastAsia="Times New Roman" w:hAnsi="Aptos" w:cs="Times New Roman"/>
                <w:color w:val="000000"/>
                <w:kern w:val="0"/>
                <w:rtl/>
                <w:lang w:val="en-GB" w:eastAsia="en-GB"/>
                <w14:ligatures w14:val="none"/>
              </w:rPr>
            </w:pPr>
            <w:r w:rsidRPr="00AA7A35">
              <w:rPr>
                <w:rFonts w:ascii="Aptos" w:eastAsia="Times New Roman" w:hAnsi="Aptos" w:cs="Times New Roman"/>
                <w:color w:val="000000"/>
                <w:kern w:val="0"/>
                <w:lang w:val="en-GB" w:eastAsia="en-GB"/>
                <w14:ligatures w14:val="none"/>
              </w:rPr>
              <w:t>H5</w:t>
            </w:r>
          </w:p>
        </w:tc>
        <w:tc>
          <w:tcPr>
            <w:tcW w:w="2829" w:type="dxa"/>
            <w:tcBorders>
              <w:top w:val="nil"/>
              <w:left w:val="single" w:sz="4" w:space="0" w:color="auto"/>
              <w:bottom w:val="single" w:sz="4" w:space="0" w:color="auto"/>
              <w:right w:val="single" w:sz="4" w:space="0" w:color="auto"/>
            </w:tcBorders>
            <w:vAlign w:val="center"/>
            <w:hideMark/>
          </w:tcPr>
          <w:p w14:paraId="566AE8C1"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هل توجد فروق ذات دلالة إحصائية في الأداء الإبداعي تُعزى للمتغيرات الديموغرافية؟</w:t>
            </w:r>
          </w:p>
        </w:tc>
        <w:tc>
          <w:tcPr>
            <w:tcW w:w="2418" w:type="dxa"/>
            <w:tcBorders>
              <w:top w:val="nil"/>
              <w:left w:val="single" w:sz="4" w:space="0" w:color="auto"/>
              <w:bottom w:val="single" w:sz="4" w:space="0" w:color="auto"/>
              <w:right w:val="single" w:sz="4" w:space="0" w:color="auto"/>
            </w:tcBorders>
            <w:vAlign w:val="center"/>
            <w:hideMark/>
          </w:tcPr>
          <w:p w14:paraId="5E702687"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توجد فروق ذات دلالة إحصائية في الأداء الإبداعي تعزى للمتغيرات الديموغرافية</w:t>
            </w:r>
          </w:p>
        </w:tc>
        <w:tc>
          <w:tcPr>
            <w:tcW w:w="1805" w:type="dxa"/>
            <w:tcBorders>
              <w:top w:val="nil"/>
              <w:left w:val="single" w:sz="4" w:space="0" w:color="auto"/>
              <w:bottom w:val="single" w:sz="4" w:space="0" w:color="auto"/>
              <w:right w:val="single" w:sz="4" w:space="0" w:color="auto"/>
            </w:tcBorders>
            <w:vAlign w:val="center"/>
            <w:hideMark/>
          </w:tcPr>
          <w:p w14:paraId="0F82F0E6" w14:textId="77777777" w:rsidR="00793DFB" w:rsidRPr="00AA7A35" w:rsidRDefault="00793DFB" w:rsidP="009F1C88">
            <w:pPr>
              <w:bidi/>
              <w:spacing w:after="0" w:line="240" w:lineRule="auto"/>
              <w:jc w:val="center"/>
              <w:rPr>
                <w:rFonts w:ascii="Arial" w:eastAsia="Times New Roman" w:hAnsi="Arial" w:cs="Arial"/>
                <w:color w:val="000000"/>
                <w:kern w:val="0"/>
                <w:rtl/>
                <w:lang w:val="en-GB" w:eastAsia="en-GB"/>
                <w14:ligatures w14:val="none"/>
              </w:rPr>
            </w:pPr>
            <w:r w:rsidRPr="00AA7A35">
              <w:rPr>
                <w:rFonts w:ascii="Arial" w:eastAsia="Times New Roman" w:hAnsi="Arial" w:cs="Arial" w:hint="cs"/>
                <w:color w:val="000000"/>
                <w:kern w:val="0"/>
                <w:rtl/>
                <w:lang w:val="en-GB" w:eastAsia="en-GB"/>
                <w14:ligatures w14:val="none"/>
              </w:rPr>
              <w:t>اختبار</w:t>
            </w:r>
            <w:r w:rsidRPr="00AA7A35">
              <w:rPr>
                <w:rFonts w:ascii="Aptos" w:eastAsia="Times New Roman" w:hAnsi="Aptos" w:cs="Arial"/>
                <w:color w:val="000000"/>
                <w:kern w:val="0"/>
                <w:rtl/>
                <w:lang w:val="en-GB" w:eastAsia="en-GB"/>
                <w14:ligatures w14:val="none"/>
              </w:rPr>
              <w:t xml:space="preserve"> (</w:t>
            </w:r>
            <w:r w:rsidRPr="00AA7A35">
              <w:rPr>
                <w:rFonts w:ascii="Aptos" w:eastAsia="Times New Roman" w:hAnsi="Aptos" w:cs="Arial"/>
                <w:color w:val="000000"/>
                <w:kern w:val="0"/>
                <w:lang w:val="en-GB" w:eastAsia="en-GB"/>
                <w14:ligatures w14:val="none"/>
              </w:rPr>
              <w:t>T-test</w:t>
            </w:r>
            <w:r w:rsidRPr="00AA7A35">
              <w:rPr>
                <w:rFonts w:ascii="Aptos" w:eastAsia="Times New Roman" w:hAnsi="Aptos" w:cs="Arial"/>
                <w:color w:val="000000"/>
                <w:kern w:val="0"/>
                <w:rtl/>
                <w:lang w:val="en-GB" w:eastAsia="en-GB"/>
                <w14:ligatures w14:val="none"/>
              </w:rPr>
              <w:t xml:space="preserve">) / </w:t>
            </w:r>
            <w:r w:rsidRPr="00AA7A35">
              <w:rPr>
                <w:rFonts w:ascii="Arial" w:eastAsia="Times New Roman" w:hAnsi="Arial" w:cs="Arial"/>
                <w:color w:val="000000"/>
                <w:kern w:val="0"/>
                <w:rtl/>
                <w:lang w:val="en-GB" w:eastAsia="en-GB"/>
                <w14:ligatures w14:val="none"/>
              </w:rPr>
              <w:t>تحليل التباين</w:t>
            </w:r>
            <w:r w:rsidRPr="00AA7A35">
              <w:rPr>
                <w:rFonts w:ascii="Aptos" w:eastAsia="Times New Roman" w:hAnsi="Aptos" w:cs="Arial"/>
                <w:color w:val="000000"/>
                <w:kern w:val="0"/>
                <w:rtl/>
                <w:lang w:val="en-GB" w:eastAsia="en-GB"/>
                <w14:ligatures w14:val="none"/>
              </w:rPr>
              <w:t xml:space="preserve"> (</w:t>
            </w:r>
            <w:r w:rsidRPr="00AA7A35">
              <w:rPr>
                <w:rFonts w:ascii="Aptos" w:eastAsia="Times New Roman" w:hAnsi="Aptos" w:cs="Arial"/>
                <w:color w:val="000000"/>
                <w:kern w:val="0"/>
                <w:lang w:val="en-GB" w:eastAsia="en-GB"/>
                <w14:ligatures w14:val="none"/>
              </w:rPr>
              <w:t>ANOVA</w:t>
            </w:r>
            <w:r w:rsidRPr="00AA7A35">
              <w:rPr>
                <w:rFonts w:ascii="Aptos" w:eastAsia="Times New Roman" w:hAnsi="Aptos" w:cs="Arial"/>
                <w:color w:val="000000"/>
                <w:kern w:val="0"/>
                <w:rtl/>
                <w:lang w:val="en-GB" w:eastAsia="en-GB"/>
                <w14:ligatures w14:val="none"/>
              </w:rPr>
              <w:t>)</w:t>
            </w:r>
          </w:p>
        </w:tc>
        <w:tc>
          <w:tcPr>
            <w:tcW w:w="1446" w:type="dxa"/>
            <w:tcBorders>
              <w:top w:val="nil"/>
              <w:left w:val="single" w:sz="4" w:space="0" w:color="auto"/>
              <w:bottom w:val="single" w:sz="4" w:space="0" w:color="auto"/>
              <w:right w:val="single" w:sz="4" w:space="0" w:color="auto"/>
            </w:tcBorders>
            <w:vAlign w:val="center"/>
            <w:hideMark/>
          </w:tcPr>
          <w:p w14:paraId="2D605197" w14:textId="77777777" w:rsidR="00793DFB" w:rsidRPr="00AA7A35" w:rsidRDefault="00793DFB" w:rsidP="009F1C88">
            <w:pPr>
              <w:spacing w:after="0" w:line="240" w:lineRule="auto"/>
              <w:jc w:val="center"/>
              <w:rPr>
                <w:rFonts w:ascii="Aptos" w:eastAsia="Times New Roman" w:hAnsi="Aptos" w:cs="Times New Roman"/>
                <w:color w:val="000000"/>
                <w:kern w:val="0"/>
                <w:rtl/>
                <w:lang w:val="en-GB" w:eastAsia="en-GB"/>
                <w14:ligatures w14:val="none"/>
              </w:rPr>
            </w:pPr>
            <w:r w:rsidRPr="00AA7A35">
              <w:rPr>
                <w:rFonts w:ascii="Aptos" w:eastAsia="Times New Roman" w:hAnsi="Aptos" w:cs="Times New Roman"/>
                <w:color w:val="000000"/>
                <w:kern w:val="0"/>
                <w:lang w:val="en-GB" w:eastAsia="en-GB"/>
                <w14:ligatures w14:val="none"/>
              </w:rPr>
              <w:t> </w:t>
            </w:r>
          </w:p>
        </w:tc>
      </w:tr>
    </w:tbl>
    <w:p w14:paraId="6600CFEE" w14:textId="77777777" w:rsidR="00793DFB" w:rsidRPr="00AA7A35" w:rsidRDefault="00793DFB" w:rsidP="00793DFB">
      <w:pPr>
        <w:bidi/>
        <w:rPr>
          <w:lang w:val="en-GB"/>
        </w:rPr>
      </w:pPr>
    </w:p>
    <w:p w14:paraId="3AD893D4" w14:textId="1AE02EED" w:rsidR="004675F9" w:rsidRPr="00793DFB" w:rsidRDefault="00793DFB" w:rsidP="00793DFB">
      <w:pPr>
        <w:bidi/>
        <w:rPr>
          <w:lang w:bidi="ar-EG"/>
        </w:rPr>
      </w:pPr>
      <w:r w:rsidRPr="008873C9">
        <w:rPr>
          <w:rtl/>
        </w:rPr>
        <w:t>بوجه عام، تؤكد النتائج التكامل البنائي بين أنظمة العمل عالية الأداء والثقافة التنظيمية في تفسير الأداء الإبداعي، وتدعم المنظور النظري القائم على أن الإبداع المؤسسي لا يتولد من الممارسات الإدارية بصورة منفصلة، بل عبر تفاعلها مع السياق الثقافي الداخلي</w:t>
      </w:r>
      <w:r w:rsidRPr="008873C9">
        <w:rPr>
          <w:lang w:bidi="ar-EG"/>
        </w:rPr>
        <w:t>.</w:t>
      </w:r>
      <w:r>
        <w:rPr>
          <w:rFonts w:hint="cs"/>
          <w:rtl/>
          <w:lang w:bidi="ar-EG"/>
        </w:rPr>
        <w:t xml:space="preserve"> </w:t>
      </w:r>
      <w:r w:rsidRPr="008873C9">
        <w:rPr>
          <w:rtl/>
        </w:rPr>
        <w:t>وتمهيدًا للفصل التالي، سيتم في فصل المناقشة تحليل هذه النتائج في ضوء الأدبيات السابقة، ومقارنتها بالدراسات العربية والأجنبية، مع تفسير دلالاتها النظرية والتطبيقية، وبيان أوجه الاتفاق أو الاختلاف، وصولًا إلى استخلاص مضامين عملية يمكن أن تسهم في تطوير الممارسات الإدارية في قطاعي الفنادق والمطاعم</w:t>
      </w:r>
    </w:p>
    <w:p w14:paraId="6A188A2A" w14:textId="77777777" w:rsidR="00793DFB" w:rsidRPr="00F806C7" w:rsidRDefault="00793DFB" w:rsidP="00793DFB">
      <w:pPr>
        <w:bidi/>
        <w:rPr>
          <w:rFonts w:ascii="Times New Roman" w:hAnsi="Times New Roman" w:cs="Times New Roman"/>
          <w:b/>
          <w:bCs/>
          <w:sz w:val="28"/>
          <w:szCs w:val="28"/>
          <w:rtl/>
        </w:rPr>
      </w:pPr>
      <w:r w:rsidRPr="00F806C7">
        <w:rPr>
          <w:rFonts w:ascii="Times New Roman" w:hAnsi="Times New Roman" w:cs="Times New Roman"/>
          <w:b/>
          <w:bCs/>
          <w:sz w:val="28"/>
          <w:szCs w:val="28"/>
          <w:rtl/>
        </w:rPr>
        <w:lastRenderedPageBreak/>
        <w:t>المراجع:</w:t>
      </w:r>
    </w:p>
    <w:p w14:paraId="6F9B6654" w14:textId="77777777" w:rsidR="001F2C0F" w:rsidRPr="001F2C0F" w:rsidRDefault="00793DFB" w:rsidP="001F2C0F">
      <w:pPr>
        <w:pStyle w:val="EndNoteCategoryHeading"/>
        <w:bidi/>
        <w:rPr>
          <w:rtl/>
        </w:rPr>
      </w:pPr>
      <w:r w:rsidRPr="00F806C7">
        <w:rPr>
          <w:rtl/>
        </w:rPr>
        <w:fldChar w:fldCharType="begin"/>
      </w:r>
      <w:r w:rsidRPr="00F806C7">
        <w:rPr>
          <w:rtl/>
        </w:rPr>
        <w:instrText xml:space="preserve"> </w:instrText>
      </w:r>
      <w:r w:rsidRPr="00F806C7">
        <w:instrText>ADDIN EN.REFLIST</w:instrText>
      </w:r>
      <w:r w:rsidRPr="00F806C7">
        <w:rPr>
          <w:rtl/>
        </w:rPr>
        <w:instrText xml:space="preserve"> </w:instrText>
      </w:r>
      <w:r w:rsidRPr="00F806C7">
        <w:rPr>
          <w:rtl/>
        </w:rPr>
        <w:fldChar w:fldCharType="separate"/>
      </w:r>
      <w:r w:rsidR="001F2C0F" w:rsidRPr="001F2C0F">
        <w:rPr>
          <w:rFonts w:hint="cs"/>
          <w:rtl/>
        </w:rPr>
        <w:t>المراجع</w:t>
      </w:r>
      <w:r w:rsidR="001F2C0F" w:rsidRPr="001F2C0F">
        <w:rPr>
          <w:rtl/>
        </w:rPr>
        <w:t xml:space="preserve"> </w:t>
      </w:r>
      <w:r w:rsidR="001F2C0F" w:rsidRPr="001F2C0F">
        <w:rPr>
          <w:rFonts w:hint="cs"/>
          <w:rtl/>
        </w:rPr>
        <w:t>العربية</w:t>
      </w:r>
    </w:p>
    <w:p w14:paraId="30F2A7AB" w14:textId="77777777" w:rsidR="001F2C0F" w:rsidRPr="001F2C0F" w:rsidRDefault="001F2C0F" w:rsidP="001F2C0F">
      <w:pPr>
        <w:pStyle w:val="EndNoteBibliography"/>
        <w:bidi/>
        <w:spacing w:after="0"/>
        <w:ind w:left="720" w:hanging="720"/>
        <w:rPr>
          <w:i/>
          <w:rtl/>
        </w:rPr>
      </w:pPr>
      <w:r w:rsidRPr="001F2C0F">
        <w:rPr>
          <w:rtl/>
        </w:rPr>
        <w:t xml:space="preserve">الحبيب., م. ب. 2017. </w:t>
      </w:r>
      <w:r w:rsidRPr="001F2C0F">
        <w:rPr>
          <w:i/>
          <w:rtl/>
        </w:rPr>
        <w:t>أثر إدارة العلاقة مع العملاء في تنافسية المؤسسات السياحية بالجزائر-دراسة عينة من الوكالات السياحية بالجزائر.</w:t>
      </w:r>
    </w:p>
    <w:p w14:paraId="5B3BE6CE" w14:textId="77777777" w:rsidR="001F2C0F" w:rsidRPr="001F2C0F" w:rsidRDefault="001F2C0F" w:rsidP="001F2C0F">
      <w:pPr>
        <w:pStyle w:val="EndNoteBibliography"/>
        <w:bidi/>
        <w:spacing w:after="0"/>
        <w:ind w:left="720" w:hanging="720"/>
        <w:rPr>
          <w:rtl/>
        </w:rPr>
      </w:pPr>
      <w:r w:rsidRPr="001F2C0F">
        <w:rPr>
          <w:rtl/>
        </w:rPr>
        <w:t xml:space="preserve">الخالدي &amp; نايف, د. خ. س. 2024. دور نظم العمل عالية الأداء فى تعزيز التميز المؤسسى دراسة تطبيقية على أعضاء هيئة التدريس فى جامعة الكويت. </w:t>
      </w:r>
      <w:r w:rsidRPr="001F2C0F">
        <w:rPr>
          <w:i/>
          <w:rtl/>
        </w:rPr>
        <w:t>المجلة العلمية للدراسات والبحوث المالية والإدارية</w:t>
      </w:r>
      <w:r w:rsidRPr="001F2C0F">
        <w:rPr>
          <w:i/>
          <w:cs/>
        </w:rPr>
        <w:t>‎</w:t>
      </w:r>
      <w:r w:rsidRPr="001F2C0F">
        <w:rPr>
          <w:i/>
        </w:rPr>
        <w:t>,</w:t>
      </w:r>
      <w:r w:rsidRPr="001F2C0F">
        <w:t xml:space="preserve"> 16</w:t>
      </w:r>
      <w:r w:rsidRPr="001F2C0F">
        <w:rPr>
          <w:b/>
        </w:rPr>
        <w:t>,</w:t>
      </w:r>
      <w:r w:rsidRPr="001F2C0F">
        <w:t xml:space="preserve"> 139–165</w:t>
      </w:r>
      <w:r w:rsidRPr="001F2C0F">
        <w:rPr>
          <w:rtl/>
        </w:rPr>
        <w:t>.</w:t>
      </w:r>
    </w:p>
    <w:p w14:paraId="6C7EA8E5" w14:textId="77777777" w:rsidR="001F2C0F" w:rsidRPr="001F2C0F" w:rsidRDefault="001F2C0F" w:rsidP="001F2C0F">
      <w:pPr>
        <w:pStyle w:val="EndNoteBibliography"/>
        <w:bidi/>
        <w:spacing w:after="0"/>
        <w:ind w:left="720" w:hanging="720"/>
        <w:rPr>
          <w:rtl/>
        </w:rPr>
      </w:pPr>
      <w:r w:rsidRPr="001F2C0F">
        <w:rPr>
          <w:rtl/>
        </w:rPr>
        <w:t xml:space="preserve">المنان, ز. إ. ع. &amp; إبراهيم. 2017. </w:t>
      </w:r>
      <w:r w:rsidRPr="001F2C0F">
        <w:rPr>
          <w:i/>
          <w:rtl/>
        </w:rPr>
        <w:t>دور تحسين بيئة العمل في الإبداع الإداري.</w:t>
      </w:r>
      <w:r w:rsidRPr="001F2C0F">
        <w:rPr>
          <w:rtl/>
        </w:rPr>
        <w:t xml:space="preserve"> جامعة الامام المهدى.</w:t>
      </w:r>
    </w:p>
    <w:p w14:paraId="0B6A0B24" w14:textId="77777777" w:rsidR="001F2C0F" w:rsidRPr="001F2C0F" w:rsidRDefault="001F2C0F" w:rsidP="001F2C0F">
      <w:pPr>
        <w:pStyle w:val="EndNoteBibliography"/>
        <w:bidi/>
        <w:spacing w:after="0"/>
        <w:ind w:left="720" w:hanging="720"/>
        <w:rPr>
          <w:rtl/>
        </w:rPr>
      </w:pPr>
      <w:r w:rsidRPr="001F2C0F">
        <w:rPr>
          <w:rtl/>
        </w:rPr>
        <w:t xml:space="preserve">بلكبير &amp; مدين 2013. أهمية الثقافة التنظيمية في تحقيق الابتكار وتحسين مستويات الأداء في المؤسسات: إطار تحليلي لمجموعة من الدراسات السابقة. </w:t>
      </w:r>
      <w:r w:rsidRPr="001F2C0F">
        <w:rPr>
          <w:i/>
          <w:rtl/>
        </w:rPr>
        <w:t>حوليات جامعة قالمة للعلوم الاجتماعية والإنسانية,</w:t>
      </w:r>
      <w:r w:rsidRPr="001F2C0F">
        <w:rPr>
          <w:rtl/>
        </w:rPr>
        <w:t xml:space="preserve"> 7</w:t>
      </w:r>
      <w:r w:rsidRPr="001F2C0F">
        <w:rPr>
          <w:b/>
          <w:rtl/>
        </w:rPr>
        <w:t>,</w:t>
      </w:r>
      <w:r w:rsidRPr="001F2C0F">
        <w:rPr>
          <w:rtl/>
        </w:rPr>
        <w:t xml:space="preserve"> 255–274.</w:t>
      </w:r>
    </w:p>
    <w:p w14:paraId="187AD3AC" w14:textId="77777777" w:rsidR="001F2C0F" w:rsidRPr="001F2C0F" w:rsidRDefault="001F2C0F" w:rsidP="001F2C0F">
      <w:pPr>
        <w:pStyle w:val="EndNoteBibliography"/>
        <w:bidi/>
        <w:spacing w:after="0"/>
        <w:ind w:left="720" w:hanging="720"/>
        <w:rPr>
          <w:rtl/>
        </w:rPr>
      </w:pPr>
      <w:r w:rsidRPr="001F2C0F">
        <w:rPr>
          <w:rtl/>
        </w:rPr>
        <w:t xml:space="preserve">ذوقان،, ع. 2012. </w:t>
      </w:r>
      <w:r w:rsidRPr="001F2C0F">
        <w:rPr>
          <w:i/>
          <w:rtl/>
        </w:rPr>
        <w:t xml:space="preserve">البحث العلمي: مفهومه، أدواته، وأساليبه., </w:t>
      </w:r>
      <w:r w:rsidRPr="001F2C0F">
        <w:rPr>
          <w:rtl/>
        </w:rPr>
        <w:t>عمان, دار الفكر.</w:t>
      </w:r>
    </w:p>
    <w:p w14:paraId="78DC8065" w14:textId="77777777" w:rsidR="001F2C0F" w:rsidRPr="001F2C0F" w:rsidRDefault="001F2C0F" w:rsidP="001F2C0F">
      <w:pPr>
        <w:pStyle w:val="EndNoteBibliography"/>
        <w:bidi/>
        <w:spacing w:after="0"/>
        <w:ind w:left="720" w:hanging="720"/>
        <w:rPr>
          <w:rtl/>
        </w:rPr>
      </w:pPr>
      <w:r w:rsidRPr="001F2C0F">
        <w:rPr>
          <w:rtl/>
        </w:rPr>
        <w:t xml:space="preserve">عادل, خليل, عابد &amp; إيهاب 2021. توسيط تأثير نظم العمل عالية الأداء على البراعة التنظيمية في ظل توسيط مرونة الموارد البشرية: دراسة تطبيقية. </w:t>
      </w:r>
      <w:r w:rsidRPr="001F2C0F">
        <w:rPr>
          <w:i/>
          <w:rtl/>
        </w:rPr>
        <w:t>المجلة العلمية للدراسات والبحوث المالية والتجارية,</w:t>
      </w:r>
      <w:r w:rsidRPr="001F2C0F">
        <w:rPr>
          <w:rtl/>
        </w:rPr>
        <w:t xml:space="preserve"> 2</w:t>
      </w:r>
      <w:r w:rsidRPr="001F2C0F">
        <w:rPr>
          <w:b/>
          <w:rtl/>
        </w:rPr>
        <w:t>,</w:t>
      </w:r>
      <w:r w:rsidRPr="001F2C0F">
        <w:rPr>
          <w:rtl/>
        </w:rPr>
        <w:t xml:space="preserve"> 347–391.</w:t>
      </w:r>
    </w:p>
    <w:p w14:paraId="1CEE5893" w14:textId="77777777" w:rsidR="001F2C0F" w:rsidRPr="001F2C0F" w:rsidRDefault="001F2C0F" w:rsidP="001F2C0F">
      <w:pPr>
        <w:pStyle w:val="EndNoteBibliography"/>
        <w:bidi/>
        <w:spacing w:after="0"/>
        <w:ind w:left="720" w:hanging="720"/>
        <w:rPr>
          <w:rtl/>
        </w:rPr>
      </w:pPr>
      <w:r w:rsidRPr="001F2C0F">
        <w:rPr>
          <w:rtl/>
        </w:rPr>
        <w:t xml:space="preserve">عبدالمنعم, م. س. خ. ا., الله, م. س. خ., رضوان &amp; محمد, ك. أ. 2024. تأثير ممارسات نظم العمل عالية الأداء على الأداء التنظيمي من خلال رأس المال الفكري كمتغير وسيط تداخلي: دراسة ميدانية مُطبقة على العاملين في قطاع البنوك بمدينة أسيوط. </w:t>
      </w:r>
      <w:r w:rsidRPr="001F2C0F">
        <w:rPr>
          <w:i/>
          <w:rtl/>
        </w:rPr>
        <w:t>مجلة البحوث المالية والتجارية,</w:t>
      </w:r>
      <w:r w:rsidRPr="001F2C0F">
        <w:rPr>
          <w:rtl/>
        </w:rPr>
        <w:t xml:space="preserve"> 25</w:t>
      </w:r>
      <w:r w:rsidRPr="001F2C0F">
        <w:rPr>
          <w:b/>
          <w:rtl/>
        </w:rPr>
        <w:t>,</w:t>
      </w:r>
      <w:r w:rsidRPr="001F2C0F">
        <w:rPr>
          <w:rtl/>
        </w:rPr>
        <w:t xml:space="preserve"> 842–941.</w:t>
      </w:r>
    </w:p>
    <w:p w14:paraId="0929B633" w14:textId="77777777" w:rsidR="001F2C0F" w:rsidRPr="001F2C0F" w:rsidRDefault="001F2C0F" w:rsidP="001F2C0F">
      <w:pPr>
        <w:pStyle w:val="EndNoteBibliography"/>
        <w:bidi/>
        <w:spacing w:after="0"/>
        <w:ind w:left="720" w:hanging="720"/>
        <w:rPr>
          <w:rtl/>
        </w:rPr>
      </w:pPr>
      <w:r w:rsidRPr="001F2C0F">
        <w:rPr>
          <w:rtl/>
        </w:rPr>
        <w:t xml:space="preserve">على, ا. أ. ا. 2022. أثر ممارسات مشارکة وتمکين العاملين على مستوى الأداء المؤسسي للمنظمات العامة. </w:t>
      </w:r>
      <w:r w:rsidRPr="001F2C0F">
        <w:rPr>
          <w:i/>
          <w:rtl/>
        </w:rPr>
        <w:t>مجلة کلية الاقتصاد والعلوم السياسية,</w:t>
      </w:r>
      <w:r w:rsidRPr="001F2C0F">
        <w:rPr>
          <w:rtl/>
        </w:rPr>
        <w:t xml:space="preserve"> 23</w:t>
      </w:r>
      <w:r w:rsidRPr="001F2C0F">
        <w:rPr>
          <w:b/>
          <w:rtl/>
        </w:rPr>
        <w:t>,</w:t>
      </w:r>
      <w:r w:rsidRPr="001F2C0F">
        <w:rPr>
          <w:rtl/>
        </w:rPr>
        <w:t xml:space="preserve"> 205–255.</w:t>
      </w:r>
    </w:p>
    <w:p w14:paraId="407EB4EE" w14:textId="77777777" w:rsidR="001F2C0F" w:rsidRPr="001F2C0F" w:rsidRDefault="001F2C0F" w:rsidP="001F2C0F">
      <w:pPr>
        <w:pStyle w:val="EndNoteBibliography"/>
        <w:bidi/>
        <w:spacing w:after="0"/>
        <w:ind w:left="720" w:hanging="720"/>
        <w:rPr>
          <w:rtl/>
        </w:rPr>
      </w:pPr>
      <w:r w:rsidRPr="001F2C0F">
        <w:rPr>
          <w:rtl/>
        </w:rPr>
        <w:t>للإحصاء, ا. ا. 2024. معدل العمالة في السعودية.</w:t>
      </w:r>
    </w:p>
    <w:p w14:paraId="76156AF9" w14:textId="77777777" w:rsidR="001F2C0F" w:rsidRPr="001F2C0F" w:rsidRDefault="001F2C0F" w:rsidP="001F2C0F">
      <w:pPr>
        <w:pStyle w:val="EndNoteBibliography"/>
        <w:bidi/>
        <w:spacing w:after="0"/>
        <w:ind w:left="720" w:hanging="720"/>
        <w:rPr>
          <w:rtl/>
        </w:rPr>
      </w:pPr>
      <w:r w:rsidRPr="001F2C0F">
        <w:rPr>
          <w:rtl/>
        </w:rPr>
        <w:t xml:space="preserve">مرزوق, على, ع. ا., البردان &amp; امين, م. ف. 2018. دور نظم العمل عالية الاداء فى بناء مرونة الموارد البشرية واثرهما عاى سلوکيات تلعمل الابتکارى دراسة تطبيقية على الشرکات العاملة بتکنولوجيا المعلومات والاتصالتت بالقرية الذکية. </w:t>
      </w:r>
      <w:r w:rsidRPr="001F2C0F">
        <w:rPr>
          <w:i/>
          <w:rtl/>
        </w:rPr>
        <w:t>المجلة العلمية للبحوث التجارية (جامعة المنوفية),</w:t>
      </w:r>
      <w:r w:rsidRPr="001F2C0F">
        <w:rPr>
          <w:rtl/>
        </w:rPr>
        <w:t xml:space="preserve"> 31</w:t>
      </w:r>
      <w:r w:rsidRPr="001F2C0F">
        <w:rPr>
          <w:b/>
          <w:rtl/>
        </w:rPr>
        <w:t>,</w:t>
      </w:r>
      <w:r w:rsidRPr="001F2C0F">
        <w:rPr>
          <w:rtl/>
        </w:rPr>
        <w:t xml:space="preserve"> 261–296.</w:t>
      </w:r>
    </w:p>
    <w:p w14:paraId="4DC1D68B" w14:textId="77777777" w:rsidR="001F2C0F" w:rsidRPr="001F2C0F" w:rsidRDefault="001F2C0F" w:rsidP="001F2C0F">
      <w:pPr>
        <w:pStyle w:val="EndNoteBibliography"/>
        <w:bidi/>
        <w:spacing w:after="0"/>
        <w:ind w:left="720" w:hanging="720"/>
        <w:rPr>
          <w:rtl/>
        </w:rPr>
      </w:pPr>
      <w:r w:rsidRPr="001F2C0F">
        <w:rPr>
          <w:rtl/>
        </w:rPr>
        <w:t xml:space="preserve">مصطفى, م. م. &amp; أمل 2020. أثر استراتيجيات إدارة الموارد البشرية على دعم الإبداع والابتکار الإدارى لدى العاملين بالتطبيق على العاملين بجامعة عين شمس </w:t>
      </w:r>
      <w:r w:rsidRPr="001F2C0F">
        <w:t>The Effect of Human Resources Management Strategies on Supporting the Administration Creativity and Innovation of The Employees By Applying on Ain Shams University Employees</w:t>
      </w:r>
      <w:r w:rsidRPr="001F2C0F">
        <w:rPr>
          <w:rtl/>
        </w:rPr>
        <w:t xml:space="preserve">. </w:t>
      </w:r>
      <w:r w:rsidRPr="001F2C0F">
        <w:rPr>
          <w:i/>
          <w:rtl/>
        </w:rPr>
        <w:t>مجلة بحوث الشرق الأوسط,</w:t>
      </w:r>
      <w:r w:rsidRPr="001F2C0F">
        <w:rPr>
          <w:rtl/>
        </w:rPr>
        <w:t xml:space="preserve"> 8</w:t>
      </w:r>
      <w:r w:rsidRPr="001F2C0F">
        <w:rPr>
          <w:b/>
          <w:rtl/>
        </w:rPr>
        <w:t>,</w:t>
      </w:r>
      <w:r w:rsidRPr="001F2C0F">
        <w:rPr>
          <w:rtl/>
        </w:rPr>
        <w:t xml:space="preserve"> 37–96.</w:t>
      </w:r>
    </w:p>
    <w:p w14:paraId="495BA546" w14:textId="77777777" w:rsidR="001F2C0F" w:rsidRPr="001F2C0F" w:rsidRDefault="001F2C0F" w:rsidP="001F2C0F">
      <w:pPr>
        <w:pStyle w:val="EndNoteCategoryHeading"/>
        <w:bidi/>
        <w:rPr>
          <w:rtl/>
        </w:rPr>
      </w:pPr>
      <w:r w:rsidRPr="001F2C0F">
        <w:rPr>
          <w:rtl/>
        </w:rPr>
        <w:t>المراجع الاجنبية</w:t>
      </w:r>
    </w:p>
    <w:p w14:paraId="4818BB87" w14:textId="77777777" w:rsidR="001F2C0F" w:rsidRPr="001F2C0F" w:rsidRDefault="001F2C0F" w:rsidP="001F2C0F">
      <w:pPr>
        <w:pStyle w:val="EndNoteBibliography"/>
        <w:bidi/>
        <w:spacing w:after="0"/>
        <w:ind w:left="720" w:hanging="720"/>
        <w:rPr>
          <w:rtl/>
        </w:rPr>
      </w:pPr>
      <w:r w:rsidRPr="001F2C0F">
        <w:t xml:space="preserve">ABOTALEB, S. A. &amp; ELNAGAR, A. K. 2022. Linking between high-performance work practices (HPWPs) and organizational ambidexterity: an empirical study. </w:t>
      </w:r>
      <w:r w:rsidRPr="001F2C0F">
        <w:rPr>
          <w:i/>
        </w:rPr>
        <w:t>Journal of the Faculty of Tourism and Hotels-University of Sadat City,</w:t>
      </w:r>
      <w:r w:rsidRPr="001F2C0F">
        <w:t xml:space="preserve"> 6</w:t>
      </w:r>
      <w:r w:rsidRPr="001F2C0F">
        <w:rPr>
          <w:rtl/>
        </w:rPr>
        <w:t>.</w:t>
      </w:r>
    </w:p>
    <w:p w14:paraId="41AD0A8C" w14:textId="77777777" w:rsidR="001F2C0F" w:rsidRPr="001F2C0F" w:rsidRDefault="001F2C0F" w:rsidP="001F2C0F">
      <w:pPr>
        <w:pStyle w:val="EndNoteBibliography"/>
        <w:bidi/>
        <w:spacing w:after="0"/>
        <w:ind w:left="720" w:hanging="720"/>
        <w:rPr>
          <w:rtl/>
        </w:rPr>
      </w:pPr>
      <w:r w:rsidRPr="001F2C0F">
        <w:t>ALHARBI, G. L. &amp; ALOUD, M. E. 20</w:t>
      </w:r>
      <w:r w:rsidRPr="001F2C0F">
        <w:rPr>
          <w:rtl/>
        </w:rPr>
        <w:t xml:space="preserve">24. </w:t>
      </w:r>
      <w:r w:rsidRPr="001F2C0F">
        <w:t xml:space="preserve">The effects of knowledge management processes on service sector performance: evidence from Saudi Arabia. </w:t>
      </w:r>
      <w:r w:rsidRPr="001F2C0F">
        <w:rPr>
          <w:i/>
        </w:rPr>
        <w:t>Humanities and Social Sciences Communications,</w:t>
      </w:r>
      <w:r w:rsidRPr="001F2C0F">
        <w:t xml:space="preserve"> 11</w:t>
      </w:r>
      <w:r w:rsidRPr="001F2C0F">
        <w:rPr>
          <w:b/>
        </w:rPr>
        <w:t>,</w:t>
      </w:r>
      <w:r w:rsidRPr="001F2C0F">
        <w:t xml:space="preserve"> 1–19</w:t>
      </w:r>
      <w:r w:rsidRPr="001F2C0F">
        <w:rPr>
          <w:rtl/>
        </w:rPr>
        <w:t>.</w:t>
      </w:r>
    </w:p>
    <w:p w14:paraId="5F2E2D74" w14:textId="77777777" w:rsidR="001F2C0F" w:rsidRPr="001F2C0F" w:rsidRDefault="001F2C0F" w:rsidP="001F2C0F">
      <w:pPr>
        <w:pStyle w:val="EndNoteBibliography"/>
        <w:bidi/>
        <w:spacing w:after="0"/>
        <w:ind w:left="720" w:hanging="720"/>
        <w:rPr>
          <w:rtl/>
        </w:rPr>
      </w:pPr>
      <w:r w:rsidRPr="001F2C0F">
        <w:t xml:space="preserve">ALI TAHA, V., SIRKOVA, M. &amp; FERENCOVA, M. 2016. The impact of organizational culture on creativity and innovation. </w:t>
      </w:r>
      <w:r w:rsidRPr="001F2C0F">
        <w:rPr>
          <w:i/>
        </w:rPr>
        <w:t>Polish journal of management studies,</w:t>
      </w:r>
      <w:r w:rsidRPr="001F2C0F">
        <w:t xml:space="preserve"> 14</w:t>
      </w:r>
      <w:r w:rsidRPr="001F2C0F">
        <w:rPr>
          <w:rtl/>
        </w:rPr>
        <w:t>.</w:t>
      </w:r>
    </w:p>
    <w:p w14:paraId="5A109455" w14:textId="77777777" w:rsidR="001F2C0F" w:rsidRPr="001F2C0F" w:rsidRDefault="001F2C0F" w:rsidP="001F2C0F">
      <w:pPr>
        <w:pStyle w:val="EndNoteBibliography"/>
        <w:bidi/>
        <w:spacing w:after="0"/>
        <w:ind w:left="720" w:hanging="720"/>
        <w:rPr>
          <w:rtl/>
        </w:rPr>
      </w:pPr>
      <w:r w:rsidRPr="001F2C0F">
        <w:t>AMABILE TERESA, M. 1996. Creativity in context. Boulder, CO: Westview Press</w:t>
      </w:r>
      <w:r w:rsidRPr="001F2C0F">
        <w:rPr>
          <w:rtl/>
        </w:rPr>
        <w:t>.</w:t>
      </w:r>
    </w:p>
    <w:p w14:paraId="2C1777B3" w14:textId="77777777" w:rsidR="001F2C0F" w:rsidRPr="001F2C0F" w:rsidRDefault="001F2C0F" w:rsidP="001F2C0F">
      <w:pPr>
        <w:pStyle w:val="EndNoteBibliography"/>
        <w:bidi/>
        <w:spacing w:after="0"/>
        <w:ind w:left="720" w:hanging="720"/>
        <w:rPr>
          <w:rtl/>
        </w:rPr>
      </w:pPr>
      <w:r w:rsidRPr="001F2C0F">
        <w:t xml:space="preserve">AMABILE, T. M. 1988. A model of creativity and innovation in organizations. </w:t>
      </w:r>
      <w:r w:rsidRPr="001F2C0F">
        <w:rPr>
          <w:i/>
        </w:rPr>
        <w:t>Research in organizational behavior,</w:t>
      </w:r>
      <w:r w:rsidRPr="001F2C0F">
        <w:t xml:space="preserve"> 10</w:t>
      </w:r>
      <w:r w:rsidRPr="001F2C0F">
        <w:rPr>
          <w:b/>
        </w:rPr>
        <w:t>,</w:t>
      </w:r>
      <w:r w:rsidRPr="001F2C0F">
        <w:t xml:space="preserve"> 123–167</w:t>
      </w:r>
      <w:r w:rsidRPr="001F2C0F">
        <w:rPr>
          <w:rtl/>
        </w:rPr>
        <w:t>.</w:t>
      </w:r>
    </w:p>
    <w:p w14:paraId="15B7A936" w14:textId="77777777" w:rsidR="001F2C0F" w:rsidRPr="001F2C0F" w:rsidRDefault="001F2C0F" w:rsidP="001F2C0F">
      <w:pPr>
        <w:pStyle w:val="EndNoteBibliography"/>
        <w:bidi/>
        <w:spacing w:after="0"/>
        <w:ind w:left="720" w:hanging="720"/>
        <w:rPr>
          <w:rtl/>
        </w:rPr>
      </w:pPr>
      <w:r w:rsidRPr="001F2C0F">
        <w:t xml:space="preserve">ANDERSON, N., POTOČNIK, K. &amp; ZHOU, J. 2014. Innovation and creativity in organizations: A state-of-the-science review, prospective commentary, and guiding framework. </w:t>
      </w:r>
      <w:r w:rsidRPr="001F2C0F">
        <w:rPr>
          <w:i/>
        </w:rPr>
        <w:t>Journal of management,</w:t>
      </w:r>
      <w:r w:rsidRPr="001F2C0F">
        <w:t xml:space="preserve"> 40</w:t>
      </w:r>
      <w:r w:rsidRPr="001F2C0F">
        <w:rPr>
          <w:b/>
        </w:rPr>
        <w:t>,</w:t>
      </w:r>
      <w:r w:rsidRPr="001F2C0F">
        <w:t xml:space="preserve"> 1297–1333</w:t>
      </w:r>
      <w:r w:rsidRPr="001F2C0F">
        <w:rPr>
          <w:rtl/>
        </w:rPr>
        <w:t>.</w:t>
      </w:r>
    </w:p>
    <w:p w14:paraId="77CF9B6E" w14:textId="0012C705" w:rsidR="001F2C0F" w:rsidRPr="001F2C0F" w:rsidRDefault="001F2C0F" w:rsidP="001F2C0F">
      <w:pPr>
        <w:pStyle w:val="EndNoteBibliography"/>
        <w:bidi/>
        <w:spacing w:after="0"/>
        <w:ind w:left="720" w:hanging="720"/>
        <w:rPr>
          <w:rtl/>
        </w:rPr>
      </w:pPr>
      <w:r w:rsidRPr="001F2C0F">
        <w:lastRenderedPageBreak/>
        <w:t xml:space="preserve">ARABIA, K. O. S. 2016. </w:t>
      </w:r>
      <w:r w:rsidRPr="001F2C0F">
        <w:rPr>
          <w:i/>
        </w:rPr>
        <w:t>Vision 2030</w:t>
      </w:r>
      <w:r w:rsidRPr="001F2C0F">
        <w:rPr>
          <w:i/>
          <w:rtl/>
        </w:rPr>
        <w:t xml:space="preserve">. </w:t>
      </w:r>
      <w:r w:rsidRPr="001F2C0F">
        <w:rPr>
          <w:i/>
        </w:rPr>
        <w:t xml:space="preserve">Kingdom of Saudi Arabia. </w:t>
      </w:r>
      <w:r w:rsidRPr="001F2C0F">
        <w:t xml:space="preserve">[Online]. Available: </w:t>
      </w:r>
      <w:hyperlink r:id="rId15" w:history="1">
        <w:r w:rsidRPr="001F2C0F">
          <w:rPr>
            <w:rStyle w:val="Hyperlink"/>
          </w:rPr>
          <w:t>https://www.vision2030.gov.sa/en</w:t>
        </w:r>
      </w:hyperlink>
      <w:r w:rsidRPr="001F2C0F">
        <w:t xml:space="preserve"> [Accessed]</w:t>
      </w:r>
      <w:r w:rsidRPr="001F2C0F">
        <w:rPr>
          <w:rtl/>
        </w:rPr>
        <w:t>.</w:t>
      </w:r>
    </w:p>
    <w:p w14:paraId="4E314394" w14:textId="77777777" w:rsidR="001F2C0F" w:rsidRPr="001F2C0F" w:rsidRDefault="001F2C0F" w:rsidP="001F2C0F">
      <w:pPr>
        <w:pStyle w:val="EndNoteBibliography"/>
        <w:bidi/>
        <w:spacing w:after="0"/>
        <w:ind w:left="720" w:hanging="720"/>
        <w:rPr>
          <w:rtl/>
        </w:rPr>
      </w:pPr>
      <w:r w:rsidRPr="001F2C0F">
        <w:t xml:space="preserve">BARNEY, J. 1991. Firm resources and sustained competitive advantage. </w:t>
      </w:r>
      <w:r w:rsidRPr="001F2C0F">
        <w:rPr>
          <w:i/>
        </w:rPr>
        <w:t>Journal of management,</w:t>
      </w:r>
      <w:r w:rsidRPr="001F2C0F">
        <w:t xml:space="preserve"> 17</w:t>
      </w:r>
      <w:r w:rsidRPr="001F2C0F">
        <w:rPr>
          <w:b/>
        </w:rPr>
        <w:t>,</w:t>
      </w:r>
      <w:r w:rsidRPr="001F2C0F">
        <w:t xml:space="preserve"> 99–120</w:t>
      </w:r>
      <w:r w:rsidRPr="001F2C0F">
        <w:rPr>
          <w:rtl/>
        </w:rPr>
        <w:t>.</w:t>
      </w:r>
    </w:p>
    <w:p w14:paraId="6AF35D2A" w14:textId="77777777" w:rsidR="001F2C0F" w:rsidRPr="001F2C0F" w:rsidRDefault="001F2C0F" w:rsidP="001F2C0F">
      <w:pPr>
        <w:pStyle w:val="EndNoteBibliography"/>
        <w:bidi/>
        <w:spacing w:after="0"/>
        <w:ind w:left="720" w:hanging="720"/>
        <w:rPr>
          <w:rtl/>
        </w:rPr>
      </w:pPr>
      <w:r w:rsidRPr="001F2C0F">
        <w:t xml:space="preserve">BASS, B. M. &amp; RIGGIO, R. E. 2006. </w:t>
      </w:r>
      <w:r w:rsidRPr="001F2C0F">
        <w:rPr>
          <w:i/>
        </w:rPr>
        <w:t>Transformational leadership</w:t>
      </w:r>
      <w:r w:rsidRPr="001F2C0F">
        <w:t>, Psychology press</w:t>
      </w:r>
      <w:r w:rsidRPr="001F2C0F">
        <w:rPr>
          <w:rtl/>
        </w:rPr>
        <w:t>.</w:t>
      </w:r>
    </w:p>
    <w:p w14:paraId="557E6A82" w14:textId="77777777" w:rsidR="001F2C0F" w:rsidRPr="001F2C0F" w:rsidRDefault="001F2C0F" w:rsidP="001F2C0F">
      <w:pPr>
        <w:pStyle w:val="EndNoteBibliography"/>
        <w:bidi/>
        <w:spacing w:after="0"/>
        <w:ind w:left="720" w:hanging="720"/>
        <w:rPr>
          <w:rtl/>
        </w:rPr>
      </w:pPr>
      <w:r w:rsidRPr="001F2C0F">
        <w:t xml:space="preserve">BAUM, T. 2007. Human resources in tourism: Still waiting for change. </w:t>
      </w:r>
      <w:r w:rsidRPr="001F2C0F">
        <w:rPr>
          <w:i/>
        </w:rPr>
        <w:t>Tourism management,</w:t>
      </w:r>
      <w:r w:rsidRPr="001F2C0F">
        <w:t xml:space="preserve"> 28</w:t>
      </w:r>
      <w:r w:rsidRPr="001F2C0F">
        <w:rPr>
          <w:b/>
        </w:rPr>
        <w:t>,</w:t>
      </w:r>
      <w:r w:rsidRPr="001F2C0F">
        <w:t xml:space="preserve"> 1383–1399</w:t>
      </w:r>
      <w:r w:rsidRPr="001F2C0F">
        <w:rPr>
          <w:rtl/>
        </w:rPr>
        <w:t>.</w:t>
      </w:r>
    </w:p>
    <w:p w14:paraId="061D41EA" w14:textId="77777777" w:rsidR="001F2C0F" w:rsidRPr="001F2C0F" w:rsidRDefault="001F2C0F" w:rsidP="001F2C0F">
      <w:pPr>
        <w:pStyle w:val="EndNoteBibliography"/>
        <w:bidi/>
        <w:spacing w:after="0"/>
        <w:ind w:left="720" w:hanging="720"/>
        <w:rPr>
          <w:rtl/>
        </w:rPr>
      </w:pPr>
      <w:r w:rsidRPr="001F2C0F">
        <w:t xml:space="preserve">BECKER, B. 1998. High performance work systems and firm performance: A synthesis of research and managerial implications. </w:t>
      </w:r>
      <w:r w:rsidRPr="001F2C0F">
        <w:rPr>
          <w:i/>
        </w:rPr>
        <w:t>Research in personnel and human resources management,</w:t>
      </w:r>
      <w:r w:rsidRPr="001F2C0F">
        <w:t xml:space="preserve"> 16</w:t>
      </w:r>
      <w:r w:rsidRPr="001F2C0F">
        <w:rPr>
          <w:b/>
        </w:rPr>
        <w:t>,</w:t>
      </w:r>
      <w:r w:rsidRPr="001F2C0F">
        <w:t xml:space="preserve"> 53</w:t>
      </w:r>
      <w:r w:rsidRPr="001F2C0F">
        <w:rPr>
          <w:rtl/>
        </w:rPr>
        <w:t>.</w:t>
      </w:r>
    </w:p>
    <w:p w14:paraId="766A1085" w14:textId="77777777" w:rsidR="001F2C0F" w:rsidRPr="001F2C0F" w:rsidRDefault="001F2C0F" w:rsidP="001F2C0F">
      <w:pPr>
        <w:pStyle w:val="EndNoteBibliography"/>
        <w:bidi/>
        <w:spacing w:after="0"/>
        <w:ind w:left="720" w:hanging="720"/>
        <w:rPr>
          <w:rtl/>
        </w:rPr>
      </w:pPr>
      <w:r w:rsidRPr="001F2C0F">
        <w:t>BOXALL, P. &amp; MACKY, K. 2009. Research and theory on high</w:t>
      </w:r>
      <w:r w:rsidRPr="001F2C0F">
        <w:rPr>
          <w:rFonts w:ascii="Cambria Math" w:hAnsi="Cambria Math" w:cs="Cambria Math"/>
        </w:rPr>
        <w:t>‐</w:t>
      </w:r>
      <w:r w:rsidRPr="001F2C0F">
        <w:t>performance work systems: progressing the high</w:t>
      </w:r>
      <w:r w:rsidRPr="001F2C0F">
        <w:rPr>
          <w:rFonts w:ascii="Cambria Math" w:hAnsi="Cambria Math" w:cs="Cambria Math"/>
        </w:rPr>
        <w:t>‐</w:t>
      </w:r>
      <w:r w:rsidRPr="001F2C0F">
        <w:t xml:space="preserve">involvement stream. </w:t>
      </w:r>
      <w:r w:rsidRPr="001F2C0F">
        <w:rPr>
          <w:i/>
        </w:rPr>
        <w:t>Human resource management journal,</w:t>
      </w:r>
      <w:r w:rsidRPr="001F2C0F">
        <w:t xml:space="preserve"> 19</w:t>
      </w:r>
      <w:r w:rsidRPr="001F2C0F">
        <w:rPr>
          <w:b/>
        </w:rPr>
        <w:t>,</w:t>
      </w:r>
      <w:r w:rsidRPr="001F2C0F">
        <w:t xml:space="preserve"> 3–23</w:t>
      </w:r>
      <w:r w:rsidRPr="001F2C0F">
        <w:rPr>
          <w:rtl/>
        </w:rPr>
        <w:t>.</w:t>
      </w:r>
    </w:p>
    <w:p w14:paraId="3A853F25" w14:textId="77777777" w:rsidR="001F2C0F" w:rsidRPr="001F2C0F" w:rsidRDefault="001F2C0F" w:rsidP="001F2C0F">
      <w:pPr>
        <w:pStyle w:val="EndNoteBibliography"/>
        <w:bidi/>
        <w:spacing w:after="0"/>
        <w:ind w:left="720" w:hanging="720"/>
        <w:rPr>
          <w:rtl/>
        </w:rPr>
      </w:pPr>
      <w:r w:rsidRPr="001F2C0F">
        <w:t>BOXALL, P. &amp; PURCELL, J. 2022</w:t>
      </w:r>
      <w:r w:rsidRPr="001F2C0F">
        <w:rPr>
          <w:rtl/>
        </w:rPr>
        <w:t xml:space="preserve">. </w:t>
      </w:r>
      <w:r w:rsidRPr="001F2C0F">
        <w:rPr>
          <w:i/>
        </w:rPr>
        <w:t>Strategy and human resource management</w:t>
      </w:r>
      <w:r w:rsidRPr="001F2C0F">
        <w:t>, Bloomsbury Publishing</w:t>
      </w:r>
      <w:r w:rsidRPr="001F2C0F">
        <w:rPr>
          <w:rtl/>
        </w:rPr>
        <w:t>.</w:t>
      </w:r>
    </w:p>
    <w:p w14:paraId="7C959E77" w14:textId="77777777" w:rsidR="001F2C0F" w:rsidRPr="001F2C0F" w:rsidRDefault="001F2C0F" w:rsidP="001F2C0F">
      <w:pPr>
        <w:pStyle w:val="EndNoteBibliography"/>
        <w:bidi/>
        <w:spacing w:after="0"/>
        <w:ind w:left="720" w:hanging="720"/>
        <w:rPr>
          <w:rtl/>
        </w:rPr>
      </w:pPr>
      <w:r w:rsidRPr="001F2C0F">
        <w:t xml:space="preserve">CAMERON, K. S. &amp; QUINN, R. E. 2011. </w:t>
      </w:r>
      <w:r w:rsidRPr="001F2C0F">
        <w:rPr>
          <w:i/>
        </w:rPr>
        <w:t>Diagnosing and Changing Organizational Culture: Based on the Competing Values Framework</w:t>
      </w:r>
      <w:r w:rsidRPr="001F2C0F">
        <w:t>, Wiley</w:t>
      </w:r>
      <w:r w:rsidRPr="001F2C0F">
        <w:rPr>
          <w:rtl/>
        </w:rPr>
        <w:t>.</w:t>
      </w:r>
    </w:p>
    <w:p w14:paraId="324DDB56" w14:textId="77777777" w:rsidR="001F2C0F" w:rsidRPr="001F2C0F" w:rsidRDefault="001F2C0F" w:rsidP="001F2C0F">
      <w:pPr>
        <w:pStyle w:val="EndNoteBibliography"/>
        <w:bidi/>
        <w:spacing w:after="0"/>
        <w:ind w:left="720" w:hanging="720"/>
        <w:rPr>
          <w:rtl/>
        </w:rPr>
      </w:pPr>
      <w:r w:rsidRPr="001F2C0F">
        <w:t xml:space="preserve">CAMERON, K. S. &amp; WHETTEN, D. A. 1983. Organizational effectiveness: one model or several? </w:t>
      </w:r>
      <w:r w:rsidRPr="001F2C0F">
        <w:rPr>
          <w:i/>
        </w:rPr>
        <w:t>Organizational effectiveness.</w:t>
      </w:r>
      <w:r w:rsidRPr="001F2C0F">
        <w:t xml:space="preserve"> Elsevier</w:t>
      </w:r>
      <w:r w:rsidRPr="001F2C0F">
        <w:rPr>
          <w:rtl/>
        </w:rPr>
        <w:t>.</w:t>
      </w:r>
    </w:p>
    <w:p w14:paraId="2DAC0486" w14:textId="77777777" w:rsidR="001F2C0F" w:rsidRPr="001F2C0F" w:rsidRDefault="001F2C0F" w:rsidP="001F2C0F">
      <w:pPr>
        <w:pStyle w:val="EndNoteBibliography"/>
        <w:bidi/>
        <w:spacing w:after="0"/>
        <w:ind w:left="720" w:hanging="720"/>
        <w:rPr>
          <w:rtl/>
        </w:rPr>
      </w:pPr>
      <w:r w:rsidRPr="001F2C0F">
        <w:t xml:space="preserve">CHANG, P.-C. &amp; CHEN, S.-J. 2011. Crossing the level of employee's performance: HPWS, affective commitment, human capital, and employee job performance in professional service organizations. </w:t>
      </w:r>
      <w:r w:rsidRPr="001F2C0F">
        <w:rPr>
          <w:i/>
        </w:rPr>
        <w:t>The international journal of human resource management,</w:t>
      </w:r>
      <w:r w:rsidRPr="001F2C0F">
        <w:t xml:space="preserve"> 22</w:t>
      </w:r>
      <w:r w:rsidRPr="001F2C0F">
        <w:rPr>
          <w:b/>
        </w:rPr>
        <w:t>,</w:t>
      </w:r>
      <w:r w:rsidRPr="001F2C0F">
        <w:t xml:space="preserve"> 883–901</w:t>
      </w:r>
      <w:r w:rsidRPr="001F2C0F">
        <w:rPr>
          <w:rtl/>
        </w:rPr>
        <w:t>.</w:t>
      </w:r>
    </w:p>
    <w:p w14:paraId="1ACF5607" w14:textId="77777777" w:rsidR="001F2C0F" w:rsidRPr="001F2C0F" w:rsidRDefault="001F2C0F" w:rsidP="001F2C0F">
      <w:pPr>
        <w:pStyle w:val="EndNoteBibliography"/>
        <w:bidi/>
        <w:spacing w:after="0"/>
        <w:ind w:left="720" w:hanging="720"/>
        <w:rPr>
          <w:rtl/>
        </w:rPr>
      </w:pPr>
      <w:r w:rsidRPr="001F2C0F">
        <w:t xml:space="preserve">CHANG, S. C. &amp; LEE, M. S. 2007. A study on relationship among leadership, organizational culture, the operation of learning organization and employees' job satisfaction. </w:t>
      </w:r>
      <w:r w:rsidRPr="001F2C0F">
        <w:rPr>
          <w:i/>
        </w:rPr>
        <w:t>The learning organization,</w:t>
      </w:r>
      <w:r w:rsidRPr="001F2C0F">
        <w:t xml:space="preserve"> 14</w:t>
      </w:r>
      <w:r w:rsidRPr="001F2C0F">
        <w:rPr>
          <w:b/>
        </w:rPr>
        <w:t>,</w:t>
      </w:r>
      <w:r w:rsidRPr="001F2C0F">
        <w:t xml:space="preserve"> 155–185</w:t>
      </w:r>
      <w:r w:rsidRPr="001F2C0F">
        <w:rPr>
          <w:rtl/>
        </w:rPr>
        <w:t>.</w:t>
      </w:r>
    </w:p>
    <w:p w14:paraId="4627B135" w14:textId="77777777" w:rsidR="001F2C0F" w:rsidRPr="001F2C0F" w:rsidRDefault="001F2C0F" w:rsidP="001F2C0F">
      <w:pPr>
        <w:pStyle w:val="EndNoteBibliography"/>
        <w:bidi/>
        <w:spacing w:after="0"/>
        <w:ind w:left="720" w:hanging="720"/>
        <w:rPr>
          <w:rtl/>
        </w:rPr>
      </w:pPr>
      <w:r w:rsidRPr="001F2C0F">
        <w:t xml:space="preserve">CHOWHAN, J. 2016. Unpacking the black box: understanding the relationship between strategy, HRM practices, innovation and organizational performance. </w:t>
      </w:r>
      <w:r w:rsidRPr="001F2C0F">
        <w:rPr>
          <w:i/>
        </w:rPr>
        <w:t>Human Resource Management Journal,</w:t>
      </w:r>
      <w:r w:rsidRPr="001F2C0F">
        <w:t xml:space="preserve"> 26</w:t>
      </w:r>
      <w:r w:rsidRPr="001F2C0F">
        <w:rPr>
          <w:b/>
        </w:rPr>
        <w:t>,</w:t>
      </w:r>
      <w:r w:rsidRPr="001F2C0F">
        <w:t xml:space="preserve"> 112–133</w:t>
      </w:r>
      <w:r w:rsidRPr="001F2C0F">
        <w:rPr>
          <w:rtl/>
        </w:rPr>
        <w:t>.</w:t>
      </w:r>
    </w:p>
    <w:p w14:paraId="6D03B900" w14:textId="77777777" w:rsidR="001F2C0F" w:rsidRPr="001F2C0F" w:rsidRDefault="001F2C0F" w:rsidP="001F2C0F">
      <w:pPr>
        <w:pStyle w:val="EndNoteBibliography"/>
        <w:bidi/>
        <w:spacing w:after="0"/>
        <w:ind w:left="720" w:hanging="720"/>
        <w:rPr>
          <w:rtl/>
        </w:rPr>
      </w:pPr>
      <w:r w:rsidRPr="001F2C0F">
        <w:t>CHUANG, C.-H., JACKSON, S. E</w:t>
      </w:r>
      <w:r w:rsidRPr="001F2C0F">
        <w:rPr>
          <w:rtl/>
        </w:rPr>
        <w:t xml:space="preserve">. &amp; </w:t>
      </w:r>
      <w:r w:rsidRPr="001F2C0F">
        <w:t xml:space="preserve">JIANG, Y. 2016. Can knowledge-intensive teamwork be managed? Examining the roles of HRM systems, leadership, and tacit knowledge. </w:t>
      </w:r>
      <w:r w:rsidRPr="001F2C0F">
        <w:rPr>
          <w:i/>
        </w:rPr>
        <w:t>Journal of management,</w:t>
      </w:r>
      <w:r w:rsidRPr="001F2C0F">
        <w:t xml:space="preserve"> 42</w:t>
      </w:r>
      <w:r w:rsidRPr="001F2C0F">
        <w:rPr>
          <w:b/>
        </w:rPr>
        <w:t>,</w:t>
      </w:r>
      <w:r w:rsidRPr="001F2C0F">
        <w:t xml:space="preserve"> 524–554</w:t>
      </w:r>
      <w:r w:rsidRPr="001F2C0F">
        <w:rPr>
          <w:rtl/>
        </w:rPr>
        <w:t>.</w:t>
      </w:r>
    </w:p>
    <w:p w14:paraId="0B30C9D2" w14:textId="77777777" w:rsidR="001F2C0F" w:rsidRPr="001F2C0F" w:rsidRDefault="001F2C0F" w:rsidP="001F2C0F">
      <w:pPr>
        <w:pStyle w:val="EndNoteBibliography"/>
        <w:bidi/>
        <w:spacing w:after="0"/>
        <w:ind w:left="720" w:hanging="720"/>
        <w:rPr>
          <w:rtl/>
        </w:rPr>
      </w:pPr>
      <w:r w:rsidRPr="001F2C0F">
        <w:t>COMBS, J., LIU, Y., HALL, A. &amp; KETCHEN, D. 2006. How much do high</w:t>
      </w:r>
      <w:r w:rsidRPr="001F2C0F">
        <w:rPr>
          <w:rFonts w:ascii="Cambria Math" w:hAnsi="Cambria Math" w:cs="Cambria Math"/>
        </w:rPr>
        <w:t>‐</w:t>
      </w:r>
      <w:r w:rsidRPr="001F2C0F">
        <w:t>performance work practices matter? A meta</w:t>
      </w:r>
      <w:r w:rsidRPr="001F2C0F">
        <w:rPr>
          <w:rFonts w:ascii="Cambria Math" w:hAnsi="Cambria Math" w:cs="Cambria Math"/>
        </w:rPr>
        <w:t>‐</w:t>
      </w:r>
      <w:r w:rsidRPr="001F2C0F">
        <w:t xml:space="preserve">analysis of their effects on organizational performance. </w:t>
      </w:r>
      <w:r w:rsidRPr="001F2C0F">
        <w:rPr>
          <w:i/>
        </w:rPr>
        <w:t>Personnel psychology,</w:t>
      </w:r>
      <w:r w:rsidRPr="001F2C0F">
        <w:t xml:space="preserve"> 59</w:t>
      </w:r>
      <w:r w:rsidRPr="001F2C0F">
        <w:rPr>
          <w:b/>
        </w:rPr>
        <w:t>,</w:t>
      </w:r>
      <w:r w:rsidRPr="001F2C0F">
        <w:t xml:space="preserve"> 501–528</w:t>
      </w:r>
      <w:r w:rsidRPr="001F2C0F">
        <w:rPr>
          <w:rtl/>
        </w:rPr>
        <w:t>.</w:t>
      </w:r>
    </w:p>
    <w:p w14:paraId="54E33DFB" w14:textId="77777777" w:rsidR="001F2C0F" w:rsidRPr="001F2C0F" w:rsidRDefault="001F2C0F" w:rsidP="001F2C0F">
      <w:pPr>
        <w:pStyle w:val="EndNoteBibliography"/>
        <w:bidi/>
        <w:spacing w:after="0"/>
        <w:ind w:left="720" w:hanging="720"/>
        <w:rPr>
          <w:rtl/>
        </w:rPr>
      </w:pPr>
      <w:r w:rsidRPr="001F2C0F">
        <w:t>DEAL, T. E. &amp; KENNEDY, A. A. 1983. Corporate cultures: The rites and rituals of corporate life: Addison-Wesley, 1982. ISBN: 0-201-10277-3</w:t>
      </w:r>
      <w:r w:rsidRPr="001F2C0F">
        <w:rPr>
          <w:rtl/>
        </w:rPr>
        <w:t xml:space="preserve">. $14.95. </w:t>
      </w:r>
      <w:r w:rsidRPr="001F2C0F">
        <w:rPr>
          <w:i/>
        </w:rPr>
        <w:t>Business Horizons,</w:t>
      </w:r>
      <w:r w:rsidRPr="001F2C0F">
        <w:t xml:space="preserve"> 26</w:t>
      </w:r>
      <w:r w:rsidRPr="001F2C0F">
        <w:rPr>
          <w:b/>
        </w:rPr>
        <w:t>,</w:t>
      </w:r>
      <w:r w:rsidRPr="001F2C0F">
        <w:t xml:space="preserve"> 82–85</w:t>
      </w:r>
      <w:r w:rsidRPr="001F2C0F">
        <w:rPr>
          <w:rtl/>
        </w:rPr>
        <w:t>.</w:t>
      </w:r>
    </w:p>
    <w:p w14:paraId="7652CAA1" w14:textId="77777777" w:rsidR="001F2C0F" w:rsidRPr="001F2C0F" w:rsidRDefault="001F2C0F" w:rsidP="001F2C0F">
      <w:pPr>
        <w:pStyle w:val="EndNoteBibliography"/>
        <w:bidi/>
        <w:spacing w:after="0"/>
        <w:ind w:left="720" w:hanging="720"/>
        <w:rPr>
          <w:rtl/>
        </w:rPr>
      </w:pPr>
      <w:r w:rsidRPr="001F2C0F">
        <w:t xml:space="preserve">DELERY, J. E. &amp; DOTY, D. H. 1996. Modes of theorizing in strategic human resource management: Tests of universalistic, contingency, and configurational performance predictions. </w:t>
      </w:r>
      <w:r w:rsidRPr="001F2C0F">
        <w:rPr>
          <w:i/>
        </w:rPr>
        <w:t>Academy of management Journal,</w:t>
      </w:r>
      <w:r w:rsidRPr="001F2C0F">
        <w:t xml:space="preserve"> 39</w:t>
      </w:r>
      <w:r w:rsidRPr="001F2C0F">
        <w:rPr>
          <w:b/>
        </w:rPr>
        <w:t>,</w:t>
      </w:r>
      <w:r w:rsidRPr="001F2C0F">
        <w:t xml:space="preserve"> 802–83</w:t>
      </w:r>
      <w:r w:rsidRPr="001F2C0F">
        <w:rPr>
          <w:rtl/>
        </w:rPr>
        <w:t>5.</w:t>
      </w:r>
    </w:p>
    <w:p w14:paraId="364D14A3" w14:textId="77777777" w:rsidR="001F2C0F" w:rsidRPr="001F2C0F" w:rsidRDefault="001F2C0F" w:rsidP="001F2C0F">
      <w:pPr>
        <w:pStyle w:val="EndNoteBibliography"/>
        <w:bidi/>
        <w:spacing w:after="0"/>
        <w:ind w:left="720" w:hanging="720"/>
        <w:rPr>
          <w:rtl/>
        </w:rPr>
      </w:pPr>
      <w:r w:rsidRPr="001F2C0F">
        <w:t xml:space="preserve">DEN HARTOG, D. N. &amp; VERBURG, R. M. 2004. High performance work systems, organisational culture and firm effectiveness. </w:t>
      </w:r>
      <w:r w:rsidRPr="001F2C0F">
        <w:rPr>
          <w:i/>
        </w:rPr>
        <w:t>Human Resource Management Journal,</w:t>
      </w:r>
      <w:r w:rsidRPr="001F2C0F">
        <w:t xml:space="preserve"> 14</w:t>
      </w:r>
      <w:r w:rsidRPr="001F2C0F">
        <w:rPr>
          <w:b/>
        </w:rPr>
        <w:t>,</w:t>
      </w:r>
      <w:r w:rsidRPr="001F2C0F">
        <w:t xml:space="preserve"> 55–78</w:t>
      </w:r>
      <w:r w:rsidRPr="001F2C0F">
        <w:rPr>
          <w:rtl/>
        </w:rPr>
        <w:t>.</w:t>
      </w:r>
    </w:p>
    <w:p w14:paraId="6223B506" w14:textId="77777777" w:rsidR="001F2C0F" w:rsidRPr="001F2C0F" w:rsidRDefault="001F2C0F" w:rsidP="001F2C0F">
      <w:pPr>
        <w:pStyle w:val="EndNoteBibliography"/>
        <w:bidi/>
        <w:spacing w:after="0"/>
        <w:ind w:left="720" w:hanging="720"/>
        <w:rPr>
          <w:rtl/>
        </w:rPr>
      </w:pPr>
      <w:r w:rsidRPr="001F2C0F">
        <w:lastRenderedPageBreak/>
        <w:t xml:space="preserve">DENISON, D. 1990. Corporate culture and organizational. </w:t>
      </w:r>
      <w:r w:rsidRPr="001F2C0F">
        <w:rPr>
          <w:i/>
        </w:rPr>
        <w:t>New York: Wiley. Dike, P</w:t>
      </w:r>
      <w:r w:rsidRPr="001F2C0F">
        <w:rPr>
          <w:i/>
          <w:rtl/>
        </w:rPr>
        <w:t xml:space="preserve">.(2013). </w:t>
      </w:r>
      <w:r w:rsidRPr="001F2C0F">
        <w:rPr>
          <w:i/>
        </w:rPr>
        <w:t>The impact of workplace diversity on organizations. Dobbin, F., &amp; Jung, J.(2010). Corporate board gender diversity and stock performance: The competence gap or institutional investor bias. NCL Rev,</w:t>
      </w:r>
      <w:r w:rsidRPr="001F2C0F">
        <w:t xml:space="preserve"> 89</w:t>
      </w:r>
      <w:r w:rsidRPr="001F2C0F">
        <w:rPr>
          <w:b/>
        </w:rPr>
        <w:t>,</w:t>
      </w:r>
      <w:r w:rsidRPr="001F2C0F">
        <w:t xml:space="preserve"> 809</w:t>
      </w:r>
      <w:r w:rsidRPr="001F2C0F">
        <w:rPr>
          <w:rtl/>
        </w:rPr>
        <w:t>.</w:t>
      </w:r>
    </w:p>
    <w:p w14:paraId="56EEC29E" w14:textId="77777777" w:rsidR="001F2C0F" w:rsidRPr="001F2C0F" w:rsidRDefault="001F2C0F" w:rsidP="001F2C0F">
      <w:pPr>
        <w:pStyle w:val="EndNoteBibliography"/>
        <w:bidi/>
        <w:spacing w:after="0"/>
        <w:ind w:left="720" w:hanging="720"/>
        <w:rPr>
          <w:rtl/>
        </w:rPr>
      </w:pPr>
      <w:r w:rsidRPr="001F2C0F">
        <w:t>DENISON, D. R. &amp; MISHRA, A. K. 1995. Toward a</w:t>
      </w:r>
      <w:r w:rsidRPr="001F2C0F">
        <w:rPr>
          <w:rtl/>
        </w:rPr>
        <w:t xml:space="preserve"> </w:t>
      </w:r>
      <w:r w:rsidRPr="001F2C0F">
        <w:t xml:space="preserve">theory of organizational culture and effectiveness. </w:t>
      </w:r>
      <w:r w:rsidRPr="001F2C0F">
        <w:rPr>
          <w:i/>
        </w:rPr>
        <w:t>Organization science,</w:t>
      </w:r>
      <w:r w:rsidRPr="001F2C0F">
        <w:t xml:space="preserve"> 6</w:t>
      </w:r>
      <w:r w:rsidRPr="001F2C0F">
        <w:rPr>
          <w:b/>
        </w:rPr>
        <w:t>,</w:t>
      </w:r>
      <w:r w:rsidRPr="001F2C0F">
        <w:t xml:space="preserve"> 204–223</w:t>
      </w:r>
      <w:r w:rsidRPr="001F2C0F">
        <w:rPr>
          <w:rtl/>
        </w:rPr>
        <w:t>.</w:t>
      </w:r>
    </w:p>
    <w:p w14:paraId="28EA0943" w14:textId="77777777" w:rsidR="001F2C0F" w:rsidRPr="001F2C0F" w:rsidRDefault="001F2C0F" w:rsidP="001F2C0F">
      <w:pPr>
        <w:pStyle w:val="EndNoteBibliography"/>
        <w:bidi/>
        <w:spacing w:after="0"/>
        <w:ind w:left="720" w:hanging="720"/>
        <w:rPr>
          <w:rtl/>
        </w:rPr>
      </w:pPr>
      <w:r w:rsidRPr="001F2C0F">
        <w:t xml:space="preserve">EDMONDSON, A. 1999. Psychological safety and learning behavior in work teams. </w:t>
      </w:r>
      <w:r w:rsidRPr="001F2C0F">
        <w:rPr>
          <w:i/>
        </w:rPr>
        <w:t>Administrative science quarterly,</w:t>
      </w:r>
      <w:r w:rsidRPr="001F2C0F">
        <w:t xml:space="preserve"> 44</w:t>
      </w:r>
      <w:r w:rsidRPr="001F2C0F">
        <w:rPr>
          <w:b/>
        </w:rPr>
        <w:t>,</w:t>
      </w:r>
      <w:r w:rsidRPr="001F2C0F">
        <w:t xml:space="preserve"> 350–383</w:t>
      </w:r>
      <w:r w:rsidRPr="001F2C0F">
        <w:rPr>
          <w:rtl/>
        </w:rPr>
        <w:t>.</w:t>
      </w:r>
    </w:p>
    <w:p w14:paraId="51B01DCE" w14:textId="77777777" w:rsidR="001F2C0F" w:rsidRPr="001F2C0F" w:rsidRDefault="001F2C0F" w:rsidP="001F2C0F">
      <w:pPr>
        <w:pStyle w:val="EndNoteBibliography"/>
        <w:bidi/>
        <w:spacing w:after="0"/>
        <w:ind w:left="720" w:hanging="720"/>
        <w:rPr>
          <w:rtl/>
        </w:rPr>
      </w:pPr>
      <w:r w:rsidRPr="001F2C0F">
        <w:t>FONDAS, N. 1991. Corporate culture and organizational effectiveness. Academy of Management Briarcliff Manor, NY 10510</w:t>
      </w:r>
      <w:r w:rsidRPr="001F2C0F">
        <w:rPr>
          <w:rtl/>
        </w:rPr>
        <w:t>.</w:t>
      </w:r>
    </w:p>
    <w:p w14:paraId="426D2281" w14:textId="77777777" w:rsidR="001F2C0F" w:rsidRPr="001F2C0F" w:rsidRDefault="001F2C0F" w:rsidP="001F2C0F">
      <w:pPr>
        <w:pStyle w:val="EndNoteBibliography"/>
        <w:bidi/>
        <w:spacing w:after="0"/>
        <w:ind w:left="720" w:hanging="720"/>
        <w:rPr>
          <w:rtl/>
        </w:rPr>
      </w:pPr>
      <w:r w:rsidRPr="001F2C0F">
        <w:t xml:space="preserve">GEORGE, J. M. 2007. 9 Creativity in organizations. </w:t>
      </w:r>
      <w:r w:rsidRPr="001F2C0F">
        <w:rPr>
          <w:i/>
        </w:rPr>
        <w:t>The academy of management annals,</w:t>
      </w:r>
      <w:r w:rsidRPr="001F2C0F">
        <w:t xml:space="preserve"> 1</w:t>
      </w:r>
      <w:r w:rsidRPr="001F2C0F">
        <w:rPr>
          <w:b/>
        </w:rPr>
        <w:t>,</w:t>
      </w:r>
      <w:r w:rsidRPr="001F2C0F">
        <w:t xml:space="preserve"> 439–477</w:t>
      </w:r>
      <w:r w:rsidRPr="001F2C0F">
        <w:rPr>
          <w:rtl/>
        </w:rPr>
        <w:t>.</w:t>
      </w:r>
    </w:p>
    <w:p w14:paraId="533FC107" w14:textId="77777777" w:rsidR="001F2C0F" w:rsidRPr="001F2C0F" w:rsidRDefault="001F2C0F" w:rsidP="001F2C0F">
      <w:pPr>
        <w:pStyle w:val="EndNoteBibliography"/>
        <w:bidi/>
        <w:spacing w:after="0"/>
        <w:ind w:left="720" w:hanging="720"/>
        <w:rPr>
          <w:rtl/>
        </w:rPr>
      </w:pPr>
      <w:r w:rsidRPr="001F2C0F">
        <w:t>GUILFORD, J. 1950. Creativity. American Psychology. 5 (9), 444–454</w:t>
      </w:r>
      <w:r w:rsidRPr="001F2C0F">
        <w:rPr>
          <w:rtl/>
        </w:rPr>
        <w:t>.</w:t>
      </w:r>
    </w:p>
    <w:p w14:paraId="5C881A3B" w14:textId="77777777" w:rsidR="001F2C0F" w:rsidRPr="001F2C0F" w:rsidRDefault="001F2C0F" w:rsidP="001F2C0F">
      <w:pPr>
        <w:pStyle w:val="EndNoteBibliography"/>
        <w:bidi/>
        <w:spacing w:after="0"/>
        <w:ind w:left="720" w:hanging="720"/>
        <w:rPr>
          <w:rtl/>
        </w:rPr>
      </w:pPr>
      <w:r w:rsidRPr="001F2C0F">
        <w:t>HARTNELL, C. A</w:t>
      </w:r>
      <w:r w:rsidRPr="001F2C0F">
        <w:rPr>
          <w:rtl/>
        </w:rPr>
        <w:t xml:space="preserve">., </w:t>
      </w:r>
      <w:r w:rsidRPr="001F2C0F">
        <w:t xml:space="preserve">KINICKI, A. J., LAMBERT, L. S., FUGATE, M. &amp; DOYLE CORNER, P. 2016. Do similarities or differences between CEO leadership and organizational culture have a more positive effect on firm performance? A test of competing predictions. </w:t>
      </w:r>
      <w:r w:rsidRPr="001F2C0F">
        <w:rPr>
          <w:i/>
        </w:rPr>
        <w:t>Journal of Applied Psychology,</w:t>
      </w:r>
      <w:r w:rsidRPr="001F2C0F">
        <w:t xml:space="preserve"> 101</w:t>
      </w:r>
      <w:r w:rsidRPr="001F2C0F">
        <w:rPr>
          <w:b/>
        </w:rPr>
        <w:t>,</w:t>
      </w:r>
      <w:r w:rsidRPr="001F2C0F">
        <w:t xml:space="preserve"> 846</w:t>
      </w:r>
      <w:r w:rsidRPr="001F2C0F">
        <w:rPr>
          <w:rtl/>
        </w:rPr>
        <w:t>.</w:t>
      </w:r>
    </w:p>
    <w:p w14:paraId="31C5EC2E" w14:textId="77777777" w:rsidR="001F2C0F" w:rsidRPr="001F2C0F" w:rsidRDefault="001F2C0F" w:rsidP="001F2C0F">
      <w:pPr>
        <w:pStyle w:val="EndNoteBibliography"/>
        <w:bidi/>
        <w:spacing w:after="0"/>
        <w:ind w:left="720" w:hanging="720"/>
        <w:rPr>
          <w:rtl/>
        </w:rPr>
      </w:pPr>
      <w:r w:rsidRPr="001F2C0F">
        <w:t xml:space="preserve">HOFSTEDE, G. 2001. </w:t>
      </w:r>
      <w:r w:rsidRPr="001F2C0F">
        <w:rPr>
          <w:i/>
        </w:rPr>
        <w:t>Culture's consequences: Comparing values, behaviors, institutions and organizations across nations</w:t>
      </w:r>
      <w:r w:rsidRPr="001F2C0F">
        <w:t>, Sage publications</w:t>
      </w:r>
      <w:r w:rsidRPr="001F2C0F">
        <w:rPr>
          <w:rtl/>
        </w:rPr>
        <w:t>.</w:t>
      </w:r>
    </w:p>
    <w:p w14:paraId="52F42465" w14:textId="77777777" w:rsidR="001F2C0F" w:rsidRPr="001F2C0F" w:rsidRDefault="001F2C0F" w:rsidP="001F2C0F">
      <w:pPr>
        <w:pStyle w:val="EndNoteBibliography"/>
        <w:bidi/>
        <w:spacing w:after="0"/>
        <w:ind w:left="720" w:hanging="720"/>
        <w:rPr>
          <w:rtl/>
        </w:rPr>
      </w:pPr>
      <w:r w:rsidRPr="001F2C0F">
        <w:t xml:space="preserve">HOFSTEDE, G., HOFSTEDE, G. &amp; MINKOV, M. 2010. Cultures and organizations: Software of the mind, 3rd McGraw Hill. </w:t>
      </w:r>
      <w:r w:rsidRPr="001F2C0F">
        <w:rPr>
          <w:i/>
        </w:rPr>
        <w:t>New York</w:t>
      </w:r>
      <w:r w:rsidRPr="001F2C0F">
        <w:rPr>
          <w:rtl/>
        </w:rPr>
        <w:t>.</w:t>
      </w:r>
    </w:p>
    <w:p w14:paraId="5759EA31" w14:textId="77777777" w:rsidR="001F2C0F" w:rsidRPr="001F2C0F" w:rsidRDefault="001F2C0F" w:rsidP="001F2C0F">
      <w:pPr>
        <w:pStyle w:val="EndNoteBibliography"/>
        <w:bidi/>
        <w:spacing w:after="0"/>
        <w:ind w:left="720" w:hanging="720"/>
        <w:rPr>
          <w:rtl/>
        </w:rPr>
      </w:pPr>
      <w:r w:rsidRPr="001F2C0F">
        <w:t xml:space="preserve">ISAKSEN, S. G. &amp; EKVALL, G. 2010. Managing for innovation: The two faces of tension in creative climates. </w:t>
      </w:r>
      <w:r w:rsidRPr="001F2C0F">
        <w:rPr>
          <w:i/>
        </w:rPr>
        <w:t>Creativity and innovation management,</w:t>
      </w:r>
      <w:r w:rsidRPr="001F2C0F">
        <w:t xml:space="preserve"> 19</w:t>
      </w:r>
      <w:r w:rsidRPr="001F2C0F">
        <w:rPr>
          <w:b/>
        </w:rPr>
        <w:t>,</w:t>
      </w:r>
      <w:r w:rsidRPr="001F2C0F">
        <w:t xml:space="preserve"> 73–88</w:t>
      </w:r>
      <w:r w:rsidRPr="001F2C0F">
        <w:rPr>
          <w:rtl/>
        </w:rPr>
        <w:t>.</w:t>
      </w:r>
    </w:p>
    <w:p w14:paraId="29F5AA54" w14:textId="77777777" w:rsidR="001F2C0F" w:rsidRPr="001F2C0F" w:rsidRDefault="001F2C0F" w:rsidP="001F2C0F">
      <w:pPr>
        <w:pStyle w:val="EndNoteBibliography"/>
        <w:bidi/>
        <w:spacing w:after="0"/>
        <w:ind w:left="720" w:hanging="720"/>
        <w:rPr>
          <w:rtl/>
        </w:rPr>
      </w:pPr>
      <w:r w:rsidRPr="001F2C0F">
        <w:t xml:space="preserve">JASKYTE, K. &amp; DRESSLER, W. W. 2005. Organizational culture and innovation in nonprofit human service organizations. </w:t>
      </w:r>
      <w:r w:rsidRPr="001F2C0F">
        <w:rPr>
          <w:i/>
        </w:rPr>
        <w:t>Administration in social work,</w:t>
      </w:r>
      <w:r w:rsidRPr="001F2C0F">
        <w:t xml:space="preserve"> 29</w:t>
      </w:r>
      <w:r w:rsidRPr="001F2C0F">
        <w:rPr>
          <w:b/>
        </w:rPr>
        <w:t>,</w:t>
      </w:r>
      <w:r w:rsidRPr="001F2C0F">
        <w:t xml:space="preserve"> 23–41</w:t>
      </w:r>
      <w:r w:rsidRPr="001F2C0F">
        <w:rPr>
          <w:rtl/>
        </w:rPr>
        <w:t>.</w:t>
      </w:r>
    </w:p>
    <w:p w14:paraId="06630698" w14:textId="77777777" w:rsidR="001F2C0F" w:rsidRPr="001F2C0F" w:rsidRDefault="001F2C0F" w:rsidP="001F2C0F">
      <w:pPr>
        <w:pStyle w:val="EndNoteBibliography"/>
        <w:bidi/>
        <w:spacing w:after="0"/>
        <w:ind w:left="720" w:hanging="720"/>
        <w:rPr>
          <w:rtl/>
        </w:rPr>
      </w:pPr>
      <w:r w:rsidRPr="001F2C0F">
        <w:t xml:space="preserve">JIANG, K., LEPAK, D. P., HU, J. &amp; BAER, J. C. 2012. How does human resource management influence organizational outcomes? A meta-analytic investigation of mediating mechanisms. </w:t>
      </w:r>
      <w:r w:rsidRPr="001F2C0F">
        <w:rPr>
          <w:i/>
        </w:rPr>
        <w:t>Academy of management Journal,</w:t>
      </w:r>
      <w:r w:rsidRPr="001F2C0F">
        <w:t xml:space="preserve"> 55</w:t>
      </w:r>
      <w:r w:rsidRPr="001F2C0F">
        <w:rPr>
          <w:b/>
        </w:rPr>
        <w:t>,</w:t>
      </w:r>
      <w:r w:rsidRPr="001F2C0F">
        <w:t xml:space="preserve"> 1264–1294</w:t>
      </w:r>
      <w:r w:rsidRPr="001F2C0F">
        <w:rPr>
          <w:rtl/>
        </w:rPr>
        <w:t>.</w:t>
      </w:r>
    </w:p>
    <w:p w14:paraId="5257BD3A" w14:textId="77777777" w:rsidR="001F2C0F" w:rsidRPr="001F2C0F" w:rsidRDefault="001F2C0F" w:rsidP="001F2C0F">
      <w:pPr>
        <w:pStyle w:val="EndNoteBibliography"/>
        <w:bidi/>
        <w:spacing w:after="0"/>
        <w:ind w:left="720" w:hanging="720"/>
        <w:rPr>
          <w:rtl/>
        </w:rPr>
      </w:pPr>
      <w:r w:rsidRPr="001F2C0F">
        <w:t xml:space="preserve">JYOTI, J. &amp; RANI, A. 2017. High performance work system and organisational performance: Role of knowledge management. </w:t>
      </w:r>
      <w:r w:rsidRPr="001F2C0F">
        <w:rPr>
          <w:i/>
        </w:rPr>
        <w:t>Personnel Review,</w:t>
      </w:r>
      <w:r w:rsidRPr="001F2C0F">
        <w:t xml:space="preserve"> 46</w:t>
      </w:r>
      <w:r w:rsidRPr="001F2C0F">
        <w:rPr>
          <w:b/>
        </w:rPr>
        <w:t>,</w:t>
      </w:r>
      <w:r w:rsidRPr="001F2C0F">
        <w:t xml:space="preserve"> 1770–1795</w:t>
      </w:r>
      <w:r w:rsidRPr="001F2C0F">
        <w:rPr>
          <w:rtl/>
        </w:rPr>
        <w:t>.</w:t>
      </w:r>
    </w:p>
    <w:p w14:paraId="0EC8BDB6" w14:textId="77777777" w:rsidR="001F2C0F" w:rsidRPr="001F2C0F" w:rsidRDefault="001F2C0F" w:rsidP="001F2C0F">
      <w:pPr>
        <w:pStyle w:val="EndNoteBibliography"/>
        <w:bidi/>
        <w:spacing w:after="0"/>
        <w:ind w:left="720" w:hanging="720"/>
        <w:rPr>
          <w:rtl/>
        </w:rPr>
      </w:pPr>
      <w:r w:rsidRPr="001F2C0F">
        <w:t xml:space="preserve">KABANGIRE, J. &amp; KORIR, J. 2023. Innovation and creativity in hospitality management. </w:t>
      </w:r>
      <w:r w:rsidRPr="001F2C0F">
        <w:rPr>
          <w:i/>
        </w:rPr>
        <w:t>Journal of Hospitality and Tourism,</w:t>
      </w:r>
      <w:r w:rsidRPr="001F2C0F">
        <w:t xml:space="preserve"> 3</w:t>
      </w:r>
      <w:r w:rsidRPr="001F2C0F">
        <w:rPr>
          <w:b/>
        </w:rPr>
        <w:t>,</w:t>
      </w:r>
      <w:r w:rsidRPr="001F2C0F">
        <w:t xml:space="preserve"> 20–41</w:t>
      </w:r>
      <w:r w:rsidRPr="001F2C0F">
        <w:rPr>
          <w:rtl/>
        </w:rPr>
        <w:t>.</w:t>
      </w:r>
    </w:p>
    <w:p w14:paraId="3815464A" w14:textId="77777777" w:rsidR="001F2C0F" w:rsidRPr="001F2C0F" w:rsidRDefault="001F2C0F" w:rsidP="001F2C0F">
      <w:pPr>
        <w:pStyle w:val="EndNoteBibliography"/>
        <w:bidi/>
        <w:spacing w:after="0"/>
        <w:ind w:left="720" w:hanging="720"/>
        <w:rPr>
          <w:rtl/>
        </w:rPr>
      </w:pPr>
      <w:r w:rsidRPr="001F2C0F">
        <w:t xml:space="preserve">KAUFMAN, B. E. 2015. Market competition, HRM, and firm performance: The conventional paradigm critiqued and reformulated. </w:t>
      </w:r>
      <w:r w:rsidRPr="001F2C0F">
        <w:rPr>
          <w:i/>
        </w:rPr>
        <w:t>Human Resource Management Review,</w:t>
      </w:r>
      <w:r w:rsidRPr="001F2C0F">
        <w:t xml:space="preserve"> 25</w:t>
      </w:r>
      <w:r w:rsidRPr="001F2C0F">
        <w:rPr>
          <w:b/>
        </w:rPr>
        <w:t>,</w:t>
      </w:r>
      <w:r w:rsidRPr="001F2C0F">
        <w:t xml:space="preserve"> 107–125</w:t>
      </w:r>
      <w:r w:rsidRPr="001F2C0F">
        <w:rPr>
          <w:rtl/>
        </w:rPr>
        <w:t>.</w:t>
      </w:r>
    </w:p>
    <w:p w14:paraId="4EC80371" w14:textId="77777777" w:rsidR="001F2C0F" w:rsidRPr="001F2C0F" w:rsidRDefault="001F2C0F" w:rsidP="001F2C0F">
      <w:pPr>
        <w:pStyle w:val="EndNoteBibliography"/>
        <w:bidi/>
        <w:spacing w:after="0"/>
        <w:ind w:left="720" w:hanging="720"/>
        <w:rPr>
          <w:rtl/>
        </w:rPr>
      </w:pPr>
      <w:r w:rsidRPr="001F2C0F">
        <w:t>KEHOE, R</w:t>
      </w:r>
      <w:r w:rsidRPr="001F2C0F">
        <w:rPr>
          <w:rtl/>
        </w:rPr>
        <w:t xml:space="preserve">. </w:t>
      </w:r>
      <w:r w:rsidRPr="001F2C0F">
        <w:t xml:space="preserve">R. &amp; WRIGHT, P. M. 2013. The impact of high-performance human resource practices on employees’ attitudes and behaviors. </w:t>
      </w:r>
      <w:r w:rsidRPr="001F2C0F">
        <w:rPr>
          <w:i/>
        </w:rPr>
        <w:t>Journal of management,</w:t>
      </w:r>
      <w:r w:rsidRPr="001F2C0F">
        <w:t xml:space="preserve"> 39</w:t>
      </w:r>
      <w:r w:rsidRPr="001F2C0F">
        <w:rPr>
          <w:b/>
        </w:rPr>
        <w:t>,</w:t>
      </w:r>
      <w:r w:rsidRPr="001F2C0F">
        <w:t xml:space="preserve"> 366–391</w:t>
      </w:r>
      <w:r w:rsidRPr="001F2C0F">
        <w:rPr>
          <w:rtl/>
        </w:rPr>
        <w:t>.</w:t>
      </w:r>
    </w:p>
    <w:p w14:paraId="620B834C" w14:textId="77777777" w:rsidR="001F2C0F" w:rsidRPr="001F2C0F" w:rsidRDefault="001F2C0F" w:rsidP="001F2C0F">
      <w:pPr>
        <w:pStyle w:val="EndNoteBibliography"/>
        <w:bidi/>
        <w:spacing w:after="0"/>
        <w:ind w:left="720" w:hanging="720"/>
        <w:rPr>
          <w:rtl/>
        </w:rPr>
      </w:pPr>
      <w:r w:rsidRPr="001F2C0F">
        <w:t xml:space="preserve">KIM, W. G., LEONG, J. K. &amp; LEE, Y.-K. 2005. Effect of service orientation on job satisfaction, organizational commitment, and intention of leaving in a casual dining chain restaurant. </w:t>
      </w:r>
      <w:r w:rsidRPr="001F2C0F">
        <w:rPr>
          <w:i/>
        </w:rPr>
        <w:t>International Journal of Hospitality Management,</w:t>
      </w:r>
      <w:r w:rsidRPr="001F2C0F">
        <w:t xml:space="preserve"> 24</w:t>
      </w:r>
      <w:r w:rsidRPr="001F2C0F">
        <w:rPr>
          <w:b/>
        </w:rPr>
        <w:t>,</w:t>
      </w:r>
      <w:r w:rsidRPr="001F2C0F">
        <w:t xml:space="preserve"> 171–193</w:t>
      </w:r>
      <w:r w:rsidRPr="001F2C0F">
        <w:rPr>
          <w:rtl/>
        </w:rPr>
        <w:t>.</w:t>
      </w:r>
    </w:p>
    <w:p w14:paraId="03BE5F3F" w14:textId="77777777" w:rsidR="001F2C0F" w:rsidRPr="001F2C0F" w:rsidRDefault="001F2C0F" w:rsidP="001F2C0F">
      <w:pPr>
        <w:pStyle w:val="EndNoteBibliography"/>
        <w:bidi/>
        <w:spacing w:after="0"/>
        <w:ind w:left="720" w:hanging="720"/>
        <w:rPr>
          <w:rtl/>
        </w:rPr>
      </w:pPr>
      <w:r w:rsidRPr="001F2C0F">
        <w:t xml:space="preserve">KLOUTSINIOTIS, P. V. &amp; MIHAIL, D. M. 2018. The link between perceived high-performance work practices, employee attitudes and service quality: The mediating and moderating role of trust. </w:t>
      </w:r>
      <w:r w:rsidRPr="001F2C0F">
        <w:rPr>
          <w:i/>
        </w:rPr>
        <w:t>Employee Relations,</w:t>
      </w:r>
      <w:r w:rsidRPr="001F2C0F">
        <w:t xml:space="preserve"> 40</w:t>
      </w:r>
      <w:r w:rsidRPr="001F2C0F">
        <w:rPr>
          <w:b/>
        </w:rPr>
        <w:t>,</w:t>
      </w:r>
      <w:r w:rsidRPr="001F2C0F">
        <w:t xml:space="preserve"> 801–821</w:t>
      </w:r>
      <w:r w:rsidRPr="001F2C0F">
        <w:rPr>
          <w:rtl/>
        </w:rPr>
        <w:t>.</w:t>
      </w:r>
    </w:p>
    <w:p w14:paraId="44BF6996" w14:textId="77777777" w:rsidR="001F2C0F" w:rsidRPr="001F2C0F" w:rsidRDefault="001F2C0F" w:rsidP="001F2C0F">
      <w:pPr>
        <w:pStyle w:val="EndNoteBibliography"/>
        <w:bidi/>
        <w:spacing w:after="0"/>
        <w:ind w:left="720" w:hanging="720"/>
        <w:rPr>
          <w:rtl/>
        </w:rPr>
      </w:pPr>
      <w:r w:rsidRPr="001F2C0F">
        <w:lastRenderedPageBreak/>
        <w:t xml:space="preserve">KLOUTSINIOTIS, P. V. &amp; MIHAIL, D. M. 2020. The effects of high performance work systems in employees’ service-oriented OCB. </w:t>
      </w:r>
      <w:r w:rsidRPr="001F2C0F">
        <w:rPr>
          <w:i/>
        </w:rPr>
        <w:t>International Journal of Hospitality Management,</w:t>
      </w:r>
      <w:r w:rsidRPr="001F2C0F">
        <w:t xml:space="preserve"> 90</w:t>
      </w:r>
      <w:r w:rsidRPr="001F2C0F">
        <w:rPr>
          <w:b/>
        </w:rPr>
        <w:t>,</w:t>
      </w:r>
      <w:r w:rsidRPr="001F2C0F">
        <w:t xml:space="preserve"> 102610</w:t>
      </w:r>
      <w:r w:rsidRPr="001F2C0F">
        <w:rPr>
          <w:rtl/>
        </w:rPr>
        <w:t>.</w:t>
      </w:r>
    </w:p>
    <w:p w14:paraId="77ADC716" w14:textId="77777777" w:rsidR="001F2C0F" w:rsidRPr="001F2C0F" w:rsidRDefault="001F2C0F" w:rsidP="001F2C0F">
      <w:pPr>
        <w:pStyle w:val="EndNoteBibliography"/>
        <w:bidi/>
        <w:spacing w:after="0"/>
        <w:ind w:left="720" w:hanging="720"/>
        <w:rPr>
          <w:rtl/>
        </w:rPr>
      </w:pPr>
      <w:r w:rsidRPr="001F2C0F">
        <w:t>KRISTOF</w:t>
      </w:r>
      <w:r w:rsidRPr="001F2C0F">
        <w:rPr>
          <w:rFonts w:ascii="Cambria Math" w:hAnsi="Cambria Math" w:cs="Cambria Math"/>
        </w:rPr>
        <w:t>‐</w:t>
      </w:r>
      <w:r w:rsidRPr="001F2C0F">
        <w:t>BROWN, A. L., ZIMMERMAN, R. D. &amp; JOHNSON, E. C. 2005. Consequences OF INDIVIDUALS'FIT at work: A meta</w:t>
      </w:r>
      <w:r w:rsidRPr="001F2C0F">
        <w:rPr>
          <w:rFonts w:ascii="Cambria Math" w:hAnsi="Cambria Math" w:cs="Cambria Math"/>
        </w:rPr>
        <w:t>‐</w:t>
      </w:r>
      <w:r w:rsidRPr="001F2C0F">
        <w:t>analysis OF person</w:t>
      </w:r>
      <w:r w:rsidRPr="001F2C0F">
        <w:rPr>
          <w:rFonts w:cs="Aptos"/>
        </w:rPr>
        <w:t>–</w:t>
      </w:r>
      <w:r w:rsidRPr="001F2C0F">
        <w:t>job, person</w:t>
      </w:r>
      <w:r w:rsidRPr="001F2C0F">
        <w:rPr>
          <w:rFonts w:cs="Aptos"/>
        </w:rPr>
        <w:t>–</w:t>
      </w:r>
      <w:r w:rsidRPr="001F2C0F">
        <w:t>organization, person</w:t>
      </w:r>
      <w:r w:rsidRPr="001F2C0F">
        <w:rPr>
          <w:rFonts w:cs="Aptos"/>
        </w:rPr>
        <w:t>–</w:t>
      </w:r>
      <w:r w:rsidRPr="001F2C0F">
        <w:t>group, and person</w:t>
      </w:r>
      <w:r w:rsidRPr="001F2C0F">
        <w:rPr>
          <w:rFonts w:cs="Aptos"/>
        </w:rPr>
        <w:t>–</w:t>
      </w:r>
      <w:r w:rsidRPr="001F2C0F">
        <w:t xml:space="preserve">supervisor fit. </w:t>
      </w:r>
      <w:r w:rsidRPr="001F2C0F">
        <w:rPr>
          <w:i/>
        </w:rPr>
        <w:t>Personnel psychology,</w:t>
      </w:r>
      <w:r w:rsidRPr="001F2C0F">
        <w:t xml:space="preserve"> 58</w:t>
      </w:r>
      <w:r w:rsidRPr="001F2C0F">
        <w:rPr>
          <w:b/>
        </w:rPr>
        <w:t>,</w:t>
      </w:r>
      <w:r w:rsidRPr="001F2C0F">
        <w:t xml:space="preserve"> 281–342</w:t>
      </w:r>
      <w:r w:rsidRPr="001F2C0F">
        <w:rPr>
          <w:rtl/>
        </w:rPr>
        <w:t>.</w:t>
      </w:r>
    </w:p>
    <w:p w14:paraId="15F7DE42" w14:textId="77777777" w:rsidR="001F2C0F" w:rsidRPr="001F2C0F" w:rsidRDefault="001F2C0F" w:rsidP="001F2C0F">
      <w:pPr>
        <w:pStyle w:val="EndNoteBibliography"/>
        <w:bidi/>
        <w:spacing w:after="0"/>
        <w:ind w:left="720" w:hanging="720"/>
        <w:rPr>
          <w:rtl/>
        </w:rPr>
      </w:pPr>
      <w:r w:rsidRPr="001F2C0F">
        <w:t xml:space="preserve">LAU, C. M. &amp; NGO, H. Y. 2004. The HR system, organizational culture, and product innovation. </w:t>
      </w:r>
      <w:r w:rsidRPr="001F2C0F">
        <w:rPr>
          <w:i/>
        </w:rPr>
        <w:t>International business review,</w:t>
      </w:r>
      <w:r w:rsidRPr="001F2C0F">
        <w:t xml:space="preserve"> 13</w:t>
      </w:r>
      <w:r w:rsidRPr="001F2C0F">
        <w:rPr>
          <w:b/>
        </w:rPr>
        <w:t>,</w:t>
      </w:r>
      <w:r w:rsidRPr="001F2C0F">
        <w:t xml:space="preserve"> 685–703</w:t>
      </w:r>
      <w:r w:rsidRPr="001F2C0F">
        <w:rPr>
          <w:rtl/>
        </w:rPr>
        <w:t>.</w:t>
      </w:r>
    </w:p>
    <w:p w14:paraId="2F4E6526" w14:textId="77777777" w:rsidR="001F2C0F" w:rsidRPr="001F2C0F" w:rsidRDefault="001F2C0F" w:rsidP="001F2C0F">
      <w:pPr>
        <w:pStyle w:val="EndNoteBibliography"/>
        <w:bidi/>
        <w:spacing w:after="0"/>
        <w:ind w:left="720" w:hanging="720"/>
        <w:rPr>
          <w:rtl/>
        </w:rPr>
      </w:pPr>
      <w:r w:rsidRPr="001F2C0F">
        <w:t>LAWLER III, E. E. 1992. The ultimate advantage: Creating the high-involvement organization</w:t>
      </w:r>
      <w:r w:rsidRPr="001F2C0F">
        <w:rPr>
          <w:rtl/>
        </w:rPr>
        <w:t>.</w:t>
      </w:r>
    </w:p>
    <w:p w14:paraId="5BB01B00" w14:textId="77777777" w:rsidR="001F2C0F" w:rsidRPr="001F2C0F" w:rsidRDefault="001F2C0F" w:rsidP="001F2C0F">
      <w:pPr>
        <w:pStyle w:val="EndNoteBibliography"/>
        <w:bidi/>
        <w:spacing w:after="0"/>
        <w:ind w:left="720" w:hanging="720"/>
        <w:rPr>
          <w:rtl/>
        </w:rPr>
      </w:pPr>
      <w:r w:rsidRPr="001F2C0F">
        <w:t>LEPAK</w:t>
      </w:r>
      <w:r w:rsidRPr="001F2C0F">
        <w:rPr>
          <w:rtl/>
        </w:rPr>
        <w:t xml:space="preserve">, </w:t>
      </w:r>
      <w:r w:rsidRPr="001F2C0F">
        <w:t xml:space="preserve">D. P., LIAO, H., CHUNG, Y. &amp; HARDEN, E. E. 2006. A conceptual review of human resource management systems in strategic human resource management research. </w:t>
      </w:r>
      <w:r w:rsidRPr="001F2C0F">
        <w:rPr>
          <w:i/>
        </w:rPr>
        <w:t>Research in personnel and human resources management</w:t>
      </w:r>
      <w:r w:rsidRPr="001F2C0F">
        <w:rPr>
          <w:b/>
        </w:rPr>
        <w:t>,</w:t>
      </w:r>
      <w:r w:rsidRPr="001F2C0F">
        <w:t xml:space="preserve"> 217–271</w:t>
      </w:r>
      <w:r w:rsidRPr="001F2C0F">
        <w:rPr>
          <w:rtl/>
        </w:rPr>
        <w:t>.</w:t>
      </w:r>
    </w:p>
    <w:p w14:paraId="273AF10E" w14:textId="77777777" w:rsidR="001F2C0F" w:rsidRPr="001F2C0F" w:rsidRDefault="001F2C0F" w:rsidP="001F2C0F">
      <w:pPr>
        <w:pStyle w:val="EndNoteBibliography"/>
        <w:bidi/>
        <w:spacing w:after="0"/>
        <w:ind w:left="720" w:hanging="720"/>
        <w:rPr>
          <w:rtl/>
        </w:rPr>
      </w:pPr>
      <w:r w:rsidRPr="001F2C0F">
        <w:t xml:space="preserve">MAKUMBE, W. 2022. The impact of organizational culture on employee creativity amongst Zimbabwean academics. </w:t>
      </w:r>
      <w:r w:rsidRPr="001F2C0F">
        <w:rPr>
          <w:i/>
        </w:rPr>
        <w:t>African Journal of Science, Technology, Innovation and Development,</w:t>
      </w:r>
      <w:r w:rsidRPr="001F2C0F">
        <w:t xml:space="preserve"> 14</w:t>
      </w:r>
      <w:r w:rsidRPr="001F2C0F">
        <w:rPr>
          <w:b/>
        </w:rPr>
        <w:t>,</w:t>
      </w:r>
      <w:r w:rsidRPr="001F2C0F">
        <w:t xml:space="preserve"> 523–531</w:t>
      </w:r>
      <w:r w:rsidRPr="001F2C0F">
        <w:rPr>
          <w:rtl/>
        </w:rPr>
        <w:t>.</w:t>
      </w:r>
    </w:p>
    <w:p w14:paraId="36E8E2DD" w14:textId="77777777" w:rsidR="001F2C0F" w:rsidRPr="001F2C0F" w:rsidRDefault="001F2C0F" w:rsidP="001F2C0F">
      <w:pPr>
        <w:pStyle w:val="EndNoteBibliography"/>
        <w:bidi/>
        <w:spacing w:after="0"/>
        <w:ind w:left="720" w:hanging="720"/>
        <w:rPr>
          <w:rtl/>
        </w:rPr>
      </w:pPr>
      <w:r w:rsidRPr="001F2C0F">
        <w:t xml:space="preserve">MARTINS, E.-C. &amp; TERBLANCHE, F. 2003. Building organisational culture that stimulates creativity and innovation. </w:t>
      </w:r>
      <w:r w:rsidRPr="001F2C0F">
        <w:rPr>
          <w:i/>
        </w:rPr>
        <w:t>European journal of innovation management,</w:t>
      </w:r>
      <w:r w:rsidRPr="001F2C0F">
        <w:t xml:space="preserve"> 6</w:t>
      </w:r>
      <w:r w:rsidRPr="001F2C0F">
        <w:rPr>
          <w:b/>
        </w:rPr>
        <w:t>,</w:t>
      </w:r>
      <w:r w:rsidRPr="001F2C0F">
        <w:t xml:space="preserve"> 64–74</w:t>
      </w:r>
      <w:r w:rsidRPr="001F2C0F">
        <w:rPr>
          <w:rtl/>
        </w:rPr>
        <w:t>.</w:t>
      </w:r>
    </w:p>
    <w:p w14:paraId="0EAA25B4" w14:textId="77777777" w:rsidR="001F2C0F" w:rsidRPr="001F2C0F" w:rsidRDefault="001F2C0F" w:rsidP="001F2C0F">
      <w:pPr>
        <w:pStyle w:val="EndNoteBibliography"/>
        <w:bidi/>
        <w:spacing w:after="0"/>
        <w:ind w:left="720" w:hanging="720"/>
        <w:rPr>
          <w:rtl/>
        </w:rPr>
      </w:pPr>
      <w:r w:rsidRPr="001F2C0F">
        <w:t xml:space="preserve">MESSERSMITH, J. G. &amp; GUTHRIE, J. P. 2010. High performance work systems in emergent organizations: Implications for firm performance. </w:t>
      </w:r>
      <w:r w:rsidRPr="001F2C0F">
        <w:rPr>
          <w:i/>
        </w:rPr>
        <w:t>Human Resource Management: Published in Cooperation with</w:t>
      </w:r>
      <w:r w:rsidRPr="001F2C0F">
        <w:rPr>
          <w:i/>
          <w:rtl/>
        </w:rPr>
        <w:t xml:space="preserve"> </w:t>
      </w:r>
      <w:r w:rsidRPr="001F2C0F">
        <w:rPr>
          <w:i/>
        </w:rPr>
        <w:t>the School of Business Administration, The University of Michigan and in alliance with the Society of Human Resources Management,</w:t>
      </w:r>
      <w:r w:rsidRPr="001F2C0F">
        <w:t xml:space="preserve"> 49</w:t>
      </w:r>
      <w:r w:rsidRPr="001F2C0F">
        <w:rPr>
          <w:b/>
        </w:rPr>
        <w:t>,</w:t>
      </w:r>
      <w:r w:rsidRPr="001F2C0F">
        <w:t xml:space="preserve"> 241–264</w:t>
      </w:r>
      <w:r w:rsidRPr="001F2C0F">
        <w:rPr>
          <w:rtl/>
        </w:rPr>
        <w:t>.</w:t>
      </w:r>
    </w:p>
    <w:p w14:paraId="270F196C" w14:textId="77777777" w:rsidR="001F2C0F" w:rsidRPr="001F2C0F" w:rsidRDefault="001F2C0F" w:rsidP="001F2C0F">
      <w:pPr>
        <w:pStyle w:val="EndNoteBibliography"/>
        <w:bidi/>
        <w:spacing w:after="0"/>
        <w:ind w:left="720" w:hanging="720"/>
        <w:rPr>
          <w:rtl/>
        </w:rPr>
      </w:pPr>
      <w:r w:rsidRPr="001F2C0F">
        <w:t>MUMFORD, M. D., SCOTT, G. M., GADDIS, B. &amp; STRANGE, J. M. 2002. Leading creative people: Orchestrating expertise</w:t>
      </w:r>
      <w:r w:rsidRPr="001F2C0F">
        <w:rPr>
          <w:rtl/>
        </w:rPr>
        <w:t xml:space="preserve"> </w:t>
      </w:r>
      <w:r w:rsidRPr="001F2C0F">
        <w:t xml:space="preserve">and relationships. </w:t>
      </w:r>
      <w:r w:rsidRPr="001F2C0F">
        <w:rPr>
          <w:i/>
        </w:rPr>
        <w:t>The leadership quarterly,</w:t>
      </w:r>
      <w:r w:rsidRPr="001F2C0F">
        <w:t xml:space="preserve"> 13</w:t>
      </w:r>
      <w:r w:rsidRPr="001F2C0F">
        <w:rPr>
          <w:b/>
        </w:rPr>
        <w:t>,</w:t>
      </w:r>
      <w:r w:rsidRPr="001F2C0F">
        <w:t xml:space="preserve"> 705–750</w:t>
      </w:r>
      <w:r w:rsidRPr="001F2C0F">
        <w:rPr>
          <w:rtl/>
        </w:rPr>
        <w:t>.</w:t>
      </w:r>
    </w:p>
    <w:p w14:paraId="3B21F1FF" w14:textId="77777777" w:rsidR="001F2C0F" w:rsidRPr="001F2C0F" w:rsidRDefault="001F2C0F" w:rsidP="001F2C0F">
      <w:pPr>
        <w:pStyle w:val="EndNoteBibliography"/>
        <w:bidi/>
        <w:spacing w:after="0"/>
        <w:ind w:left="720" w:hanging="720"/>
        <w:rPr>
          <w:rtl/>
        </w:rPr>
      </w:pPr>
      <w:r w:rsidRPr="001F2C0F">
        <w:t xml:space="preserve">OLDHAM, G. R. &amp; CUMMINGS, A. 1996. Employee creativity: Personal and contextual factors at work. </w:t>
      </w:r>
      <w:r w:rsidRPr="001F2C0F">
        <w:rPr>
          <w:i/>
        </w:rPr>
        <w:t>Academy of management journal,</w:t>
      </w:r>
      <w:r w:rsidRPr="001F2C0F">
        <w:t xml:space="preserve"> 39</w:t>
      </w:r>
      <w:r w:rsidRPr="001F2C0F">
        <w:rPr>
          <w:b/>
        </w:rPr>
        <w:t>,</w:t>
      </w:r>
      <w:r w:rsidRPr="001F2C0F">
        <w:t xml:space="preserve"> 607–634</w:t>
      </w:r>
      <w:r w:rsidRPr="001F2C0F">
        <w:rPr>
          <w:rtl/>
        </w:rPr>
        <w:t>.</w:t>
      </w:r>
    </w:p>
    <w:p w14:paraId="59FC4026" w14:textId="77777777" w:rsidR="001F2C0F" w:rsidRPr="001F2C0F" w:rsidRDefault="001F2C0F" w:rsidP="001F2C0F">
      <w:pPr>
        <w:pStyle w:val="EndNoteBibliography"/>
        <w:bidi/>
        <w:spacing w:after="0"/>
        <w:ind w:left="720" w:hanging="720"/>
        <w:rPr>
          <w:rtl/>
        </w:rPr>
      </w:pPr>
      <w:r w:rsidRPr="001F2C0F">
        <w:t>ORGAN, D. W. 2014. Organizational citizenship behavior</w:t>
      </w:r>
      <w:r w:rsidRPr="001F2C0F">
        <w:rPr>
          <w:rtl/>
        </w:rPr>
        <w:t xml:space="preserve">: </w:t>
      </w:r>
      <w:r w:rsidRPr="001F2C0F">
        <w:t xml:space="preserve">It's construct clean-up time. </w:t>
      </w:r>
      <w:r w:rsidRPr="001F2C0F">
        <w:rPr>
          <w:i/>
        </w:rPr>
        <w:t>Organizational citizenship behavior and contextual performance.</w:t>
      </w:r>
      <w:r w:rsidRPr="001F2C0F">
        <w:t xml:space="preserve"> Psychology Press</w:t>
      </w:r>
      <w:r w:rsidRPr="001F2C0F">
        <w:rPr>
          <w:rtl/>
        </w:rPr>
        <w:t>.</w:t>
      </w:r>
    </w:p>
    <w:p w14:paraId="56F72667" w14:textId="77777777" w:rsidR="001F2C0F" w:rsidRPr="001F2C0F" w:rsidRDefault="001F2C0F" w:rsidP="001F2C0F">
      <w:pPr>
        <w:pStyle w:val="EndNoteBibliography"/>
        <w:bidi/>
        <w:spacing w:after="0"/>
        <w:ind w:left="720" w:hanging="720"/>
        <w:rPr>
          <w:rtl/>
        </w:rPr>
      </w:pPr>
      <w:r w:rsidRPr="001F2C0F">
        <w:t xml:space="preserve">RHOADES, L. &amp; EISENBERGER, R. 2002. Perceived organizational support: a review of the literature. </w:t>
      </w:r>
      <w:r w:rsidRPr="001F2C0F">
        <w:rPr>
          <w:i/>
        </w:rPr>
        <w:t>Journal of applied psychology,</w:t>
      </w:r>
      <w:r w:rsidRPr="001F2C0F">
        <w:t xml:space="preserve"> 87</w:t>
      </w:r>
      <w:r w:rsidRPr="001F2C0F">
        <w:rPr>
          <w:b/>
        </w:rPr>
        <w:t>,</w:t>
      </w:r>
      <w:r w:rsidRPr="001F2C0F">
        <w:t xml:space="preserve"> 698</w:t>
      </w:r>
      <w:r w:rsidRPr="001F2C0F">
        <w:rPr>
          <w:rtl/>
        </w:rPr>
        <w:t>.</w:t>
      </w:r>
    </w:p>
    <w:p w14:paraId="3D3A82B9" w14:textId="77777777" w:rsidR="001F2C0F" w:rsidRPr="001F2C0F" w:rsidRDefault="001F2C0F" w:rsidP="001F2C0F">
      <w:pPr>
        <w:pStyle w:val="EndNoteBibliography"/>
        <w:bidi/>
        <w:spacing w:after="0"/>
        <w:ind w:left="720" w:hanging="720"/>
        <w:rPr>
          <w:rtl/>
        </w:rPr>
      </w:pPr>
      <w:r w:rsidRPr="001F2C0F">
        <w:t xml:space="preserve">RUNCO, M. A. &amp; JAEGER, G. J. 2012. The standard definition of creativity. </w:t>
      </w:r>
      <w:r w:rsidRPr="001F2C0F">
        <w:rPr>
          <w:i/>
        </w:rPr>
        <w:t>Creativity research journal,</w:t>
      </w:r>
      <w:r w:rsidRPr="001F2C0F">
        <w:t xml:space="preserve"> 24</w:t>
      </w:r>
      <w:r w:rsidRPr="001F2C0F">
        <w:rPr>
          <w:b/>
        </w:rPr>
        <w:t>,</w:t>
      </w:r>
      <w:r w:rsidRPr="001F2C0F">
        <w:t xml:space="preserve"> 92–96</w:t>
      </w:r>
      <w:r w:rsidRPr="001F2C0F">
        <w:rPr>
          <w:rtl/>
        </w:rPr>
        <w:t>.</w:t>
      </w:r>
    </w:p>
    <w:p w14:paraId="42F5269B" w14:textId="77777777" w:rsidR="001F2C0F" w:rsidRPr="001F2C0F" w:rsidRDefault="001F2C0F" w:rsidP="001F2C0F">
      <w:pPr>
        <w:pStyle w:val="EndNoteBibliography"/>
        <w:bidi/>
        <w:spacing w:after="0"/>
        <w:ind w:left="720" w:hanging="720"/>
        <w:rPr>
          <w:rtl/>
        </w:rPr>
      </w:pPr>
      <w:r w:rsidRPr="001F2C0F">
        <w:t xml:space="preserve">SCHEIN, E. H. 2010. </w:t>
      </w:r>
      <w:r w:rsidRPr="001F2C0F">
        <w:rPr>
          <w:i/>
        </w:rPr>
        <w:t>Organizational culture and leadership</w:t>
      </w:r>
      <w:r w:rsidRPr="001F2C0F">
        <w:t>, John Wiley &amp; Sons</w:t>
      </w:r>
      <w:r w:rsidRPr="001F2C0F">
        <w:rPr>
          <w:rtl/>
        </w:rPr>
        <w:t>.</w:t>
      </w:r>
    </w:p>
    <w:p w14:paraId="738B615B" w14:textId="77777777" w:rsidR="001F2C0F" w:rsidRPr="001F2C0F" w:rsidRDefault="001F2C0F" w:rsidP="001F2C0F">
      <w:pPr>
        <w:pStyle w:val="EndNoteBibliography"/>
        <w:bidi/>
        <w:spacing w:after="0"/>
        <w:ind w:left="720" w:hanging="720"/>
        <w:rPr>
          <w:rtl/>
        </w:rPr>
      </w:pPr>
      <w:r w:rsidRPr="001F2C0F">
        <w:t xml:space="preserve">SCOTT, O. D. 2024. </w:t>
      </w:r>
      <w:r w:rsidRPr="001F2C0F">
        <w:rPr>
          <w:i/>
        </w:rPr>
        <w:t>The Relationship Between Relational Leadership Behaviors and Organizational Culture.</w:t>
      </w:r>
      <w:r w:rsidRPr="001F2C0F">
        <w:t xml:space="preserve"> Capella University</w:t>
      </w:r>
      <w:r w:rsidRPr="001F2C0F">
        <w:rPr>
          <w:rtl/>
        </w:rPr>
        <w:t>.</w:t>
      </w:r>
    </w:p>
    <w:p w14:paraId="62B5221B" w14:textId="77777777" w:rsidR="001F2C0F" w:rsidRPr="001F2C0F" w:rsidRDefault="001F2C0F" w:rsidP="001F2C0F">
      <w:pPr>
        <w:pStyle w:val="EndNoteBibliography"/>
        <w:bidi/>
        <w:spacing w:after="0"/>
        <w:ind w:left="720" w:hanging="720"/>
        <w:rPr>
          <w:rtl/>
        </w:rPr>
      </w:pPr>
      <w:r w:rsidRPr="001F2C0F">
        <w:t xml:space="preserve">SHALLEY, C. E. &amp; GILSON, L. L. 2004. What leaders need to know: A review of social and contextual factors that can foster or hinder creativity. </w:t>
      </w:r>
      <w:r w:rsidRPr="001F2C0F">
        <w:rPr>
          <w:i/>
        </w:rPr>
        <w:t>The leadership quarterly,</w:t>
      </w:r>
      <w:r w:rsidRPr="001F2C0F">
        <w:t xml:space="preserve"> 15</w:t>
      </w:r>
      <w:r w:rsidRPr="001F2C0F">
        <w:rPr>
          <w:b/>
        </w:rPr>
        <w:t>,</w:t>
      </w:r>
      <w:r w:rsidRPr="001F2C0F">
        <w:t xml:space="preserve"> 33–53</w:t>
      </w:r>
      <w:r w:rsidRPr="001F2C0F">
        <w:rPr>
          <w:rtl/>
        </w:rPr>
        <w:t>.</w:t>
      </w:r>
    </w:p>
    <w:p w14:paraId="727D541D" w14:textId="77777777" w:rsidR="001F2C0F" w:rsidRPr="001F2C0F" w:rsidRDefault="001F2C0F" w:rsidP="001F2C0F">
      <w:pPr>
        <w:pStyle w:val="EndNoteBibliography"/>
        <w:bidi/>
        <w:spacing w:after="0"/>
        <w:ind w:left="720" w:hanging="720"/>
        <w:rPr>
          <w:rtl/>
        </w:rPr>
      </w:pPr>
      <w:r w:rsidRPr="001F2C0F">
        <w:t xml:space="preserve">SHALLEY, C. E., ZHOU, J. &amp; OLDHAM, G. R. 2004. The effects of personal and contextual characteristics on creativity: Where should we go from here? </w:t>
      </w:r>
      <w:r w:rsidRPr="001F2C0F">
        <w:rPr>
          <w:i/>
        </w:rPr>
        <w:t>Journal of management,</w:t>
      </w:r>
      <w:r w:rsidRPr="001F2C0F">
        <w:t xml:space="preserve"> 30</w:t>
      </w:r>
      <w:r w:rsidRPr="001F2C0F">
        <w:rPr>
          <w:b/>
        </w:rPr>
        <w:t>,</w:t>
      </w:r>
      <w:r w:rsidRPr="001F2C0F">
        <w:t xml:space="preserve"> 933–958</w:t>
      </w:r>
      <w:r w:rsidRPr="001F2C0F">
        <w:rPr>
          <w:rtl/>
        </w:rPr>
        <w:t>.</w:t>
      </w:r>
    </w:p>
    <w:p w14:paraId="6C984888" w14:textId="77777777" w:rsidR="001F2C0F" w:rsidRPr="001F2C0F" w:rsidRDefault="001F2C0F" w:rsidP="001F2C0F">
      <w:pPr>
        <w:pStyle w:val="EndNoteBibliography"/>
        <w:bidi/>
        <w:spacing w:after="0"/>
        <w:ind w:left="720" w:hanging="720"/>
        <w:rPr>
          <w:rtl/>
        </w:rPr>
      </w:pPr>
      <w:r w:rsidRPr="001F2C0F">
        <w:lastRenderedPageBreak/>
        <w:t xml:space="preserve">SHIN, D. &amp; KONRAD, A. M. 2017. Causality between high-performance work systems and organizational performance. </w:t>
      </w:r>
      <w:r w:rsidRPr="001F2C0F">
        <w:rPr>
          <w:i/>
        </w:rPr>
        <w:t>Journal of management,</w:t>
      </w:r>
      <w:r w:rsidRPr="001F2C0F">
        <w:t xml:space="preserve"> 43</w:t>
      </w:r>
      <w:r w:rsidRPr="001F2C0F">
        <w:rPr>
          <w:b/>
        </w:rPr>
        <w:t>,</w:t>
      </w:r>
      <w:r w:rsidRPr="001F2C0F">
        <w:t xml:space="preserve"> 973–997</w:t>
      </w:r>
      <w:r w:rsidRPr="001F2C0F">
        <w:rPr>
          <w:rtl/>
        </w:rPr>
        <w:t>.</w:t>
      </w:r>
    </w:p>
    <w:p w14:paraId="52AAFFB2" w14:textId="77777777" w:rsidR="001F2C0F" w:rsidRPr="001F2C0F" w:rsidRDefault="001F2C0F" w:rsidP="001F2C0F">
      <w:pPr>
        <w:pStyle w:val="EndNoteBibliography"/>
        <w:bidi/>
        <w:spacing w:after="0"/>
        <w:ind w:left="720" w:hanging="720"/>
        <w:rPr>
          <w:rtl/>
        </w:rPr>
      </w:pPr>
      <w:r w:rsidRPr="001F2C0F">
        <w:t xml:space="preserve">SHIPTON, H., FAY, D., WEST, M., PATTERSON, M. &amp; BIRDI, K. 2005. Managing people to promote innovation. </w:t>
      </w:r>
      <w:r w:rsidRPr="001F2C0F">
        <w:rPr>
          <w:i/>
        </w:rPr>
        <w:t>Creativity and innovation management,</w:t>
      </w:r>
      <w:r w:rsidRPr="001F2C0F">
        <w:t xml:space="preserve"> 14</w:t>
      </w:r>
      <w:r w:rsidRPr="001F2C0F">
        <w:rPr>
          <w:b/>
        </w:rPr>
        <w:t>,</w:t>
      </w:r>
      <w:r w:rsidRPr="001F2C0F">
        <w:t xml:space="preserve"> 118–128</w:t>
      </w:r>
      <w:r w:rsidRPr="001F2C0F">
        <w:rPr>
          <w:rtl/>
        </w:rPr>
        <w:t>.</w:t>
      </w:r>
    </w:p>
    <w:p w14:paraId="7F4BE3A4" w14:textId="77777777" w:rsidR="001F2C0F" w:rsidRPr="001F2C0F" w:rsidRDefault="001F2C0F" w:rsidP="001F2C0F">
      <w:pPr>
        <w:pStyle w:val="EndNoteBibliography"/>
        <w:bidi/>
        <w:spacing w:after="0"/>
        <w:ind w:left="720" w:hanging="720"/>
        <w:rPr>
          <w:rtl/>
        </w:rPr>
      </w:pPr>
      <w:r w:rsidRPr="001F2C0F">
        <w:t xml:space="preserve">SPREITZER, G. M. 1995. Psychological empowerment in the workplace: Dimensions, measurement, and validation. </w:t>
      </w:r>
      <w:r w:rsidRPr="001F2C0F">
        <w:rPr>
          <w:i/>
        </w:rPr>
        <w:t>Academy of management Journal,</w:t>
      </w:r>
      <w:r w:rsidRPr="001F2C0F">
        <w:t xml:space="preserve"> 38</w:t>
      </w:r>
      <w:r w:rsidRPr="001F2C0F">
        <w:rPr>
          <w:b/>
        </w:rPr>
        <w:t>,</w:t>
      </w:r>
      <w:r w:rsidRPr="001F2C0F">
        <w:t xml:space="preserve"> 1442–1465</w:t>
      </w:r>
      <w:r w:rsidRPr="001F2C0F">
        <w:rPr>
          <w:rtl/>
        </w:rPr>
        <w:t>.</w:t>
      </w:r>
    </w:p>
    <w:p w14:paraId="327E0026" w14:textId="77777777" w:rsidR="001F2C0F" w:rsidRPr="001F2C0F" w:rsidRDefault="001F2C0F" w:rsidP="001F2C0F">
      <w:pPr>
        <w:pStyle w:val="EndNoteBibliography"/>
        <w:bidi/>
        <w:spacing w:after="0"/>
        <w:ind w:left="720" w:hanging="720"/>
        <w:rPr>
          <w:rtl/>
        </w:rPr>
      </w:pPr>
      <w:r w:rsidRPr="001F2C0F">
        <w:t xml:space="preserve">SUN, L.-Y., ARYEE, S. &amp; LAW, K. S. 2007. High-performance human resource practices, citizenship behavior, and organizational performance: A relational perspective. </w:t>
      </w:r>
      <w:r w:rsidRPr="001F2C0F">
        <w:rPr>
          <w:i/>
        </w:rPr>
        <w:t>Academy of management Journal,</w:t>
      </w:r>
      <w:r w:rsidRPr="001F2C0F">
        <w:t xml:space="preserve"> 50</w:t>
      </w:r>
      <w:r w:rsidRPr="001F2C0F">
        <w:rPr>
          <w:b/>
        </w:rPr>
        <w:t>,</w:t>
      </w:r>
      <w:r w:rsidRPr="001F2C0F">
        <w:t xml:space="preserve"> 558–577</w:t>
      </w:r>
      <w:r w:rsidRPr="001F2C0F">
        <w:rPr>
          <w:rtl/>
        </w:rPr>
        <w:t>.</w:t>
      </w:r>
    </w:p>
    <w:p w14:paraId="0E1C3347" w14:textId="77777777" w:rsidR="001F2C0F" w:rsidRPr="001F2C0F" w:rsidRDefault="001F2C0F" w:rsidP="001F2C0F">
      <w:pPr>
        <w:pStyle w:val="EndNoteBibliography"/>
        <w:bidi/>
        <w:spacing w:after="0"/>
        <w:ind w:left="720" w:hanging="720"/>
        <w:rPr>
          <w:rtl/>
        </w:rPr>
      </w:pPr>
      <w:r w:rsidRPr="001F2C0F">
        <w:t xml:space="preserve">TAKEUCHI, R., LEPAK, D. P., WANG, H. &amp; TAKEUCHI, K. 2007. An empirical examination of the mechanisms mediating between high-performance work systems and the performance of Japanese organizations. </w:t>
      </w:r>
      <w:r w:rsidRPr="001F2C0F">
        <w:rPr>
          <w:i/>
        </w:rPr>
        <w:t>Journal of Applied psychology,</w:t>
      </w:r>
      <w:r w:rsidRPr="001F2C0F">
        <w:t xml:space="preserve"> 92</w:t>
      </w:r>
      <w:r w:rsidRPr="001F2C0F">
        <w:rPr>
          <w:b/>
        </w:rPr>
        <w:t>,</w:t>
      </w:r>
      <w:r w:rsidRPr="001F2C0F">
        <w:t xml:space="preserve"> 1069</w:t>
      </w:r>
      <w:r w:rsidRPr="001F2C0F">
        <w:rPr>
          <w:rtl/>
        </w:rPr>
        <w:t>.</w:t>
      </w:r>
    </w:p>
    <w:p w14:paraId="5A83830B" w14:textId="77777777" w:rsidR="001F2C0F" w:rsidRPr="001F2C0F" w:rsidRDefault="001F2C0F" w:rsidP="001F2C0F">
      <w:pPr>
        <w:pStyle w:val="EndNoteBibliography"/>
        <w:bidi/>
        <w:spacing w:after="0"/>
        <w:ind w:left="720" w:hanging="720"/>
        <w:rPr>
          <w:rtl/>
        </w:rPr>
      </w:pPr>
      <w:r w:rsidRPr="001F2C0F">
        <w:t xml:space="preserve">TANG, T.-W., WANG, M. C.-H. &amp; TANG, Y.-Y. 2015. Developing service innovation capability in the hotel industry. </w:t>
      </w:r>
      <w:r w:rsidRPr="001F2C0F">
        <w:rPr>
          <w:i/>
        </w:rPr>
        <w:t>Service Business,</w:t>
      </w:r>
      <w:r w:rsidRPr="001F2C0F">
        <w:t xml:space="preserve"> 9</w:t>
      </w:r>
      <w:r w:rsidRPr="001F2C0F">
        <w:rPr>
          <w:b/>
        </w:rPr>
        <w:t>,</w:t>
      </w:r>
      <w:r w:rsidRPr="001F2C0F">
        <w:t xml:space="preserve"> 97–113</w:t>
      </w:r>
      <w:r w:rsidRPr="001F2C0F">
        <w:rPr>
          <w:rtl/>
        </w:rPr>
        <w:t>.</w:t>
      </w:r>
    </w:p>
    <w:p w14:paraId="72D0DCFD" w14:textId="77777777" w:rsidR="001F2C0F" w:rsidRPr="001F2C0F" w:rsidRDefault="001F2C0F" w:rsidP="001F2C0F">
      <w:pPr>
        <w:pStyle w:val="EndNoteBibliography"/>
        <w:bidi/>
        <w:spacing w:after="0"/>
        <w:ind w:left="720" w:hanging="720"/>
        <w:rPr>
          <w:rtl/>
        </w:rPr>
      </w:pPr>
      <w:r w:rsidRPr="001F2C0F">
        <w:t>TARAS, V., KIRKMAN, B. L. &amp; STEEL, P. 2010. Examining the impact of</w:t>
      </w:r>
      <w:r w:rsidRPr="001F2C0F">
        <w:rPr>
          <w:rtl/>
        </w:rPr>
        <w:t xml:space="preserve"> </w:t>
      </w:r>
      <w:r w:rsidRPr="001F2C0F">
        <w:t xml:space="preserve">Culture's consequences: a three-decade, multilevel, meta-analytic review of Hofstede's cultural value dimensions. </w:t>
      </w:r>
      <w:r w:rsidRPr="001F2C0F">
        <w:rPr>
          <w:i/>
        </w:rPr>
        <w:t>Journal of applied psychology,</w:t>
      </w:r>
      <w:r w:rsidRPr="001F2C0F">
        <w:t xml:space="preserve"> 95</w:t>
      </w:r>
      <w:r w:rsidRPr="001F2C0F">
        <w:rPr>
          <w:b/>
        </w:rPr>
        <w:t>,</w:t>
      </w:r>
      <w:r w:rsidRPr="001F2C0F">
        <w:t xml:space="preserve"> 405</w:t>
      </w:r>
      <w:r w:rsidRPr="001F2C0F">
        <w:rPr>
          <w:rtl/>
        </w:rPr>
        <w:t>.</w:t>
      </w:r>
    </w:p>
    <w:p w14:paraId="5A49C659" w14:textId="77777777" w:rsidR="001F2C0F" w:rsidRPr="001F2C0F" w:rsidRDefault="001F2C0F" w:rsidP="001F2C0F">
      <w:pPr>
        <w:pStyle w:val="EndNoteBibliography"/>
        <w:bidi/>
        <w:spacing w:after="0"/>
        <w:ind w:left="720" w:hanging="720"/>
        <w:rPr>
          <w:rtl/>
        </w:rPr>
      </w:pPr>
      <w:r w:rsidRPr="001F2C0F">
        <w:t>TIERNEY, P. &amp; FARMER, S. M. 2002. Creative self-efficacy: Its potential antecedents and relationship</w:t>
      </w:r>
      <w:r w:rsidRPr="001F2C0F">
        <w:rPr>
          <w:rtl/>
        </w:rPr>
        <w:t xml:space="preserve"> </w:t>
      </w:r>
      <w:r w:rsidRPr="001F2C0F">
        <w:t xml:space="preserve">to creative performance. </w:t>
      </w:r>
      <w:r w:rsidRPr="001F2C0F">
        <w:rPr>
          <w:i/>
        </w:rPr>
        <w:t>Academy of Management journal,</w:t>
      </w:r>
      <w:r w:rsidRPr="001F2C0F">
        <w:t xml:space="preserve"> 45</w:t>
      </w:r>
      <w:r w:rsidRPr="001F2C0F">
        <w:rPr>
          <w:b/>
        </w:rPr>
        <w:t>,</w:t>
      </w:r>
      <w:r w:rsidRPr="001F2C0F">
        <w:t xml:space="preserve"> 1137–1148</w:t>
      </w:r>
      <w:r w:rsidRPr="001F2C0F">
        <w:rPr>
          <w:rtl/>
        </w:rPr>
        <w:t>.</w:t>
      </w:r>
    </w:p>
    <w:p w14:paraId="6E77B122" w14:textId="77777777" w:rsidR="001F2C0F" w:rsidRPr="001F2C0F" w:rsidRDefault="001F2C0F" w:rsidP="001F2C0F">
      <w:pPr>
        <w:pStyle w:val="EndNoteBibliography"/>
        <w:bidi/>
        <w:spacing w:after="0"/>
        <w:ind w:left="720" w:hanging="720"/>
        <w:rPr>
          <w:rtl/>
        </w:rPr>
      </w:pPr>
      <w:r w:rsidRPr="001F2C0F">
        <w:t xml:space="preserve">TORRANCE, E. 1988. Creativity as manifest in testing. </w:t>
      </w:r>
      <w:r w:rsidRPr="001F2C0F">
        <w:rPr>
          <w:i/>
        </w:rPr>
        <w:t>The nature of creativity</w:t>
      </w:r>
      <w:r w:rsidRPr="001F2C0F">
        <w:rPr>
          <w:rtl/>
        </w:rPr>
        <w:t>.</w:t>
      </w:r>
    </w:p>
    <w:p w14:paraId="79950F92" w14:textId="77777777" w:rsidR="001F2C0F" w:rsidRPr="001F2C0F" w:rsidRDefault="001F2C0F" w:rsidP="001F2C0F">
      <w:pPr>
        <w:pStyle w:val="EndNoteBibliography"/>
        <w:bidi/>
        <w:spacing w:after="0"/>
        <w:ind w:left="720" w:hanging="720"/>
        <w:rPr>
          <w:rtl/>
        </w:rPr>
      </w:pPr>
      <w:r w:rsidRPr="001F2C0F">
        <w:t xml:space="preserve">WANG, Y., ZHU, L. &amp; JIN, X. 2024. The effect of a high-performance work system on organizational innovation performance: The mediating effect of employees’ intrinsic motivation and the moderating effect of person–organization fit. </w:t>
      </w:r>
      <w:r w:rsidRPr="001F2C0F">
        <w:rPr>
          <w:i/>
        </w:rPr>
        <w:t>Systems,</w:t>
      </w:r>
      <w:r w:rsidRPr="001F2C0F">
        <w:t xml:space="preserve"> 12</w:t>
      </w:r>
      <w:r w:rsidRPr="001F2C0F">
        <w:rPr>
          <w:b/>
        </w:rPr>
        <w:t>,</w:t>
      </w:r>
      <w:r w:rsidRPr="001F2C0F">
        <w:t xml:space="preserve"> 230</w:t>
      </w:r>
      <w:r w:rsidRPr="001F2C0F">
        <w:rPr>
          <w:rtl/>
        </w:rPr>
        <w:t>.</w:t>
      </w:r>
    </w:p>
    <w:p w14:paraId="4892C582" w14:textId="77777777" w:rsidR="001F2C0F" w:rsidRPr="001F2C0F" w:rsidRDefault="001F2C0F" w:rsidP="001F2C0F">
      <w:pPr>
        <w:pStyle w:val="EndNoteBibliography"/>
        <w:bidi/>
        <w:spacing w:after="0"/>
        <w:ind w:left="720" w:hanging="720"/>
        <w:rPr>
          <w:rtl/>
        </w:rPr>
      </w:pPr>
      <w:r w:rsidRPr="001F2C0F">
        <w:t xml:space="preserve">WAY, S. A. 2002. High performance work systems and intermediate indicators of firm performance within the US small business sector. </w:t>
      </w:r>
      <w:r w:rsidRPr="001F2C0F">
        <w:rPr>
          <w:i/>
        </w:rPr>
        <w:t>Journal of management,</w:t>
      </w:r>
      <w:r w:rsidRPr="001F2C0F">
        <w:t xml:space="preserve"> 28</w:t>
      </w:r>
      <w:r w:rsidRPr="001F2C0F">
        <w:rPr>
          <w:b/>
        </w:rPr>
        <w:t>,</w:t>
      </w:r>
      <w:r w:rsidRPr="001F2C0F">
        <w:t xml:space="preserve"> 765–785</w:t>
      </w:r>
      <w:r w:rsidRPr="001F2C0F">
        <w:rPr>
          <w:rtl/>
        </w:rPr>
        <w:t>.</w:t>
      </w:r>
    </w:p>
    <w:p w14:paraId="147027F9" w14:textId="77777777" w:rsidR="001F2C0F" w:rsidRPr="001F2C0F" w:rsidRDefault="001F2C0F" w:rsidP="001F2C0F">
      <w:pPr>
        <w:pStyle w:val="EndNoteBibliography"/>
        <w:bidi/>
        <w:spacing w:after="0"/>
        <w:ind w:left="720" w:hanging="720"/>
        <w:rPr>
          <w:rtl/>
        </w:rPr>
      </w:pPr>
      <w:r w:rsidRPr="001F2C0F">
        <w:t xml:space="preserve">WRIGHT, P. M. &amp; BOSWELL, W. R. 2002. Desegregating HRM: A review and synthesis of micro and macro human resource management research. </w:t>
      </w:r>
      <w:r w:rsidRPr="001F2C0F">
        <w:rPr>
          <w:i/>
        </w:rPr>
        <w:t>Journal of management,</w:t>
      </w:r>
      <w:r w:rsidRPr="001F2C0F">
        <w:t xml:space="preserve"> 28</w:t>
      </w:r>
      <w:r w:rsidRPr="001F2C0F">
        <w:rPr>
          <w:b/>
        </w:rPr>
        <w:t>,</w:t>
      </w:r>
      <w:r w:rsidRPr="001F2C0F">
        <w:t xml:space="preserve"> 247–276</w:t>
      </w:r>
      <w:r w:rsidRPr="001F2C0F">
        <w:rPr>
          <w:rtl/>
        </w:rPr>
        <w:t>.</w:t>
      </w:r>
    </w:p>
    <w:p w14:paraId="2FF936A6" w14:textId="77777777" w:rsidR="001F2C0F" w:rsidRPr="001F2C0F" w:rsidRDefault="001F2C0F" w:rsidP="001F2C0F">
      <w:pPr>
        <w:pStyle w:val="EndNoteBibliography"/>
        <w:bidi/>
        <w:spacing w:after="0"/>
        <w:ind w:left="720" w:hanging="720"/>
        <w:rPr>
          <w:rtl/>
        </w:rPr>
      </w:pPr>
      <w:r w:rsidRPr="001F2C0F">
        <w:t>ZHOU, J. &amp; GEORGE, J. M. 20</w:t>
      </w:r>
      <w:r w:rsidRPr="001F2C0F">
        <w:rPr>
          <w:rtl/>
        </w:rPr>
        <w:t xml:space="preserve">01. </w:t>
      </w:r>
      <w:r w:rsidRPr="001F2C0F">
        <w:t xml:space="preserve">When job dissatisfaction leads to creativity: Encouraging the expression of voice. </w:t>
      </w:r>
      <w:r w:rsidRPr="001F2C0F">
        <w:rPr>
          <w:i/>
        </w:rPr>
        <w:t>Academy of Management journal,</w:t>
      </w:r>
      <w:r w:rsidRPr="001F2C0F">
        <w:t xml:space="preserve"> 44</w:t>
      </w:r>
      <w:r w:rsidRPr="001F2C0F">
        <w:rPr>
          <w:b/>
        </w:rPr>
        <w:t>,</w:t>
      </w:r>
      <w:r w:rsidRPr="001F2C0F">
        <w:t xml:space="preserve"> 682–696</w:t>
      </w:r>
      <w:r w:rsidRPr="001F2C0F">
        <w:rPr>
          <w:rtl/>
        </w:rPr>
        <w:t>.</w:t>
      </w:r>
    </w:p>
    <w:p w14:paraId="0031D48B" w14:textId="77777777" w:rsidR="001F2C0F" w:rsidRPr="001F2C0F" w:rsidRDefault="001F2C0F" w:rsidP="001F2C0F">
      <w:pPr>
        <w:pStyle w:val="EndNoteCategoryHeading"/>
        <w:bidi/>
        <w:rPr>
          <w:rtl/>
        </w:rPr>
      </w:pPr>
      <w:r w:rsidRPr="001F2C0F">
        <w:t>Uncategorized References</w:t>
      </w:r>
    </w:p>
    <w:p w14:paraId="0D94BB0E" w14:textId="77777777" w:rsidR="001F2C0F" w:rsidRPr="001F2C0F" w:rsidRDefault="001F2C0F" w:rsidP="001F2C0F">
      <w:pPr>
        <w:pStyle w:val="EndNoteBibliography"/>
        <w:bidi/>
        <w:spacing w:after="0"/>
        <w:ind w:left="720" w:hanging="720"/>
        <w:rPr>
          <w:rtl/>
        </w:rPr>
      </w:pPr>
      <w:r w:rsidRPr="001F2C0F">
        <w:t xml:space="preserve">APPELBAUM, E. 2000. </w:t>
      </w:r>
      <w:r w:rsidRPr="001F2C0F">
        <w:rPr>
          <w:i/>
        </w:rPr>
        <w:t>Manufacturing advantage: Why high-performance work systems pay off</w:t>
      </w:r>
      <w:r w:rsidRPr="001F2C0F">
        <w:t>, Cornell University Press</w:t>
      </w:r>
      <w:r w:rsidRPr="001F2C0F">
        <w:rPr>
          <w:rtl/>
        </w:rPr>
        <w:t>.</w:t>
      </w:r>
    </w:p>
    <w:p w14:paraId="206E6833" w14:textId="77777777" w:rsidR="001F2C0F" w:rsidRPr="001F2C0F" w:rsidRDefault="001F2C0F" w:rsidP="001F2C0F">
      <w:pPr>
        <w:pStyle w:val="EndNoteBibliography"/>
        <w:bidi/>
        <w:spacing w:after="0"/>
        <w:ind w:left="720" w:hanging="720"/>
        <w:rPr>
          <w:rtl/>
        </w:rPr>
      </w:pPr>
      <w:r w:rsidRPr="001F2C0F">
        <w:t xml:space="preserve">BABBIE, E. R. 2020. </w:t>
      </w:r>
      <w:r w:rsidRPr="001F2C0F">
        <w:rPr>
          <w:i/>
        </w:rPr>
        <w:t>The practice of social research</w:t>
      </w:r>
      <w:r w:rsidRPr="001F2C0F">
        <w:t>, Cengage Au</w:t>
      </w:r>
      <w:r w:rsidRPr="001F2C0F">
        <w:rPr>
          <w:rtl/>
        </w:rPr>
        <w:t>.</w:t>
      </w:r>
    </w:p>
    <w:p w14:paraId="70CD364C" w14:textId="77777777" w:rsidR="001F2C0F" w:rsidRPr="001F2C0F" w:rsidRDefault="001F2C0F" w:rsidP="001F2C0F">
      <w:pPr>
        <w:pStyle w:val="EndNoteBibliography"/>
        <w:bidi/>
        <w:spacing w:after="0"/>
        <w:ind w:left="720" w:hanging="720"/>
        <w:rPr>
          <w:rtl/>
        </w:rPr>
      </w:pPr>
      <w:r w:rsidRPr="001F2C0F">
        <w:t xml:space="preserve">BRAUN, V. &amp; CLARKE, V. 2006. Using thematic analysis in psychology. </w:t>
      </w:r>
      <w:r w:rsidRPr="001F2C0F">
        <w:rPr>
          <w:i/>
        </w:rPr>
        <w:t>Qualitative research in psychology,</w:t>
      </w:r>
      <w:r w:rsidRPr="001F2C0F">
        <w:t xml:space="preserve"> 3</w:t>
      </w:r>
      <w:r w:rsidRPr="001F2C0F">
        <w:rPr>
          <w:b/>
        </w:rPr>
        <w:t>,</w:t>
      </w:r>
      <w:r w:rsidRPr="001F2C0F">
        <w:t xml:space="preserve"> 77–101</w:t>
      </w:r>
      <w:r w:rsidRPr="001F2C0F">
        <w:rPr>
          <w:rtl/>
        </w:rPr>
        <w:t>.</w:t>
      </w:r>
    </w:p>
    <w:p w14:paraId="6B22380D" w14:textId="77777777" w:rsidR="001F2C0F" w:rsidRPr="001F2C0F" w:rsidRDefault="001F2C0F" w:rsidP="001F2C0F">
      <w:pPr>
        <w:pStyle w:val="EndNoteBibliography"/>
        <w:bidi/>
        <w:spacing w:after="0"/>
        <w:ind w:left="720" w:hanging="720"/>
        <w:rPr>
          <w:rtl/>
        </w:rPr>
      </w:pPr>
      <w:r w:rsidRPr="001F2C0F">
        <w:t xml:space="preserve">BRYMAN, A. 2016. </w:t>
      </w:r>
      <w:r w:rsidRPr="001F2C0F">
        <w:rPr>
          <w:i/>
        </w:rPr>
        <w:t>Social research methods</w:t>
      </w:r>
      <w:r w:rsidRPr="001F2C0F">
        <w:t>, Oxford university press</w:t>
      </w:r>
      <w:r w:rsidRPr="001F2C0F">
        <w:rPr>
          <w:rtl/>
        </w:rPr>
        <w:t>.</w:t>
      </w:r>
    </w:p>
    <w:p w14:paraId="500B1FEB" w14:textId="77777777" w:rsidR="001F2C0F" w:rsidRPr="001F2C0F" w:rsidRDefault="001F2C0F" w:rsidP="001F2C0F">
      <w:pPr>
        <w:pStyle w:val="EndNoteBibliography"/>
        <w:bidi/>
        <w:spacing w:after="0"/>
        <w:ind w:left="720" w:hanging="720"/>
        <w:rPr>
          <w:rtl/>
        </w:rPr>
      </w:pPr>
      <w:r w:rsidRPr="001F2C0F">
        <w:t xml:space="preserve">CAVANA, R., DELAHAYE, B. &amp; SEKERAN, U. 2001. </w:t>
      </w:r>
      <w:r w:rsidRPr="001F2C0F">
        <w:rPr>
          <w:i/>
        </w:rPr>
        <w:t>Applied business research: Qualitative and quantitative methods</w:t>
      </w:r>
      <w:r w:rsidRPr="001F2C0F">
        <w:t>, John Wiley &amp; Sons</w:t>
      </w:r>
      <w:r w:rsidRPr="001F2C0F">
        <w:rPr>
          <w:rtl/>
        </w:rPr>
        <w:t>.</w:t>
      </w:r>
    </w:p>
    <w:p w14:paraId="059ED4F1" w14:textId="77777777" w:rsidR="001F2C0F" w:rsidRPr="001F2C0F" w:rsidRDefault="001F2C0F" w:rsidP="001F2C0F">
      <w:pPr>
        <w:pStyle w:val="EndNoteBibliography"/>
        <w:bidi/>
        <w:spacing w:after="0"/>
        <w:ind w:left="720" w:hanging="720"/>
        <w:rPr>
          <w:rtl/>
        </w:rPr>
      </w:pPr>
      <w:r w:rsidRPr="001F2C0F">
        <w:t xml:space="preserve">CRESWELL, J. W. &amp; CLARK, V. L. P. 2017. </w:t>
      </w:r>
      <w:r w:rsidRPr="001F2C0F">
        <w:rPr>
          <w:i/>
        </w:rPr>
        <w:t>Designing and conducting mixed methods research</w:t>
      </w:r>
      <w:r w:rsidRPr="001F2C0F">
        <w:t>, Sage publications</w:t>
      </w:r>
      <w:r w:rsidRPr="001F2C0F">
        <w:rPr>
          <w:rtl/>
        </w:rPr>
        <w:t>.</w:t>
      </w:r>
    </w:p>
    <w:p w14:paraId="15C59FAA" w14:textId="77777777" w:rsidR="001F2C0F" w:rsidRPr="001F2C0F" w:rsidRDefault="001F2C0F" w:rsidP="001F2C0F">
      <w:pPr>
        <w:pStyle w:val="EndNoteBibliography"/>
        <w:bidi/>
        <w:spacing w:after="0"/>
        <w:ind w:left="720" w:hanging="720"/>
        <w:rPr>
          <w:rtl/>
        </w:rPr>
      </w:pPr>
      <w:r w:rsidRPr="001F2C0F">
        <w:lastRenderedPageBreak/>
        <w:t xml:space="preserve">CRESWELL, J. W. &amp; CRESWELL, J. D. 2017. </w:t>
      </w:r>
      <w:r w:rsidRPr="001F2C0F">
        <w:rPr>
          <w:i/>
        </w:rPr>
        <w:t>Research design: Qualitative, quantitative, and mixed methods approaches</w:t>
      </w:r>
      <w:r w:rsidRPr="001F2C0F">
        <w:t>, Sage publications</w:t>
      </w:r>
      <w:r w:rsidRPr="001F2C0F">
        <w:rPr>
          <w:rtl/>
        </w:rPr>
        <w:t>.</w:t>
      </w:r>
    </w:p>
    <w:p w14:paraId="04B05074" w14:textId="77777777" w:rsidR="001F2C0F" w:rsidRPr="001F2C0F" w:rsidRDefault="001F2C0F" w:rsidP="001F2C0F">
      <w:pPr>
        <w:pStyle w:val="EndNoteBibliography"/>
        <w:bidi/>
        <w:spacing w:after="0"/>
        <w:ind w:left="720" w:hanging="720"/>
        <w:rPr>
          <w:rtl/>
        </w:rPr>
      </w:pPr>
      <w:r w:rsidRPr="001F2C0F">
        <w:t>DEVELLIS, R. F. &amp; THORPE, C. T. 20</w:t>
      </w:r>
      <w:r w:rsidRPr="001F2C0F">
        <w:rPr>
          <w:rtl/>
        </w:rPr>
        <w:t xml:space="preserve">21. </w:t>
      </w:r>
      <w:r w:rsidRPr="001F2C0F">
        <w:rPr>
          <w:i/>
        </w:rPr>
        <w:t>Scale development: Theory and applications</w:t>
      </w:r>
      <w:r w:rsidRPr="001F2C0F">
        <w:t>, Sage publications</w:t>
      </w:r>
      <w:r w:rsidRPr="001F2C0F">
        <w:rPr>
          <w:rtl/>
        </w:rPr>
        <w:t>.</w:t>
      </w:r>
    </w:p>
    <w:p w14:paraId="734AAB9D" w14:textId="77777777" w:rsidR="001F2C0F" w:rsidRPr="001F2C0F" w:rsidRDefault="001F2C0F" w:rsidP="001F2C0F">
      <w:pPr>
        <w:pStyle w:val="EndNoteBibliography"/>
        <w:bidi/>
        <w:spacing w:after="0"/>
        <w:ind w:left="720" w:hanging="720"/>
        <w:rPr>
          <w:rtl/>
        </w:rPr>
      </w:pPr>
      <w:r w:rsidRPr="001F2C0F">
        <w:t xml:space="preserve">HAIR, J., BLACK, W., BABIN, B., ANDERSON, R. &amp; TATHAM, R. 2019. Multivariate data analysis. Cengage learning. </w:t>
      </w:r>
      <w:r w:rsidRPr="001F2C0F">
        <w:rPr>
          <w:i/>
        </w:rPr>
        <w:t>Hampshire, United Kingdom,</w:t>
      </w:r>
      <w:r w:rsidRPr="001F2C0F">
        <w:t xml:space="preserve"> 633</w:t>
      </w:r>
      <w:r w:rsidRPr="001F2C0F">
        <w:rPr>
          <w:rtl/>
        </w:rPr>
        <w:t>.</w:t>
      </w:r>
    </w:p>
    <w:p w14:paraId="4DC6AEDB" w14:textId="77777777" w:rsidR="001F2C0F" w:rsidRPr="001F2C0F" w:rsidRDefault="001F2C0F" w:rsidP="001F2C0F">
      <w:pPr>
        <w:pStyle w:val="EndNoteBibliography"/>
        <w:bidi/>
        <w:spacing w:after="0"/>
        <w:ind w:left="720" w:hanging="720"/>
        <w:rPr>
          <w:rtl/>
        </w:rPr>
      </w:pPr>
      <w:r w:rsidRPr="001F2C0F">
        <w:t xml:space="preserve">HUSELID, M. A. 1995. The impact of human resource management practices on turnover, productivity, and corporate financial performance. </w:t>
      </w:r>
      <w:r w:rsidRPr="001F2C0F">
        <w:rPr>
          <w:i/>
        </w:rPr>
        <w:t>Academy of management journal,</w:t>
      </w:r>
      <w:r w:rsidRPr="001F2C0F">
        <w:t xml:space="preserve"> 38</w:t>
      </w:r>
      <w:r w:rsidRPr="001F2C0F">
        <w:rPr>
          <w:b/>
        </w:rPr>
        <w:t>,</w:t>
      </w:r>
      <w:r w:rsidRPr="001F2C0F">
        <w:t xml:space="preserve"> 635–672</w:t>
      </w:r>
      <w:r w:rsidRPr="001F2C0F">
        <w:rPr>
          <w:rtl/>
        </w:rPr>
        <w:t>.</w:t>
      </w:r>
    </w:p>
    <w:p w14:paraId="53395B59" w14:textId="77777777" w:rsidR="001F2C0F" w:rsidRPr="001F2C0F" w:rsidRDefault="001F2C0F" w:rsidP="001F2C0F">
      <w:pPr>
        <w:pStyle w:val="EndNoteBibliography"/>
        <w:bidi/>
        <w:spacing w:after="0"/>
        <w:ind w:left="720" w:hanging="720"/>
        <w:rPr>
          <w:rtl/>
        </w:rPr>
      </w:pPr>
      <w:r w:rsidRPr="001F2C0F">
        <w:t xml:space="preserve">ISRAEL, M. &amp; HAY, I. 2006. </w:t>
      </w:r>
      <w:r w:rsidRPr="001F2C0F">
        <w:rPr>
          <w:i/>
        </w:rPr>
        <w:t>Research ethics for social scientists</w:t>
      </w:r>
      <w:r w:rsidRPr="001F2C0F">
        <w:t>, Sage</w:t>
      </w:r>
      <w:r w:rsidRPr="001F2C0F">
        <w:rPr>
          <w:rtl/>
        </w:rPr>
        <w:t>.</w:t>
      </w:r>
    </w:p>
    <w:p w14:paraId="5372CEA3" w14:textId="77777777" w:rsidR="001F2C0F" w:rsidRPr="001F2C0F" w:rsidRDefault="001F2C0F" w:rsidP="001F2C0F">
      <w:pPr>
        <w:pStyle w:val="EndNoteBibliography"/>
        <w:bidi/>
        <w:spacing w:after="0"/>
        <w:ind w:left="720" w:hanging="720"/>
        <w:rPr>
          <w:rtl/>
        </w:rPr>
      </w:pPr>
      <w:r w:rsidRPr="001F2C0F">
        <w:t>JOHNSON, R. B., ONWUEGBUZIE, A. J. &amp; TURNER, L. A</w:t>
      </w:r>
      <w:r w:rsidRPr="001F2C0F">
        <w:rPr>
          <w:rtl/>
        </w:rPr>
        <w:t xml:space="preserve">. 2007. </w:t>
      </w:r>
      <w:r w:rsidRPr="001F2C0F">
        <w:t xml:space="preserve">Toward a definition of mixed methods research. </w:t>
      </w:r>
      <w:r w:rsidRPr="001F2C0F">
        <w:rPr>
          <w:i/>
        </w:rPr>
        <w:t>Journal of mixed methods research,</w:t>
      </w:r>
      <w:r w:rsidRPr="001F2C0F">
        <w:t xml:space="preserve"> 1</w:t>
      </w:r>
      <w:r w:rsidRPr="001F2C0F">
        <w:rPr>
          <w:b/>
        </w:rPr>
        <w:t>,</w:t>
      </w:r>
      <w:r w:rsidRPr="001F2C0F">
        <w:t xml:space="preserve"> 112–133</w:t>
      </w:r>
      <w:r w:rsidRPr="001F2C0F">
        <w:rPr>
          <w:rtl/>
        </w:rPr>
        <w:t>.</w:t>
      </w:r>
    </w:p>
    <w:p w14:paraId="7D45C6C0" w14:textId="77777777" w:rsidR="001F2C0F" w:rsidRPr="001F2C0F" w:rsidRDefault="001F2C0F" w:rsidP="001F2C0F">
      <w:pPr>
        <w:pStyle w:val="EndNoteBibliography"/>
        <w:bidi/>
        <w:spacing w:after="0"/>
        <w:ind w:left="720" w:hanging="720"/>
        <w:rPr>
          <w:rtl/>
        </w:rPr>
      </w:pPr>
      <w:r w:rsidRPr="001F2C0F">
        <w:t xml:space="preserve">JOSHI, A., KALE, S., CHANDEL, S. &amp; PAL, D. K. 2015. Likert scale: Explored and explained. </w:t>
      </w:r>
      <w:r w:rsidRPr="001F2C0F">
        <w:rPr>
          <w:i/>
        </w:rPr>
        <w:t>British journal of applied science &amp; technology,</w:t>
      </w:r>
      <w:r w:rsidRPr="001F2C0F">
        <w:t xml:space="preserve"> 7</w:t>
      </w:r>
      <w:r w:rsidRPr="001F2C0F">
        <w:rPr>
          <w:b/>
        </w:rPr>
        <w:t>,</w:t>
      </w:r>
      <w:r w:rsidRPr="001F2C0F">
        <w:t xml:space="preserve"> 396</w:t>
      </w:r>
      <w:r w:rsidRPr="001F2C0F">
        <w:rPr>
          <w:rtl/>
        </w:rPr>
        <w:t>.</w:t>
      </w:r>
    </w:p>
    <w:p w14:paraId="75DF2143" w14:textId="77777777" w:rsidR="001F2C0F" w:rsidRPr="001F2C0F" w:rsidRDefault="001F2C0F" w:rsidP="001F2C0F">
      <w:pPr>
        <w:pStyle w:val="EndNoteBibliography"/>
        <w:bidi/>
        <w:spacing w:after="0"/>
        <w:ind w:left="720" w:hanging="720"/>
        <w:rPr>
          <w:rtl/>
        </w:rPr>
      </w:pPr>
      <w:r w:rsidRPr="001F2C0F">
        <w:t>KVALE</w:t>
      </w:r>
      <w:r w:rsidRPr="001F2C0F">
        <w:rPr>
          <w:rtl/>
        </w:rPr>
        <w:t xml:space="preserve">, </w:t>
      </w:r>
      <w:r w:rsidRPr="001F2C0F">
        <w:t xml:space="preserve">S. &amp; BRINKMANN, S. 2009. </w:t>
      </w:r>
      <w:r w:rsidRPr="001F2C0F">
        <w:rPr>
          <w:i/>
        </w:rPr>
        <w:t>Interviews: Learning the craft of qualitative research interviewing</w:t>
      </w:r>
      <w:r w:rsidRPr="001F2C0F">
        <w:t>, sage</w:t>
      </w:r>
      <w:r w:rsidRPr="001F2C0F">
        <w:rPr>
          <w:rtl/>
        </w:rPr>
        <w:t>.</w:t>
      </w:r>
    </w:p>
    <w:p w14:paraId="437EDD58" w14:textId="77777777" w:rsidR="001F2C0F" w:rsidRPr="001F2C0F" w:rsidRDefault="001F2C0F" w:rsidP="001F2C0F">
      <w:pPr>
        <w:pStyle w:val="EndNoteBibliography"/>
        <w:bidi/>
        <w:spacing w:after="0"/>
        <w:ind w:left="720" w:hanging="720"/>
        <w:rPr>
          <w:rtl/>
        </w:rPr>
      </w:pPr>
      <w:r w:rsidRPr="001F2C0F">
        <w:t xml:space="preserve">PATTON, M. Q. 2014. </w:t>
      </w:r>
      <w:r w:rsidRPr="001F2C0F">
        <w:rPr>
          <w:i/>
        </w:rPr>
        <w:t>Qualitative research &amp; evaluation methods: Integrating theory and practice</w:t>
      </w:r>
      <w:r w:rsidRPr="001F2C0F">
        <w:t>, Sage publications</w:t>
      </w:r>
      <w:r w:rsidRPr="001F2C0F">
        <w:rPr>
          <w:rtl/>
        </w:rPr>
        <w:t>.</w:t>
      </w:r>
    </w:p>
    <w:p w14:paraId="2A39C758" w14:textId="77777777" w:rsidR="001F2C0F" w:rsidRPr="001F2C0F" w:rsidRDefault="001F2C0F" w:rsidP="001F2C0F">
      <w:pPr>
        <w:pStyle w:val="EndNoteBibliography"/>
        <w:bidi/>
        <w:spacing w:after="0"/>
        <w:ind w:left="720" w:hanging="720"/>
        <w:rPr>
          <w:rtl/>
        </w:rPr>
      </w:pPr>
      <w:r w:rsidRPr="001F2C0F">
        <w:t xml:space="preserve">RESNIK, D. B. 2018. </w:t>
      </w:r>
      <w:r w:rsidRPr="001F2C0F">
        <w:rPr>
          <w:i/>
        </w:rPr>
        <w:t>The ethics of research with human subjects: Protecting people, advancing science, promoting trust</w:t>
      </w:r>
      <w:r w:rsidRPr="001F2C0F">
        <w:t>, Springer</w:t>
      </w:r>
      <w:r w:rsidRPr="001F2C0F">
        <w:rPr>
          <w:rtl/>
        </w:rPr>
        <w:t>.</w:t>
      </w:r>
    </w:p>
    <w:p w14:paraId="16E0D629" w14:textId="77777777" w:rsidR="001F2C0F" w:rsidRPr="001F2C0F" w:rsidRDefault="001F2C0F" w:rsidP="001F2C0F">
      <w:pPr>
        <w:pStyle w:val="EndNoteBibliography"/>
        <w:bidi/>
        <w:spacing w:after="0"/>
        <w:ind w:left="720" w:hanging="720"/>
        <w:rPr>
          <w:rtl/>
        </w:rPr>
      </w:pPr>
      <w:r w:rsidRPr="001F2C0F">
        <w:t xml:space="preserve">SAUNDERS, M., LEWIS, P. &amp; THORNHILL, A. 2009. </w:t>
      </w:r>
      <w:r w:rsidRPr="001F2C0F">
        <w:rPr>
          <w:i/>
        </w:rPr>
        <w:t>Research methods for business students</w:t>
      </w:r>
      <w:r w:rsidRPr="001F2C0F">
        <w:t>, Pearson education</w:t>
      </w:r>
      <w:r w:rsidRPr="001F2C0F">
        <w:rPr>
          <w:rtl/>
        </w:rPr>
        <w:t>.</w:t>
      </w:r>
    </w:p>
    <w:p w14:paraId="14F851D7" w14:textId="77777777" w:rsidR="001F2C0F" w:rsidRPr="001F2C0F" w:rsidRDefault="001F2C0F" w:rsidP="001F2C0F">
      <w:pPr>
        <w:pStyle w:val="EndNoteBibliography"/>
        <w:bidi/>
        <w:spacing w:after="0"/>
        <w:ind w:left="720" w:hanging="720"/>
        <w:rPr>
          <w:rtl/>
        </w:rPr>
      </w:pPr>
      <w:r w:rsidRPr="001F2C0F">
        <w:t xml:space="preserve">SEKARAN, U. 2016. </w:t>
      </w:r>
      <w:r w:rsidRPr="001F2C0F">
        <w:rPr>
          <w:i/>
        </w:rPr>
        <w:t>Research methods for business: A skill building approach</w:t>
      </w:r>
      <w:r w:rsidRPr="001F2C0F">
        <w:t>, John Wiley &amp; Sons</w:t>
      </w:r>
      <w:r w:rsidRPr="001F2C0F">
        <w:rPr>
          <w:rtl/>
        </w:rPr>
        <w:t>.</w:t>
      </w:r>
    </w:p>
    <w:p w14:paraId="5EED1FDE" w14:textId="77777777" w:rsidR="001F2C0F" w:rsidRPr="001F2C0F" w:rsidRDefault="001F2C0F" w:rsidP="001F2C0F">
      <w:pPr>
        <w:pStyle w:val="EndNoteBibliography"/>
        <w:bidi/>
        <w:spacing w:after="0"/>
        <w:ind w:left="720" w:hanging="720"/>
        <w:rPr>
          <w:rtl/>
        </w:rPr>
      </w:pPr>
      <w:r w:rsidRPr="001F2C0F">
        <w:t xml:space="preserve">TASHAKKORI, A. &amp; TEDDLIE, C. 2010. </w:t>
      </w:r>
      <w:r w:rsidRPr="001F2C0F">
        <w:rPr>
          <w:i/>
        </w:rPr>
        <w:t>Sage handbook of mixed methods in social &amp; behavioral research</w:t>
      </w:r>
      <w:r w:rsidRPr="001F2C0F">
        <w:t>, sage</w:t>
      </w:r>
      <w:r w:rsidRPr="001F2C0F">
        <w:rPr>
          <w:rtl/>
        </w:rPr>
        <w:t>.</w:t>
      </w:r>
    </w:p>
    <w:p w14:paraId="10755B45" w14:textId="77777777" w:rsidR="001F2C0F" w:rsidRPr="001F2C0F" w:rsidRDefault="001F2C0F" w:rsidP="001F2C0F">
      <w:pPr>
        <w:pStyle w:val="EndNoteBibliography"/>
        <w:bidi/>
        <w:spacing w:after="0"/>
        <w:ind w:left="720" w:hanging="720"/>
        <w:rPr>
          <w:rtl/>
        </w:rPr>
      </w:pPr>
      <w:r w:rsidRPr="001F2C0F">
        <w:t xml:space="preserve">THOMPSON, S. K. 2012. </w:t>
      </w:r>
      <w:r w:rsidRPr="001F2C0F">
        <w:rPr>
          <w:i/>
        </w:rPr>
        <w:t>Sampling</w:t>
      </w:r>
      <w:r w:rsidRPr="001F2C0F">
        <w:t>, John Wiley &amp; Sons</w:t>
      </w:r>
      <w:r w:rsidRPr="001F2C0F">
        <w:rPr>
          <w:rtl/>
        </w:rPr>
        <w:t>.</w:t>
      </w:r>
    </w:p>
    <w:p w14:paraId="1B19BC54" w14:textId="77777777" w:rsidR="001F2C0F" w:rsidRPr="001F2C0F" w:rsidRDefault="001F2C0F" w:rsidP="001F2C0F">
      <w:pPr>
        <w:pStyle w:val="EndNoteBibliography"/>
        <w:bidi/>
        <w:ind w:left="720" w:hanging="720"/>
        <w:rPr>
          <w:rtl/>
        </w:rPr>
      </w:pPr>
      <w:r w:rsidRPr="001F2C0F">
        <w:t xml:space="preserve">TSAI, K.-H. &amp; HUANG, S. C.-T. 2020. Service creativity reinforcement and firm performance: The roles of innovation intensity and contexts. </w:t>
      </w:r>
      <w:r w:rsidRPr="001F2C0F">
        <w:rPr>
          <w:i/>
        </w:rPr>
        <w:t>Journal of Service Management,</w:t>
      </w:r>
      <w:r w:rsidRPr="001F2C0F">
        <w:t xml:space="preserve"> 31</w:t>
      </w:r>
      <w:r w:rsidRPr="001F2C0F">
        <w:rPr>
          <w:b/>
        </w:rPr>
        <w:t>,</w:t>
      </w:r>
      <w:r w:rsidRPr="001F2C0F">
        <w:t xml:space="preserve"> 1–23</w:t>
      </w:r>
      <w:r w:rsidRPr="001F2C0F">
        <w:rPr>
          <w:rtl/>
        </w:rPr>
        <w:t>.</w:t>
      </w:r>
    </w:p>
    <w:p w14:paraId="12E65BC7" w14:textId="53E53471" w:rsidR="00793DFB" w:rsidRPr="00F806C7" w:rsidRDefault="00793DFB" w:rsidP="001F2C0F">
      <w:pPr>
        <w:bidi/>
        <w:rPr>
          <w:rFonts w:ascii="Times New Roman" w:hAnsi="Times New Roman" w:cs="Times New Roman"/>
          <w:sz w:val="28"/>
          <w:szCs w:val="28"/>
        </w:rPr>
      </w:pPr>
      <w:r w:rsidRPr="00F806C7">
        <w:rPr>
          <w:rFonts w:ascii="Times New Roman" w:hAnsi="Times New Roman" w:cs="Times New Roman"/>
          <w:sz w:val="28"/>
          <w:szCs w:val="28"/>
          <w:rtl/>
        </w:rPr>
        <w:fldChar w:fldCharType="end"/>
      </w:r>
    </w:p>
    <w:p w14:paraId="2A5BAE3F" w14:textId="77777777" w:rsidR="00793DFB" w:rsidRPr="00F806C7" w:rsidRDefault="00793DFB" w:rsidP="00793DFB">
      <w:pPr>
        <w:bidi/>
        <w:jc w:val="center"/>
        <w:rPr>
          <w:rFonts w:ascii="Times New Roman" w:hAnsi="Times New Roman" w:cs="Times New Roman"/>
          <w:sz w:val="28"/>
          <w:szCs w:val="28"/>
          <w:rtl/>
        </w:rPr>
      </w:pPr>
    </w:p>
    <w:p w14:paraId="1A386F45" w14:textId="77777777" w:rsidR="00793DFB" w:rsidRDefault="00793DFB" w:rsidP="00793DFB">
      <w:pPr>
        <w:bidi/>
        <w:jc w:val="center"/>
        <w:rPr>
          <w:rtl/>
        </w:rPr>
      </w:pPr>
    </w:p>
    <w:p w14:paraId="02116F61" w14:textId="77777777" w:rsidR="00793DFB" w:rsidRDefault="00793DFB" w:rsidP="00793DFB">
      <w:pPr>
        <w:bidi/>
        <w:jc w:val="center"/>
        <w:rPr>
          <w:rtl/>
        </w:rPr>
      </w:pPr>
    </w:p>
    <w:p w14:paraId="71EA9063" w14:textId="77777777" w:rsidR="00793DFB" w:rsidRDefault="00793DFB" w:rsidP="00793DFB">
      <w:pPr>
        <w:bidi/>
        <w:jc w:val="center"/>
        <w:rPr>
          <w:rtl/>
        </w:rPr>
      </w:pPr>
    </w:p>
    <w:p w14:paraId="4EB20FFD" w14:textId="77777777" w:rsidR="00793DFB" w:rsidRDefault="00793DFB" w:rsidP="00793DFB">
      <w:pPr>
        <w:bidi/>
        <w:jc w:val="center"/>
        <w:rPr>
          <w:rtl/>
        </w:rPr>
      </w:pPr>
    </w:p>
    <w:p w14:paraId="201C4E94" w14:textId="77777777" w:rsidR="00793DFB" w:rsidRDefault="00793DFB" w:rsidP="00793DFB">
      <w:pPr>
        <w:bidi/>
        <w:jc w:val="center"/>
        <w:rPr>
          <w:rtl/>
        </w:rPr>
      </w:pPr>
    </w:p>
    <w:p w14:paraId="0229CC36" w14:textId="77777777" w:rsidR="00793DFB" w:rsidRPr="00812E2C" w:rsidRDefault="00793DFB" w:rsidP="00793DFB">
      <w:pPr>
        <w:bidi/>
        <w:rPr>
          <w:sz w:val="28"/>
          <w:szCs w:val="28"/>
          <w:rtl/>
        </w:rPr>
      </w:pPr>
    </w:p>
    <w:p w14:paraId="188BE047" w14:textId="77777777" w:rsidR="00793DFB" w:rsidRPr="00812E2C" w:rsidRDefault="00793DFB" w:rsidP="00793DFB">
      <w:pPr>
        <w:bidi/>
        <w:jc w:val="center"/>
        <w:rPr>
          <w:b/>
          <w:bCs/>
          <w:sz w:val="28"/>
          <w:szCs w:val="28"/>
          <w:rtl/>
        </w:rPr>
      </w:pPr>
      <w:r w:rsidRPr="00812E2C">
        <w:rPr>
          <w:rFonts w:hint="cs"/>
          <w:b/>
          <w:bCs/>
          <w:sz w:val="28"/>
          <w:szCs w:val="28"/>
          <w:rtl/>
        </w:rPr>
        <w:lastRenderedPageBreak/>
        <w:t>الهامش</w:t>
      </w:r>
    </w:p>
    <w:p w14:paraId="4927C129" w14:textId="77777777" w:rsidR="00793DFB" w:rsidRPr="00812E2C" w:rsidRDefault="00793DFB" w:rsidP="00793DFB">
      <w:pPr>
        <w:bidi/>
        <w:jc w:val="center"/>
        <w:rPr>
          <w:b/>
          <w:bCs/>
          <w:sz w:val="28"/>
          <w:szCs w:val="28"/>
        </w:rPr>
      </w:pPr>
      <w:r w:rsidRPr="00812E2C">
        <w:rPr>
          <w:b/>
          <w:bCs/>
          <w:sz w:val="28"/>
          <w:szCs w:val="28"/>
          <w:rtl/>
        </w:rPr>
        <w:t>استبيان بحثي</w:t>
      </w:r>
    </w:p>
    <w:p w14:paraId="152A29AC" w14:textId="77777777" w:rsidR="00793DFB" w:rsidRPr="00812E2C" w:rsidRDefault="00793DFB" w:rsidP="00793DFB">
      <w:pPr>
        <w:bidi/>
        <w:rPr>
          <w:b/>
          <w:bCs/>
          <w:sz w:val="28"/>
          <w:szCs w:val="28"/>
        </w:rPr>
      </w:pPr>
      <w:r w:rsidRPr="00812E2C">
        <w:rPr>
          <w:b/>
          <w:bCs/>
          <w:sz w:val="28"/>
          <w:szCs w:val="28"/>
          <w:rtl/>
        </w:rPr>
        <w:t>عنوان الدراسة</w:t>
      </w:r>
      <w:r w:rsidRPr="00812E2C">
        <w:rPr>
          <w:b/>
          <w:bCs/>
          <w:sz w:val="28"/>
          <w:szCs w:val="28"/>
        </w:rPr>
        <w:t>:</w:t>
      </w:r>
    </w:p>
    <w:p w14:paraId="0D8D74EB" w14:textId="77777777" w:rsidR="00793DFB" w:rsidRPr="00812E2C" w:rsidRDefault="00793DFB" w:rsidP="00793DFB">
      <w:pPr>
        <w:bidi/>
        <w:jc w:val="center"/>
        <w:rPr>
          <w:b/>
          <w:bCs/>
          <w:sz w:val="28"/>
          <w:szCs w:val="28"/>
        </w:rPr>
      </w:pPr>
      <w:r w:rsidRPr="00812E2C">
        <w:rPr>
          <w:b/>
          <w:bCs/>
          <w:sz w:val="28"/>
          <w:szCs w:val="28"/>
          <w:rtl/>
        </w:rPr>
        <w:t>أثر أنظمة العمل عالية الأداء على الإبداع الوظيفي: الدور الوسيط للثقافة التنظيمية في قطاعي الفنادق والمطاعم بمدينة الرياض</w:t>
      </w:r>
    </w:p>
    <w:p w14:paraId="06CB0F26" w14:textId="77777777" w:rsidR="00793DFB" w:rsidRPr="00812E2C" w:rsidRDefault="00793DFB" w:rsidP="00793DFB">
      <w:pPr>
        <w:bidi/>
        <w:rPr>
          <w:b/>
          <w:bCs/>
          <w:sz w:val="28"/>
          <w:szCs w:val="28"/>
        </w:rPr>
      </w:pPr>
      <w:r w:rsidRPr="00812E2C">
        <w:rPr>
          <w:b/>
          <w:bCs/>
          <w:sz w:val="28"/>
          <w:szCs w:val="28"/>
          <w:rtl/>
        </w:rPr>
        <w:t>المقدمة</w:t>
      </w:r>
      <w:r w:rsidRPr="00812E2C">
        <w:rPr>
          <w:b/>
          <w:bCs/>
          <w:sz w:val="28"/>
          <w:szCs w:val="28"/>
        </w:rPr>
        <w:t>:</w:t>
      </w:r>
    </w:p>
    <w:p w14:paraId="3710EBFD" w14:textId="77777777" w:rsidR="00793DFB" w:rsidRPr="00812E2C" w:rsidRDefault="00793DFB" w:rsidP="00793DFB">
      <w:pPr>
        <w:bidi/>
        <w:rPr>
          <w:b/>
          <w:bCs/>
          <w:sz w:val="28"/>
          <w:szCs w:val="28"/>
        </w:rPr>
      </w:pPr>
      <w:r w:rsidRPr="00812E2C">
        <w:rPr>
          <w:b/>
          <w:bCs/>
          <w:sz w:val="28"/>
          <w:szCs w:val="28"/>
          <w:rtl/>
        </w:rPr>
        <w:t>عزيزي المشارك / عزيزتي المشاركة،</w:t>
      </w:r>
      <w:r w:rsidRPr="00812E2C">
        <w:rPr>
          <w:b/>
          <w:bCs/>
          <w:sz w:val="28"/>
          <w:szCs w:val="28"/>
        </w:rPr>
        <w:br/>
      </w:r>
      <w:r w:rsidRPr="00812E2C">
        <w:rPr>
          <w:b/>
          <w:bCs/>
          <w:sz w:val="28"/>
          <w:szCs w:val="28"/>
          <w:rtl/>
        </w:rPr>
        <w:t>تهدف هذه الدراسة إلى التعرف على أثر أنظمة العمل عالية الأداء في تعزيز الإبداع الوظيفي، ودور الثقافة التنظيمية في هذه العلاقة ضمن قطاعي الفنادق والمطاعم بمدينة الرياض</w:t>
      </w:r>
      <w:r w:rsidRPr="00812E2C">
        <w:rPr>
          <w:b/>
          <w:bCs/>
          <w:sz w:val="28"/>
          <w:szCs w:val="28"/>
        </w:rPr>
        <w:t>.</w:t>
      </w:r>
      <w:r w:rsidRPr="00812E2C">
        <w:rPr>
          <w:b/>
          <w:bCs/>
          <w:sz w:val="28"/>
          <w:szCs w:val="28"/>
        </w:rPr>
        <w:br/>
      </w:r>
      <w:r w:rsidRPr="00812E2C">
        <w:rPr>
          <w:b/>
          <w:bCs/>
          <w:sz w:val="28"/>
          <w:szCs w:val="28"/>
          <w:rtl/>
        </w:rPr>
        <w:t>إن مشاركتك في هذا الاستبيان طوعية تمامًا، وجميع المعلومات التي تقدمها ستُعامل بسرية تامة، ولن تُستخدم إلا لأغراض البحث العلمي فقط</w:t>
      </w:r>
      <w:r w:rsidRPr="00812E2C">
        <w:rPr>
          <w:b/>
          <w:bCs/>
          <w:sz w:val="28"/>
          <w:szCs w:val="28"/>
        </w:rPr>
        <w:t>.</w:t>
      </w:r>
      <w:r w:rsidRPr="00812E2C">
        <w:rPr>
          <w:b/>
          <w:bCs/>
          <w:sz w:val="28"/>
          <w:szCs w:val="28"/>
        </w:rPr>
        <w:br/>
      </w:r>
      <w:r w:rsidRPr="00812E2C">
        <w:rPr>
          <w:b/>
          <w:bCs/>
          <w:sz w:val="28"/>
          <w:szCs w:val="28"/>
          <w:rtl/>
        </w:rPr>
        <w:t>يرجى قراءة العبارات بعناية واختيار الإجابة التي تعبّر عن مدى موافقتك عليها</w:t>
      </w:r>
      <w:r w:rsidRPr="00812E2C">
        <w:rPr>
          <w:b/>
          <w:bCs/>
          <w:sz w:val="28"/>
          <w:szCs w:val="28"/>
        </w:rPr>
        <w:t>.</w:t>
      </w:r>
      <w:r w:rsidRPr="00812E2C">
        <w:rPr>
          <w:b/>
          <w:bCs/>
          <w:sz w:val="28"/>
          <w:szCs w:val="28"/>
        </w:rPr>
        <w:br/>
      </w:r>
      <w:r w:rsidRPr="00812E2C">
        <w:rPr>
          <w:b/>
          <w:bCs/>
          <w:sz w:val="28"/>
          <w:szCs w:val="28"/>
          <w:rtl/>
        </w:rPr>
        <w:t>جميع البنود تُقاس وفق مقياس ليكرت الخماسي التالي</w:t>
      </w:r>
      <w:r w:rsidRPr="00812E2C">
        <w:rPr>
          <w:b/>
          <w:bCs/>
          <w:sz w:val="28"/>
          <w:szCs w:val="28"/>
        </w:rPr>
        <w:t>:</w:t>
      </w:r>
    </w:p>
    <w:tbl>
      <w:tblPr>
        <w:tblStyle w:val="TableGrid"/>
        <w:tblW w:w="0" w:type="auto"/>
        <w:jc w:val="center"/>
        <w:tblLook w:val="04A0" w:firstRow="1" w:lastRow="0" w:firstColumn="1" w:lastColumn="0" w:noHBand="0" w:noVBand="1"/>
      </w:tblPr>
      <w:tblGrid>
        <w:gridCol w:w="823"/>
        <w:gridCol w:w="1912"/>
      </w:tblGrid>
      <w:tr w:rsidR="00793DFB" w:rsidRPr="00812E2C" w14:paraId="19381A56" w14:textId="77777777" w:rsidTr="009F1C88">
        <w:trPr>
          <w:jc w:val="center"/>
        </w:trPr>
        <w:tc>
          <w:tcPr>
            <w:tcW w:w="0" w:type="auto"/>
            <w:hideMark/>
          </w:tcPr>
          <w:p w14:paraId="1F3A11D1" w14:textId="77777777" w:rsidR="00793DFB" w:rsidRPr="00812E2C" w:rsidRDefault="00793DFB" w:rsidP="009F1C88">
            <w:pPr>
              <w:bidi/>
              <w:spacing w:after="160" w:line="278" w:lineRule="auto"/>
              <w:rPr>
                <w:b/>
                <w:bCs/>
                <w:sz w:val="28"/>
                <w:szCs w:val="28"/>
              </w:rPr>
            </w:pPr>
            <w:r w:rsidRPr="00812E2C">
              <w:rPr>
                <w:b/>
                <w:bCs/>
                <w:sz w:val="28"/>
                <w:szCs w:val="28"/>
                <w:rtl/>
              </w:rPr>
              <w:t>الدرجة</w:t>
            </w:r>
          </w:p>
        </w:tc>
        <w:tc>
          <w:tcPr>
            <w:tcW w:w="1912" w:type="dxa"/>
            <w:hideMark/>
          </w:tcPr>
          <w:p w14:paraId="11CA4EA7" w14:textId="77777777" w:rsidR="00793DFB" w:rsidRPr="00812E2C" w:rsidRDefault="00793DFB" w:rsidP="009F1C88">
            <w:pPr>
              <w:bidi/>
              <w:spacing w:after="160" w:line="278" w:lineRule="auto"/>
              <w:rPr>
                <w:b/>
                <w:bCs/>
                <w:sz w:val="28"/>
                <w:szCs w:val="28"/>
              </w:rPr>
            </w:pPr>
            <w:r w:rsidRPr="00812E2C">
              <w:rPr>
                <w:b/>
                <w:bCs/>
                <w:sz w:val="28"/>
                <w:szCs w:val="28"/>
                <w:rtl/>
              </w:rPr>
              <w:t>مستوى الموافقة</w:t>
            </w:r>
          </w:p>
        </w:tc>
      </w:tr>
      <w:tr w:rsidR="00793DFB" w:rsidRPr="00812E2C" w14:paraId="6BEC0FE6" w14:textId="77777777" w:rsidTr="009F1C88">
        <w:trPr>
          <w:jc w:val="center"/>
        </w:trPr>
        <w:tc>
          <w:tcPr>
            <w:tcW w:w="0" w:type="auto"/>
            <w:hideMark/>
          </w:tcPr>
          <w:p w14:paraId="18571B87" w14:textId="77777777" w:rsidR="00793DFB" w:rsidRPr="00812E2C" w:rsidRDefault="00793DFB" w:rsidP="009F1C88">
            <w:pPr>
              <w:bidi/>
              <w:spacing w:after="160" w:line="278" w:lineRule="auto"/>
              <w:rPr>
                <w:b/>
                <w:bCs/>
                <w:sz w:val="28"/>
                <w:szCs w:val="28"/>
              </w:rPr>
            </w:pPr>
            <w:r w:rsidRPr="00812E2C">
              <w:rPr>
                <w:b/>
                <w:bCs/>
                <w:sz w:val="28"/>
                <w:szCs w:val="28"/>
              </w:rPr>
              <w:t>1</w:t>
            </w:r>
          </w:p>
        </w:tc>
        <w:tc>
          <w:tcPr>
            <w:tcW w:w="1912" w:type="dxa"/>
            <w:hideMark/>
          </w:tcPr>
          <w:p w14:paraId="60C7CC0E" w14:textId="77777777" w:rsidR="00793DFB" w:rsidRPr="00812E2C" w:rsidRDefault="00793DFB" w:rsidP="009F1C88">
            <w:pPr>
              <w:bidi/>
              <w:spacing w:after="160" w:line="278" w:lineRule="auto"/>
              <w:rPr>
                <w:b/>
                <w:bCs/>
                <w:sz w:val="28"/>
                <w:szCs w:val="28"/>
              </w:rPr>
            </w:pPr>
            <w:r w:rsidRPr="00812E2C">
              <w:rPr>
                <w:b/>
                <w:bCs/>
                <w:sz w:val="28"/>
                <w:szCs w:val="28"/>
                <w:rtl/>
              </w:rPr>
              <w:t>لا أوافق بشدة</w:t>
            </w:r>
          </w:p>
        </w:tc>
      </w:tr>
      <w:tr w:rsidR="00793DFB" w:rsidRPr="00812E2C" w14:paraId="71ACA0BC" w14:textId="77777777" w:rsidTr="009F1C88">
        <w:trPr>
          <w:jc w:val="center"/>
        </w:trPr>
        <w:tc>
          <w:tcPr>
            <w:tcW w:w="0" w:type="auto"/>
            <w:hideMark/>
          </w:tcPr>
          <w:p w14:paraId="5A2ACA16" w14:textId="77777777" w:rsidR="00793DFB" w:rsidRPr="00812E2C" w:rsidRDefault="00793DFB" w:rsidP="009F1C88">
            <w:pPr>
              <w:bidi/>
              <w:spacing w:after="160" w:line="278" w:lineRule="auto"/>
              <w:rPr>
                <w:b/>
                <w:bCs/>
                <w:sz w:val="28"/>
                <w:szCs w:val="28"/>
              </w:rPr>
            </w:pPr>
            <w:r w:rsidRPr="00812E2C">
              <w:rPr>
                <w:b/>
                <w:bCs/>
                <w:sz w:val="28"/>
                <w:szCs w:val="28"/>
              </w:rPr>
              <w:t>2</w:t>
            </w:r>
          </w:p>
        </w:tc>
        <w:tc>
          <w:tcPr>
            <w:tcW w:w="1912" w:type="dxa"/>
            <w:hideMark/>
          </w:tcPr>
          <w:p w14:paraId="36979E9C" w14:textId="77777777" w:rsidR="00793DFB" w:rsidRPr="00812E2C" w:rsidRDefault="00793DFB" w:rsidP="009F1C88">
            <w:pPr>
              <w:bidi/>
              <w:spacing w:after="160" w:line="278" w:lineRule="auto"/>
              <w:rPr>
                <w:b/>
                <w:bCs/>
                <w:sz w:val="28"/>
                <w:szCs w:val="28"/>
              </w:rPr>
            </w:pPr>
            <w:r w:rsidRPr="00812E2C">
              <w:rPr>
                <w:b/>
                <w:bCs/>
                <w:sz w:val="28"/>
                <w:szCs w:val="28"/>
                <w:rtl/>
              </w:rPr>
              <w:t>لا أوافق</w:t>
            </w:r>
          </w:p>
        </w:tc>
      </w:tr>
      <w:tr w:rsidR="00793DFB" w:rsidRPr="00812E2C" w14:paraId="65D386A3" w14:textId="77777777" w:rsidTr="009F1C88">
        <w:trPr>
          <w:jc w:val="center"/>
        </w:trPr>
        <w:tc>
          <w:tcPr>
            <w:tcW w:w="0" w:type="auto"/>
            <w:hideMark/>
          </w:tcPr>
          <w:p w14:paraId="069F32E1" w14:textId="77777777" w:rsidR="00793DFB" w:rsidRPr="00812E2C" w:rsidRDefault="00793DFB" w:rsidP="009F1C88">
            <w:pPr>
              <w:bidi/>
              <w:spacing w:after="160" w:line="278" w:lineRule="auto"/>
              <w:rPr>
                <w:b/>
                <w:bCs/>
                <w:sz w:val="28"/>
                <w:szCs w:val="28"/>
              </w:rPr>
            </w:pPr>
            <w:r w:rsidRPr="00812E2C">
              <w:rPr>
                <w:b/>
                <w:bCs/>
                <w:sz w:val="28"/>
                <w:szCs w:val="28"/>
              </w:rPr>
              <w:t>3</w:t>
            </w:r>
          </w:p>
        </w:tc>
        <w:tc>
          <w:tcPr>
            <w:tcW w:w="1912" w:type="dxa"/>
            <w:hideMark/>
          </w:tcPr>
          <w:p w14:paraId="246F887A" w14:textId="77777777" w:rsidR="00793DFB" w:rsidRPr="00812E2C" w:rsidRDefault="00793DFB" w:rsidP="009F1C88">
            <w:pPr>
              <w:bidi/>
              <w:spacing w:after="160" w:line="278" w:lineRule="auto"/>
              <w:rPr>
                <w:b/>
                <w:bCs/>
                <w:sz w:val="28"/>
                <w:szCs w:val="28"/>
              </w:rPr>
            </w:pPr>
            <w:r w:rsidRPr="00812E2C">
              <w:rPr>
                <w:b/>
                <w:bCs/>
                <w:sz w:val="28"/>
                <w:szCs w:val="28"/>
                <w:rtl/>
              </w:rPr>
              <w:t>محايد</w:t>
            </w:r>
          </w:p>
        </w:tc>
      </w:tr>
      <w:tr w:rsidR="00793DFB" w:rsidRPr="00812E2C" w14:paraId="48073D05" w14:textId="77777777" w:rsidTr="009F1C88">
        <w:trPr>
          <w:jc w:val="center"/>
        </w:trPr>
        <w:tc>
          <w:tcPr>
            <w:tcW w:w="0" w:type="auto"/>
            <w:hideMark/>
          </w:tcPr>
          <w:p w14:paraId="7EE0FEA4" w14:textId="77777777" w:rsidR="00793DFB" w:rsidRPr="00812E2C" w:rsidRDefault="00793DFB" w:rsidP="009F1C88">
            <w:pPr>
              <w:bidi/>
              <w:spacing w:after="160" w:line="278" w:lineRule="auto"/>
              <w:rPr>
                <w:b/>
                <w:bCs/>
                <w:sz w:val="28"/>
                <w:szCs w:val="28"/>
              </w:rPr>
            </w:pPr>
            <w:r w:rsidRPr="00812E2C">
              <w:rPr>
                <w:b/>
                <w:bCs/>
                <w:sz w:val="28"/>
                <w:szCs w:val="28"/>
              </w:rPr>
              <w:t>4</w:t>
            </w:r>
          </w:p>
        </w:tc>
        <w:tc>
          <w:tcPr>
            <w:tcW w:w="1912" w:type="dxa"/>
            <w:hideMark/>
          </w:tcPr>
          <w:p w14:paraId="1895DB35" w14:textId="77777777" w:rsidR="00793DFB" w:rsidRPr="00812E2C" w:rsidRDefault="00793DFB" w:rsidP="009F1C88">
            <w:pPr>
              <w:bidi/>
              <w:spacing w:after="160" w:line="278" w:lineRule="auto"/>
              <w:rPr>
                <w:b/>
                <w:bCs/>
                <w:sz w:val="28"/>
                <w:szCs w:val="28"/>
              </w:rPr>
            </w:pPr>
            <w:r w:rsidRPr="00812E2C">
              <w:rPr>
                <w:b/>
                <w:bCs/>
                <w:sz w:val="28"/>
                <w:szCs w:val="28"/>
                <w:rtl/>
              </w:rPr>
              <w:t>أوافق</w:t>
            </w:r>
          </w:p>
        </w:tc>
      </w:tr>
      <w:tr w:rsidR="00793DFB" w:rsidRPr="00812E2C" w14:paraId="5ED32F65" w14:textId="77777777" w:rsidTr="009F1C88">
        <w:trPr>
          <w:jc w:val="center"/>
        </w:trPr>
        <w:tc>
          <w:tcPr>
            <w:tcW w:w="0" w:type="auto"/>
            <w:hideMark/>
          </w:tcPr>
          <w:p w14:paraId="58BCCE91" w14:textId="77777777" w:rsidR="00793DFB" w:rsidRPr="00812E2C" w:rsidRDefault="00793DFB" w:rsidP="009F1C88">
            <w:pPr>
              <w:bidi/>
              <w:spacing w:after="160" w:line="278" w:lineRule="auto"/>
              <w:rPr>
                <w:b/>
                <w:bCs/>
                <w:sz w:val="28"/>
                <w:szCs w:val="28"/>
              </w:rPr>
            </w:pPr>
            <w:r w:rsidRPr="00812E2C">
              <w:rPr>
                <w:b/>
                <w:bCs/>
                <w:sz w:val="28"/>
                <w:szCs w:val="28"/>
              </w:rPr>
              <w:t>5</w:t>
            </w:r>
          </w:p>
        </w:tc>
        <w:tc>
          <w:tcPr>
            <w:tcW w:w="1912" w:type="dxa"/>
            <w:hideMark/>
          </w:tcPr>
          <w:p w14:paraId="5E4D8424" w14:textId="77777777" w:rsidR="00793DFB" w:rsidRPr="00812E2C" w:rsidRDefault="00793DFB" w:rsidP="009F1C88">
            <w:pPr>
              <w:bidi/>
              <w:spacing w:after="160" w:line="278" w:lineRule="auto"/>
              <w:rPr>
                <w:b/>
                <w:bCs/>
                <w:sz w:val="28"/>
                <w:szCs w:val="28"/>
              </w:rPr>
            </w:pPr>
            <w:r w:rsidRPr="00812E2C">
              <w:rPr>
                <w:b/>
                <w:bCs/>
                <w:sz w:val="28"/>
                <w:szCs w:val="28"/>
                <w:rtl/>
              </w:rPr>
              <w:t>أوافق بشدة</w:t>
            </w:r>
          </w:p>
        </w:tc>
      </w:tr>
    </w:tbl>
    <w:p w14:paraId="66CE191F" w14:textId="77777777" w:rsidR="00793DFB" w:rsidRPr="00812E2C" w:rsidRDefault="00793DFB" w:rsidP="00793DFB">
      <w:pPr>
        <w:bidi/>
        <w:rPr>
          <w:b/>
          <w:bCs/>
          <w:sz w:val="28"/>
          <w:szCs w:val="28"/>
          <w:rtl/>
        </w:rPr>
      </w:pPr>
    </w:p>
    <w:p w14:paraId="0BA69587" w14:textId="77777777" w:rsidR="00793DFB" w:rsidRPr="00812E2C" w:rsidRDefault="00793DFB" w:rsidP="00793DFB">
      <w:pPr>
        <w:bidi/>
        <w:rPr>
          <w:b/>
          <w:bCs/>
          <w:sz w:val="28"/>
          <w:szCs w:val="28"/>
        </w:rPr>
      </w:pPr>
      <w:r w:rsidRPr="00812E2C">
        <w:rPr>
          <w:b/>
          <w:bCs/>
          <w:sz w:val="28"/>
          <w:szCs w:val="28"/>
          <w:rtl/>
        </w:rPr>
        <w:t>المحور الأول: أنظمة العمل عالية الأداء</w:t>
      </w:r>
      <w:r w:rsidRPr="00812E2C">
        <w:rPr>
          <w:b/>
          <w:bCs/>
          <w:sz w:val="28"/>
          <w:szCs w:val="28"/>
        </w:rPr>
        <w:t xml:space="preserve"> (HPWS)</w:t>
      </w:r>
    </w:p>
    <w:p w14:paraId="10C318AA" w14:textId="77777777" w:rsidR="00793DFB" w:rsidRPr="00812E2C" w:rsidRDefault="00793DFB" w:rsidP="00793DFB">
      <w:pPr>
        <w:bidi/>
        <w:rPr>
          <w:b/>
          <w:bCs/>
          <w:sz w:val="28"/>
          <w:szCs w:val="28"/>
        </w:rPr>
      </w:pPr>
      <w:r w:rsidRPr="00812E2C">
        <w:rPr>
          <w:b/>
          <w:bCs/>
          <w:i/>
          <w:iCs/>
          <w:sz w:val="28"/>
          <w:szCs w:val="28"/>
        </w:rPr>
        <w:t>(Sun et al., 2007; Kehoe &amp; Wright, 2013)</w:t>
      </w:r>
    </w:p>
    <w:p w14:paraId="2795E336" w14:textId="77777777" w:rsidR="00793DFB" w:rsidRPr="00812E2C" w:rsidRDefault="00793DFB" w:rsidP="00793DFB">
      <w:pPr>
        <w:bidi/>
        <w:rPr>
          <w:b/>
          <w:bCs/>
          <w:sz w:val="28"/>
          <w:szCs w:val="28"/>
        </w:rPr>
      </w:pPr>
      <w:r w:rsidRPr="00812E2C">
        <w:rPr>
          <w:b/>
          <w:bCs/>
          <w:sz w:val="28"/>
          <w:szCs w:val="28"/>
          <w:rtl/>
        </w:rPr>
        <w:t>أولاً: التوظيف الانتقائي</w:t>
      </w:r>
      <w:r w:rsidRPr="00812E2C">
        <w:rPr>
          <w:b/>
          <w:bCs/>
          <w:sz w:val="28"/>
          <w:szCs w:val="28"/>
        </w:rPr>
        <w:t xml:space="preserve"> (Selective Hiring)</w:t>
      </w:r>
    </w:p>
    <w:p w14:paraId="3C3A63F6" w14:textId="77777777" w:rsidR="00793DFB" w:rsidRPr="00812E2C" w:rsidRDefault="00793DFB" w:rsidP="00793DFB">
      <w:pPr>
        <w:numPr>
          <w:ilvl w:val="0"/>
          <w:numId w:val="126"/>
        </w:numPr>
        <w:bidi/>
        <w:rPr>
          <w:b/>
          <w:bCs/>
          <w:sz w:val="28"/>
          <w:szCs w:val="28"/>
        </w:rPr>
      </w:pPr>
      <w:r w:rsidRPr="00812E2C">
        <w:rPr>
          <w:b/>
          <w:bCs/>
          <w:sz w:val="28"/>
          <w:szCs w:val="28"/>
          <w:rtl/>
        </w:rPr>
        <w:t>يتم اختيار الموظفين بناءً على معايير دقيقة تتوافق مع متطلبات الوظيفة</w:t>
      </w:r>
      <w:r w:rsidRPr="00812E2C">
        <w:rPr>
          <w:b/>
          <w:bCs/>
          <w:sz w:val="28"/>
          <w:szCs w:val="28"/>
        </w:rPr>
        <w:t>.</w:t>
      </w:r>
    </w:p>
    <w:p w14:paraId="2719A9F0" w14:textId="77777777" w:rsidR="00793DFB" w:rsidRPr="00812E2C" w:rsidRDefault="00793DFB" w:rsidP="00793DFB">
      <w:pPr>
        <w:numPr>
          <w:ilvl w:val="0"/>
          <w:numId w:val="126"/>
        </w:numPr>
        <w:bidi/>
        <w:rPr>
          <w:b/>
          <w:bCs/>
          <w:sz w:val="28"/>
          <w:szCs w:val="28"/>
        </w:rPr>
      </w:pPr>
      <w:r w:rsidRPr="00812E2C">
        <w:rPr>
          <w:b/>
          <w:bCs/>
          <w:sz w:val="28"/>
          <w:szCs w:val="28"/>
          <w:rtl/>
        </w:rPr>
        <w:t>تخضع عملية التوظيف لمقابلات متعددة لتقييم الكفاءة والسلوك المهني</w:t>
      </w:r>
      <w:r w:rsidRPr="00812E2C">
        <w:rPr>
          <w:b/>
          <w:bCs/>
          <w:sz w:val="28"/>
          <w:szCs w:val="28"/>
        </w:rPr>
        <w:t>.</w:t>
      </w:r>
    </w:p>
    <w:p w14:paraId="1E99204D" w14:textId="77777777" w:rsidR="00793DFB" w:rsidRPr="00812E2C" w:rsidRDefault="00793DFB" w:rsidP="00793DFB">
      <w:pPr>
        <w:numPr>
          <w:ilvl w:val="0"/>
          <w:numId w:val="126"/>
        </w:numPr>
        <w:bidi/>
        <w:rPr>
          <w:b/>
          <w:bCs/>
          <w:sz w:val="28"/>
          <w:szCs w:val="28"/>
        </w:rPr>
      </w:pPr>
      <w:r w:rsidRPr="00812E2C">
        <w:rPr>
          <w:b/>
          <w:bCs/>
          <w:sz w:val="28"/>
          <w:szCs w:val="28"/>
          <w:rtl/>
        </w:rPr>
        <w:lastRenderedPageBreak/>
        <w:t>يتم التركيز على مهارات الإبداع والابتكار عند اختيار الموظفين الجدد</w:t>
      </w:r>
      <w:r w:rsidRPr="00812E2C">
        <w:rPr>
          <w:b/>
          <w:bCs/>
          <w:sz w:val="28"/>
          <w:szCs w:val="28"/>
        </w:rPr>
        <w:t>.</w:t>
      </w:r>
    </w:p>
    <w:p w14:paraId="7378E1B7" w14:textId="77777777" w:rsidR="00793DFB" w:rsidRPr="00812E2C" w:rsidRDefault="00793DFB" w:rsidP="00793DFB">
      <w:pPr>
        <w:numPr>
          <w:ilvl w:val="0"/>
          <w:numId w:val="126"/>
        </w:numPr>
        <w:bidi/>
        <w:rPr>
          <w:b/>
          <w:bCs/>
          <w:sz w:val="28"/>
          <w:szCs w:val="28"/>
        </w:rPr>
      </w:pPr>
      <w:r w:rsidRPr="00812E2C">
        <w:rPr>
          <w:b/>
          <w:bCs/>
          <w:sz w:val="28"/>
          <w:szCs w:val="28"/>
          <w:rtl/>
        </w:rPr>
        <w:t>تشارك الإدارة العليا في قرارات التعيين لضمان جودة الاختيار</w:t>
      </w:r>
      <w:r w:rsidRPr="00812E2C">
        <w:rPr>
          <w:b/>
          <w:bCs/>
          <w:sz w:val="28"/>
          <w:szCs w:val="28"/>
        </w:rPr>
        <w:t>.</w:t>
      </w:r>
    </w:p>
    <w:p w14:paraId="7F782F13" w14:textId="77777777" w:rsidR="00793DFB" w:rsidRPr="00812E2C" w:rsidRDefault="00793DFB" w:rsidP="00793DFB">
      <w:pPr>
        <w:bidi/>
        <w:rPr>
          <w:b/>
          <w:bCs/>
          <w:sz w:val="28"/>
          <w:szCs w:val="28"/>
        </w:rPr>
      </w:pPr>
    </w:p>
    <w:p w14:paraId="40B2E703" w14:textId="77777777" w:rsidR="00793DFB" w:rsidRPr="00812E2C" w:rsidRDefault="00793DFB" w:rsidP="00793DFB">
      <w:pPr>
        <w:bidi/>
        <w:rPr>
          <w:b/>
          <w:bCs/>
          <w:sz w:val="28"/>
          <w:szCs w:val="28"/>
        </w:rPr>
      </w:pPr>
      <w:r w:rsidRPr="00812E2C">
        <w:rPr>
          <w:b/>
          <w:bCs/>
          <w:sz w:val="28"/>
          <w:szCs w:val="28"/>
          <w:rtl/>
        </w:rPr>
        <w:t>ثانيًا: التدريب والتطوير المستمر</w:t>
      </w:r>
      <w:r w:rsidRPr="00812E2C">
        <w:rPr>
          <w:b/>
          <w:bCs/>
          <w:sz w:val="28"/>
          <w:szCs w:val="28"/>
        </w:rPr>
        <w:t xml:space="preserve"> (Training and Development)</w:t>
      </w:r>
    </w:p>
    <w:p w14:paraId="2A55225A" w14:textId="77777777" w:rsidR="00793DFB" w:rsidRPr="00812E2C" w:rsidRDefault="00793DFB" w:rsidP="00793DFB">
      <w:pPr>
        <w:numPr>
          <w:ilvl w:val="0"/>
          <w:numId w:val="127"/>
        </w:numPr>
        <w:bidi/>
        <w:rPr>
          <w:b/>
          <w:bCs/>
          <w:sz w:val="28"/>
          <w:szCs w:val="28"/>
        </w:rPr>
      </w:pPr>
      <w:r w:rsidRPr="00812E2C">
        <w:rPr>
          <w:b/>
          <w:bCs/>
          <w:sz w:val="28"/>
          <w:szCs w:val="28"/>
          <w:rtl/>
        </w:rPr>
        <w:t>توفر المنظمة برامج تدريب منتظمة لتحسين مهارات الموظفين</w:t>
      </w:r>
      <w:r w:rsidRPr="00812E2C">
        <w:rPr>
          <w:b/>
          <w:bCs/>
          <w:sz w:val="28"/>
          <w:szCs w:val="28"/>
        </w:rPr>
        <w:t>.</w:t>
      </w:r>
    </w:p>
    <w:p w14:paraId="1F139C62" w14:textId="77777777" w:rsidR="00793DFB" w:rsidRPr="00812E2C" w:rsidRDefault="00793DFB" w:rsidP="00793DFB">
      <w:pPr>
        <w:numPr>
          <w:ilvl w:val="0"/>
          <w:numId w:val="127"/>
        </w:numPr>
        <w:bidi/>
        <w:rPr>
          <w:b/>
          <w:bCs/>
          <w:sz w:val="28"/>
          <w:szCs w:val="28"/>
        </w:rPr>
      </w:pPr>
      <w:r w:rsidRPr="00812E2C">
        <w:rPr>
          <w:b/>
          <w:bCs/>
          <w:sz w:val="28"/>
          <w:szCs w:val="28"/>
          <w:rtl/>
        </w:rPr>
        <w:t>يتم ربط التدريب بأهداف العمل ومتطلبات التطوير المستقبلية</w:t>
      </w:r>
      <w:r w:rsidRPr="00812E2C">
        <w:rPr>
          <w:b/>
          <w:bCs/>
          <w:sz w:val="28"/>
          <w:szCs w:val="28"/>
        </w:rPr>
        <w:t>.</w:t>
      </w:r>
    </w:p>
    <w:p w14:paraId="4E630C3B" w14:textId="77777777" w:rsidR="00793DFB" w:rsidRPr="00812E2C" w:rsidRDefault="00793DFB" w:rsidP="00793DFB">
      <w:pPr>
        <w:numPr>
          <w:ilvl w:val="0"/>
          <w:numId w:val="127"/>
        </w:numPr>
        <w:bidi/>
        <w:rPr>
          <w:b/>
          <w:bCs/>
          <w:sz w:val="28"/>
          <w:szCs w:val="28"/>
        </w:rPr>
      </w:pPr>
      <w:r w:rsidRPr="00812E2C">
        <w:rPr>
          <w:b/>
          <w:bCs/>
          <w:sz w:val="28"/>
          <w:szCs w:val="28"/>
          <w:rtl/>
        </w:rPr>
        <w:t>يتم تشجيع الموظفين على حضور الدورات الداخلية والخارجية</w:t>
      </w:r>
      <w:r w:rsidRPr="00812E2C">
        <w:rPr>
          <w:b/>
          <w:bCs/>
          <w:sz w:val="28"/>
          <w:szCs w:val="28"/>
        </w:rPr>
        <w:t>.</w:t>
      </w:r>
    </w:p>
    <w:p w14:paraId="48D908DA" w14:textId="77777777" w:rsidR="00793DFB" w:rsidRPr="00812E2C" w:rsidRDefault="00793DFB" w:rsidP="00793DFB">
      <w:pPr>
        <w:numPr>
          <w:ilvl w:val="0"/>
          <w:numId w:val="127"/>
        </w:numPr>
        <w:bidi/>
        <w:rPr>
          <w:b/>
          <w:bCs/>
          <w:sz w:val="28"/>
          <w:szCs w:val="28"/>
        </w:rPr>
      </w:pPr>
      <w:r w:rsidRPr="00812E2C">
        <w:rPr>
          <w:b/>
          <w:bCs/>
          <w:sz w:val="28"/>
          <w:szCs w:val="28"/>
          <w:rtl/>
        </w:rPr>
        <w:t>تقيّم الإدارة احتياجات التدريب بناءً على نتائج الأداء</w:t>
      </w:r>
      <w:r w:rsidRPr="00812E2C">
        <w:rPr>
          <w:b/>
          <w:bCs/>
          <w:sz w:val="28"/>
          <w:szCs w:val="28"/>
        </w:rPr>
        <w:t>.</w:t>
      </w:r>
    </w:p>
    <w:p w14:paraId="49356FBB" w14:textId="77777777" w:rsidR="00793DFB" w:rsidRPr="00812E2C" w:rsidRDefault="00793DFB" w:rsidP="00793DFB">
      <w:pPr>
        <w:bidi/>
        <w:rPr>
          <w:b/>
          <w:bCs/>
          <w:sz w:val="28"/>
          <w:szCs w:val="28"/>
        </w:rPr>
      </w:pPr>
      <w:r w:rsidRPr="00812E2C">
        <w:rPr>
          <w:b/>
          <w:bCs/>
          <w:sz w:val="28"/>
          <w:szCs w:val="28"/>
          <w:rtl/>
        </w:rPr>
        <w:t>ثالثًا: نظم الحوافز والمكافآت</w:t>
      </w:r>
      <w:r w:rsidRPr="00812E2C">
        <w:rPr>
          <w:b/>
          <w:bCs/>
          <w:sz w:val="28"/>
          <w:szCs w:val="28"/>
        </w:rPr>
        <w:t xml:space="preserve"> (Compensation and Rewards)</w:t>
      </w:r>
    </w:p>
    <w:p w14:paraId="220C3F4A" w14:textId="77777777" w:rsidR="00793DFB" w:rsidRPr="00812E2C" w:rsidRDefault="00793DFB" w:rsidP="00793DFB">
      <w:pPr>
        <w:numPr>
          <w:ilvl w:val="0"/>
          <w:numId w:val="128"/>
        </w:numPr>
        <w:bidi/>
        <w:rPr>
          <w:b/>
          <w:bCs/>
          <w:sz w:val="28"/>
          <w:szCs w:val="28"/>
        </w:rPr>
      </w:pPr>
      <w:r w:rsidRPr="00812E2C">
        <w:rPr>
          <w:b/>
          <w:bCs/>
          <w:sz w:val="28"/>
          <w:szCs w:val="28"/>
          <w:rtl/>
        </w:rPr>
        <w:t>تُقدَّم المكافآت بناءً على الأداء الفردي المتميز</w:t>
      </w:r>
      <w:r w:rsidRPr="00812E2C">
        <w:rPr>
          <w:b/>
          <w:bCs/>
          <w:sz w:val="28"/>
          <w:szCs w:val="28"/>
        </w:rPr>
        <w:t>.</w:t>
      </w:r>
    </w:p>
    <w:p w14:paraId="4AE4B201" w14:textId="77777777" w:rsidR="00793DFB" w:rsidRPr="00812E2C" w:rsidRDefault="00793DFB" w:rsidP="00793DFB">
      <w:pPr>
        <w:numPr>
          <w:ilvl w:val="0"/>
          <w:numId w:val="128"/>
        </w:numPr>
        <w:bidi/>
        <w:rPr>
          <w:b/>
          <w:bCs/>
          <w:sz w:val="28"/>
          <w:szCs w:val="28"/>
        </w:rPr>
      </w:pPr>
      <w:r w:rsidRPr="00812E2C">
        <w:rPr>
          <w:b/>
          <w:bCs/>
          <w:sz w:val="28"/>
          <w:szCs w:val="28"/>
          <w:rtl/>
        </w:rPr>
        <w:t>يتم تحفيز العاملين على الإبداع من خلال نظام مكافآت عادل</w:t>
      </w:r>
      <w:r w:rsidRPr="00812E2C">
        <w:rPr>
          <w:b/>
          <w:bCs/>
          <w:sz w:val="28"/>
          <w:szCs w:val="28"/>
        </w:rPr>
        <w:t>.</w:t>
      </w:r>
    </w:p>
    <w:p w14:paraId="428DAC13" w14:textId="77777777" w:rsidR="00793DFB" w:rsidRPr="00812E2C" w:rsidRDefault="00793DFB" w:rsidP="00793DFB">
      <w:pPr>
        <w:numPr>
          <w:ilvl w:val="0"/>
          <w:numId w:val="128"/>
        </w:numPr>
        <w:bidi/>
        <w:rPr>
          <w:b/>
          <w:bCs/>
          <w:sz w:val="28"/>
          <w:szCs w:val="28"/>
        </w:rPr>
      </w:pPr>
      <w:r w:rsidRPr="00812E2C">
        <w:rPr>
          <w:b/>
          <w:bCs/>
          <w:sz w:val="28"/>
          <w:szCs w:val="28"/>
          <w:rtl/>
        </w:rPr>
        <w:t>تشمل الحوافز مكافآت مالية وغير مالية</w:t>
      </w:r>
      <w:r w:rsidRPr="00812E2C">
        <w:rPr>
          <w:b/>
          <w:bCs/>
          <w:sz w:val="28"/>
          <w:szCs w:val="28"/>
        </w:rPr>
        <w:t>.</w:t>
      </w:r>
    </w:p>
    <w:p w14:paraId="500F3B54" w14:textId="77777777" w:rsidR="00793DFB" w:rsidRPr="00812E2C" w:rsidRDefault="00793DFB" w:rsidP="00793DFB">
      <w:pPr>
        <w:numPr>
          <w:ilvl w:val="0"/>
          <w:numId w:val="128"/>
        </w:numPr>
        <w:bidi/>
        <w:rPr>
          <w:b/>
          <w:bCs/>
          <w:sz w:val="28"/>
          <w:szCs w:val="28"/>
        </w:rPr>
      </w:pPr>
      <w:r w:rsidRPr="00812E2C">
        <w:rPr>
          <w:b/>
          <w:bCs/>
          <w:sz w:val="28"/>
          <w:szCs w:val="28"/>
          <w:rtl/>
        </w:rPr>
        <w:t>تُمنح الترقيات بناءً على الأداء وليس الأقدمية</w:t>
      </w:r>
      <w:r w:rsidRPr="00812E2C">
        <w:rPr>
          <w:b/>
          <w:bCs/>
          <w:sz w:val="28"/>
          <w:szCs w:val="28"/>
        </w:rPr>
        <w:t>.</w:t>
      </w:r>
    </w:p>
    <w:p w14:paraId="7363EAF7" w14:textId="77777777" w:rsidR="00793DFB" w:rsidRPr="00812E2C" w:rsidRDefault="00793DFB" w:rsidP="00793DFB">
      <w:pPr>
        <w:bidi/>
        <w:rPr>
          <w:b/>
          <w:bCs/>
          <w:sz w:val="28"/>
          <w:szCs w:val="28"/>
        </w:rPr>
      </w:pPr>
      <w:r w:rsidRPr="00812E2C">
        <w:rPr>
          <w:b/>
          <w:bCs/>
          <w:sz w:val="28"/>
          <w:szCs w:val="28"/>
          <w:rtl/>
        </w:rPr>
        <w:t>رابعًا: المشاركة في اتخاذ القرار</w:t>
      </w:r>
      <w:r w:rsidRPr="00812E2C">
        <w:rPr>
          <w:b/>
          <w:bCs/>
          <w:sz w:val="28"/>
          <w:szCs w:val="28"/>
        </w:rPr>
        <w:t xml:space="preserve"> (Employee Participation)</w:t>
      </w:r>
    </w:p>
    <w:p w14:paraId="5B3A03AF" w14:textId="77777777" w:rsidR="00793DFB" w:rsidRPr="00812E2C" w:rsidRDefault="00793DFB" w:rsidP="00793DFB">
      <w:pPr>
        <w:numPr>
          <w:ilvl w:val="0"/>
          <w:numId w:val="129"/>
        </w:numPr>
        <w:bidi/>
        <w:rPr>
          <w:b/>
          <w:bCs/>
          <w:sz w:val="28"/>
          <w:szCs w:val="28"/>
        </w:rPr>
      </w:pPr>
      <w:r w:rsidRPr="00812E2C">
        <w:rPr>
          <w:b/>
          <w:bCs/>
          <w:sz w:val="28"/>
          <w:szCs w:val="28"/>
          <w:rtl/>
        </w:rPr>
        <w:t>تُشرك الإدارة الموظفين في مناقشة القرارات التي تخص عملهم</w:t>
      </w:r>
      <w:r w:rsidRPr="00812E2C">
        <w:rPr>
          <w:b/>
          <w:bCs/>
          <w:sz w:val="28"/>
          <w:szCs w:val="28"/>
        </w:rPr>
        <w:t>.</w:t>
      </w:r>
    </w:p>
    <w:p w14:paraId="5BAC3773" w14:textId="77777777" w:rsidR="00793DFB" w:rsidRPr="00812E2C" w:rsidRDefault="00793DFB" w:rsidP="00793DFB">
      <w:pPr>
        <w:numPr>
          <w:ilvl w:val="0"/>
          <w:numId w:val="129"/>
        </w:numPr>
        <w:bidi/>
        <w:rPr>
          <w:b/>
          <w:bCs/>
          <w:sz w:val="28"/>
          <w:szCs w:val="28"/>
        </w:rPr>
      </w:pPr>
      <w:r w:rsidRPr="00812E2C">
        <w:rPr>
          <w:b/>
          <w:bCs/>
          <w:sz w:val="28"/>
          <w:szCs w:val="28"/>
          <w:rtl/>
        </w:rPr>
        <w:t>يُشجَّع العاملون على طرح أفكار ومقترحات تطويرية</w:t>
      </w:r>
      <w:r w:rsidRPr="00812E2C">
        <w:rPr>
          <w:b/>
          <w:bCs/>
          <w:sz w:val="28"/>
          <w:szCs w:val="28"/>
        </w:rPr>
        <w:t>.</w:t>
      </w:r>
    </w:p>
    <w:p w14:paraId="78D81FAC" w14:textId="77777777" w:rsidR="00793DFB" w:rsidRPr="00812E2C" w:rsidRDefault="00793DFB" w:rsidP="00793DFB">
      <w:pPr>
        <w:numPr>
          <w:ilvl w:val="0"/>
          <w:numId w:val="129"/>
        </w:numPr>
        <w:bidi/>
        <w:rPr>
          <w:b/>
          <w:bCs/>
          <w:sz w:val="28"/>
          <w:szCs w:val="28"/>
        </w:rPr>
      </w:pPr>
      <w:r w:rsidRPr="00812E2C">
        <w:rPr>
          <w:b/>
          <w:bCs/>
          <w:sz w:val="28"/>
          <w:szCs w:val="28"/>
          <w:rtl/>
        </w:rPr>
        <w:t>تتبنى الإدارة أسلوب الحوار المفتوح مع الموظفين عند اتخاذ القرارات</w:t>
      </w:r>
      <w:r w:rsidRPr="00812E2C">
        <w:rPr>
          <w:b/>
          <w:bCs/>
          <w:sz w:val="28"/>
          <w:szCs w:val="28"/>
        </w:rPr>
        <w:t>.</w:t>
      </w:r>
    </w:p>
    <w:p w14:paraId="16441514" w14:textId="77777777" w:rsidR="00793DFB" w:rsidRPr="00812E2C" w:rsidRDefault="00793DFB" w:rsidP="00793DFB">
      <w:pPr>
        <w:bidi/>
        <w:rPr>
          <w:b/>
          <w:bCs/>
          <w:sz w:val="28"/>
          <w:szCs w:val="28"/>
        </w:rPr>
      </w:pPr>
      <w:r w:rsidRPr="00812E2C">
        <w:rPr>
          <w:b/>
          <w:bCs/>
          <w:sz w:val="28"/>
          <w:szCs w:val="28"/>
          <w:rtl/>
        </w:rPr>
        <w:t>خامسًا: تقييم الأداء العادل</w:t>
      </w:r>
      <w:r w:rsidRPr="00812E2C">
        <w:rPr>
          <w:b/>
          <w:bCs/>
          <w:sz w:val="28"/>
          <w:szCs w:val="28"/>
        </w:rPr>
        <w:t xml:space="preserve"> (Performance Appraisal)</w:t>
      </w:r>
    </w:p>
    <w:p w14:paraId="4CE96307" w14:textId="77777777" w:rsidR="00793DFB" w:rsidRPr="00812E2C" w:rsidRDefault="00793DFB" w:rsidP="00793DFB">
      <w:pPr>
        <w:numPr>
          <w:ilvl w:val="0"/>
          <w:numId w:val="130"/>
        </w:numPr>
        <w:bidi/>
        <w:rPr>
          <w:b/>
          <w:bCs/>
          <w:sz w:val="28"/>
          <w:szCs w:val="28"/>
        </w:rPr>
      </w:pPr>
      <w:r w:rsidRPr="00812E2C">
        <w:rPr>
          <w:b/>
          <w:bCs/>
          <w:sz w:val="28"/>
          <w:szCs w:val="28"/>
          <w:rtl/>
        </w:rPr>
        <w:t>يتم تقييم أداء الموظفين وفق معايير موضوعية ومعلنة</w:t>
      </w:r>
      <w:r w:rsidRPr="00812E2C">
        <w:rPr>
          <w:b/>
          <w:bCs/>
          <w:sz w:val="28"/>
          <w:szCs w:val="28"/>
        </w:rPr>
        <w:t>.</w:t>
      </w:r>
    </w:p>
    <w:p w14:paraId="3088D750" w14:textId="77777777" w:rsidR="00793DFB" w:rsidRPr="00812E2C" w:rsidRDefault="00793DFB" w:rsidP="00793DFB">
      <w:pPr>
        <w:numPr>
          <w:ilvl w:val="0"/>
          <w:numId w:val="130"/>
        </w:numPr>
        <w:bidi/>
        <w:rPr>
          <w:b/>
          <w:bCs/>
          <w:sz w:val="28"/>
          <w:szCs w:val="28"/>
        </w:rPr>
      </w:pPr>
      <w:r w:rsidRPr="00812E2C">
        <w:rPr>
          <w:b/>
          <w:bCs/>
          <w:sz w:val="28"/>
          <w:szCs w:val="28"/>
          <w:rtl/>
        </w:rPr>
        <w:t>يحصل الموظفون على تغذية راجعة منتظمة حول أدائهم</w:t>
      </w:r>
      <w:r w:rsidRPr="00812E2C">
        <w:rPr>
          <w:b/>
          <w:bCs/>
          <w:sz w:val="28"/>
          <w:szCs w:val="28"/>
        </w:rPr>
        <w:t>.</w:t>
      </w:r>
    </w:p>
    <w:p w14:paraId="0CB8F4C1" w14:textId="77777777" w:rsidR="00793DFB" w:rsidRPr="00812E2C" w:rsidRDefault="00793DFB" w:rsidP="00793DFB">
      <w:pPr>
        <w:numPr>
          <w:ilvl w:val="0"/>
          <w:numId w:val="130"/>
        </w:numPr>
        <w:bidi/>
        <w:rPr>
          <w:b/>
          <w:bCs/>
          <w:sz w:val="28"/>
          <w:szCs w:val="28"/>
        </w:rPr>
      </w:pPr>
      <w:r w:rsidRPr="00812E2C">
        <w:rPr>
          <w:b/>
          <w:bCs/>
          <w:sz w:val="28"/>
          <w:szCs w:val="28"/>
          <w:rtl/>
        </w:rPr>
        <w:t>تُستخدم نتائج التقييم في تحديد فرص الترقية والتطوير</w:t>
      </w:r>
      <w:r w:rsidRPr="00812E2C">
        <w:rPr>
          <w:b/>
          <w:bCs/>
          <w:sz w:val="28"/>
          <w:szCs w:val="28"/>
        </w:rPr>
        <w:t>.</w:t>
      </w:r>
    </w:p>
    <w:p w14:paraId="2E9237AD" w14:textId="77777777" w:rsidR="00793DFB" w:rsidRPr="00812E2C" w:rsidRDefault="00793DFB" w:rsidP="00793DFB">
      <w:pPr>
        <w:bidi/>
        <w:rPr>
          <w:b/>
          <w:bCs/>
          <w:sz w:val="28"/>
          <w:szCs w:val="28"/>
        </w:rPr>
      </w:pPr>
      <w:r w:rsidRPr="00812E2C">
        <w:rPr>
          <w:b/>
          <w:bCs/>
          <w:sz w:val="28"/>
          <w:szCs w:val="28"/>
          <w:rtl/>
        </w:rPr>
        <w:t>سادسًا: تمكين الموظفين</w:t>
      </w:r>
      <w:r w:rsidRPr="00812E2C">
        <w:rPr>
          <w:b/>
          <w:bCs/>
          <w:sz w:val="28"/>
          <w:szCs w:val="28"/>
        </w:rPr>
        <w:t xml:space="preserve"> (Employee Empowerment)</w:t>
      </w:r>
    </w:p>
    <w:p w14:paraId="3A6EBE17" w14:textId="77777777" w:rsidR="00793DFB" w:rsidRPr="00812E2C" w:rsidRDefault="00793DFB" w:rsidP="00793DFB">
      <w:pPr>
        <w:numPr>
          <w:ilvl w:val="0"/>
          <w:numId w:val="131"/>
        </w:numPr>
        <w:bidi/>
        <w:rPr>
          <w:b/>
          <w:bCs/>
          <w:sz w:val="28"/>
          <w:szCs w:val="28"/>
        </w:rPr>
      </w:pPr>
      <w:r w:rsidRPr="00812E2C">
        <w:rPr>
          <w:b/>
          <w:bCs/>
          <w:sz w:val="28"/>
          <w:szCs w:val="28"/>
          <w:rtl/>
        </w:rPr>
        <w:t>تُمنح للموظفين الصلاحيات اللازمة لإنجاز مهامهم بكفاءة</w:t>
      </w:r>
      <w:r w:rsidRPr="00812E2C">
        <w:rPr>
          <w:b/>
          <w:bCs/>
          <w:sz w:val="28"/>
          <w:szCs w:val="28"/>
        </w:rPr>
        <w:t>.</w:t>
      </w:r>
    </w:p>
    <w:p w14:paraId="457F54D1" w14:textId="77777777" w:rsidR="00793DFB" w:rsidRPr="00812E2C" w:rsidRDefault="00793DFB" w:rsidP="00793DFB">
      <w:pPr>
        <w:numPr>
          <w:ilvl w:val="0"/>
          <w:numId w:val="131"/>
        </w:numPr>
        <w:bidi/>
        <w:rPr>
          <w:b/>
          <w:bCs/>
          <w:sz w:val="28"/>
          <w:szCs w:val="28"/>
        </w:rPr>
      </w:pPr>
      <w:r w:rsidRPr="00812E2C">
        <w:rPr>
          <w:b/>
          <w:bCs/>
          <w:sz w:val="28"/>
          <w:szCs w:val="28"/>
          <w:rtl/>
        </w:rPr>
        <w:lastRenderedPageBreak/>
        <w:t>تُشجّع الإدارة العاملين على اتخاذ القرارات المناسبة لأعمالهم</w:t>
      </w:r>
      <w:r w:rsidRPr="00812E2C">
        <w:rPr>
          <w:b/>
          <w:bCs/>
          <w:sz w:val="28"/>
          <w:szCs w:val="28"/>
        </w:rPr>
        <w:t>.</w:t>
      </w:r>
    </w:p>
    <w:p w14:paraId="40E5B54F" w14:textId="77777777" w:rsidR="00793DFB" w:rsidRPr="00812E2C" w:rsidRDefault="00793DFB" w:rsidP="00793DFB">
      <w:pPr>
        <w:numPr>
          <w:ilvl w:val="0"/>
          <w:numId w:val="131"/>
        </w:numPr>
        <w:bidi/>
        <w:rPr>
          <w:b/>
          <w:bCs/>
          <w:sz w:val="28"/>
          <w:szCs w:val="28"/>
        </w:rPr>
      </w:pPr>
      <w:r w:rsidRPr="00812E2C">
        <w:rPr>
          <w:b/>
          <w:bCs/>
          <w:sz w:val="28"/>
          <w:szCs w:val="28"/>
          <w:rtl/>
        </w:rPr>
        <w:t>يشعر الموظفون بأنهم موثوق بهم وقادرون على المبادرة الذاتية</w:t>
      </w:r>
      <w:r w:rsidRPr="00812E2C">
        <w:rPr>
          <w:b/>
          <w:bCs/>
          <w:sz w:val="28"/>
          <w:szCs w:val="28"/>
        </w:rPr>
        <w:t>.</w:t>
      </w:r>
    </w:p>
    <w:p w14:paraId="47697A4E" w14:textId="77777777" w:rsidR="00793DFB" w:rsidRPr="00812E2C" w:rsidRDefault="00793DFB" w:rsidP="00793DFB">
      <w:pPr>
        <w:numPr>
          <w:ilvl w:val="0"/>
          <w:numId w:val="131"/>
        </w:numPr>
        <w:bidi/>
        <w:rPr>
          <w:b/>
          <w:bCs/>
          <w:sz w:val="28"/>
          <w:szCs w:val="28"/>
        </w:rPr>
      </w:pPr>
      <w:r w:rsidRPr="00812E2C">
        <w:rPr>
          <w:b/>
          <w:bCs/>
          <w:sz w:val="28"/>
          <w:szCs w:val="28"/>
          <w:rtl/>
        </w:rPr>
        <w:t>يتم الاعتراف بمساهمات الموظفين في تحسين الأداء التنظيمي</w:t>
      </w:r>
      <w:r w:rsidRPr="00812E2C">
        <w:rPr>
          <w:b/>
          <w:bCs/>
          <w:sz w:val="28"/>
          <w:szCs w:val="28"/>
        </w:rPr>
        <w:t>.</w:t>
      </w:r>
    </w:p>
    <w:p w14:paraId="3485DDAD" w14:textId="77777777" w:rsidR="00793DFB" w:rsidRPr="00812E2C" w:rsidRDefault="00793DFB" w:rsidP="00793DFB">
      <w:pPr>
        <w:numPr>
          <w:ilvl w:val="0"/>
          <w:numId w:val="131"/>
        </w:numPr>
        <w:bidi/>
        <w:rPr>
          <w:b/>
          <w:bCs/>
          <w:sz w:val="28"/>
          <w:szCs w:val="28"/>
        </w:rPr>
      </w:pPr>
      <w:r w:rsidRPr="00812E2C">
        <w:rPr>
          <w:b/>
          <w:bCs/>
          <w:sz w:val="28"/>
          <w:szCs w:val="28"/>
          <w:rtl/>
        </w:rPr>
        <w:t>يتم دعم العاملين في تحمل المسؤولية عن نتائج أعمالهم</w:t>
      </w:r>
      <w:r w:rsidRPr="00812E2C">
        <w:rPr>
          <w:b/>
          <w:bCs/>
          <w:sz w:val="28"/>
          <w:szCs w:val="28"/>
        </w:rPr>
        <w:t>.</w:t>
      </w:r>
    </w:p>
    <w:p w14:paraId="0E95F970" w14:textId="77777777" w:rsidR="00793DFB" w:rsidRPr="004A1CE3" w:rsidRDefault="00793DFB" w:rsidP="00793DFB">
      <w:pPr>
        <w:bidi/>
        <w:rPr>
          <w:b/>
          <w:bCs/>
          <w:sz w:val="28"/>
          <w:szCs w:val="28"/>
          <w:rtl/>
        </w:rPr>
      </w:pPr>
    </w:p>
    <w:p w14:paraId="2A8EEB05" w14:textId="77777777" w:rsidR="00793DFB" w:rsidRPr="00812E2C" w:rsidRDefault="00793DFB" w:rsidP="00793DFB">
      <w:pPr>
        <w:bidi/>
        <w:rPr>
          <w:b/>
          <w:bCs/>
          <w:sz w:val="28"/>
          <w:szCs w:val="28"/>
          <w:rtl/>
        </w:rPr>
      </w:pPr>
    </w:p>
    <w:p w14:paraId="47DAF489" w14:textId="77777777" w:rsidR="00793DFB" w:rsidRPr="00812E2C" w:rsidRDefault="00793DFB" w:rsidP="00793DFB">
      <w:pPr>
        <w:bidi/>
        <w:rPr>
          <w:b/>
          <w:bCs/>
          <w:sz w:val="28"/>
          <w:szCs w:val="28"/>
        </w:rPr>
      </w:pPr>
    </w:p>
    <w:p w14:paraId="35E3FDD1" w14:textId="77777777" w:rsidR="00793DFB" w:rsidRPr="00812E2C" w:rsidRDefault="00793DFB" w:rsidP="00793DFB">
      <w:pPr>
        <w:bidi/>
        <w:rPr>
          <w:b/>
          <w:bCs/>
          <w:sz w:val="28"/>
          <w:szCs w:val="28"/>
        </w:rPr>
      </w:pPr>
      <w:r w:rsidRPr="00812E2C">
        <w:rPr>
          <w:b/>
          <w:bCs/>
          <w:sz w:val="28"/>
          <w:szCs w:val="28"/>
          <w:rtl/>
        </w:rPr>
        <w:t>المحور الثاني: الثقافة التنظيمية</w:t>
      </w:r>
      <w:r w:rsidRPr="00812E2C">
        <w:rPr>
          <w:b/>
          <w:bCs/>
          <w:sz w:val="28"/>
          <w:szCs w:val="28"/>
        </w:rPr>
        <w:t xml:space="preserve"> (Organizational Culture)</w:t>
      </w:r>
      <w:r w:rsidRPr="00812E2C">
        <w:rPr>
          <w:rFonts w:hint="cs"/>
          <w:b/>
          <w:bCs/>
          <w:sz w:val="28"/>
          <w:szCs w:val="28"/>
          <w:rtl/>
        </w:rPr>
        <w:t xml:space="preserve"> </w:t>
      </w:r>
      <w:r w:rsidRPr="00812E2C">
        <w:rPr>
          <w:b/>
          <w:bCs/>
          <w:i/>
          <w:iCs/>
          <w:sz w:val="28"/>
          <w:szCs w:val="28"/>
        </w:rPr>
        <w:t>(Denison, 2000)</w:t>
      </w:r>
    </w:p>
    <w:p w14:paraId="068D10CC" w14:textId="77777777" w:rsidR="00793DFB" w:rsidRPr="00812E2C" w:rsidRDefault="00793DFB" w:rsidP="00793DFB">
      <w:pPr>
        <w:bidi/>
        <w:rPr>
          <w:b/>
          <w:bCs/>
          <w:sz w:val="28"/>
          <w:szCs w:val="28"/>
        </w:rPr>
      </w:pPr>
      <w:r w:rsidRPr="00812E2C">
        <w:rPr>
          <w:b/>
          <w:bCs/>
          <w:sz w:val="28"/>
          <w:szCs w:val="28"/>
          <w:rtl/>
        </w:rPr>
        <w:t>أولاً: التكيّف</w:t>
      </w:r>
      <w:r w:rsidRPr="00812E2C">
        <w:rPr>
          <w:b/>
          <w:bCs/>
          <w:sz w:val="28"/>
          <w:szCs w:val="28"/>
        </w:rPr>
        <w:t xml:space="preserve"> (Adaptability)</w:t>
      </w:r>
    </w:p>
    <w:p w14:paraId="6CCA1BBA" w14:textId="77777777" w:rsidR="00793DFB" w:rsidRPr="00812E2C" w:rsidRDefault="00793DFB" w:rsidP="00793DFB">
      <w:pPr>
        <w:numPr>
          <w:ilvl w:val="0"/>
          <w:numId w:val="132"/>
        </w:numPr>
        <w:bidi/>
        <w:rPr>
          <w:b/>
          <w:bCs/>
          <w:sz w:val="28"/>
          <w:szCs w:val="28"/>
        </w:rPr>
      </w:pPr>
      <w:r w:rsidRPr="00812E2C">
        <w:rPr>
          <w:b/>
          <w:bCs/>
          <w:sz w:val="28"/>
          <w:szCs w:val="28"/>
          <w:rtl/>
        </w:rPr>
        <w:t>تتبنّى المنظمة التغيير بسهولة لمواكبة متطلبات السوق</w:t>
      </w:r>
      <w:r w:rsidRPr="00812E2C">
        <w:rPr>
          <w:b/>
          <w:bCs/>
          <w:sz w:val="28"/>
          <w:szCs w:val="28"/>
        </w:rPr>
        <w:t>.</w:t>
      </w:r>
    </w:p>
    <w:p w14:paraId="2096A290" w14:textId="77777777" w:rsidR="00793DFB" w:rsidRPr="00812E2C" w:rsidRDefault="00793DFB" w:rsidP="00793DFB">
      <w:pPr>
        <w:numPr>
          <w:ilvl w:val="0"/>
          <w:numId w:val="132"/>
        </w:numPr>
        <w:bidi/>
        <w:rPr>
          <w:b/>
          <w:bCs/>
          <w:sz w:val="28"/>
          <w:szCs w:val="28"/>
        </w:rPr>
      </w:pPr>
      <w:r w:rsidRPr="00812E2C">
        <w:rPr>
          <w:b/>
          <w:bCs/>
          <w:sz w:val="28"/>
          <w:szCs w:val="28"/>
          <w:rtl/>
        </w:rPr>
        <w:t>تشجع الإدارة التجريب وتقبّل الأفكار الجديدة</w:t>
      </w:r>
      <w:r w:rsidRPr="00812E2C">
        <w:rPr>
          <w:b/>
          <w:bCs/>
          <w:sz w:val="28"/>
          <w:szCs w:val="28"/>
        </w:rPr>
        <w:t>.</w:t>
      </w:r>
    </w:p>
    <w:p w14:paraId="4DE728AE" w14:textId="77777777" w:rsidR="00793DFB" w:rsidRPr="00812E2C" w:rsidRDefault="00793DFB" w:rsidP="00793DFB">
      <w:pPr>
        <w:bidi/>
        <w:rPr>
          <w:b/>
          <w:bCs/>
          <w:sz w:val="28"/>
          <w:szCs w:val="28"/>
        </w:rPr>
      </w:pPr>
      <w:r w:rsidRPr="00812E2C">
        <w:rPr>
          <w:b/>
          <w:bCs/>
          <w:sz w:val="28"/>
          <w:szCs w:val="28"/>
          <w:rtl/>
        </w:rPr>
        <w:t>ثانيًا: المهمة</w:t>
      </w:r>
      <w:r w:rsidRPr="00812E2C">
        <w:rPr>
          <w:b/>
          <w:bCs/>
          <w:sz w:val="28"/>
          <w:szCs w:val="28"/>
        </w:rPr>
        <w:t xml:space="preserve"> (Mission)</w:t>
      </w:r>
    </w:p>
    <w:p w14:paraId="38108828" w14:textId="77777777" w:rsidR="00793DFB" w:rsidRPr="00812E2C" w:rsidRDefault="00793DFB" w:rsidP="00793DFB">
      <w:pPr>
        <w:numPr>
          <w:ilvl w:val="0"/>
          <w:numId w:val="133"/>
        </w:numPr>
        <w:bidi/>
        <w:rPr>
          <w:b/>
          <w:bCs/>
          <w:sz w:val="28"/>
          <w:szCs w:val="28"/>
        </w:rPr>
      </w:pPr>
      <w:r w:rsidRPr="00812E2C">
        <w:rPr>
          <w:b/>
          <w:bCs/>
          <w:sz w:val="28"/>
          <w:szCs w:val="28"/>
          <w:rtl/>
        </w:rPr>
        <w:t>يمتلك جميع الموظفين فهمًا واضحًا لرؤية ورسالة المنظمة</w:t>
      </w:r>
      <w:r w:rsidRPr="00812E2C">
        <w:rPr>
          <w:b/>
          <w:bCs/>
          <w:sz w:val="28"/>
          <w:szCs w:val="28"/>
        </w:rPr>
        <w:t>.</w:t>
      </w:r>
    </w:p>
    <w:p w14:paraId="6D44446A" w14:textId="77777777" w:rsidR="00793DFB" w:rsidRPr="00812E2C" w:rsidRDefault="00793DFB" w:rsidP="00793DFB">
      <w:pPr>
        <w:numPr>
          <w:ilvl w:val="0"/>
          <w:numId w:val="133"/>
        </w:numPr>
        <w:bidi/>
        <w:rPr>
          <w:b/>
          <w:bCs/>
          <w:sz w:val="28"/>
          <w:szCs w:val="28"/>
        </w:rPr>
      </w:pPr>
      <w:r w:rsidRPr="00812E2C">
        <w:rPr>
          <w:b/>
          <w:bCs/>
          <w:sz w:val="28"/>
          <w:szCs w:val="28"/>
          <w:rtl/>
        </w:rPr>
        <w:t>تتوافق أهداف الأفراد مع الأهداف الاستراتيجية للمؤسسة</w:t>
      </w:r>
      <w:r w:rsidRPr="00812E2C">
        <w:rPr>
          <w:b/>
          <w:bCs/>
          <w:sz w:val="28"/>
          <w:szCs w:val="28"/>
        </w:rPr>
        <w:t>.</w:t>
      </w:r>
    </w:p>
    <w:p w14:paraId="6F018733" w14:textId="77777777" w:rsidR="00793DFB" w:rsidRPr="00812E2C" w:rsidRDefault="00793DFB" w:rsidP="00793DFB">
      <w:pPr>
        <w:bidi/>
        <w:rPr>
          <w:b/>
          <w:bCs/>
          <w:sz w:val="28"/>
          <w:szCs w:val="28"/>
        </w:rPr>
      </w:pPr>
      <w:r w:rsidRPr="00812E2C">
        <w:rPr>
          <w:b/>
          <w:bCs/>
          <w:sz w:val="28"/>
          <w:szCs w:val="28"/>
          <w:rtl/>
        </w:rPr>
        <w:t>ثالثًا: الاتساق الداخلي</w:t>
      </w:r>
      <w:r w:rsidRPr="00812E2C">
        <w:rPr>
          <w:b/>
          <w:bCs/>
          <w:sz w:val="28"/>
          <w:szCs w:val="28"/>
        </w:rPr>
        <w:t xml:space="preserve"> (Consistency)</w:t>
      </w:r>
    </w:p>
    <w:p w14:paraId="28AC9090" w14:textId="77777777" w:rsidR="00793DFB" w:rsidRPr="00812E2C" w:rsidRDefault="00793DFB" w:rsidP="00793DFB">
      <w:pPr>
        <w:numPr>
          <w:ilvl w:val="0"/>
          <w:numId w:val="134"/>
        </w:numPr>
        <w:bidi/>
        <w:rPr>
          <w:b/>
          <w:bCs/>
          <w:sz w:val="28"/>
          <w:szCs w:val="28"/>
        </w:rPr>
      </w:pPr>
      <w:r w:rsidRPr="00812E2C">
        <w:rPr>
          <w:b/>
          <w:bCs/>
          <w:sz w:val="28"/>
          <w:szCs w:val="28"/>
          <w:rtl/>
        </w:rPr>
        <w:t>تسود بين العاملين قيم تنظيمية مشتركة تحكم سلوكهم المهني</w:t>
      </w:r>
      <w:r w:rsidRPr="00812E2C">
        <w:rPr>
          <w:b/>
          <w:bCs/>
          <w:sz w:val="28"/>
          <w:szCs w:val="28"/>
        </w:rPr>
        <w:t>.</w:t>
      </w:r>
    </w:p>
    <w:p w14:paraId="7F32A07A" w14:textId="77777777" w:rsidR="00793DFB" w:rsidRPr="00812E2C" w:rsidRDefault="00793DFB" w:rsidP="00793DFB">
      <w:pPr>
        <w:numPr>
          <w:ilvl w:val="0"/>
          <w:numId w:val="134"/>
        </w:numPr>
        <w:bidi/>
        <w:rPr>
          <w:b/>
          <w:bCs/>
          <w:sz w:val="28"/>
          <w:szCs w:val="28"/>
        </w:rPr>
      </w:pPr>
      <w:r w:rsidRPr="00812E2C">
        <w:rPr>
          <w:b/>
          <w:bCs/>
          <w:sz w:val="28"/>
          <w:szCs w:val="28"/>
          <w:rtl/>
        </w:rPr>
        <w:t>يتم التعامل مع النزاعات بطريقة عادلة ومنظمة</w:t>
      </w:r>
      <w:r w:rsidRPr="00812E2C">
        <w:rPr>
          <w:b/>
          <w:bCs/>
          <w:sz w:val="28"/>
          <w:szCs w:val="28"/>
        </w:rPr>
        <w:t>.</w:t>
      </w:r>
    </w:p>
    <w:p w14:paraId="5443630D" w14:textId="77777777" w:rsidR="00793DFB" w:rsidRPr="00812E2C" w:rsidRDefault="00793DFB" w:rsidP="00793DFB">
      <w:pPr>
        <w:bidi/>
        <w:rPr>
          <w:b/>
          <w:bCs/>
          <w:sz w:val="28"/>
          <w:szCs w:val="28"/>
        </w:rPr>
      </w:pPr>
      <w:r w:rsidRPr="00812E2C">
        <w:rPr>
          <w:b/>
          <w:bCs/>
          <w:sz w:val="28"/>
          <w:szCs w:val="28"/>
          <w:rtl/>
        </w:rPr>
        <w:t>رابعًا: إشراك الموظفين</w:t>
      </w:r>
      <w:r w:rsidRPr="00812E2C">
        <w:rPr>
          <w:b/>
          <w:bCs/>
          <w:sz w:val="28"/>
          <w:szCs w:val="28"/>
        </w:rPr>
        <w:t xml:space="preserve"> (Involvement)</w:t>
      </w:r>
    </w:p>
    <w:p w14:paraId="383BD7F1" w14:textId="77777777" w:rsidR="00793DFB" w:rsidRPr="00812E2C" w:rsidRDefault="00793DFB" w:rsidP="00793DFB">
      <w:pPr>
        <w:numPr>
          <w:ilvl w:val="0"/>
          <w:numId w:val="135"/>
        </w:numPr>
        <w:bidi/>
        <w:rPr>
          <w:b/>
          <w:bCs/>
          <w:sz w:val="28"/>
          <w:szCs w:val="28"/>
        </w:rPr>
      </w:pPr>
      <w:r w:rsidRPr="00812E2C">
        <w:rPr>
          <w:b/>
          <w:bCs/>
          <w:sz w:val="28"/>
          <w:szCs w:val="28"/>
          <w:rtl/>
        </w:rPr>
        <w:t>يشعر الموظفون بالانتماء إلى مؤسستهم</w:t>
      </w:r>
      <w:r w:rsidRPr="00812E2C">
        <w:rPr>
          <w:b/>
          <w:bCs/>
          <w:sz w:val="28"/>
          <w:szCs w:val="28"/>
        </w:rPr>
        <w:t>.</w:t>
      </w:r>
    </w:p>
    <w:p w14:paraId="6AD819CE" w14:textId="77777777" w:rsidR="00793DFB" w:rsidRPr="00812E2C" w:rsidRDefault="00793DFB" w:rsidP="00793DFB">
      <w:pPr>
        <w:numPr>
          <w:ilvl w:val="0"/>
          <w:numId w:val="135"/>
        </w:numPr>
        <w:bidi/>
        <w:rPr>
          <w:b/>
          <w:bCs/>
          <w:sz w:val="28"/>
          <w:szCs w:val="28"/>
        </w:rPr>
      </w:pPr>
      <w:r w:rsidRPr="00812E2C">
        <w:rPr>
          <w:b/>
          <w:bCs/>
          <w:sz w:val="28"/>
          <w:szCs w:val="28"/>
          <w:rtl/>
        </w:rPr>
        <w:t>يُشجَّع التعاون والعمل الجماعي بين الزملاء</w:t>
      </w:r>
      <w:r w:rsidRPr="00812E2C">
        <w:rPr>
          <w:b/>
          <w:bCs/>
          <w:sz w:val="28"/>
          <w:szCs w:val="28"/>
        </w:rPr>
        <w:t>.</w:t>
      </w:r>
    </w:p>
    <w:p w14:paraId="7F62EB31" w14:textId="77777777" w:rsidR="00793DFB" w:rsidRPr="00812E2C" w:rsidRDefault="00793DFB" w:rsidP="00793DFB">
      <w:pPr>
        <w:numPr>
          <w:ilvl w:val="0"/>
          <w:numId w:val="135"/>
        </w:numPr>
        <w:bidi/>
        <w:rPr>
          <w:b/>
          <w:bCs/>
          <w:sz w:val="28"/>
          <w:szCs w:val="28"/>
        </w:rPr>
      </w:pPr>
      <w:r w:rsidRPr="00812E2C">
        <w:rPr>
          <w:b/>
          <w:bCs/>
          <w:sz w:val="28"/>
          <w:szCs w:val="28"/>
          <w:rtl/>
        </w:rPr>
        <w:t>يُنظر إلى الموظفين على أنهم مساهمون رئيسيون في نجاح المنظمة</w:t>
      </w:r>
      <w:r w:rsidRPr="00812E2C">
        <w:rPr>
          <w:b/>
          <w:bCs/>
          <w:sz w:val="28"/>
          <w:szCs w:val="28"/>
        </w:rPr>
        <w:t>.</w:t>
      </w:r>
    </w:p>
    <w:p w14:paraId="10E5C4A5" w14:textId="77777777" w:rsidR="00793DFB" w:rsidRPr="00812E2C" w:rsidRDefault="00793DFB" w:rsidP="00793DFB">
      <w:pPr>
        <w:bidi/>
        <w:rPr>
          <w:b/>
          <w:bCs/>
          <w:sz w:val="28"/>
          <w:szCs w:val="28"/>
        </w:rPr>
      </w:pPr>
    </w:p>
    <w:p w14:paraId="59B59B92" w14:textId="77777777" w:rsidR="00793DFB" w:rsidRPr="00812E2C" w:rsidRDefault="00793DFB" w:rsidP="00793DFB">
      <w:pPr>
        <w:bidi/>
        <w:rPr>
          <w:b/>
          <w:bCs/>
          <w:sz w:val="28"/>
          <w:szCs w:val="28"/>
        </w:rPr>
      </w:pPr>
      <w:r w:rsidRPr="00812E2C">
        <w:rPr>
          <w:b/>
          <w:bCs/>
          <w:sz w:val="28"/>
          <w:szCs w:val="28"/>
          <w:rtl/>
        </w:rPr>
        <w:t>المحور الثالث: الأداء الإبداعي</w:t>
      </w:r>
      <w:r w:rsidRPr="00812E2C">
        <w:rPr>
          <w:rFonts w:hint="cs"/>
          <w:b/>
          <w:bCs/>
          <w:sz w:val="28"/>
          <w:szCs w:val="28"/>
          <w:rtl/>
        </w:rPr>
        <w:t xml:space="preserve"> </w:t>
      </w:r>
      <w:r w:rsidRPr="00812E2C">
        <w:rPr>
          <w:b/>
          <w:bCs/>
          <w:sz w:val="28"/>
          <w:szCs w:val="28"/>
        </w:rPr>
        <w:t>(Creative Performance)</w:t>
      </w:r>
      <w:r w:rsidRPr="00812E2C">
        <w:rPr>
          <w:rFonts w:hint="cs"/>
          <w:b/>
          <w:bCs/>
          <w:sz w:val="28"/>
          <w:szCs w:val="28"/>
          <w:rtl/>
        </w:rPr>
        <w:t xml:space="preserve"> </w:t>
      </w:r>
      <w:r w:rsidRPr="00812E2C">
        <w:rPr>
          <w:b/>
          <w:bCs/>
          <w:i/>
          <w:iCs/>
          <w:sz w:val="28"/>
          <w:szCs w:val="28"/>
        </w:rPr>
        <w:t>(Amabile, 1996)</w:t>
      </w:r>
    </w:p>
    <w:p w14:paraId="271E21A2" w14:textId="77777777" w:rsidR="00793DFB" w:rsidRPr="00812E2C" w:rsidRDefault="00793DFB" w:rsidP="00793DFB">
      <w:pPr>
        <w:numPr>
          <w:ilvl w:val="0"/>
          <w:numId w:val="136"/>
        </w:numPr>
        <w:bidi/>
        <w:rPr>
          <w:b/>
          <w:bCs/>
          <w:sz w:val="28"/>
          <w:szCs w:val="28"/>
        </w:rPr>
      </w:pPr>
      <w:r w:rsidRPr="00812E2C">
        <w:rPr>
          <w:b/>
          <w:bCs/>
          <w:sz w:val="28"/>
          <w:szCs w:val="28"/>
          <w:rtl/>
        </w:rPr>
        <w:lastRenderedPageBreak/>
        <w:t>أقدّم بانتظام أفكارًا جديدة لتحسين العمل</w:t>
      </w:r>
      <w:r w:rsidRPr="00812E2C">
        <w:rPr>
          <w:b/>
          <w:bCs/>
          <w:sz w:val="28"/>
          <w:szCs w:val="28"/>
        </w:rPr>
        <w:t>.</w:t>
      </w:r>
    </w:p>
    <w:p w14:paraId="49FD056A" w14:textId="77777777" w:rsidR="00793DFB" w:rsidRPr="00812E2C" w:rsidRDefault="00793DFB" w:rsidP="00793DFB">
      <w:pPr>
        <w:numPr>
          <w:ilvl w:val="0"/>
          <w:numId w:val="136"/>
        </w:numPr>
        <w:bidi/>
        <w:rPr>
          <w:b/>
          <w:bCs/>
          <w:sz w:val="28"/>
          <w:szCs w:val="28"/>
        </w:rPr>
      </w:pPr>
      <w:r w:rsidRPr="00812E2C">
        <w:rPr>
          <w:b/>
          <w:bCs/>
          <w:sz w:val="28"/>
          <w:szCs w:val="28"/>
          <w:rtl/>
        </w:rPr>
        <w:t>أبحث عن حلول مبتكرة للتحديات اليومية</w:t>
      </w:r>
      <w:r w:rsidRPr="00812E2C">
        <w:rPr>
          <w:b/>
          <w:bCs/>
          <w:sz w:val="28"/>
          <w:szCs w:val="28"/>
        </w:rPr>
        <w:t>.</w:t>
      </w:r>
    </w:p>
    <w:p w14:paraId="0AC58AE1" w14:textId="77777777" w:rsidR="00793DFB" w:rsidRPr="00812E2C" w:rsidRDefault="00793DFB" w:rsidP="00793DFB">
      <w:pPr>
        <w:numPr>
          <w:ilvl w:val="0"/>
          <w:numId w:val="136"/>
        </w:numPr>
        <w:bidi/>
        <w:rPr>
          <w:b/>
          <w:bCs/>
          <w:sz w:val="28"/>
          <w:szCs w:val="28"/>
        </w:rPr>
      </w:pPr>
      <w:r w:rsidRPr="00812E2C">
        <w:rPr>
          <w:b/>
          <w:bCs/>
          <w:sz w:val="28"/>
          <w:szCs w:val="28"/>
          <w:rtl/>
        </w:rPr>
        <w:t>أشارك في تطوير الخدمات أو العمليات في مؤسستي</w:t>
      </w:r>
      <w:r w:rsidRPr="00812E2C">
        <w:rPr>
          <w:b/>
          <w:bCs/>
          <w:sz w:val="28"/>
          <w:szCs w:val="28"/>
        </w:rPr>
        <w:t>.</w:t>
      </w:r>
    </w:p>
    <w:p w14:paraId="576D8545" w14:textId="77777777" w:rsidR="00793DFB" w:rsidRPr="00812E2C" w:rsidRDefault="00793DFB" w:rsidP="00793DFB">
      <w:pPr>
        <w:numPr>
          <w:ilvl w:val="0"/>
          <w:numId w:val="136"/>
        </w:numPr>
        <w:bidi/>
        <w:rPr>
          <w:b/>
          <w:bCs/>
          <w:sz w:val="28"/>
          <w:szCs w:val="28"/>
        </w:rPr>
      </w:pPr>
      <w:r w:rsidRPr="00812E2C">
        <w:rPr>
          <w:b/>
          <w:bCs/>
          <w:sz w:val="28"/>
          <w:szCs w:val="28"/>
          <w:rtl/>
        </w:rPr>
        <w:t>أُظهر استعدادًا لتجربة أساليب جديدة في أداء مهامي</w:t>
      </w:r>
      <w:r w:rsidRPr="00812E2C">
        <w:rPr>
          <w:b/>
          <w:bCs/>
          <w:sz w:val="28"/>
          <w:szCs w:val="28"/>
        </w:rPr>
        <w:t>.</w:t>
      </w:r>
    </w:p>
    <w:p w14:paraId="1F9E965D" w14:textId="77777777" w:rsidR="00793DFB" w:rsidRPr="00812E2C" w:rsidRDefault="00793DFB" w:rsidP="00793DFB">
      <w:pPr>
        <w:numPr>
          <w:ilvl w:val="0"/>
          <w:numId w:val="136"/>
        </w:numPr>
        <w:bidi/>
        <w:rPr>
          <w:b/>
          <w:bCs/>
          <w:sz w:val="28"/>
          <w:szCs w:val="28"/>
        </w:rPr>
      </w:pPr>
      <w:r w:rsidRPr="00812E2C">
        <w:rPr>
          <w:b/>
          <w:bCs/>
          <w:sz w:val="28"/>
          <w:szCs w:val="28"/>
          <w:rtl/>
        </w:rPr>
        <w:t>أساهم في تنفيذ الأفكار الجديدة وتحويلها إلى واقع عملي</w:t>
      </w:r>
      <w:r w:rsidRPr="00812E2C">
        <w:rPr>
          <w:b/>
          <w:bCs/>
          <w:sz w:val="28"/>
          <w:szCs w:val="28"/>
        </w:rPr>
        <w:t>.</w:t>
      </w:r>
    </w:p>
    <w:p w14:paraId="21FB2FA6" w14:textId="77777777" w:rsidR="00793DFB" w:rsidRPr="00812E2C" w:rsidRDefault="00793DFB" w:rsidP="00793DFB">
      <w:pPr>
        <w:numPr>
          <w:ilvl w:val="0"/>
          <w:numId w:val="136"/>
        </w:numPr>
        <w:bidi/>
        <w:rPr>
          <w:b/>
          <w:bCs/>
          <w:sz w:val="28"/>
          <w:szCs w:val="28"/>
        </w:rPr>
      </w:pPr>
      <w:r w:rsidRPr="00812E2C">
        <w:rPr>
          <w:b/>
          <w:bCs/>
          <w:sz w:val="28"/>
          <w:szCs w:val="28"/>
          <w:rtl/>
        </w:rPr>
        <w:t>أعمل على تحسين جودة الخدمات المقدّمة من خلال الابتكار</w:t>
      </w:r>
      <w:r w:rsidRPr="00812E2C">
        <w:rPr>
          <w:b/>
          <w:bCs/>
          <w:sz w:val="28"/>
          <w:szCs w:val="28"/>
        </w:rPr>
        <w:t>.</w:t>
      </w:r>
    </w:p>
    <w:p w14:paraId="3C5FC02F" w14:textId="77777777" w:rsidR="00793DFB" w:rsidRPr="00812E2C" w:rsidRDefault="00793DFB" w:rsidP="00793DFB">
      <w:pPr>
        <w:numPr>
          <w:ilvl w:val="0"/>
          <w:numId w:val="136"/>
        </w:numPr>
        <w:bidi/>
        <w:rPr>
          <w:b/>
          <w:bCs/>
          <w:sz w:val="28"/>
          <w:szCs w:val="28"/>
        </w:rPr>
      </w:pPr>
      <w:r w:rsidRPr="00812E2C">
        <w:rPr>
          <w:b/>
          <w:bCs/>
          <w:sz w:val="28"/>
          <w:szCs w:val="28"/>
          <w:rtl/>
        </w:rPr>
        <w:t>أُبادر بطرح أفكار تطويرية حتى دون طلب رسمي</w:t>
      </w:r>
      <w:r w:rsidRPr="00812E2C">
        <w:rPr>
          <w:b/>
          <w:bCs/>
          <w:sz w:val="28"/>
          <w:szCs w:val="28"/>
        </w:rPr>
        <w:t>.</w:t>
      </w:r>
    </w:p>
    <w:p w14:paraId="405C8C7D" w14:textId="77777777" w:rsidR="00793DFB" w:rsidRPr="00812E2C" w:rsidRDefault="00793DFB" w:rsidP="00793DFB">
      <w:pPr>
        <w:numPr>
          <w:ilvl w:val="0"/>
          <w:numId w:val="136"/>
        </w:numPr>
        <w:bidi/>
        <w:rPr>
          <w:b/>
          <w:bCs/>
          <w:sz w:val="28"/>
          <w:szCs w:val="28"/>
        </w:rPr>
      </w:pPr>
      <w:r w:rsidRPr="00812E2C">
        <w:rPr>
          <w:b/>
          <w:bCs/>
          <w:sz w:val="28"/>
          <w:szCs w:val="28"/>
          <w:rtl/>
        </w:rPr>
        <w:t>أُشجّع زملائي على التفكير بطرق غير تقليدية</w:t>
      </w:r>
      <w:r w:rsidRPr="00812E2C">
        <w:rPr>
          <w:b/>
          <w:bCs/>
          <w:sz w:val="28"/>
          <w:szCs w:val="28"/>
        </w:rPr>
        <w:t>.</w:t>
      </w:r>
    </w:p>
    <w:p w14:paraId="398660D7" w14:textId="77777777" w:rsidR="00793DFB" w:rsidRPr="00812E2C" w:rsidRDefault="00793DFB" w:rsidP="00793DFB">
      <w:pPr>
        <w:numPr>
          <w:ilvl w:val="0"/>
          <w:numId w:val="136"/>
        </w:numPr>
        <w:bidi/>
        <w:rPr>
          <w:b/>
          <w:bCs/>
          <w:sz w:val="28"/>
          <w:szCs w:val="28"/>
        </w:rPr>
      </w:pPr>
      <w:r w:rsidRPr="00812E2C">
        <w:rPr>
          <w:b/>
          <w:bCs/>
          <w:sz w:val="28"/>
          <w:szCs w:val="28"/>
          <w:rtl/>
        </w:rPr>
        <w:t>أستفيد من خبراتي السابقة لإيجاد حلول مبتكرة للمشكلات</w:t>
      </w:r>
      <w:r w:rsidRPr="00812E2C">
        <w:rPr>
          <w:b/>
          <w:bCs/>
          <w:sz w:val="28"/>
          <w:szCs w:val="28"/>
        </w:rPr>
        <w:t>.</w:t>
      </w:r>
    </w:p>
    <w:p w14:paraId="733DF23E" w14:textId="77777777" w:rsidR="00793DFB" w:rsidRPr="00812E2C" w:rsidRDefault="00793DFB" w:rsidP="00793DFB">
      <w:pPr>
        <w:numPr>
          <w:ilvl w:val="0"/>
          <w:numId w:val="136"/>
        </w:numPr>
        <w:bidi/>
        <w:rPr>
          <w:b/>
          <w:bCs/>
          <w:sz w:val="28"/>
          <w:szCs w:val="28"/>
        </w:rPr>
      </w:pPr>
      <w:r w:rsidRPr="00812E2C">
        <w:rPr>
          <w:b/>
          <w:bCs/>
          <w:sz w:val="28"/>
          <w:szCs w:val="28"/>
          <w:rtl/>
        </w:rPr>
        <w:t>أعتبر الإبداع جزءًا أساسيًا من مسؤوليتي المهنية</w:t>
      </w:r>
      <w:r w:rsidRPr="00812E2C">
        <w:rPr>
          <w:b/>
          <w:bCs/>
          <w:sz w:val="28"/>
          <w:szCs w:val="28"/>
        </w:rPr>
        <w:t>.</w:t>
      </w:r>
    </w:p>
    <w:p w14:paraId="2A832212" w14:textId="77777777" w:rsidR="00793DFB" w:rsidRPr="00812E2C" w:rsidRDefault="00793DFB" w:rsidP="00793DFB">
      <w:pPr>
        <w:bidi/>
        <w:rPr>
          <w:b/>
          <w:bCs/>
          <w:sz w:val="28"/>
          <w:szCs w:val="28"/>
        </w:rPr>
      </w:pPr>
      <w:r w:rsidRPr="00812E2C">
        <w:rPr>
          <w:b/>
          <w:bCs/>
          <w:sz w:val="28"/>
          <w:szCs w:val="28"/>
          <w:rtl/>
        </w:rPr>
        <w:t>المحور الرابع: البيانات الديموغرافية</w:t>
      </w:r>
      <w:r w:rsidRPr="00812E2C">
        <w:rPr>
          <w:rFonts w:hint="cs"/>
          <w:b/>
          <w:bCs/>
          <w:sz w:val="28"/>
          <w:szCs w:val="28"/>
          <w:rtl/>
        </w:rPr>
        <w:t xml:space="preserve"> </w:t>
      </w:r>
      <w:r w:rsidRPr="00812E2C">
        <w:rPr>
          <w:b/>
          <w:bCs/>
          <w:sz w:val="28"/>
          <w:szCs w:val="28"/>
        </w:rPr>
        <w:t>(Demographic Data)</w:t>
      </w:r>
    </w:p>
    <w:p w14:paraId="03BED599" w14:textId="77777777" w:rsidR="00793DFB" w:rsidRPr="00812E2C" w:rsidRDefault="00793DFB" w:rsidP="00793DFB">
      <w:pPr>
        <w:bidi/>
        <w:rPr>
          <w:b/>
          <w:bCs/>
          <w:sz w:val="28"/>
          <w:szCs w:val="28"/>
        </w:rPr>
      </w:pPr>
      <w:r w:rsidRPr="00812E2C">
        <w:rPr>
          <w:b/>
          <w:bCs/>
          <w:sz w:val="28"/>
          <w:szCs w:val="28"/>
          <w:rtl/>
        </w:rPr>
        <w:t>يرجى وضع علامة (</w:t>
      </w:r>
      <w:r w:rsidRPr="00812E2C">
        <w:rPr>
          <w:rFonts w:ascii="Segoe UI Symbol" w:hAnsi="Segoe UI Symbol" w:cs="Segoe UI Symbol" w:hint="cs"/>
          <w:b/>
          <w:bCs/>
          <w:sz w:val="28"/>
          <w:szCs w:val="28"/>
          <w:rtl/>
        </w:rPr>
        <w:t>✓</w:t>
      </w:r>
      <w:r w:rsidRPr="00812E2C">
        <w:rPr>
          <w:b/>
          <w:bCs/>
          <w:sz w:val="28"/>
          <w:szCs w:val="28"/>
          <w:rtl/>
        </w:rPr>
        <w:t xml:space="preserve">) </w:t>
      </w:r>
      <w:r w:rsidRPr="00812E2C">
        <w:rPr>
          <w:rFonts w:ascii="Arial" w:hAnsi="Arial" w:cs="Arial" w:hint="cs"/>
          <w:b/>
          <w:bCs/>
          <w:sz w:val="28"/>
          <w:szCs w:val="28"/>
          <w:rtl/>
        </w:rPr>
        <w:t>في</w:t>
      </w:r>
      <w:r w:rsidRPr="00812E2C">
        <w:rPr>
          <w:b/>
          <w:bCs/>
          <w:sz w:val="28"/>
          <w:szCs w:val="28"/>
          <w:rtl/>
        </w:rPr>
        <w:t xml:space="preserve"> </w:t>
      </w:r>
      <w:r w:rsidRPr="00812E2C">
        <w:rPr>
          <w:rFonts w:ascii="Arial" w:hAnsi="Arial" w:cs="Arial" w:hint="cs"/>
          <w:b/>
          <w:bCs/>
          <w:sz w:val="28"/>
          <w:szCs w:val="28"/>
          <w:rtl/>
        </w:rPr>
        <w:t>الخانة</w:t>
      </w:r>
      <w:r w:rsidRPr="00812E2C">
        <w:rPr>
          <w:b/>
          <w:bCs/>
          <w:sz w:val="28"/>
          <w:szCs w:val="28"/>
          <w:rtl/>
        </w:rPr>
        <w:t xml:space="preserve"> </w:t>
      </w:r>
      <w:r w:rsidRPr="00812E2C">
        <w:rPr>
          <w:rFonts w:ascii="Arial" w:hAnsi="Arial" w:cs="Arial" w:hint="cs"/>
          <w:b/>
          <w:bCs/>
          <w:sz w:val="28"/>
          <w:szCs w:val="28"/>
          <w:rtl/>
        </w:rPr>
        <w:t>المناسبة</w:t>
      </w:r>
      <w:r w:rsidRPr="00812E2C">
        <w:rPr>
          <w:b/>
          <w:bCs/>
          <w:sz w:val="28"/>
          <w:szCs w:val="28"/>
        </w:rPr>
        <w:t>:</w:t>
      </w:r>
    </w:p>
    <w:tbl>
      <w:tblPr>
        <w:bidiVisual/>
        <w:tblW w:w="6500" w:type="dxa"/>
        <w:jc w:val="center"/>
        <w:tblLook w:val="04A0" w:firstRow="1" w:lastRow="0" w:firstColumn="1" w:lastColumn="0" w:noHBand="0" w:noVBand="1"/>
      </w:tblPr>
      <w:tblGrid>
        <w:gridCol w:w="1660"/>
        <w:gridCol w:w="4840"/>
      </w:tblGrid>
      <w:tr w:rsidR="00793DFB" w:rsidRPr="00812E2C" w14:paraId="18105614" w14:textId="77777777" w:rsidTr="009F1C88">
        <w:trPr>
          <w:trHeight w:val="312"/>
          <w:jc w:val="center"/>
        </w:trPr>
        <w:tc>
          <w:tcPr>
            <w:tcW w:w="1660" w:type="dxa"/>
            <w:tcBorders>
              <w:top w:val="single" w:sz="8" w:space="0" w:color="auto"/>
              <w:left w:val="single" w:sz="8" w:space="0" w:color="auto"/>
              <w:bottom w:val="single" w:sz="4" w:space="0" w:color="auto"/>
              <w:right w:val="single" w:sz="4" w:space="0" w:color="auto"/>
            </w:tcBorders>
            <w:vAlign w:val="center"/>
            <w:hideMark/>
          </w:tcPr>
          <w:p w14:paraId="4B1505E1" w14:textId="77777777" w:rsidR="00793DFB" w:rsidRPr="00812E2C" w:rsidRDefault="00793DFB" w:rsidP="009F1C88">
            <w:pPr>
              <w:bidi/>
              <w:spacing w:after="0" w:line="240" w:lineRule="auto"/>
              <w:jc w:val="center"/>
              <w:rPr>
                <w:rFonts w:ascii="Arial" w:eastAsia="Times New Roman" w:hAnsi="Arial" w:cs="Arial"/>
                <w:b/>
                <w:bCs/>
                <w:kern w:val="0"/>
                <w:sz w:val="28"/>
                <w:szCs w:val="28"/>
                <w14:ligatures w14:val="none"/>
              </w:rPr>
            </w:pPr>
            <w:r w:rsidRPr="00812E2C">
              <w:rPr>
                <w:rFonts w:ascii="Arial" w:eastAsia="Times New Roman" w:hAnsi="Arial" w:cs="Arial" w:hint="cs"/>
                <w:b/>
                <w:bCs/>
                <w:kern w:val="0"/>
                <w:sz w:val="28"/>
                <w:szCs w:val="28"/>
                <w:rtl/>
                <w14:ligatures w14:val="none"/>
              </w:rPr>
              <w:t>البيان</w:t>
            </w:r>
          </w:p>
        </w:tc>
        <w:tc>
          <w:tcPr>
            <w:tcW w:w="4840" w:type="dxa"/>
            <w:tcBorders>
              <w:top w:val="single" w:sz="8" w:space="0" w:color="auto"/>
              <w:left w:val="single" w:sz="4" w:space="0" w:color="auto"/>
              <w:bottom w:val="single" w:sz="4" w:space="0" w:color="auto"/>
              <w:right w:val="single" w:sz="8" w:space="0" w:color="auto"/>
            </w:tcBorders>
            <w:vAlign w:val="center"/>
            <w:hideMark/>
          </w:tcPr>
          <w:p w14:paraId="008F6488" w14:textId="77777777" w:rsidR="00793DFB" w:rsidRPr="00812E2C" w:rsidRDefault="00793DFB" w:rsidP="009F1C88">
            <w:pPr>
              <w:bidi/>
              <w:spacing w:after="0" w:line="240" w:lineRule="auto"/>
              <w:jc w:val="center"/>
              <w:rPr>
                <w:rFonts w:ascii="Arial" w:eastAsia="Times New Roman" w:hAnsi="Arial" w:cs="Arial"/>
                <w:b/>
                <w:bCs/>
                <w:kern w:val="0"/>
                <w:sz w:val="28"/>
                <w:szCs w:val="28"/>
                <w:rtl/>
                <w14:ligatures w14:val="none"/>
              </w:rPr>
            </w:pPr>
            <w:r w:rsidRPr="00812E2C">
              <w:rPr>
                <w:rFonts w:ascii="Arial" w:eastAsia="Times New Roman" w:hAnsi="Arial" w:cs="Arial" w:hint="cs"/>
                <w:b/>
                <w:bCs/>
                <w:kern w:val="0"/>
                <w:sz w:val="28"/>
                <w:szCs w:val="28"/>
                <w:rtl/>
                <w14:ligatures w14:val="none"/>
              </w:rPr>
              <w:t>الفئات</w:t>
            </w:r>
          </w:p>
        </w:tc>
      </w:tr>
      <w:tr w:rsidR="00793DFB" w:rsidRPr="00812E2C" w14:paraId="709C713A"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45C2F83C" w14:textId="77777777" w:rsidR="00793DFB" w:rsidRPr="00812E2C" w:rsidRDefault="00793DFB" w:rsidP="009F1C88">
            <w:pPr>
              <w:bidi/>
              <w:spacing w:after="0" w:line="240" w:lineRule="auto"/>
              <w:jc w:val="center"/>
              <w:rPr>
                <w:rFonts w:ascii="Arial" w:eastAsia="Times New Roman" w:hAnsi="Arial" w:cs="Arial"/>
                <w:b/>
                <w:bCs/>
                <w:kern w:val="0"/>
                <w:sz w:val="28"/>
                <w:szCs w:val="28"/>
                <w:rtl/>
                <w14:ligatures w14:val="none"/>
              </w:rPr>
            </w:pPr>
            <w:r w:rsidRPr="00812E2C">
              <w:rPr>
                <w:rFonts w:ascii="Arial" w:eastAsia="Times New Roman" w:hAnsi="Arial" w:cs="Arial" w:hint="cs"/>
                <w:b/>
                <w:bCs/>
                <w:kern w:val="0"/>
                <w:sz w:val="28"/>
                <w:szCs w:val="28"/>
                <w:rtl/>
                <w14:ligatures w14:val="none"/>
              </w:rPr>
              <w:t>الجنس</w:t>
            </w:r>
            <w:r w:rsidRPr="00812E2C">
              <w:rPr>
                <w:rFonts w:ascii="Aptos" w:eastAsia="Times New Roman" w:hAnsi="Aptos" w:cs="Arial"/>
                <w:b/>
                <w:bCs/>
                <w:kern w:val="0"/>
                <w:sz w:val="28"/>
                <w:szCs w:val="28"/>
                <w:rtl/>
                <w14:ligatures w14:val="none"/>
              </w:rPr>
              <w:t>:</w:t>
            </w:r>
          </w:p>
        </w:tc>
        <w:tc>
          <w:tcPr>
            <w:tcW w:w="4840" w:type="dxa"/>
            <w:tcBorders>
              <w:top w:val="nil"/>
              <w:left w:val="single" w:sz="4" w:space="0" w:color="auto"/>
              <w:bottom w:val="single" w:sz="4" w:space="0" w:color="auto"/>
              <w:right w:val="single" w:sz="8" w:space="0" w:color="auto"/>
            </w:tcBorders>
            <w:vAlign w:val="center"/>
            <w:hideMark/>
          </w:tcPr>
          <w:p w14:paraId="63B9F943" w14:textId="77777777" w:rsidR="00793DFB" w:rsidRPr="00812E2C" w:rsidRDefault="00793DFB" w:rsidP="009F1C88">
            <w:pPr>
              <w:bidi/>
              <w:spacing w:after="0" w:line="240" w:lineRule="auto"/>
              <w:jc w:val="center"/>
              <w:rPr>
                <w:rFonts w:ascii="Aptos" w:eastAsia="Times New Roman" w:hAnsi="Aptos" w:cs="Arial"/>
                <w:b/>
                <w:bCs/>
                <w:kern w:val="0"/>
                <w:sz w:val="28"/>
                <w:szCs w:val="28"/>
                <w:rtl/>
                <w14:ligatures w14:val="none"/>
              </w:rPr>
            </w:pPr>
            <w:r w:rsidRPr="00812E2C">
              <w:rPr>
                <w:rFonts w:ascii="Aptos" w:eastAsia="Times New Roman" w:hAnsi="Aptos" w:cs="Arial"/>
                <w:b/>
                <w:bCs/>
                <w:kern w:val="0"/>
                <w:sz w:val="28"/>
                <w:szCs w:val="28"/>
                <w14:ligatures w14:val="none"/>
              </w:rPr>
              <w:t xml:space="preserve">☐ </w:t>
            </w:r>
            <w:r w:rsidRPr="00812E2C">
              <w:rPr>
                <w:rFonts w:ascii="Arial" w:eastAsia="Times New Roman" w:hAnsi="Arial" w:cs="Arial"/>
                <w:b/>
                <w:bCs/>
                <w:kern w:val="0"/>
                <w:sz w:val="28"/>
                <w:szCs w:val="28"/>
                <w:rtl/>
                <w14:ligatures w14:val="none"/>
              </w:rPr>
              <w:t>ذكر</w:t>
            </w:r>
            <w:r w:rsidRPr="00812E2C">
              <w:rPr>
                <w:rFonts w:ascii="Arial" w:eastAsia="Times New Roman" w:hAnsi="Arial" w:cs="Arial"/>
                <w:b/>
                <w:bCs/>
                <w:kern w:val="0"/>
                <w:sz w:val="28"/>
                <w:szCs w:val="28"/>
                <w14:ligatures w14:val="none"/>
              </w:rPr>
              <w:t xml:space="preserve"> </w:t>
            </w:r>
            <w:r w:rsidRPr="00812E2C">
              <w:rPr>
                <w:rFonts w:ascii="Segoe UI Symbol" w:eastAsia="Times New Roman" w:hAnsi="Segoe UI Symbol" w:cs="Arial"/>
                <w:b/>
                <w:bCs/>
                <w:kern w:val="0"/>
                <w:sz w:val="28"/>
                <w:szCs w:val="28"/>
                <w14:ligatures w14:val="none"/>
              </w:rPr>
              <w:t>☐</w:t>
            </w:r>
            <w:r w:rsidRPr="00812E2C">
              <w:rPr>
                <w:rFonts w:ascii="Arial" w:eastAsia="Times New Roman" w:hAnsi="Arial" w:cs="Arial"/>
                <w:b/>
                <w:bCs/>
                <w:kern w:val="0"/>
                <w:sz w:val="28"/>
                <w:szCs w:val="28"/>
                <w14:ligatures w14:val="none"/>
              </w:rPr>
              <w:t xml:space="preserve"> </w:t>
            </w:r>
            <w:r w:rsidRPr="00812E2C">
              <w:rPr>
                <w:rFonts w:ascii="Arial" w:eastAsia="Times New Roman" w:hAnsi="Arial" w:cs="Arial"/>
                <w:b/>
                <w:bCs/>
                <w:kern w:val="0"/>
                <w:sz w:val="28"/>
                <w:szCs w:val="28"/>
                <w:rtl/>
                <w14:ligatures w14:val="none"/>
              </w:rPr>
              <w:t>أنثى</w:t>
            </w:r>
          </w:p>
        </w:tc>
      </w:tr>
      <w:tr w:rsidR="00793DFB" w:rsidRPr="00812E2C" w14:paraId="7A845A74"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3CB0C1DF" w14:textId="77777777" w:rsidR="00793DFB" w:rsidRPr="00812E2C" w:rsidRDefault="00793DFB" w:rsidP="009F1C88">
            <w:pPr>
              <w:bidi/>
              <w:spacing w:after="0" w:line="240" w:lineRule="auto"/>
              <w:jc w:val="center"/>
              <w:rPr>
                <w:rFonts w:ascii="Arial" w:eastAsia="Times New Roman" w:hAnsi="Arial" w:cs="Arial"/>
                <w:b/>
                <w:bCs/>
                <w:kern w:val="0"/>
                <w:sz w:val="28"/>
                <w:szCs w:val="28"/>
                <w:rtl/>
                <w14:ligatures w14:val="none"/>
              </w:rPr>
            </w:pPr>
            <w:r w:rsidRPr="00812E2C">
              <w:rPr>
                <w:rFonts w:ascii="Arial" w:eastAsia="Times New Roman" w:hAnsi="Arial" w:cs="Arial" w:hint="cs"/>
                <w:b/>
                <w:bCs/>
                <w:kern w:val="0"/>
                <w:sz w:val="28"/>
                <w:szCs w:val="28"/>
                <w:rtl/>
                <w14:ligatures w14:val="none"/>
              </w:rPr>
              <w:t>العمر</w:t>
            </w:r>
            <w:r w:rsidRPr="00812E2C">
              <w:rPr>
                <w:rFonts w:ascii="Aptos" w:eastAsia="Times New Roman" w:hAnsi="Aptos" w:cs="Arial"/>
                <w:b/>
                <w:bCs/>
                <w:kern w:val="0"/>
                <w:sz w:val="28"/>
                <w:szCs w:val="28"/>
                <w:rtl/>
                <w14:ligatures w14:val="none"/>
              </w:rPr>
              <w:t>:</w:t>
            </w:r>
          </w:p>
        </w:tc>
        <w:tc>
          <w:tcPr>
            <w:tcW w:w="4840" w:type="dxa"/>
            <w:tcBorders>
              <w:top w:val="nil"/>
              <w:left w:val="single" w:sz="4" w:space="0" w:color="auto"/>
              <w:bottom w:val="single" w:sz="4" w:space="0" w:color="auto"/>
              <w:right w:val="single" w:sz="8" w:space="0" w:color="auto"/>
            </w:tcBorders>
            <w:vAlign w:val="center"/>
            <w:hideMark/>
          </w:tcPr>
          <w:p w14:paraId="640A4EF8" w14:textId="77777777" w:rsidR="00793DFB" w:rsidRPr="00812E2C" w:rsidRDefault="00793DFB" w:rsidP="009F1C88">
            <w:pPr>
              <w:bidi/>
              <w:spacing w:after="0" w:line="240" w:lineRule="auto"/>
              <w:jc w:val="center"/>
              <w:rPr>
                <w:rFonts w:ascii="Aptos" w:eastAsia="Times New Roman" w:hAnsi="Aptos" w:cs="Arial"/>
                <w:b/>
                <w:bCs/>
                <w:kern w:val="0"/>
                <w:sz w:val="28"/>
                <w:szCs w:val="28"/>
                <w:rtl/>
                <w14:ligatures w14:val="none"/>
              </w:rPr>
            </w:pPr>
            <w:r w:rsidRPr="00812E2C">
              <w:rPr>
                <w:rFonts w:ascii="Aptos" w:eastAsia="Times New Roman" w:hAnsi="Aptos" w:cs="Arial"/>
                <w:b/>
                <w:bCs/>
                <w:kern w:val="0"/>
                <w:sz w:val="28"/>
                <w:szCs w:val="28"/>
                <w14:ligatures w14:val="none"/>
              </w:rPr>
              <w:t xml:space="preserve">☐ </w:t>
            </w:r>
            <w:r w:rsidRPr="00812E2C">
              <w:rPr>
                <w:rFonts w:ascii="Arial" w:eastAsia="Times New Roman" w:hAnsi="Arial" w:cs="Arial"/>
                <w:b/>
                <w:bCs/>
                <w:kern w:val="0"/>
                <w:sz w:val="28"/>
                <w:szCs w:val="28"/>
                <w:rtl/>
                <w14:ligatures w14:val="none"/>
              </w:rPr>
              <w:t>أقل من 25 سنة</w:t>
            </w:r>
            <w:r w:rsidRPr="00812E2C">
              <w:rPr>
                <w:rFonts w:ascii="Arial" w:eastAsia="Times New Roman" w:hAnsi="Arial" w:cs="Arial"/>
                <w:b/>
                <w:bCs/>
                <w:kern w:val="0"/>
                <w:sz w:val="28"/>
                <w:szCs w:val="28"/>
                <w14:ligatures w14:val="none"/>
              </w:rPr>
              <w:t xml:space="preserve"> </w:t>
            </w:r>
            <w:r w:rsidRPr="00812E2C">
              <w:rPr>
                <w:rFonts w:ascii="Segoe UI Symbol" w:eastAsia="Times New Roman" w:hAnsi="Segoe UI Symbol" w:cs="Arial"/>
                <w:b/>
                <w:bCs/>
                <w:kern w:val="0"/>
                <w:sz w:val="28"/>
                <w:szCs w:val="28"/>
                <w14:ligatures w14:val="none"/>
              </w:rPr>
              <w:t>☐</w:t>
            </w:r>
            <w:r w:rsidRPr="00812E2C">
              <w:rPr>
                <w:rFonts w:ascii="Arial" w:eastAsia="Times New Roman" w:hAnsi="Arial" w:cs="Arial"/>
                <w:b/>
                <w:bCs/>
                <w:kern w:val="0"/>
                <w:sz w:val="28"/>
                <w:szCs w:val="28"/>
                <w14:ligatures w14:val="none"/>
              </w:rPr>
              <w:t xml:space="preserve"> 25–34 </w:t>
            </w:r>
            <w:r w:rsidRPr="00812E2C">
              <w:rPr>
                <w:rFonts w:ascii="Segoe UI Symbol" w:eastAsia="Times New Roman" w:hAnsi="Segoe UI Symbol" w:cs="Arial"/>
                <w:b/>
                <w:bCs/>
                <w:kern w:val="0"/>
                <w:sz w:val="28"/>
                <w:szCs w:val="28"/>
                <w14:ligatures w14:val="none"/>
              </w:rPr>
              <w:t>☐</w:t>
            </w:r>
            <w:r w:rsidRPr="00812E2C">
              <w:rPr>
                <w:rFonts w:ascii="Arial" w:eastAsia="Times New Roman" w:hAnsi="Arial" w:cs="Arial"/>
                <w:b/>
                <w:bCs/>
                <w:kern w:val="0"/>
                <w:sz w:val="28"/>
                <w:szCs w:val="28"/>
                <w14:ligatures w14:val="none"/>
              </w:rPr>
              <w:t xml:space="preserve"> 35–44 </w:t>
            </w:r>
            <w:r w:rsidRPr="00812E2C">
              <w:rPr>
                <w:rFonts w:ascii="Segoe UI Symbol" w:eastAsia="Times New Roman" w:hAnsi="Segoe UI Symbol" w:cs="Arial"/>
                <w:b/>
                <w:bCs/>
                <w:kern w:val="0"/>
                <w:sz w:val="28"/>
                <w:szCs w:val="28"/>
                <w14:ligatures w14:val="none"/>
              </w:rPr>
              <w:t>☐</w:t>
            </w:r>
            <w:r w:rsidRPr="00812E2C">
              <w:rPr>
                <w:rFonts w:ascii="Arial" w:eastAsia="Times New Roman" w:hAnsi="Arial" w:cs="Arial"/>
                <w:b/>
                <w:bCs/>
                <w:kern w:val="0"/>
                <w:sz w:val="28"/>
                <w:szCs w:val="28"/>
                <w14:ligatures w14:val="none"/>
              </w:rPr>
              <w:t xml:space="preserve"> 45 </w:t>
            </w:r>
            <w:r w:rsidRPr="00812E2C">
              <w:rPr>
                <w:rFonts w:ascii="Arial" w:eastAsia="Times New Roman" w:hAnsi="Arial" w:cs="Arial"/>
                <w:b/>
                <w:bCs/>
                <w:kern w:val="0"/>
                <w:sz w:val="28"/>
                <w:szCs w:val="28"/>
                <w:rtl/>
                <w14:ligatures w14:val="none"/>
              </w:rPr>
              <w:t>فأكثر</w:t>
            </w:r>
          </w:p>
        </w:tc>
      </w:tr>
      <w:tr w:rsidR="00793DFB" w:rsidRPr="00812E2C" w14:paraId="0C1BC690"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428F1697" w14:textId="77777777" w:rsidR="00793DFB" w:rsidRPr="00812E2C" w:rsidRDefault="00793DFB" w:rsidP="009F1C88">
            <w:pPr>
              <w:bidi/>
              <w:spacing w:after="0" w:line="240" w:lineRule="auto"/>
              <w:jc w:val="center"/>
              <w:rPr>
                <w:rFonts w:ascii="Arial" w:eastAsia="Times New Roman" w:hAnsi="Arial" w:cs="Arial"/>
                <w:b/>
                <w:bCs/>
                <w:kern w:val="0"/>
                <w:sz w:val="28"/>
                <w:szCs w:val="28"/>
                <w:rtl/>
                <w14:ligatures w14:val="none"/>
              </w:rPr>
            </w:pPr>
            <w:r w:rsidRPr="00812E2C">
              <w:rPr>
                <w:rFonts w:ascii="Arial" w:eastAsia="Times New Roman" w:hAnsi="Arial" w:cs="Arial" w:hint="cs"/>
                <w:b/>
                <w:bCs/>
                <w:kern w:val="0"/>
                <w:sz w:val="28"/>
                <w:szCs w:val="28"/>
                <w:rtl/>
                <w14:ligatures w14:val="none"/>
              </w:rPr>
              <w:t>المؤهل العلمي</w:t>
            </w:r>
            <w:r w:rsidRPr="00812E2C">
              <w:rPr>
                <w:rFonts w:ascii="Aptos" w:eastAsia="Times New Roman" w:hAnsi="Aptos" w:cs="Arial"/>
                <w:b/>
                <w:bCs/>
                <w:kern w:val="0"/>
                <w:sz w:val="28"/>
                <w:szCs w:val="28"/>
                <w:rtl/>
                <w14:ligatures w14:val="none"/>
              </w:rPr>
              <w:t>:</w:t>
            </w:r>
          </w:p>
        </w:tc>
        <w:tc>
          <w:tcPr>
            <w:tcW w:w="4840" w:type="dxa"/>
            <w:tcBorders>
              <w:top w:val="nil"/>
              <w:left w:val="single" w:sz="4" w:space="0" w:color="auto"/>
              <w:bottom w:val="single" w:sz="4" w:space="0" w:color="auto"/>
              <w:right w:val="single" w:sz="8" w:space="0" w:color="auto"/>
            </w:tcBorders>
            <w:vAlign w:val="center"/>
            <w:hideMark/>
          </w:tcPr>
          <w:p w14:paraId="066281D7" w14:textId="77777777" w:rsidR="00793DFB" w:rsidRPr="00812E2C" w:rsidRDefault="00793DFB" w:rsidP="009F1C88">
            <w:pPr>
              <w:bidi/>
              <w:spacing w:after="0" w:line="240" w:lineRule="auto"/>
              <w:jc w:val="center"/>
              <w:rPr>
                <w:rFonts w:ascii="Aptos" w:eastAsia="Times New Roman" w:hAnsi="Aptos" w:cs="Arial"/>
                <w:b/>
                <w:bCs/>
                <w:kern w:val="0"/>
                <w:sz w:val="28"/>
                <w:szCs w:val="28"/>
                <w:rtl/>
                <w14:ligatures w14:val="none"/>
              </w:rPr>
            </w:pPr>
            <w:r w:rsidRPr="00812E2C">
              <w:rPr>
                <w:rFonts w:ascii="Aptos" w:eastAsia="Times New Roman" w:hAnsi="Aptos" w:cs="Arial"/>
                <w:b/>
                <w:bCs/>
                <w:kern w:val="0"/>
                <w:sz w:val="28"/>
                <w:szCs w:val="28"/>
                <w14:ligatures w14:val="none"/>
              </w:rPr>
              <w:t xml:space="preserve">☐ </w:t>
            </w:r>
            <w:r w:rsidRPr="00812E2C">
              <w:rPr>
                <w:rFonts w:ascii="Arial" w:eastAsia="Times New Roman" w:hAnsi="Arial" w:cs="Arial"/>
                <w:b/>
                <w:bCs/>
                <w:kern w:val="0"/>
                <w:sz w:val="28"/>
                <w:szCs w:val="28"/>
                <w:rtl/>
                <w14:ligatures w14:val="none"/>
              </w:rPr>
              <w:t>ثانوي</w:t>
            </w:r>
            <w:r w:rsidRPr="00812E2C">
              <w:rPr>
                <w:rFonts w:ascii="Arial" w:eastAsia="Times New Roman" w:hAnsi="Arial" w:cs="Arial"/>
                <w:b/>
                <w:bCs/>
                <w:kern w:val="0"/>
                <w:sz w:val="28"/>
                <w:szCs w:val="28"/>
                <w14:ligatures w14:val="none"/>
              </w:rPr>
              <w:t xml:space="preserve"> </w:t>
            </w:r>
            <w:r w:rsidRPr="00812E2C">
              <w:rPr>
                <w:rFonts w:ascii="Segoe UI Symbol" w:eastAsia="Times New Roman" w:hAnsi="Segoe UI Symbol" w:cs="Arial"/>
                <w:b/>
                <w:bCs/>
                <w:kern w:val="0"/>
                <w:sz w:val="28"/>
                <w:szCs w:val="28"/>
                <w14:ligatures w14:val="none"/>
              </w:rPr>
              <w:t>☐</w:t>
            </w:r>
            <w:r w:rsidRPr="00812E2C">
              <w:rPr>
                <w:rFonts w:ascii="Arial" w:eastAsia="Times New Roman" w:hAnsi="Arial" w:cs="Arial"/>
                <w:b/>
                <w:bCs/>
                <w:kern w:val="0"/>
                <w:sz w:val="28"/>
                <w:szCs w:val="28"/>
                <w14:ligatures w14:val="none"/>
              </w:rPr>
              <w:t xml:space="preserve"> </w:t>
            </w:r>
            <w:r w:rsidRPr="00812E2C">
              <w:rPr>
                <w:rFonts w:ascii="Arial" w:eastAsia="Times New Roman" w:hAnsi="Arial" w:cs="Arial"/>
                <w:b/>
                <w:bCs/>
                <w:kern w:val="0"/>
                <w:sz w:val="28"/>
                <w:szCs w:val="28"/>
                <w:rtl/>
                <w14:ligatures w14:val="none"/>
              </w:rPr>
              <w:t>دبلوم</w:t>
            </w:r>
            <w:r w:rsidRPr="00812E2C">
              <w:rPr>
                <w:rFonts w:ascii="Arial" w:eastAsia="Times New Roman" w:hAnsi="Arial" w:cs="Arial"/>
                <w:b/>
                <w:bCs/>
                <w:kern w:val="0"/>
                <w:sz w:val="28"/>
                <w:szCs w:val="28"/>
                <w14:ligatures w14:val="none"/>
              </w:rPr>
              <w:t xml:space="preserve"> </w:t>
            </w:r>
            <w:r w:rsidRPr="00812E2C">
              <w:rPr>
                <w:rFonts w:ascii="Segoe UI Symbol" w:eastAsia="Times New Roman" w:hAnsi="Segoe UI Symbol" w:cs="Arial"/>
                <w:b/>
                <w:bCs/>
                <w:kern w:val="0"/>
                <w:sz w:val="28"/>
                <w:szCs w:val="28"/>
                <w14:ligatures w14:val="none"/>
              </w:rPr>
              <w:t>☐</w:t>
            </w:r>
            <w:r w:rsidRPr="00812E2C">
              <w:rPr>
                <w:rFonts w:ascii="Arial" w:eastAsia="Times New Roman" w:hAnsi="Arial" w:cs="Arial"/>
                <w:b/>
                <w:bCs/>
                <w:kern w:val="0"/>
                <w:sz w:val="28"/>
                <w:szCs w:val="28"/>
                <w14:ligatures w14:val="none"/>
              </w:rPr>
              <w:t xml:space="preserve"> </w:t>
            </w:r>
            <w:r w:rsidRPr="00812E2C">
              <w:rPr>
                <w:rFonts w:ascii="Arial" w:eastAsia="Times New Roman" w:hAnsi="Arial" w:cs="Arial"/>
                <w:b/>
                <w:bCs/>
                <w:kern w:val="0"/>
                <w:sz w:val="28"/>
                <w:szCs w:val="28"/>
                <w:rtl/>
                <w14:ligatures w14:val="none"/>
              </w:rPr>
              <w:t>جامعي</w:t>
            </w:r>
            <w:r w:rsidRPr="00812E2C">
              <w:rPr>
                <w:rFonts w:ascii="Arial" w:eastAsia="Times New Roman" w:hAnsi="Arial" w:cs="Arial"/>
                <w:b/>
                <w:bCs/>
                <w:kern w:val="0"/>
                <w:sz w:val="28"/>
                <w:szCs w:val="28"/>
                <w14:ligatures w14:val="none"/>
              </w:rPr>
              <w:t xml:space="preserve"> </w:t>
            </w:r>
            <w:r w:rsidRPr="00812E2C">
              <w:rPr>
                <w:rFonts w:ascii="Segoe UI Symbol" w:eastAsia="Times New Roman" w:hAnsi="Segoe UI Symbol" w:cs="Arial"/>
                <w:b/>
                <w:bCs/>
                <w:kern w:val="0"/>
                <w:sz w:val="28"/>
                <w:szCs w:val="28"/>
                <w14:ligatures w14:val="none"/>
              </w:rPr>
              <w:t>☐</w:t>
            </w:r>
            <w:r w:rsidRPr="00812E2C">
              <w:rPr>
                <w:rFonts w:ascii="Arial" w:eastAsia="Times New Roman" w:hAnsi="Arial" w:cs="Arial"/>
                <w:b/>
                <w:bCs/>
                <w:kern w:val="0"/>
                <w:sz w:val="28"/>
                <w:szCs w:val="28"/>
                <w14:ligatures w14:val="none"/>
              </w:rPr>
              <w:t xml:space="preserve"> </w:t>
            </w:r>
            <w:r w:rsidRPr="00812E2C">
              <w:rPr>
                <w:rFonts w:ascii="Arial" w:eastAsia="Times New Roman" w:hAnsi="Arial" w:cs="Arial"/>
                <w:b/>
                <w:bCs/>
                <w:kern w:val="0"/>
                <w:sz w:val="28"/>
                <w:szCs w:val="28"/>
                <w:rtl/>
                <w14:ligatures w14:val="none"/>
              </w:rPr>
              <w:t>دراسات عليا</w:t>
            </w:r>
          </w:p>
        </w:tc>
      </w:tr>
      <w:tr w:rsidR="00793DFB" w:rsidRPr="00812E2C" w14:paraId="3D2F1909"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209D314B" w14:textId="77777777" w:rsidR="00793DFB" w:rsidRPr="00812E2C" w:rsidRDefault="00793DFB" w:rsidP="009F1C88">
            <w:pPr>
              <w:bidi/>
              <w:spacing w:after="0" w:line="240" w:lineRule="auto"/>
              <w:jc w:val="center"/>
              <w:rPr>
                <w:rFonts w:ascii="Arial" w:eastAsia="Times New Roman" w:hAnsi="Arial" w:cs="Arial"/>
                <w:b/>
                <w:bCs/>
                <w:kern w:val="0"/>
                <w:sz w:val="28"/>
                <w:szCs w:val="28"/>
                <w:rtl/>
                <w14:ligatures w14:val="none"/>
              </w:rPr>
            </w:pPr>
            <w:r w:rsidRPr="00812E2C">
              <w:rPr>
                <w:rFonts w:ascii="Arial" w:eastAsia="Times New Roman" w:hAnsi="Arial" w:cs="Arial" w:hint="cs"/>
                <w:b/>
                <w:bCs/>
                <w:kern w:val="0"/>
                <w:sz w:val="28"/>
                <w:szCs w:val="28"/>
                <w:rtl/>
                <w14:ligatures w14:val="none"/>
              </w:rPr>
              <w:t>سنوات الخبرة</w:t>
            </w:r>
            <w:r w:rsidRPr="00812E2C">
              <w:rPr>
                <w:rFonts w:ascii="Aptos" w:eastAsia="Times New Roman" w:hAnsi="Aptos" w:cs="Arial"/>
                <w:b/>
                <w:bCs/>
                <w:kern w:val="0"/>
                <w:sz w:val="28"/>
                <w:szCs w:val="28"/>
                <w:rtl/>
                <w14:ligatures w14:val="none"/>
              </w:rPr>
              <w:t>:</w:t>
            </w:r>
          </w:p>
        </w:tc>
        <w:tc>
          <w:tcPr>
            <w:tcW w:w="4840" w:type="dxa"/>
            <w:tcBorders>
              <w:top w:val="nil"/>
              <w:left w:val="single" w:sz="4" w:space="0" w:color="auto"/>
              <w:bottom w:val="single" w:sz="4" w:space="0" w:color="auto"/>
              <w:right w:val="single" w:sz="8" w:space="0" w:color="auto"/>
            </w:tcBorders>
            <w:vAlign w:val="center"/>
            <w:hideMark/>
          </w:tcPr>
          <w:p w14:paraId="4978DFD0" w14:textId="77777777" w:rsidR="00793DFB" w:rsidRPr="00812E2C" w:rsidRDefault="00793DFB" w:rsidP="009F1C88">
            <w:pPr>
              <w:bidi/>
              <w:spacing w:after="0" w:line="240" w:lineRule="auto"/>
              <w:jc w:val="center"/>
              <w:rPr>
                <w:rFonts w:ascii="Aptos" w:eastAsia="Times New Roman" w:hAnsi="Aptos" w:cs="Arial"/>
                <w:b/>
                <w:bCs/>
                <w:kern w:val="0"/>
                <w:sz w:val="28"/>
                <w:szCs w:val="28"/>
                <w:rtl/>
                <w14:ligatures w14:val="none"/>
              </w:rPr>
            </w:pPr>
            <w:r w:rsidRPr="00812E2C">
              <w:rPr>
                <w:rFonts w:ascii="Aptos" w:eastAsia="Times New Roman" w:hAnsi="Aptos" w:cs="Arial"/>
                <w:b/>
                <w:bCs/>
                <w:kern w:val="0"/>
                <w:sz w:val="28"/>
                <w:szCs w:val="28"/>
                <w14:ligatures w14:val="none"/>
              </w:rPr>
              <w:t xml:space="preserve">☐ </w:t>
            </w:r>
            <w:r w:rsidRPr="00812E2C">
              <w:rPr>
                <w:rFonts w:ascii="Arial" w:eastAsia="Times New Roman" w:hAnsi="Arial" w:cs="Arial"/>
                <w:b/>
                <w:bCs/>
                <w:kern w:val="0"/>
                <w:sz w:val="28"/>
                <w:szCs w:val="28"/>
                <w:rtl/>
                <w14:ligatures w14:val="none"/>
              </w:rPr>
              <w:t>أقل من 3 سنوات</w:t>
            </w:r>
            <w:r w:rsidRPr="00812E2C">
              <w:rPr>
                <w:rFonts w:ascii="Arial" w:eastAsia="Times New Roman" w:hAnsi="Arial" w:cs="Arial"/>
                <w:b/>
                <w:bCs/>
                <w:kern w:val="0"/>
                <w:sz w:val="28"/>
                <w:szCs w:val="28"/>
                <w14:ligatures w14:val="none"/>
              </w:rPr>
              <w:t xml:space="preserve"> </w:t>
            </w:r>
            <w:r w:rsidRPr="00812E2C">
              <w:rPr>
                <w:rFonts w:ascii="Segoe UI Symbol" w:eastAsia="Times New Roman" w:hAnsi="Segoe UI Symbol" w:cs="Arial"/>
                <w:b/>
                <w:bCs/>
                <w:kern w:val="0"/>
                <w:sz w:val="28"/>
                <w:szCs w:val="28"/>
                <w14:ligatures w14:val="none"/>
              </w:rPr>
              <w:t>☐</w:t>
            </w:r>
            <w:r w:rsidRPr="00812E2C">
              <w:rPr>
                <w:rFonts w:ascii="Arial" w:eastAsia="Times New Roman" w:hAnsi="Arial" w:cs="Arial"/>
                <w:b/>
                <w:bCs/>
                <w:kern w:val="0"/>
                <w:sz w:val="28"/>
                <w:szCs w:val="28"/>
                <w14:ligatures w14:val="none"/>
              </w:rPr>
              <w:t xml:space="preserve"> 3–5 </w:t>
            </w:r>
            <w:r w:rsidRPr="00812E2C">
              <w:rPr>
                <w:rFonts w:ascii="Arial" w:eastAsia="Times New Roman" w:hAnsi="Arial" w:cs="Arial"/>
                <w:b/>
                <w:bCs/>
                <w:kern w:val="0"/>
                <w:sz w:val="28"/>
                <w:szCs w:val="28"/>
                <w:rtl/>
                <w14:ligatures w14:val="none"/>
              </w:rPr>
              <w:t>سنوات</w:t>
            </w:r>
            <w:r w:rsidRPr="00812E2C">
              <w:rPr>
                <w:rFonts w:ascii="Arial" w:eastAsia="Times New Roman" w:hAnsi="Arial" w:cs="Arial"/>
                <w:b/>
                <w:bCs/>
                <w:kern w:val="0"/>
                <w:sz w:val="28"/>
                <w:szCs w:val="28"/>
                <w14:ligatures w14:val="none"/>
              </w:rPr>
              <w:t xml:space="preserve"> </w:t>
            </w:r>
            <w:r w:rsidRPr="00812E2C">
              <w:rPr>
                <w:rFonts w:ascii="Segoe UI Symbol" w:eastAsia="Times New Roman" w:hAnsi="Segoe UI Symbol" w:cs="Arial"/>
                <w:b/>
                <w:bCs/>
                <w:kern w:val="0"/>
                <w:sz w:val="28"/>
                <w:szCs w:val="28"/>
                <w14:ligatures w14:val="none"/>
              </w:rPr>
              <w:t>☐</w:t>
            </w:r>
            <w:r w:rsidRPr="00812E2C">
              <w:rPr>
                <w:rFonts w:ascii="Arial" w:eastAsia="Times New Roman" w:hAnsi="Arial" w:cs="Arial"/>
                <w:b/>
                <w:bCs/>
                <w:kern w:val="0"/>
                <w:sz w:val="28"/>
                <w:szCs w:val="28"/>
                <w14:ligatures w14:val="none"/>
              </w:rPr>
              <w:t xml:space="preserve"> </w:t>
            </w:r>
            <w:r w:rsidRPr="00812E2C">
              <w:rPr>
                <w:rFonts w:ascii="Arial" w:eastAsia="Times New Roman" w:hAnsi="Arial" w:cs="Arial"/>
                <w:b/>
                <w:bCs/>
                <w:kern w:val="0"/>
                <w:sz w:val="28"/>
                <w:szCs w:val="28"/>
                <w:rtl/>
                <w14:ligatures w14:val="none"/>
              </w:rPr>
              <w:t>أكثر من 5 سنوات</w:t>
            </w:r>
          </w:p>
        </w:tc>
      </w:tr>
      <w:tr w:rsidR="00793DFB" w:rsidRPr="00812E2C" w14:paraId="63BB6AA0"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52E04C61" w14:textId="77777777" w:rsidR="00793DFB" w:rsidRPr="00812E2C" w:rsidRDefault="00793DFB" w:rsidP="009F1C88">
            <w:pPr>
              <w:bidi/>
              <w:spacing w:after="0" w:line="240" w:lineRule="auto"/>
              <w:jc w:val="center"/>
              <w:rPr>
                <w:rFonts w:ascii="Arial" w:eastAsia="Times New Roman" w:hAnsi="Arial" w:cs="Arial"/>
                <w:b/>
                <w:bCs/>
                <w:kern w:val="0"/>
                <w:sz w:val="28"/>
                <w:szCs w:val="28"/>
                <w:rtl/>
                <w14:ligatures w14:val="none"/>
              </w:rPr>
            </w:pPr>
            <w:r w:rsidRPr="00812E2C">
              <w:rPr>
                <w:rFonts w:ascii="Arial" w:eastAsia="Times New Roman" w:hAnsi="Arial" w:cs="Arial" w:hint="cs"/>
                <w:b/>
                <w:bCs/>
                <w:kern w:val="0"/>
                <w:sz w:val="28"/>
                <w:szCs w:val="28"/>
                <w:rtl/>
                <w14:ligatures w14:val="none"/>
              </w:rPr>
              <w:t>المسمى الوظيفي</w:t>
            </w:r>
            <w:r w:rsidRPr="00812E2C">
              <w:rPr>
                <w:rFonts w:ascii="Aptos" w:eastAsia="Times New Roman" w:hAnsi="Aptos" w:cs="Arial"/>
                <w:b/>
                <w:bCs/>
                <w:kern w:val="0"/>
                <w:sz w:val="28"/>
                <w:szCs w:val="28"/>
                <w:rtl/>
                <w14:ligatures w14:val="none"/>
              </w:rPr>
              <w:t>:</w:t>
            </w:r>
          </w:p>
        </w:tc>
        <w:tc>
          <w:tcPr>
            <w:tcW w:w="4840" w:type="dxa"/>
            <w:tcBorders>
              <w:top w:val="nil"/>
              <w:left w:val="single" w:sz="4" w:space="0" w:color="auto"/>
              <w:bottom w:val="single" w:sz="4" w:space="0" w:color="auto"/>
              <w:right w:val="single" w:sz="8" w:space="0" w:color="auto"/>
            </w:tcBorders>
            <w:vAlign w:val="center"/>
            <w:hideMark/>
          </w:tcPr>
          <w:p w14:paraId="01DF047A" w14:textId="77777777" w:rsidR="00793DFB" w:rsidRPr="00812E2C" w:rsidRDefault="00793DFB" w:rsidP="009F1C88">
            <w:pPr>
              <w:bidi/>
              <w:spacing w:after="0" w:line="240" w:lineRule="auto"/>
              <w:jc w:val="center"/>
              <w:rPr>
                <w:rFonts w:ascii="Aptos" w:eastAsia="Times New Roman" w:hAnsi="Aptos" w:cs="Arial"/>
                <w:b/>
                <w:bCs/>
                <w:kern w:val="0"/>
                <w:sz w:val="28"/>
                <w:szCs w:val="28"/>
                <w:rtl/>
                <w14:ligatures w14:val="none"/>
              </w:rPr>
            </w:pPr>
            <w:r w:rsidRPr="00812E2C">
              <w:rPr>
                <w:rFonts w:ascii="Aptos" w:eastAsia="Times New Roman" w:hAnsi="Aptos" w:cs="Arial"/>
                <w:b/>
                <w:bCs/>
                <w:kern w:val="0"/>
                <w:sz w:val="28"/>
                <w:szCs w:val="28"/>
                <w14:ligatures w14:val="none"/>
              </w:rPr>
              <w:t xml:space="preserve">☐ </w:t>
            </w:r>
            <w:r w:rsidRPr="00812E2C">
              <w:rPr>
                <w:rFonts w:ascii="Arial" w:eastAsia="Times New Roman" w:hAnsi="Arial" w:cs="Arial"/>
                <w:b/>
                <w:bCs/>
                <w:kern w:val="0"/>
                <w:sz w:val="28"/>
                <w:szCs w:val="28"/>
                <w:rtl/>
                <w14:ligatures w14:val="none"/>
              </w:rPr>
              <w:t>موظف</w:t>
            </w:r>
            <w:r w:rsidRPr="00812E2C">
              <w:rPr>
                <w:rFonts w:ascii="Arial" w:eastAsia="Times New Roman" w:hAnsi="Arial" w:cs="Arial"/>
                <w:b/>
                <w:bCs/>
                <w:kern w:val="0"/>
                <w:sz w:val="28"/>
                <w:szCs w:val="28"/>
                <w14:ligatures w14:val="none"/>
              </w:rPr>
              <w:t xml:space="preserve"> </w:t>
            </w:r>
            <w:r w:rsidRPr="00812E2C">
              <w:rPr>
                <w:rFonts w:ascii="Segoe UI Symbol" w:eastAsia="Times New Roman" w:hAnsi="Segoe UI Symbol" w:cs="Arial"/>
                <w:b/>
                <w:bCs/>
                <w:kern w:val="0"/>
                <w:sz w:val="28"/>
                <w:szCs w:val="28"/>
                <w14:ligatures w14:val="none"/>
              </w:rPr>
              <w:t>☐</w:t>
            </w:r>
            <w:r w:rsidRPr="00812E2C">
              <w:rPr>
                <w:rFonts w:ascii="Arial" w:eastAsia="Times New Roman" w:hAnsi="Arial" w:cs="Arial"/>
                <w:b/>
                <w:bCs/>
                <w:kern w:val="0"/>
                <w:sz w:val="28"/>
                <w:szCs w:val="28"/>
                <w14:ligatures w14:val="none"/>
              </w:rPr>
              <w:t xml:space="preserve"> </w:t>
            </w:r>
            <w:r w:rsidRPr="00812E2C">
              <w:rPr>
                <w:rFonts w:ascii="Arial" w:eastAsia="Times New Roman" w:hAnsi="Arial" w:cs="Arial"/>
                <w:b/>
                <w:bCs/>
                <w:kern w:val="0"/>
                <w:sz w:val="28"/>
                <w:szCs w:val="28"/>
                <w:rtl/>
                <w14:ligatures w14:val="none"/>
              </w:rPr>
              <w:t>مشرف</w:t>
            </w:r>
            <w:r w:rsidRPr="00812E2C">
              <w:rPr>
                <w:rFonts w:ascii="Arial" w:eastAsia="Times New Roman" w:hAnsi="Arial" w:cs="Arial"/>
                <w:b/>
                <w:bCs/>
                <w:kern w:val="0"/>
                <w:sz w:val="28"/>
                <w:szCs w:val="28"/>
                <w14:ligatures w14:val="none"/>
              </w:rPr>
              <w:t xml:space="preserve"> </w:t>
            </w:r>
            <w:r w:rsidRPr="00812E2C">
              <w:rPr>
                <w:rFonts w:ascii="Segoe UI Symbol" w:eastAsia="Times New Roman" w:hAnsi="Segoe UI Symbol" w:cs="Arial"/>
                <w:b/>
                <w:bCs/>
                <w:kern w:val="0"/>
                <w:sz w:val="28"/>
                <w:szCs w:val="28"/>
                <w14:ligatures w14:val="none"/>
              </w:rPr>
              <w:t>☐</w:t>
            </w:r>
            <w:r w:rsidRPr="00812E2C">
              <w:rPr>
                <w:rFonts w:ascii="Arial" w:eastAsia="Times New Roman" w:hAnsi="Arial" w:cs="Arial"/>
                <w:b/>
                <w:bCs/>
                <w:kern w:val="0"/>
                <w:sz w:val="28"/>
                <w:szCs w:val="28"/>
                <w14:ligatures w14:val="none"/>
              </w:rPr>
              <w:t xml:space="preserve"> </w:t>
            </w:r>
            <w:r w:rsidRPr="00812E2C">
              <w:rPr>
                <w:rFonts w:ascii="Arial" w:eastAsia="Times New Roman" w:hAnsi="Arial" w:cs="Arial"/>
                <w:b/>
                <w:bCs/>
                <w:kern w:val="0"/>
                <w:sz w:val="28"/>
                <w:szCs w:val="28"/>
                <w:rtl/>
                <w14:ligatures w14:val="none"/>
              </w:rPr>
              <w:t>مدير</w:t>
            </w:r>
          </w:p>
        </w:tc>
      </w:tr>
      <w:tr w:rsidR="00793DFB" w:rsidRPr="00812E2C" w14:paraId="0D32A4E5" w14:textId="77777777" w:rsidTr="009F1C88">
        <w:trPr>
          <w:trHeight w:val="396"/>
          <w:jc w:val="center"/>
        </w:trPr>
        <w:tc>
          <w:tcPr>
            <w:tcW w:w="1660" w:type="dxa"/>
            <w:tcBorders>
              <w:top w:val="nil"/>
              <w:left w:val="single" w:sz="8" w:space="0" w:color="auto"/>
              <w:bottom w:val="single" w:sz="8" w:space="0" w:color="auto"/>
              <w:right w:val="single" w:sz="4" w:space="0" w:color="auto"/>
            </w:tcBorders>
            <w:vAlign w:val="center"/>
            <w:hideMark/>
          </w:tcPr>
          <w:p w14:paraId="27F65FB5" w14:textId="77777777" w:rsidR="00793DFB" w:rsidRPr="00812E2C" w:rsidRDefault="00793DFB" w:rsidP="009F1C88">
            <w:pPr>
              <w:bidi/>
              <w:spacing w:after="0" w:line="240" w:lineRule="auto"/>
              <w:jc w:val="center"/>
              <w:rPr>
                <w:rFonts w:ascii="Arial" w:eastAsia="Times New Roman" w:hAnsi="Arial" w:cs="Arial"/>
                <w:b/>
                <w:bCs/>
                <w:kern w:val="0"/>
                <w:sz w:val="28"/>
                <w:szCs w:val="28"/>
                <w:rtl/>
                <w14:ligatures w14:val="none"/>
              </w:rPr>
            </w:pPr>
            <w:r w:rsidRPr="00812E2C">
              <w:rPr>
                <w:rFonts w:ascii="Arial" w:eastAsia="Times New Roman" w:hAnsi="Arial" w:cs="Arial" w:hint="cs"/>
                <w:b/>
                <w:bCs/>
                <w:kern w:val="0"/>
                <w:sz w:val="28"/>
                <w:szCs w:val="28"/>
                <w:rtl/>
                <w14:ligatures w14:val="none"/>
              </w:rPr>
              <w:t>نوع القطاع</w:t>
            </w:r>
            <w:r w:rsidRPr="00812E2C">
              <w:rPr>
                <w:rFonts w:ascii="Aptos" w:eastAsia="Times New Roman" w:hAnsi="Aptos" w:cs="Arial"/>
                <w:b/>
                <w:bCs/>
                <w:kern w:val="0"/>
                <w:sz w:val="28"/>
                <w:szCs w:val="28"/>
                <w:rtl/>
                <w14:ligatures w14:val="none"/>
              </w:rPr>
              <w:t>:</w:t>
            </w:r>
          </w:p>
        </w:tc>
        <w:tc>
          <w:tcPr>
            <w:tcW w:w="4840" w:type="dxa"/>
            <w:tcBorders>
              <w:top w:val="nil"/>
              <w:left w:val="single" w:sz="4" w:space="0" w:color="auto"/>
              <w:bottom w:val="single" w:sz="8" w:space="0" w:color="auto"/>
              <w:right w:val="single" w:sz="8" w:space="0" w:color="auto"/>
            </w:tcBorders>
            <w:vAlign w:val="center"/>
            <w:hideMark/>
          </w:tcPr>
          <w:p w14:paraId="31C27C98" w14:textId="07C339C5" w:rsidR="00793DFB" w:rsidRPr="00812E2C" w:rsidRDefault="00793DFB" w:rsidP="009F1C88">
            <w:pPr>
              <w:bidi/>
              <w:spacing w:after="0" w:line="240" w:lineRule="auto"/>
              <w:jc w:val="center"/>
              <w:rPr>
                <w:rFonts w:ascii="Aptos" w:eastAsia="Times New Roman" w:hAnsi="Aptos" w:cs="Arial"/>
                <w:b/>
                <w:bCs/>
                <w:kern w:val="0"/>
                <w:sz w:val="28"/>
                <w:szCs w:val="28"/>
                <w:rtl/>
                <w14:ligatures w14:val="none"/>
              </w:rPr>
            </w:pPr>
            <w:r w:rsidRPr="00812E2C">
              <w:rPr>
                <w:rFonts w:ascii="Aptos" w:eastAsia="Times New Roman" w:hAnsi="Aptos" w:cs="Arial"/>
                <w:b/>
                <w:bCs/>
                <w:kern w:val="0"/>
                <w:sz w:val="28"/>
                <w:szCs w:val="28"/>
                <w14:ligatures w14:val="none"/>
              </w:rPr>
              <w:t xml:space="preserve">☐ </w:t>
            </w:r>
            <w:r w:rsidRPr="00812E2C">
              <w:rPr>
                <w:rFonts w:ascii="Arial" w:eastAsia="Times New Roman" w:hAnsi="Arial" w:cs="Arial"/>
                <w:b/>
                <w:bCs/>
                <w:kern w:val="0"/>
                <w:sz w:val="28"/>
                <w:szCs w:val="28"/>
                <w:rtl/>
                <w14:ligatures w14:val="none"/>
              </w:rPr>
              <w:t>فندقي</w:t>
            </w:r>
            <w:r w:rsidRPr="00812E2C">
              <w:rPr>
                <w:rFonts w:ascii="Arial" w:eastAsia="Times New Roman" w:hAnsi="Arial" w:cs="Arial"/>
                <w:b/>
                <w:bCs/>
                <w:kern w:val="0"/>
                <w:sz w:val="28"/>
                <w:szCs w:val="28"/>
                <w14:ligatures w14:val="none"/>
              </w:rPr>
              <w:t xml:space="preserve"> </w:t>
            </w:r>
            <w:r w:rsidRPr="00812E2C">
              <w:rPr>
                <w:rFonts w:ascii="Segoe UI Symbol" w:eastAsia="Times New Roman" w:hAnsi="Segoe UI Symbol" w:cs="Arial"/>
                <w:b/>
                <w:bCs/>
                <w:kern w:val="0"/>
                <w:sz w:val="28"/>
                <w:szCs w:val="28"/>
                <w14:ligatures w14:val="none"/>
              </w:rPr>
              <w:t>☐</w:t>
            </w:r>
            <w:r w:rsidRPr="00812E2C">
              <w:rPr>
                <w:rFonts w:ascii="Arial" w:eastAsia="Times New Roman" w:hAnsi="Arial" w:cs="Arial"/>
                <w:b/>
                <w:bCs/>
                <w:kern w:val="0"/>
                <w:sz w:val="28"/>
                <w:szCs w:val="28"/>
                <w14:ligatures w14:val="none"/>
              </w:rPr>
              <w:t xml:space="preserve"> </w:t>
            </w:r>
            <w:r w:rsidRPr="00812E2C">
              <w:rPr>
                <w:rFonts w:ascii="Arial" w:eastAsia="Times New Roman" w:hAnsi="Arial" w:cs="Arial"/>
                <w:b/>
                <w:bCs/>
                <w:kern w:val="0"/>
                <w:sz w:val="28"/>
                <w:szCs w:val="28"/>
                <w:rtl/>
                <w14:ligatures w14:val="none"/>
              </w:rPr>
              <w:t>مط</w:t>
            </w:r>
            <w:r w:rsidR="00EB39A8">
              <w:rPr>
                <w:rFonts w:ascii="Arial" w:eastAsia="Times New Roman" w:hAnsi="Arial" w:cs="Arial" w:hint="cs"/>
                <w:b/>
                <w:bCs/>
                <w:kern w:val="0"/>
                <w:sz w:val="28"/>
                <w:szCs w:val="28"/>
                <w:rtl/>
                <w14:ligatures w14:val="none"/>
              </w:rPr>
              <w:t>اعم</w:t>
            </w:r>
          </w:p>
        </w:tc>
      </w:tr>
    </w:tbl>
    <w:p w14:paraId="6AEC9837" w14:textId="77777777" w:rsidR="00793DFB" w:rsidRPr="00812E2C" w:rsidRDefault="00793DFB" w:rsidP="00793DFB">
      <w:pPr>
        <w:bidi/>
        <w:rPr>
          <w:b/>
          <w:bCs/>
          <w:sz w:val="28"/>
          <w:szCs w:val="28"/>
        </w:rPr>
      </w:pPr>
    </w:p>
    <w:p w14:paraId="11986A92" w14:textId="77777777" w:rsidR="00793DFB" w:rsidRPr="00812E2C" w:rsidRDefault="00793DFB" w:rsidP="00793DFB">
      <w:pPr>
        <w:bidi/>
        <w:rPr>
          <w:b/>
          <w:bCs/>
          <w:sz w:val="28"/>
          <w:szCs w:val="28"/>
        </w:rPr>
      </w:pPr>
      <w:r w:rsidRPr="00812E2C">
        <w:rPr>
          <w:b/>
          <w:bCs/>
          <w:sz w:val="28"/>
          <w:szCs w:val="28"/>
          <w:rtl/>
        </w:rPr>
        <w:t>ملاحظات ختامية للمشارك</w:t>
      </w:r>
      <w:r w:rsidRPr="00812E2C">
        <w:rPr>
          <w:b/>
          <w:bCs/>
          <w:sz w:val="28"/>
          <w:szCs w:val="28"/>
        </w:rPr>
        <w:t>:</w:t>
      </w:r>
    </w:p>
    <w:p w14:paraId="1F3D2ECB" w14:textId="77777777" w:rsidR="00793DFB" w:rsidRPr="00812E2C" w:rsidRDefault="00793DFB" w:rsidP="00793DFB">
      <w:pPr>
        <w:numPr>
          <w:ilvl w:val="0"/>
          <w:numId w:val="137"/>
        </w:numPr>
        <w:bidi/>
        <w:rPr>
          <w:b/>
          <w:bCs/>
          <w:sz w:val="28"/>
          <w:szCs w:val="28"/>
        </w:rPr>
      </w:pPr>
      <w:r w:rsidRPr="00812E2C">
        <w:rPr>
          <w:b/>
          <w:bCs/>
          <w:sz w:val="28"/>
          <w:szCs w:val="28"/>
          <w:rtl/>
        </w:rPr>
        <w:t>جميع المعلومات سرية وتُستخدم لأغراض البحث العلمي فقط</w:t>
      </w:r>
      <w:r w:rsidRPr="00812E2C">
        <w:rPr>
          <w:b/>
          <w:bCs/>
          <w:sz w:val="28"/>
          <w:szCs w:val="28"/>
        </w:rPr>
        <w:t>.</w:t>
      </w:r>
    </w:p>
    <w:p w14:paraId="0938EDBA" w14:textId="77777777" w:rsidR="00793DFB" w:rsidRPr="00812E2C" w:rsidRDefault="00793DFB" w:rsidP="00793DFB">
      <w:pPr>
        <w:numPr>
          <w:ilvl w:val="0"/>
          <w:numId w:val="137"/>
        </w:numPr>
        <w:bidi/>
        <w:rPr>
          <w:b/>
          <w:bCs/>
          <w:sz w:val="28"/>
          <w:szCs w:val="28"/>
        </w:rPr>
      </w:pPr>
      <w:r w:rsidRPr="00812E2C">
        <w:rPr>
          <w:b/>
          <w:bCs/>
          <w:sz w:val="28"/>
          <w:szCs w:val="28"/>
          <w:rtl/>
        </w:rPr>
        <w:t>المشاركة اختيارية ويمكنك الانسحاب في أي وقت دون أي التزام</w:t>
      </w:r>
      <w:r w:rsidRPr="00812E2C">
        <w:rPr>
          <w:b/>
          <w:bCs/>
          <w:sz w:val="28"/>
          <w:szCs w:val="28"/>
        </w:rPr>
        <w:t>.</w:t>
      </w:r>
    </w:p>
    <w:p w14:paraId="6804B316" w14:textId="77777777" w:rsidR="00793DFB" w:rsidRPr="00812E2C" w:rsidRDefault="00793DFB" w:rsidP="00793DFB">
      <w:pPr>
        <w:numPr>
          <w:ilvl w:val="0"/>
          <w:numId w:val="137"/>
        </w:numPr>
        <w:bidi/>
        <w:rPr>
          <w:b/>
          <w:bCs/>
          <w:sz w:val="28"/>
          <w:szCs w:val="28"/>
        </w:rPr>
      </w:pPr>
      <w:r w:rsidRPr="00812E2C">
        <w:rPr>
          <w:b/>
          <w:bCs/>
          <w:sz w:val="28"/>
          <w:szCs w:val="28"/>
          <w:rtl/>
        </w:rPr>
        <w:lastRenderedPageBreak/>
        <w:t>تُقدّر مساهمتك في إنجاح هذا البحث الذي يهدف إلى تطوير بيئة العمل والإبداع في قطاعي الضيافة بالمملكة العربية السعودية</w:t>
      </w:r>
      <w:r w:rsidRPr="00812E2C">
        <w:rPr>
          <w:b/>
          <w:bCs/>
          <w:sz w:val="28"/>
          <w:szCs w:val="28"/>
        </w:rPr>
        <w:t>.</w:t>
      </w:r>
    </w:p>
    <w:p w14:paraId="17574DE1" w14:textId="77777777" w:rsidR="00793DFB" w:rsidRPr="00D20A52" w:rsidRDefault="00793DFB" w:rsidP="00793DFB">
      <w:pPr>
        <w:bidi/>
        <w:rPr>
          <w:b/>
          <w:bCs/>
          <w:rtl/>
        </w:rPr>
      </w:pPr>
    </w:p>
    <w:p w14:paraId="0B536006" w14:textId="77777777" w:rsidR="00793DFB" w:rsidRPr="00335704" w:rsidRDefault="00793DFB" w:rsidP="00793DFB">
      <w:pPr>
        <w:bidi/>
        <w:jc w:val="center"/>
        <w:rPr>
          <w:rFonts w:asciiTheme="majorBidi" w:hAnsiTheme="majorBidi" w:cstheme="majorBidi"/>
          <w:b/>
          <w:bCs/>
          <w:sz w:val="36"/>
          <w:szCs w:val="36"/>
        </w:rPr>
      </w:pPr>
      <w:r w:rsidRPr="00335704">
        <w:rPr>
          <w:rFonts w:asciiTheme="majorBidi" w:hAnsiTheme="majorBidi" w:cstheme="majorBidi"/>
          <w:b/>
          <w:bCs/>
          <w:sz w:val="36"/>
          <w:szCs w:val="36"/>
          <w:rtl/>
        </w:rPr>
        <w:t>الملاحق</w:t>
      </w:r>
    </w:p>
    <w:p w14:paraId="18976AE6" w14:textId="77777777" w:rsidR="00793DFB" w:rsidRDefault="00793DFB" w:rsidP="00793DFB">
      <w:pPr>
        <w:bidi/>
        <w:rPr>
          <w:rFonts w:asciiTheme="majorBidi" w:hAnsiTheme="majorBidi" w:cstheme="majorBidi"/>
          <w:sz w:val="28"/>
          <w:szCs w:val="28"/>
          <w:rtl/>
        </w:rPr>
      </w:pPr>
      <w:r>
        <w:rPr>
          <w:rFonts w:asciiTheme="majorBidi" w:hAnsiTheme="majorBidi" w:cstheme="majorBidi" w:hint="cs"/>
          <w:sz w:val="28"/>
          <w:szCs w:val="28"/>
          <w:rtl/>
        </w:rPr>
        <w:t xml:space="preserve">الاستبانة الخاصة بالدراسة الاستكشافية: </w:t>
      </w:r>
    </w:p>
    <w:p w14:paraId="03ECAD2F" w14:textId="77777777" w:rsidR="00793DFB" w:rsidRDefault="00793DFB" w:rsidP="00793DFB">
      <w:pPr>
        <w:bidi/>
        <w:rPr>
          <w:rFonts w:asciiTheme="majorBidi" w:hAnsiTheme="majorBidi" w:cstheme="majorBidi"/>
          <w:sz w:val="28"/>
          <w:szCs w:val="28"/>
          <w:rtl/>
        </w:rPr>
      </w:pPr>
      <w:r>
        <w:rPr>
          <w:rFonts w:asciiTheme="majorBidi" w:hAnsiTheme="majorBidi" w:cstheme="majorBidi" w:hint="cs"/>
          <w:sz w:val="28"/>
          <w:szCs w:val="28"/>
          <w:rtl/>
        </w:rPr>
        <w:t xml:space="preserve">تلك الدراسة </w:t>
      </w:r>
      <w:r w:rsidRPr="007346FA">
        <w:rPr>
          <w:rFonts w:asciiTheme="majorBidi" w:hAnsiTheme="majorBidi" w:cstheme="majorBidi"/>
          <w:sz w:val="28"/>
          <w:szCs w:val="28"/>
          <w:rtl/>
        </w:rPr>
        <w:t>لا تقتصر على متغير واحد فقط، بل تهدف إلى دعم الإطار العام للدراسة وفهم العلاقات بين المتغيرات الرئيسية</w:t>
      </w:r>
      <w:r w:rsidRPr="007346FA">
        <w:rPr>
          <w:rFonts w:asciiTheme="majorBidi" w:hAnsiTheme="majorBidi" w:cstheme="majorBidi"/>
          <w:sz w:val="28"/>
          <w:szCs w:val="28"/>
        </w:rPr>
        <w:t>.</w:t>
      </w:r>
    </w:p>
    <w:p w14:paraId="29BC9D52" w14:textId="77777777" w:rsidR="00793DFB" w:rsidRPr="00335704" w:rsidRDefault="00793DFB" w:rsidP="00793DFB">
      <w:pPr>
        <w:bidi/>
        <w:rPr>
          <w:rFonts w:asciiTheme="majorBidi" w:hAnsiTheme="majorBidi" w:cstheme="majorBidi"/>
          <w:b/>
          <w:bCs/>
          <w:sz w:val="28"/>
          <w:szCs w:val="28"/>
        </w:rPr>
      </w:pPr>
      <w:r w:rsidRPr="00335704">
        <w:rPr>
          <w:rFonts w:asciiTheme="majorBidi" w:hAnsiTheme="majorBidi" w:cstheme="majorBidi"/>
          <w:b/>
          <w:bCs/>
          <w:sz w:val="28"/>
          <w:szCs w:val="28"/>
          <w:rtl/>
        </w:rPr>
        <w:t>أولًا: التوظيف الانتقائي</w:t>
      </w:r>
    </w:p>
    <w:p w14:paraId="43EC23F0" w14:textId="77777777" w:rsidR="00793DFB" w:rsidRPr="00335704" w:rsidRDefault="00793DFB" w:rsidP="00793DFB">
      <w:pPr>
        <w:numPr>
          <w:ilvl w:val="0"/>
          <w:numId w:val="83"/>
        </w:numPr>
        <w:bidi/>
        <w:rPr>
          <w:rFonts w:asciiTheme="majorBidi" w:hAnsiTheme="majorBidi" w:cstheme="majorBidi"/>
          <w:sz w:val="28"/>
          <w:szCs w:val="28"/>
        </w:rPr>
      </w:pPr>
      <w:r w:rsidRPr="00335704">
        <w:rPr>
          <w:rFonts w:asciiTheme="majorBidi" w:hAnsiTheme="majorBidi" w:cstheme="majorBidi"/>
          <w:sz w:val="28"/>
          <w:szCs w:val="28"/>
          <w:rtl/>
        </w:rPr>
        <w:t>يتم اختيار الموظفين في مؤسستي بناءً على معايير واضحة تشمل المهارات الإبداعية والقدرة على الابتكار</w:t>
      </w:r>
      <w:r w:rsidRPr="00335704">
        <w:rPr>
          <w:rFonts w:asciiTheme="majorBidi" w:hAnsiTheme="majorBidi" w:cstheme="majorBidi"/>
          <w:sz w:val="28"/>
          <w:szCs w:val="28"/>
        </w:rPr>
        <w:t>.</w:t>
      </w:r>
    </w:p>
    <w:p w14:paraId="552B7D29" w14:textId="77777777" w:rsidR="00793DFB" w:rsidRPr="00335704" w:rsidRDefault="00793DFB" w:rsidP="00793DFB">
      <w:pPr>
        <w:numPr>
          <w:ilvl w:val="0"/>
          <w:numId w:val="83"/>
        </w:numPr>
        <w:bidi/>
        <w:rPr>
          <w:rFonts w:asciiTheme="majorBidi" w:hAnsiTheme="majorBidi" w:cstheme="majorBidi"/>
          <w:sz w:val="28"/>
          <w:szCs w:val="28"/>
        </w:rPr>
      </w:pPr>
      <w:r w:rsidRPr="00335704">
        <w:rPr>
          <w:rFonts w:asciiTheme="majorBidi" w:hAnsiTheme="majorBidi" w:cstheme="majorBidi"/>
          <w:sz w:val="28"/>
          <w:szCs w:val="28"/>
          <w:rtl/>
        </w:rPr>
        <w:t>تُراعى ملاءمة الموظف لثقافة المؤسسة وبيئتها الإبداعية عند التوظيف</w:t>
      </w:r>
      <w:r w:rsidRPr="00335704">
        <w:rPr>
          <w:rFonts w:asciiTheme="majorBidi" w:hAnsiTheme="majorBidi" w:cstheme="majorBidi"/>
          <w:sz w:val="28"/>
          <w:szCs w:val="28"/>
        </w:rPr>
        <w:t>.</w:t>
      </w:r>
    </w:p>
    <w:p w14:paraId="006D78F9" w14:textId="77777777" w:rsidR="00793DFB" w:rsidRPr="00335704" w:rsidRDefault="00793DFB" w:rsidP="00793DFB">
      <w:pPr>
        <w:numPr>
          <w:ilvl w:val="0"/>
          <w:numId w:val="83"/>
        </w:numPr>
        <w:bidi/>
        <w:rPr>
          <w:rFonts w:asciiTheme="majorBidi" w:hAnsiTheme="majorBidi" w:cstheme="majorBidi"/>
          <w:sz w:val="28"/>
          <w:szCs w:val="28"/>
        </w:rPr>
      </w:pPr>
      <w:r w:rsidRPr="00335704">
        <w:rPr>
          <w:rFonts w:asciiTheme="majorBidi" w:hAnsiTheme="majorBidi" w:cstheme="majorBidi"/>
          <w:sz w:val="28"/>
          <w:szCs w:val="28"/>
          <w:rtl/>
        </w:rPr>
        <w:t>أُجريت مقابلة التوظيف الخاصة بي بأسلوب يسمح لي بإظهار مهارات التفكير وحل المشكلات</w:t>
      </w:r>
      <w:r w:rsidRPr="00335704">
        <w:rPr>
          <w:rFonts w:asciiTheme="majorBidi" w:hAnsiTheme="majorBidi" w:cstheme="majorBidi"/>
          <w:sz w:val="28"/>
          <w:szCs w:val="28"/>
        </w:rPr>
        <w:t>.</w:t>
      </w:r>
    </w:p>
    <w:p w14:paraId="02C68B3A" w14:textId="77777777" w:rsidR="00793DFB" w:rsidRPr="00335704" w:rsidRDefault="00793DFB" w:rsidP="00793DFB">
      <w:pPr>
        <w:bidi/>
        <w:rPr>
          <w:rFonts w:asciiTheme="majorBidi" w:hAnsiTheme="majorBidi" w:cstheme="majorBidi"/>
          <w:b/>
          <w:bCs/>
          <w:sz w:val="28"/>
          <w:szCs w:val="28"/>
        </w:rPr>
      </w:pPr>
      <w:r w:rsidRPr="00335704">
        <w:rPr>
          <w:rFonts w:asciiTheme="majorBidi" w:hAnsiTheme="majorBidi" w:cstheme="majorBidi"/>
          <w:b/>
          <w:bCs/>
          <w:sz w:val="28"/>
          <w:szCs w:val="28"/>
          <w:rtl/>
        </w:rPr>
        <w:t>ثانيًا: التدريب والتطوير</w:t>
      </w:r>
    </w:p>
    <w:p w14:paraId="15D7EE57" w14:textId="77777777" w:rsidR="00793DFB" w:rsidRPr="00335704" w:rsidRDefault="00793DFB" w:rsidP="00793DFB">
      <w:pPr>
        <w:numPr>
          <w:ilvl w:val="0"/>
          <w:numId w:val="84"/>
        </w:numPr>
        <w:bidi/>
        <w:rPr>
          <w:rFonts w:asciiTheme="majorBidi" w:hAnsiTheme="majorBidi" w:cstheme="majorBidi"/>
          <w:sz w:val="28"/>
          <w:szCs w:val="28"/>
        </w:rPr>
      </w:pPr>
      <w:r w:rsidRPr="00335704">
        <w:rPr>
          <w:rFonts w:asciiTheme="majorBidi" w:hAnsiTheme="majorBidi" w:cstheme="majorBidi"/>
          <w:sz w:val="28"/>
          <w:szCs w:val="28"/>
          <w:rtl/>
        </w:rPr>
        <w:t>توفر المؤسسة برامج تدريبية تسهم في تطوير مهارات التفكير النقدي والإبداعي</w:t>
      </w:r>
      <w:r w:rsidRPr="00335704">
        <w:rPr>
          <w:rFonts w:asciiTheme="majorBidi" w:hAnsiTheme="majorBidi" w:cstheme="majorBidi"/>
          <w:sz w:val="28"/>
          <w:szCs w:val="28"/>
        </w:rPr>
        <w:t>.</w:t>
      </w:r>
    </w:p>
    <w:p w14:paraId="17DF3C69" w14:textId="77777777" w:rsidR="00793DFB" w:rsidRPr="00335704" w:rsidRDefault="00793DFB" w:rsidP="00793DFB">
      <w:pPr>
        <w:numPr>
          <w:ilvl w:val="0"/>
          <w:numId w:val="84"/>
        </w:numPr>
        <w:bidi/>
        <w:rPr>
          <w:rFonts w:asciiTheme="majorBidi" w:hAnsiTheme="majorBidi" w:cstheme="majorBidi"/>
          <w:sz w:val="28"/>
          <w:szCs w:val="28"/>
        </w:rPr>
      </w:pPr>
      <w:r w:rsidRPr="00335704">
        <w:rPr>
          <w:rFonts w:asciiTheme="majorBidi" w:hAnsiTheme="majorBidi" w:cstheme="majorBidi"/>
          <w:sz w:val="28"/>
          <w:szCs w:val="28"/>
          <w:rtl/>
        </w:rPr>
        <w:t>أحصل بشكل منتظم على تدريب يساعدني في اقتراح حلول جديدة لمشكلات العمل</w:t>
      </w:r>
      <w:r w:rsidRPr="00335704">
        <w:rPr>
          <w:rFonts w:asciiTheme="majorBidi" w:hAnsiTheme="majorBidi" w:cstheme="majorBidi"/>
          <w:sz w:val="28"/>
          <w:szCs w:val="28"/>
        </w:rPr>
        <w:t>.</w:t>
      </w:r>
    </w:p>
    <w:p w14:paraId="6A1D4732" w14:textId="77777777" w:rsidR="00793DFB" w:rsidRPr="00335704" w:rsidRDefault="00793DFB" w:rsidP="00793DFB">
      <w:pPr>
        <w:numPr>
          <w:ilvl w:val="0"/>
          <w:numId w:val="84"/>
        </w:numPr>
        <w:bidi/>
        <w:rPr>
          <w:rFonts w:asciiTheme="majorBidi" w:hAnsiTheme="majorBidi" w:cstheme="majorBidi"/>
          <w:sz w:val="28"/>
          <w:szCs w:val="28"/>
        </w:rPr>
      </w:pPr>
      <w:r w:rsidRPr="00335704">
        <w:rPr>
          <w:rFonts w:asciiTheme="majorBidi" w:hAnsiTheme="majorBidi" w:cstheme="majorBidi"/>
          <w:sz w:val="28"/>
          <w:szCs w:val="28"/>
          <w:rtl/>
        </w:rPr>
        <w:t>يتم تشجيعي على حضور ورش عمل أو دورات تدريبية خارجية تدعم الابتكار</w:t>
      </w:r>
      <w:r w:rsidRPr="00335704">
        <w:rPr>
          <w:rFonts w:asciiTheme="majorBidi" w:hAnsiTheme="majorBidi" w:cstheme="majorBidi"/>
          <w:sz w:val="28"/>
          <w:szCs w:val="28"/>
        </w:rPr>
        <w:t>.</w:t>
      </w:r>
    </w:p>
    <w:p w14:paraId="00413075" w14:textId="77777777" w:rsidR="00793DFB" w:rsidRPr="00335704" w:rsidRDefault="00793DFB" w:rsidP="00793DFB">
      <w:pPr>
        <w:bidi/>
        <w:rPr>
          <w:rFonts w:asciiTheme="majorBidi" w:hAnsiTheme="majorBidi" w:cstheme="majorBidi"/>
          <w:b/>
          <w:bCs/>
          <w:sz w:val="28"/>
          <w:szCs w:val="28"/>
        </w:rPr>
      </w:pPr>
      <w:r w:rsidRPr="00335704">
        <w:rPr>
          <w:rFonts w:asciiTheme="majorBidi" w:hAnsiTheme="majorBidi" w:cstheme="majorBidi"/>
          <w:b/>
          <w:bCs/>
          <w:sz w:val="28"/>
          <w:szCs w:val="28"/>
          <w:rtl/>
        </w:rPr>
        <w:t>ثالثًا: نظام الحوافز والمكافآت</w:t>
      </w:r>
    </w:p>
    <w:p w14:paraId="5FECA7DB" w14:textId="77777777" w:rsidR="00793DFB" w:rsidRPr="00335704" w:rsidRDefault="00793DFB" w:rsidP="00793DFB">
      <w:pPr>
        <w:numPr>
          <w:ilvl w:val="0"/>
          <w:numId w:val="85"/>
        </w:numPr>
        <w:bidi/>
        <w:rPr>
          <w:rFonts w:asciiTheme="majorBidi" w:hAnsiTheme="majorBidi" w:cstheme="majorBidi"/>
          <w:sz w:val="28"/>
          <w:szCs w:val="28"/>
        </w:rPr>
      </w:pPr>
      <w:r w:rsidRPr="00335704">
        <w:rPr>
          <w:rFonts w:asciiTheme="majorBidi" w:hAnsiTheme="majorBidi" w:cstheme="majorBidi"/>
          <w:sz w:val="28"/>
          <w:szCs w:val="28"/>
          <w:rtl/>
        </w:rPr>
        <w:t>يتم تقديم مكافآت أو حوافز مقابل تقديم أفكار أو حلول جديدة</w:t>
      </w:r>
      <w:r w:rsidRPr="00335704">
        <w:rPr>
          <w:rFonts w:asciiTheme="majorBidi" w:hAnsiTheme="majorBidi" w:cstheme="majorBidi"/>
          <w:sz w:val="28"/>
          <w:szCs w:val="28"/>
        </w:rPr>
        <w:t>.</w:t>
      </w:r>
    </w:p>
    <w:p w14:paraId="14F074F9" w14:textId="77777777" w:rsidR="00793DFB" w:rsidRPr="00335704" w:rsidRDefault="00793DFB" w:rsidP="00793DFB">
      <w:pPr>
        <w:numPr>
          <w:ilvl w:val="0"/>
          <w:numId w:val="85"/>
        </w:numPr>
        <w:bidi/>
        <w:rPr>
          <w:rFonts w:asciiTheme="majorBidi" w:hAnsiTheme="majorBidi" w:cstheme="majorBidi"/>
          <w:sz w:val="28"/>
          <w:szCs w:val="28"/>
        </w:rPr>
      </w:pPr>
      <w:r w:rsidRPr="00335704">
        <w:rPr>
          <w:rFonts w:asciiTheme="majorBidi" w:hAnsiTheme="majorBidi" w:cstheme="majorBidi"/>
          <w:sz w:val="28"/>
          <w:szCs w:val="28"/>
          <w:rtl/>
        </w:rPr>
        <w:t>تشجعني سياسة المكافآت الحالية على التفكير بطرق غير تقليدية في أداء عملي</w:t>
      </w:r>
      <w:r w:rsidRPr="00335704">
        <w:rPr>
          <w:rFonts w:asciiTheme="majorBidi" w:hAnsiTheme="majorBidi" w:cstheme="majorBidi"/>
          <w:sz w:val="28"/>
          <w:szCs w:val="28"/>
        </w:rPr>
        <w:t>.</w:t>
      </w:r>
    </w:p>
    <w:p w14:paraId="67C43258" w14:textId="77777777" w:rsidR="00793DFB" w:rsidRPr="00335704" w:rsidRDefault="00793DFB" w:rsidP="00793DFB">
      <w:pPr>
        <w:numPr>
          <w:ilvl w:val="0"/>
          <w:numId w:val="85"/>
        </w:numPr>
        <w:bidi/>
        <w:rPr>
          <w:rFonts w:asciiTheme="majorBidi" w:hAnsiTheme="majorBidi" w:cstheme="majorBidi"/>
          <w:sz w:val="28"/>
          <w:szCs w:val="28"/>
        </w:rPr>
      </w:pPr>
      <w:r w:rsidRPr="00335704">
        <w:rPr>
          <w:rFonts w:asciiTheme="majorBidi" w:hAnsiTheme="majorBidi" w:cstheme="majorBidi"/>
          <w:sz w:val="28"/>
          <w:szCs w:val="28"/>
          <w:rtl/>
        </w:rPr>
        <w:t>يتم الاعتراف علنًا بالموظفين الذين يقدّمون مبادرات أو مقترحات إبداعية</w:t>
      </w:r>
      <w:r w:rsidRPr="00335704">
        <w:rPr>
          <w:rFonts w:asciiTheme="majorBidi" w:hAnsiTheme="majorBidi" w:cstheme="majorBidi"/>
          <w:sz w:val="28"/>
          <w:szCs w:val="28"/>
        </w:rPr>
        <w:t>.</w:t>
      </w:r>
    </w:p>
    <w:p w14:paraId="6CCC5B84" w14:textId="77777777" w:rsidR="00793DFB" w:rsidRPr="00335704" w:rsidRDefault="00793DFB" w:rsidP="00793DFB">
      <w:pPr>
        <w:bidi/>
        <w:rPr>
          <w:rFonts w:asciiTheme="majorBidi" w:hAnsiTheme="majorBidi" w:cstheme="majorBidi"/>
          <w:b/>
          <w:bCs/>
          <w:sz w:val="28"/>
          <w:szCs w:val="28"/>
        </w:rPr>
      </w:pPr>
      <w:r w:rsidRPr="00335704">
        <w:rPr>
          <w:rFonts w:asciiTheme="majorBidi" w:hAnsiTheme="majorBidi" w:cstheme="majorBidi"/>
          <w:b/>
          <w:bCs/>
          <w:sz w:val="28"/>
          <w:szCs w:val="28"/>
          <w:rtl/>
        </w:rPr>
        <w:t>رابعًا: مشاركة الموظفين في اتخاذ القرار</w:t>
      </w:r>
    </w:p>
    <w:p w14:paraId="76DFD953" w14:textId="77777777" w:rsidR="00793DFB" w:rsidRPr="00335704" w:rsidRDefault="00793DFB" w:rsidP="00793DFB">
      <w:pPr>
        <w:numPr>
          <w:ilvl w:val="0"/>
          <w:numId w:val="86"/>
        </w:numPr>
        <w:bidi/>
        <w:rPr>
          <w:rFonts w:asciiTheme="majorBidi" w:hAnsiTheme="majorBidi" w:cstheme="majorBidi"/>
          <w:sz w:val="28"/>
          <w:szCs w:val="28"/>
        </w:rPr>
      </w:pPr>
      <w:r w:rsidRPr="00335704">
        <w:rPr>
          <w:rFonts w:asciiTheme="majorBidi" w:hAnsiTheme="majorBidi" w:cstheme="majorBidi"/>
          <w:sz w:val="28"/>
          <w:szCs w:val="28"/>
          <w:rtl/>
        </w:rPr>
        <w:t>أُشارك أحيانًا في اتخاذ قرارات تخص تحسين بيئة العمل أو طرق تقديم الخدمة</w:t>
      </w:r>
      <w:r w:rsidRPr="00335704">
        <w:rPr>
          <w:rFonts w:asciiTheme="majorBidi" w:hAnsiTheme="majorBidi" w:cstheme="majorBidi"/>
          <w:sz w:val="28"/>
          <w:szCs w:val="28"/>
        </w:rPr>
        <w:t>.</w:t>
      </w:r>
    </w:p>
    <w:p w14:paraId="04A14775" w14:textId="77777777" w:rsidR="00793DFB" w:rsidRPr="00335704" w:rsidRDefault="00793DFB" w:rsidP="00793DFB">
      <w:pPr>
        <w:numPr>
          <w:ilvl w:val="0"/>
          <w:numId w:val="86"/>
        </w:numPr>
        <w:bidi/>
        <w:rPr>
          <w:rFonts w:asciiTheme="majorBidi" w:hAnsiTheme="majorBidi" w:cstheme="majorBidi"/>
          <w:sz w:val="28"/>
          <w:szCs w:val="28"/>
        </w:rPr>
      </w:pPr>
      <w:r w:rsidRPr="00335704">
        <w:rPr>
          <w:rFonts w:asciiTheme="majorBidi" w:hAnsiTheme="majorBidi" w:cstheme="majorBidi"/>
          <w:sz w:val="28"/>
          <w:szCs w:val="28"/>
          <w:rtl/>
        </w:rPr>
        <w:t>تُؤخذ اقتراحاتي بعين الاعتبار عند تطوير العمليات أو السياسات داخل المؤسسة</w:t>
      </w:r>
      <w:r w:rsidRPr="00335704">
        <w:rPr>
          <w:rFonts w:asciiTheme="majorBidi" w:hAnsiTheme="majorBidi" w:cstheme="majorBidi"/>
          <w:sz w:val="28"/>
          <w:szCs w:val="28"/>
        </w:rPr>
        <w:t>.</w:t>
      </w:r>
    </w:p>
    <w:p w14:paraId="3A3F022F" w14:textId="77777777" w:rsidR="00793DFB" w:rsidRPr="00335704" w:rsidRDefault="00793DFB" w:rsidP="00793DFB">
      <w:pPr>
        <w:numPr>
          <w:ilvl w:val="0"/>
          <w:numId w:val="86"/>
        </w:numPr>
        <w:bidi/>
        <w:rPr>
          <w:rFonts w:asciiTheme="majorBidi" w:hAnsiTheme="majorBidi" w:cstheme="majorBidi"/>
          <w:sz w:val="28"/>
          <w:szCs w:val="28"/>
        </w:rPr>
      </w:pPr>
      <w:r w:rsidRPr="00335704">
        <w:rPr>
          <w:rFonts w:asciiTheme="majorBidi" w:hAnsiTheme="majorBidi" w:cstheme="majorBidi"/>
          <w:sz w:val="28"/>
          <w:szCs w:val="28"/>
          <w:rtl/>
        </w:rPr>
        <w:t>أشعر بأن لدي حرية التعبير عن أفكاري وتقديم مقترحات جديدة دون خوف أو تردد</w:t>
      </w:r>
      <w:r w:rsidRPr="00335704">
        <w:rPr>
          <w:rFonts w:asciiTheme="majorBidi" w:hAnsiTheme="majorBidi" w:cstheme="majorBidi"/>
          <w:sz w:val="28"/>
          <w:szCs w:val="28"/>
        </w:rPr>
        <w:t>.</w:t>
      </w:r>
    </w:p>
    <w:p w14:paraId="7692A3D0" w14:textId="77777777" w:rsidR="00DE731D" w:rsidRPr="004675F9" w:rsidRDefault="00DE731D" w:rsidP="00EB39A8">
      <w:pPr>
        <w:bidi/>
        <w:rPr>
          <w:rtl/>
        </w:rPr>
      </w:pPr>
    </w:p>
    <w:sectPr w:rsidR="00DE731D" w:rsidRPr="004675F9">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7C118" w14:textId="77777777" w:rsidR="006324C9" w:rsidRDefault="006324C9" w:rsidP="008D46BA">
      <w:pPr>
        <w:spacing w:after="0" w:line="240" w:lineRule="auto"/>
      </w:pPr>
      <w:r>
        <w:separator/>
      </w:r>
    </w:p>
  </w:endnote>
  <w:endnote w:type="continuationSeparator" w:id="0">
    <w:p w14:paraId="170EE5E5" w14:textId="77777777" w:rsidR="006324C9" w:rsidRDefault="006324C9" w:rsidP="008D4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e_Cortoba">
    <w:altName w:val="Times New Roman"/>
    <w:panose1 w:val="020B0604020202020204"/>
    <w:charset w:val="00"/>
    <w:family w:val="roman"/>
    <w:pitch w:val="variable"/>
    <w:sig w:usb0="00000000" w:usb1="C000204A" w:usb2="00000008" w:usb3="00000000" w:csb0="00000041" w:csb1="00000000"/>
  </w:font>
  <w:font w:name="Calibri">
    <w:panose1 w:val="020F0502020204030204"/>
    <w:charset w:val="00"/>
    <w:family w:val="swiss"/>
    <w:pitch w:val="variable"/>
    <w:sig w:usb0="E0002AFF" w:usb1="C000247B" w:usb2="00000009" w:usb3="00000000" w:csb0="000001FF" w:csb1="00000000"/>
  </w:font>
  <w:font w:name="Akhbar MT">
    <w:altName w:val="Arial"/>
    <w:panose1 w:val="020B0604020202020204"/>
    <w:charset w:val="B2"/>
    <w:family w:val="auto"/>
    <w:pitch w:val="variable"/>
    <w:sig w:usb0="00002001" w:usb1="00000000" w:usb2="00000000" w:usb3="00000000" w:csb0="00000040" w:csb1="00000000"/>
  </w:font>
  <w:font w:name="Monotype Koufi">
    <w:altName w:val="Arial"/>
    <w:panose1 w:val="020B0604020202020204"/>
    <w:charset w:val="B2"/>
    <w:family w:val="auto"/>
    <w:pitch w:val="variable"/>
    <w:sig w:usb0="02942001" w:usb1="03D40006" w:usb2="02620000" w:usb3="00000000" w:csb0="00000040" w:csb1="00000000"/>
  </w:font>
  <w:font w:name="Sakkal Majalla">
    <w:panose1 w:val="02000000000000000000"/>
    <w:charset w:val="B2"/>
    <w:family w:val="auto"/>
    <w:pitch w:val="variable"/>
    <w:sig w:usb0="80002007" w:usb1="80000000" w:usb2="00000008" w:usb3="00000000" w:csb0="000000D3" w:csb1="00000000"/>
  </w:font>
  <w:font w:name="-webkit-standard">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Arial Bold">
    <w:altName w:val="Arial"/>
    <w:panose1 w:val="020B0604020202020204"/>
    <w:charset w:val="00"/>
    <w:family w:val="roman"/>
    <w:notTrueType/>
    <w:pitch w:val="default"/>
  </w:font>
  <w:font w:name="Aptos Narrow">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931D7" w14:textId="77777777" w:rsidR="009404C7" w:rsidRDefault="009404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8811068"/>
      <w:docPartObj>
        <w:docPartGallery w:val="Page Numbers (Bottom of Page)"/>
        <w:docPartUnique/>
      </w:docPartObj>
    </w:sdtPr>
    <w:sdtContent>
      <w:p w14:paraId="20737715" w14:textId="63980749" w:rsidR="009404C7" w:rsidRDefault="009404C7">
        <w:pPr>
          <w:pStyle w:val="Footer"/>
          <w:jc w:val="center"/>
        </w:pPr>
        <w:r>
          <w:fldChar w:fldCharType="begin"/>
        </w:r>
        <w:r>
          <w:instrText>PAGE   \* MERGEFORMAT</w:instrText>
        </w:r>
        <w:r>
          <w:fldChar w:fldCharType="separate"/>
        </w:r>
        <w:r>
          <w:rPr>
            <w:rtl/>
            <w:lang w:val="ar-SA"/>
          </w:rPr>
          <w:t>2</w:t>
        </w:r>
        <w:r>
          <w:fldChar w:fldCharType="end"/>
        </w:r>
      </w:p>
    </w:sdtContent>
  </w:sdt>
  <w:p w14:paraId="50C3A7D1" w14:textId="77777777" w:rsidR="009404C7" w:rsidRDefault="009404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D70DB" w14:textId="77777777" w:rsidR="009404C7" w:rsidRDefault="00940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1609" w14:textId="77777777" w:rsidR="006324C9" w:rsidRDefault="006324C9" w:rsidP="008D46BA">
      <w:pPr>
        <w:spacing w:after="0" w:line="240" w:lineRule="auto"/>
      </w:pPr>
      <w:r>
        <w:separator/>
      </w:r>
    </w:p>
  </w:footnote>
  <w:footnote w:type="continuationSeparator" w:id="0">
    <w:p w14:paraId="5D7C9F3D" w14:textId="77777777" w:rsidR="006324C9" w:rsidRDefault="006324C9" w:rsidP="008D46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A597F" w14:textId="77777777" w:rsidR="009404C7" w:rsidRDefault="009404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35761" w14:textId="77777777" w:rsidR="009404C7" w:rsidRDefault="009404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E80FA" w14:textId="77777777" w:rsidR="009404C7" w:rsidRDefault="00940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380E"/>
    <w:multiLevelType w:val="multilevel"/>
    <w:tmpl w:val="430CAE8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1210394"/>
    <w:multiLevelType w:val="multilevel"/>
    <w:tmpl w:val="F496DA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440CC4"/>
    <w:multiLevelType w:val="multilevel"/>
    <w:tmpl w:val="FB8CC3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2604CD0"/>
    <w:multiLevelType w:val="multilevel"/>
    <w:tmpl w:val="12B63DA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587834"/>
    <w:multiLevelType w:val="multilevel"/>
    <w:tmpl w:val="70D07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987408"/>
    <w:multiLevelType w:val="multilevel"/>
    <w:tmpl w:val="65BE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663E08"/>
    <w:multiLevelType w:val="multilevel"/>
    <w:tmpl w:val="E2E02F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8F719F"/>
    <w:multiLevelType w:val="multilevel"/>
    <w:tmpl w:val="57502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D61CF3"/>
    <w:multiLevelType w:val="multilevel"/>
    <w:tmpl w:val="BDE69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4D3E04"/>
    <w:multiLevelType w:val="multilevel"/>
    <w:tmpl w:val="DABCE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CD0636"/>
    <w:multiLevelType w:val="multilevel"/>
    <w:tmpl w:val="F9B8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DE6FB1"/>
    <w:multiLevelType w:val="multilevel"/>
    <w:tmpl w:val="6DC461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066106"/>
    <w:multiLevelType w:val="multilevel"/>
    <w:tmpl w:val="FF3C58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09AC3A02"/>
    <w:multiLevelType w:val="multilevel"/>
    <w:tmpl w:val="1A047DD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0"/>
        </w:tabs>
        <w:ind w:left="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09D67ABC"/>
    <w:multiLevelType w:val="multilevel"/>
    <w:tmpl w:val="8A7C2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E96150"/>
    <w:multiLevelType w:val="multilevel"/>
    <w:tmpl w:val="F27AB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F654D1"/>
    <w:multiLevelType w:val="multilevel"/>
    <w:tmpl w:val="4C2E0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AEB08F1"/>
    <w:multiLevelType w:val="multilevel"/>
    <w:tmpl w:val="4F0E3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EC2124"/>
    <w:multiLevelType w:val="multilevel"/>
    <w:tmpl w:val="333E5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FF04B7"/>
    <w:multiLevelType w:val="multilevel"/>
    <w:tmpl w:val="2556B7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B0278A6"/>
    <w:multiLevelType w:val="multilevel"/>
    <w:tmpl w:val="B8CA8EC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0B740CD5"/>
    <w:multiLevelType w:val="multilevel"/>
    <w:tmpl w:val="E3EA0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BC64AF4"/>
    <w:multiLevelType w:val="multilevel"/>
    <w:tmpl w:val="62E426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C3B5569"/>
    <w:multiLevelType w:val="multilevel"/>
    <w:tmpl w:val="A676A2B8"/>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0D2B608F"/>
    <w:multiLevelType w:val="multilevel"/>
    <w:tmpl w:val="2666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4657F4"/>
    <w:multiLevelType w:val="multilevel"/>
    <w:tmpl w:val="FCAAC032"/>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F090A4C"/>
    <w:multiLevelType w:val="multilevel"/>
    <w:tmpl w:val="89B2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6F365A"/>
    <w:multiLevelType w:val="multilevel"/>
    <w:tmpl w:val="B0CABA9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0F93248E"/>
    <w:multiLevelType w:val="multilevel"/>
    <w:tmpl w:val="40C88E50"/>
    <w:lvl w:ilvl="0">
      <w:start w:val="1"/>
      <w:numFmt w:val="decimal"/>
      <w:lvlText w:val="%1."/>
      <w:lvlJc w:val="left"/>
      <w:pPr>
        <w:tabs>
          <w:tab w:val="num" w:pos="360"/>
        </w:tabs>
        <w:ind w:left="360" w:hanging="360"/>
      </w:pPr>
    </w:lvl>
    <w:lvl w:ilvl="1">
      <w:start w:val="1"/>
      <w:numFmt w:val="bullet"/>
      <w:lvlText w:val="o"/>
      <w:lvlJc w:val="left"/>
      <w:pPr>
        <w:tabs>
          <w:tab w:val="num" w:pos="502"/>
        </w:tabs>
        <w:ind w:left="502"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105E1590"/>
    <w:multiLevelType w:val="multilevel"/>
    <w:tmpl w:val="CC322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0763FE5"/>
    <w:multiLevelType w:val="multilevel"/>
    <w:tmpl w:val="EFAE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08E39FB"/>
    <w:multiLevelType w:val="multilevel"/>
    <w:tmpl w:val="3DCADB06"/>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728" w:hanging="648"/>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11A49E1"/>
    <w:multiLevelType w:val="multilevel"/>
    <w:tmpl w:val="FFCC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1BA374E"/>
    <w:multiLevelType w:val="multilevel"/>
    <w:tmpl w:val="CCF4332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2103249"/>
    <w:multiLevelType w:val="multilevel"/>
    <w:tmpl w:val="C3ECE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2272550"/>
    <w:multiLevelType w:val="multilevel"/>
    <w:tmpl w:val="350C6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27C5D16"/>
    <w:multiLevelType w:val="multilevel"/>
    <w:tmpl w:val="9BB02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3304B85"/>
    <w:multiLevelType w:val="multilevel"/>
    <w:tmpl w:val="F3743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3B95E1D"/>
    <w:multiLevelType w:val="multilevel"/>
    <w:tmpl w:val="B8483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4040407"/>
    <w:multiLevelType w:val="multilevel"/>
    <w:tmpl w:val="69125E88"/>
    <w:lvl w:ilvl="0">
      <w:start w:val="1"/>
      <w:numFmt w:val="decimal"/>
      <w:lvlText w:val="%1."/>
      <w:lvlJc w:val="left"/>
      <w:pPr>
        <w:tabs>
          <w:tab w:val="num" w:pos="360"/>
        </w:tabs>
        <w:ind w:left="360" w:hanging="360"/>
      </w:pPr>
    </w:lvl>
    <w:lvl w:ilvl="1">
      <w:start w:val="1"/>
      <w:numFmt w:val="bullet"/>
      <w:lvlText w:val="o"/>
      <w:lvlJc w:val="left"/>
      <w:pPr>
        <w:tabs>
          <w:tab w:val="num" w:pos="567"/>
        </w:tabs>
        <w:ind w:left="567"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14DC649E"/>
    <w:multiLevelType w:val="multilevel"/>
    <w:tmpl w:val="B2F6F456"/>
    <w:lvl w:ilvl="0">
      <w:start w:val="1"/>
      <w:numFmt w:val="decimal"/>
      <w:lvlText w:val="%1."/>
      <w:lvlJc w:val="left"/>
      <w:pPr>
        <w:tabs>
          <w:tab w:val="num" w:pos="501"/>
        </w:tabs>
        <w:ind w:left="50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55E5DA5"/>
    <w:multiLevelType w:val="multilevel"/>
    <w:tmpl w:val="A1466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563353A"/>
    <w:multiLevelType w:val="multilevel"/>
    <w:tmpl w:val="4C6E9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6DB09A1"/>
    <w:multiLevelType w:val="multilevel"/>
    <w:tmpl w:val="120A4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7C05F33"/>
    <w:multiLevelType w:val="multilevel"/>
    <w:tmpl w:val="D02847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18C57AB1"/>
    <w:multiLevelType w:val="multilevel"/>
    <w:tmpl w:val="3AD2DC44"/>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18F76B7A"/>
    <w:multiLevelType w:val="multilevel"/>
    <w:tmpl w:val="C928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93C457C"/>
    <w:multiLevelType w:val="hybridMultilevel"/>
    <w:tmpl w:val="291A0E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197B4A4E"/>
    <w:multiLevelType w:val="multilevel"/>
    <w:tmpl w:val="98F47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AAD18A7"/>
    <w:multiLevelType w:val="multilevel"/>
    <w:tmpl w:val="D0FCE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B4A1E94"/>
    <w:multiLevelType w:val="multilevel"/>
    <w:tmpl w:val="B25E5664"/>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1C424FF4"/>
    <w:multiLevelType w:val="multilevel"/>
    <w:tmpl w:val="14F4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C5F1CCB"/>
    <w:multiLevelType w:val="multilevel"/>
    <w:tmpl w:val="7C288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CB51492"/>
    <w:multiLevelType w:val="multilevel"/>
    <w:tmpl w:val="BB5E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D516EEA"/>
    <w:multiLevelType w:val="multilevel"/>
    <w:tmpl w:val="A96C3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C135CA"/>
    <w:multiLevelType w:val="multilevel"/>
    <w:tmpl w:val="7120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E4C7183"/>
    <w:multiLevelType w:val="multilevel"/>
    <w:tmpl w:val="DFDCA3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1E904379"/>
    <w:multiLevelType w:val="multilevel"/>
    <w:tmpl w:val="60E0D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EB53F5C"/>
    <w:multiLevelType w:val="multilevel"/>
    <w:tmpl w:val="D020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F733C3E"/>
    <w:multiLevelType w:val="multilevel"/>
    <w:tmpl w:val="CE344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F7C7CED"/>
    <w:multiLevelType w:val="multilevel"/>
    <w:tmpl w:val="D326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FB92685"/>
    <w:multiLevelType w:val="multilevel"/>
    <w:tmpl w:val="E4E4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12131D1"/>
    <w:multiLevelType w:val="multilevel"/>
    <w:tmpl w:val="9986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23C0933"/>
    <w:multiLevelType w:val="multilevel"/>
    <w:tmpl w:val="3B884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2705FD2"/>
    <w:multiLevelType w:val="multilevel"/>
    <w:tmpl w:val="AE6CD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3301420"/>
    <w:multiLevelType w:val="multilevel"/>
    <w:tmpl w:val="A53E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7A251F"/>
    <w:multiLevelType w:val="multilevel"/>
    <w:tmpl w:val="C284E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3E00EAE"/>
    <w:multiLevelType w:val="multilevel"/>
    <w:tmpl w:val="D750C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607243E"/>
    <w:multiLevelType w:val="multilevel"/>
    <w:tmpl w:val="3AF2B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7104CAE"/>
    <w:multiLevelType w:val="multilevel"/>
    <w:tmpl w:val="EA30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7DD7127"/>
    <w:multiLevelType w:val="multilevel"/>
    <w:tmpl w:val="70444EE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8172C90"/>
    <w:multiLevelType w:val="multilevel"/>
    <w:tmpl w:val="71A41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87B20BF"/>
    <w:multiLevelType w:val="multilevel"/>
    <w:tmpl w:val="14E2A15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8ED4914"/>
    <w:multiLevelType w:val="multilevel"/>
    <w:tmpl w:val="A38003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4" w15:restartNumberingAfterBreak="0">
    <w:nsid w:val="2975349A"/>
    <w:multiLevelType w:val="multilevel"/>
    <w:tmpl w:val="458A4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A140C74"/>
    <w:multiLevelType w:val="hybridMultilevel"/>
    <w:tmpl w:val="BF7A5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2B951EE7"/>
    <w:multiLevelType w:val="multilevel"/>
    <w:tmpl w:val="85AC8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C520E7D"/>
    <w:multiLevelType w:val="multilevel"/>
    <w:tmpl w:val="FE42C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EFF2EC3"/>
    <w:multiLevelType w:val="multilevel"/>
    <w:tmpl w:val="30F0A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0EF7E47"/>
    <w:multiLevelType w:val="multilevel"/>
    <w:tmpl w:val="7B7A8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1A96890"/>
    <w:multiLevelType w:val="multilevel"/>
    <w:tmpl w:val="703E8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1BA74A4"/>
    <w:multiLevelType w:val="multilevel"/>
    <w:tmpl w:val="171AA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22918BE"/>
    <w:multiLevelType w:val="multilevel"/>
    <w:tmpl w:val="D9F8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2DB2B57"/>
    <w:multiLevelType w:val="multilevel"/>
    <w:tmpl w:val="C3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3382915"/>
    <w:multiLevelType w:val="multilevel"/>
    <w:tmpl w:val="2BF255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36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3DC2DD9"/>
    <w:multiLevelType w:val="multilevel"/>
    <w:tmpl w:val="49EE8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41C538A"/>
    <w:multiLevelType w:val="multilevel"/>
    <w:tmpl w:val="38AEB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48219A4"/>
    <w:multiLevelType w:val="multilevel"/>
    <w:tmpl w:val="D5CA4C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8" w15:restartNumberingAfterBreak="0">
    <w:nsid w:val="36BF6A7C"/>
    <w:multiLevelType w:val="multilevel"/>
    <w:tmpl w:val="B2DAF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7311AD9"/>
    <w:multiLevelType w:val="multilevel"/>
    <w:tmpl w:val="4300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7340BC3"/>
    <w:multiLevelType w:val="multilevel"/>
    <w:tmpl w:val="F4526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73472DF"/>
    <w:multiLevelType w:val="multilevel"/>
    <w:tmpl w:val="3102A43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2" w15:restartNumberingAfterBreak="0">
    <w:nsid w:val="374D3A4C"/>
    <w:multiLevelType w:val="multilevel"/>
    <w:tmpl w:val="4538D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9011D7C"/>
    <w:multiLevelType w:val="hybridMultilevel"/>
    <w:tmpl w:val="9BCC62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39111285"/>
    <w:multiLevelType w:val="multilevel"/>
    <w:tmpl w:val="543C0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9702F9B"/>
    <w:multiLevelType w:val="multilevel"/>
    <w:tmpl w:val="FEFA46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9FE7A85"/>
    <w:multiLevelType w:val="hybridMultilevel"/>
    <w:tmpl w:val="1F544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A947334"/>
    <w:multiLevelType w:val="multilevel"/>
    <w:tmpl w:val="A0346F0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3B4D4397"/>
    <w:multiLevelType w:val="multilevel"/>
    <w:tmpl w:val="95881AA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9" w15:restartNumberingAfterBreak="0">
    <w:nsid w:val="3BB4284A"/>
    <w:multiLevelType w:val="multilevel"/>
    <w:tmpl w:val="C730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BC40F98"/>
    <w:multiLevelType w:val="multilevel"/>
    <w:tmpl w:val="E4622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BF96F8A"/>
    <w:multiLevelType w:val="multilevel"/>
    <w:tmpl w:val="98AA2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D494CD5"/>
    <w:multiLevelType w:val="multilevel"/>
    <w:tmpl w:val="B3BE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D5239F1"/>
    <w:multiLevelType w:val="multilevel"/>
    <w:tmpl w:val="0E2622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4" w15:restartNumberingAfterBreak="0">
    <w:nsid w:val="3E116504"/>
    <w:multiLevelType w:val="multilevel"/>
    <w:tmpl w:val="1B40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0205B61"/>
    <w:multiLevelType w:val="hybridMultilevel"/>
    <w:tmpl w:val="C1A0B5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15:restartNumberingAfterBreak="0">
    <w:nsid w:val="408B4987"/>
    <w:multiLevelType w:val="multilevel"/>
    <w:tmpl w:val="0AC6A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0AC57DC"/>
    <w:multiLevelType w:val="multilevel"/>
    <w:tmpl w:val="D402C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1B16DC5"/>
    <w:multiLevelType w:val="multilevel"/>
    <w:tmpl w:val="D7B856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9" w15:restartNumberingAfterBreak="0">
    <w:nsid w:val="442760B5"/>
    <w:multiLevelType w:val="multilevel"/>
    <w:tmpl w:val="7EF4DC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44546D0"/>
    <w:multiLevelType w:val="multilevel"/>
    <w:tmpl w:val="B4440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57D08AA"/>
    <w:multiLevelType w:val="multilevel"/>
    <w:tmpl w:val="2F8C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5905BF7"/>
    <w:multiLevelType w:val="multilevel"/>
    <w:tmpl w:val="C6C6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5A5099C"/>
    <w:multiLevelType w:val="multilevel"/>
    <w:tmpl w:val="97482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48203C59"/>
    <w:multiLevelType w:val="multilevel"/>
    <w:tmpl w:val="A906F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48314386"/>
    <w:multiLevelType w:val="multilevel"/>
    <w:tmpl w:val="470E4A70"/>
    <w:lvl w:ilvl="0">
      <w:start w:val="1"/>
      <w:numFmt w:val="decimal"/>
      <w:lvlText w:val="%1."/>
      <w:lvlJc w:val="left"/>
      <w:pPr>
        <w:tabs>
          <w:tab w:val="num" w:pos="360"/>
        </w:tabs>
        <w:ind w:left="360" w:hanging="360"/>
      </w:pPr>
    </w:lvl>
    <w:lvl w:ilvl="1">
      <w:start w:val="1"/>
      <w:numFmt w:val="bullet"/>
      <w:lvlText w:val="o"/>
      <w:lvlJc w:val="left"/>
      <w:pPr>
        <w:tabs>
          <w:tab w:val="num" w:pos="643"/>
        </w:tabs>
        <w:ind w:left="643"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6" w15:restartNumberingAfterBreak="0">
    <w:nsid w:val="4970186B"/>
    <w:multiLevelType w:val="multilevel"/>
    <w:tmpl w:val="F62C7F7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7" w15:restartNumberingAfterBreak="0">
    <w:nsid w:val="4AA567D8"/>
    <w:multiLevelType w:val="multilevel"/>
    <w:tmpl w:val="53BE1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B8F640A"/>
    <w:multiLevelType w:val="multilevel"/>
    <w:tmpl w:val="37DAF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EE271FF"/>
    <w:multiLevelType w:val="multilevel"/>
    <w:tmpl w:val="351A8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4F4E1EDE"/>
    <w:multiLevelType w:val="multilevel"/>
    <w:tmpl w:val="BC688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FF11621"/>
    <w:multiLevelType w:val="multilevel"/>
    <w:tmpl w:val="6A1E9B9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08676B2"/>
    <w:multiLevelType w:val="multilevel"/>
    <w:tmpl w:val="A7F86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0935C19"/>
    <w:multiLevelType w:val="multilevel"/>
    <w:tmpl w:val="0D10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0E36100"/>
    <w:multiLevelType w:val="multilevel"/>
    <w:tmpl w:val="120A8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1142B53"/>
    <w:multiLevelType w:val="multilevel"/>
    <w:tmpl w:val="82D0C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515B5AAF"/>
    <w:multiLevelType w:val="multilevel"/>
    <w:tmpl w:val="8B745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1602458"/>
    <w:multiLevelType w:val="multilevel"/>
    <w:tmpl w:val="E0AE3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1700676"/>
    <w:multiLevelType w:val="multilevel"/>
    <w:tmpl w:val="28387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28A4DF4"/>
    <w:multiLevelType w:val="multilevel"/>
    <w:tmpl w:val="8062A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2EC6C18"/>
    <w:multiLevelType w:val="multilevel"/>
    <w:tmpl w:val="31586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322750D"/>
    <w:multiLevelType w:val="multilevel"/>
    <w:tmpl w:val="AB382798"/>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532B557E"/>
    <w:multiLevelType w:val="multilevel"/>
    <w:tmpl w:val="05528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533A2BA5"/>
    <w:multiLevelType w:val="multilevel"/>
    <w:tmpl w:val="0D74770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4" w15:restartNumberingAfterBreak="0">
    <w:nsid w:val="540B70A2"/>
    <w:multiLevelType w:val="multilevel"/>
    <w:tmpl w:val="9288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48C3C48"/>
    <w:multiLevelType w:val="multilevel"/>
    <w:tmpl w:val="8F1A4D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54C66D32"/>
    <w:multiLevelType w:val="multilevel"/>
    <w:tmpl w:val="BE46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55017FE"/>
    <w:multiLevelType w:val="multilevel"/>
    <w:tmpl w:val="A0764DB2"/>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5"/>
      <w:numFmt w:val="decimal"/>
      <w:isLgl/>
      <w:lvlText w:val="%1.%2.%3."/>
      <w:lvlJc w:val="left"/>
      <w:pPr>
        <w:ind w:left="36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8" w15:restartNumberingAfterBreak="0">
    <w:nsid w:val="55991016"/>
    <w:multiLevelType w:val="hybridMultilevel"/>
    <w:tmpl w:val="2E2CD9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9" w15:restartNumberingAfterBreak="0">
    <w:nsid w:val="56A1326B"/>
    <w:multiLevelType w:val="multilevel"/>
    <w:tmpl w:val="F9F4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836514B"/>
    <w:multiLevelType w:val="multilevel"/>
    <w:tmpl w:val="D7F67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9333BFD"/>
    <w:multiLevelType w:val="multilevel"/>
    <w:tmpl w:val="42480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A663790"/>
    <w:multiLevelType w:val="multilevel"/>
    <w:tmpl w:val="C178A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5A8979B5"/>
    <w:multiLevelType w:val="multilevel"/>
    <w:tmpl w:val="D166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B7B4633"/>
    <w:multiLevelType w:val="multilevel"/>
    <w:tmpl w:val="A07A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D1E1EB1"/>
    <w:multiLevelType w:val="multilevel"/>
    <w:tmpl w:val="36B2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DDA459C"/>
    <w:multiLevelType w:val="multilevel"/>
    <w:tmpl w:val="8938B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EA830B3"/>
    <w:multiLevelType w:val="multilevel"/>
    <w:tmpl w:val="11847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F190438"/>
    <w:multiLevelType w:val="multilevel"/>
    <w:tmpl w:val="FB0CA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FF86CF3"/>
    <w:multiLevelType w:val="multilevel"/>
    <w:tmpl w:val="01E04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0D3503C"/>
    <w:multiLevelType w:val="multilevel"/>
    <w:tmpl w:val="B0D09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0E90F85"/>
    <w:multiLevelType w:val="multilevel"/>
    <w:tmpl w:val="12361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19B4391"/>
    <w:multiLevelType w:val="multilevel"/>
    <w:tmpl w:val="A71A2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1A13A69"/>
    <w:multiLevelType w:val="multilevel"/>
    <w:tmpl w:val="0D50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22F6B89"/>
    <w:multiLevelType w:val="multilevel"/>
    <w:tmpl w:val="782A5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627204E3"/>
    <w:multiLevelType w:val="multilevel"/>
    <w:tmpl w:val="75C2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2923FF3"/>
    <w:multiLevelType w:val="multilevel"/>
    <w:tmpl w:val="168C4DA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7" w15:restartNumberingAfterBreak="0">
    <w:nsid w:val="62AF2708"/>
    <w:multiLevelType w:val="multilevel"/>
    <w:tmpl w:val="37E00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32D0E2C"/>
    <w:multiLevelType w:val="multilevel"/>
    <w:tmpl w:val="B6AA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3562AC3"/>
    <w:multiLevelType w:val="multilevel"/>
    <w:tmpl w:val="5B346F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63F20C3B"/>
    <w:multiLevelType w:val="multilevel"/>
    <w:tmpl w:val="D5689B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1" w15:restartNumberingAfterBreak="0">
    <w:nsid w:val="65084002"/>
    <w:multiLevelType w:val="multilevel"/>
    <w:tmpl w:val="8244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9274EBF"/>
    <w:multiLevelType w:val="multilevel"/>
    <w:tmpl w:val="9CA2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96A64B4"/>
    <w:multiLevelType w:val="multilevel"/>
    <w:tmpl w:val="0DB67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A1E5F62"/>
    <w:multiLevelType w:val="multilevel"/>
    <w:tmpl w:val="F3BAC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A7141B4"/>
    <w:multiLevelType w:val="multilevel"/>
    <w:tmpl w:val="9D9E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AA051E8"/>
    <w:multiLevelType w:val="hybridMultilevel"/>
    <w:tmpl w:val="B05C4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C677008"/>
    <w:multiLevelType w:val="multilevel"/>
    <w:tmpl w:val="5378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C7050B1"/>
    <w:multiLevelType w:val="multilevel"/>
    <w:tmpl w:val="B094A56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9" w15:restartNumberingAfterBreak="0">
    <w:nsid w:val="6CDE4C07"/>
    <w:multiLevelType w:val="multilevel"/>
    <w:tmpl w:val="DA24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E7A7BCE"/>
    <w:multiLevelType w:val="multilevel"/>
    <w:tmpl w:val="D0D076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1" w15:restartNumberingAfterBreak="0">
    <w:nsid w:val="6EE91E87"/>
    <w:multiLevelType w:val="multilevel"/>
    <w:tmpl w:val="B488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F6128C3"/>
    <w:multiLevelType w:val="multilevel"/>
    <w:tmpl w:val="E922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0704B63"/>
    <w:multiLevelType w:val="multilevel"/>
    <w:tmpl w:val="A81CE074"/>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4" w15:restartNumberingAfterBreak="0">
    <w:nsid w:val="708D30B1"/>
    <w:multiLevelType w:val="multilevel"/>
    <w:tmpl w:val="53042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1C96FCB"/>
    <w:multiLevelType w:val="multilevel"/>
    <w:tmpl w:val="FEBAB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729106BD"/>
    <w:multiLevelType w:val="multilevel"/>
    <w:tmpl w:val="6F44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3473316"/>
    <w:multiLevelType w:val="multilevel"/>
    <w:tmpl w:val="FD30B1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738159B1"/>
    <w:multiLevelType w:val="multilevel"/>
    <w:tmpl w:val="4FE8E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50341AF"/>
    <w:multiLevelType w:val="multilevel"/>
    <w:tmpl w:val="5422F2B2"/>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75AC11FF"/>
    <w:multiLevelType w:val="multilevel"/>
    <w:tmpl w:val="167C1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6B83AE7"/>
    <w:multiLevelType w:val="multilevel"/>
    <w:tmpl w:val="C2CCB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6CB0FB9"/>
    <w:multiLevelType w:val="multilevel"/>
    <w:tmpl w:val="C1ECFD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7B411B4"/>
    <w:multiLevelType w:val="multilevel"/>
    <w:tmpl w:val="99DE7C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4" w15:restartNumberingAfterBreak="0">
    <w:nsid w:val="783E3AE8"/>
    <w:multiLevelType w:val="multilevel"/>
    <w:tmpl w:val="2E38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78593B68"/>
    <w:multiLevelType w:val="multilevel"/>
    <w:tmpl w:val="91D2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8C26F47"/>
    <w:multiLevelType w:val="multilevel"/>
    <w:tmpl w:val="89C6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8CE55D9"/>
    <w:multiLevelType w:val="multilevel"/>
    <w:tmpl w:val="7D5C9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A653C24"/>
    <w:multiLevelType w:val="multilevel"/>
    <w:tmpl w:val="BC965D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9" w15:restartNumberingAfterBreak="0">
    <w:nsid w:val="7AB11A1C"/>
    <w:multiLevelType w:val="multilevel"/>
    <w:tmpl w:val="90E6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BE12C45"/>
    <w:multiLevelType w:val="multilevel"/>
    <w:tmpl w:val="10A4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DD930A6"/>
    <w:multiLevelType w:val="multilevel"/>
    <w:tmpl w:val="0240D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DEF0907"/>
    <w:multiLevelType w:val="hybridMultilevel"/>
    <w:tmpl w:val="1054A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7E25189E"/>
    <w:multiLevelType w:val="multilevel"/>
    <w:tmpl w:val="392CC680"/>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7F4134D9"/>
    <w:multiLevelType w:val="multilevel"/>
    <w:tmpl w:val="387A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F9E2C86"/>
    <w:multiLevelType w:val="multilevel"/>
    <w:tmpl w:val="931065F4"/>
    <w:lvl w:ilvl="0">
      <w:start w:val="1"/>
      <w:numFmt w:val="decimal"/>
      <w:lvlText w:val="%1."/>
      <w:lvlJc w:val="left"/>
      <w:pPr>
        <w:ind w:left="492" w:hanging="49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6" w15:restartNumberingAfterBreak="0">
    <w:nsid w:val="7FAD5BD2"/>
    <w:multiLevelType w:val="multilevel"/>
    <w:tmpl w:val="A0CA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6084107">
    <w:abstractNumId w:val="15"/>
  </w:num>
  <w:num w:numId="2" w16cid:durableId="2000887926">
    <w:abstractNumId w:val="44"/>
  </w:num>
  <w:num w:numId="3" w16cid:durableId="337386726">
    <w:abstractNumId w:val="28"/>
  </w:num>
  <w:num w:numId="4" w16cid:durableId="914821018">
    <w:abstractNumId w:val="2"/>
  </w:num>
  <w:num w:numId="5" w16cid:durableId="375273991">
    <w:abstractNumId w:val="115"/>
  </w:num>
  <w:num w:numId="6" w16cid:durableId="590235642">
    <w:abstractNumId w:val="73"/>
  </w:num>
  <w:num w:numId="7" w16cid:durableId="1034114727">
    <w:abstractNumId w:val="0"/>
  </w:num>
  <w:num w:numId="8" w16cid:durableId="1211262323">
    <w:abstractNumId w:val="107"/>
  </w:num>
  <w:num w:numId="9" w16cid:durableId="2120101776">
    <w:abstractNumId w:val="105"/>
  </w:num>
  <w:num w:numId="10" w16cid:durableId="656036456">
    <w:abstractNumId w:val="168"/>
  </w:num>
  <w:num w:numId="11" w16cid:durableId="990793680">
    <w:abstractNumId w:val="87"/>
  </w:num>
  <w:num w:numId="12" w16cid:durableId="583877849">
    <w:abstractNumId w:val="182"/>
  </w:num>
  <w:num w:numId="13" w16cid:durableId="404843353">
    <w:abstractNumId w:val="185"/>
  </w:num>
  <w:num w:numId="14" w16cid:durableId="753093516">
    <w:abstractNumId w:val="32"/>
  </w:num>
  <w:num w:numId="15" w16cid:durableId="1968005588">
    <w:abstractNumId w:val="11"/>
  </w:num>
  <w:num w:numId="16" w16cid:durableId="147748672">
    <w:abstractNumId w:val="109"/>
  </w:num>
  <w:num w:numId="17" w16cid:durableId="1394547336">
    <w:abstractNumId w:val="58"/>
  </w:num>
  <w:num w:numId="18" w16cid:durableId="943616332">
    <w:abstractNumId w:val="93"/>
  </w:num>
  <w:num w:numId="19" w16cid:durableId="1002707843">
    <w:abstractNumId w:val="47"/>
  </w:num>
  <w:num w:numId="20" w16cid:durableId="115486042">
    <w:abstractNumId w:val="138"/>
  </w:num>
  <w:num w:numId="21" w16cid:durableId="1600332557">
    <w:abstractNumId w:val="103"/>
  </w:num>
  <w:num w:numId="22" w16cid:durableId="783620239">
    <w:abstractNumId w:val="137"/>
  </w:num>
  <w:num w:numId="23" w16cid:durableId="1498613034">
    <w:abstractNumId w:val="193"/>
  </w:num>
  <w:num w:numId="24" w16cid:durableId="600987456">
    <w:abstractNumId w:val="40"/>
  </w:num>
  <w:num w:numId="25" w16cid:durableId="2123378247">
    <w:abstractNumId w:val="160"/>
  </w:num>
  <w:num w:numId="26" w16cid:durableId="1896962908">
    <w:abstractNumId w:val="53"/>
  </w:num>
  <w:num w:numId="27" w16cid:durableId="981538456">
    <w:abstractNumId w:val="66"/>
  </w:num>
  <w:num w:numId="28" w16cid:durableId="1756509690">
    <w:abstractNumId w:val="14"/>
  </w:num>
  <w:num w:numId="29" w16cid:durableId="704451353">
    <w:abstractNumId w:val="163"/>
  </w:num>
  <w:num w:numId="30" w16cid:durableId="1153331478">
    <w:abstractNumId w:val="125"/>
  </w:num>
  <w:num w:numId="31" w16cid:durableId="643125142">
    <w:abstractNumId w:val="90"/>
  </w:num>
  <w:num w:numId="32" w16cid:durableId="759450750">
    <w:abstractNumId w:val="178"/>
  </w:num>
  <w:num w:numId="33" w16cid:durableId="925839917">
    <w:abstractNumId w:val="124"/>
  </w:num>
  <w:num w:numId="34" w16cid:durableId="1585844688">
    <w:abstractNumId w:val="38"/>
  </w:num>
  <w:num w:numId="35" w16cid:durableId="389619025">
    <w:abstractNumId w:val="189"/>
  </w:num>
  <w:num w:numId="36" w16cid:durableId="417216924">
    <w:abstractNumId w:val="180"/>
  </w:num>
  <w:num w:numId="37" w16cid:durableId="945116286">
    <w:abstractNumId w:val="128"/>
  </w:num>
  <w:num w:numId="38" w16cid:durableId="68578766">
    <w:abstractNumId w:val="84"/>
  </w:num>
  <w:num w:numId="39" w16cid:durableId="1496651156">
    <w:abstractNumId w:val="117"/>
  </w:num>
  <w:num w:numId="40" w16cid:durableId="1869641313">
    <w:abstractNumId w:val="149"/>
  </w:num>
  <w:num w:numId="41" w16cid:durableId="887497529">
    <w:abstractNumId w:val="69"/>
  </w:num>
  <w:num w:numId="42" w16cid:durableId="444077470">
    <w:abstractNumId w:val="133"/>
  </w:num>
  <w:num w:numId="43" w16cid:durableId="900940465">
    <w:abstractNumId w:val="13"/>
  </w:num>
  <w:num w:numId="44" w16cid:durableId="801925755">
    <w:abstractNumId w:val="170"/>
  </w:num>
  <w:num w:numId="45" w16cid:durableId="1859615980">
    <w:abstractNumId w:val="119"/>
  </w:num>
  <w:num w:numId="46" w16cid:durableId="1032802368">
    <w:abstractNumId w:val="100"/>
  </w:num>
  <w:num w:numId="47" w16cid:durableId="1705205511">
    <w:abstractNumId w:val="183"/>
  </w:num>
  <w:num w:numId="48" w16cid:durableId="1644045037">
    <w:abstractNumId w:val="4"/>
  </w:num>
  <w:num w:numId="49" w16cid:durableId="1883710709">
    <w:abstractNumId w:val="60"/>
  </w:num>
  <w:num w:numId="50" w16cid:durableId="122576456">
    <w:abstractNumId w:val="5"/>
  </w:num>
  <w:num w:numId="51" w16cid:durableId="1660159950">
    <w:abstractNumId w:val="118"/>
  </w:num>
  <w:num w:numId="52" w16cid:durableId="1731150422">
    <w:abstractNumId w:val="35"/>
  </w:num>
  <w:num w:numId="53" w16cid:durableId="248780606">
    <w:abstractNumId w:val="68"/>
  </w:num>
  <w:num w:numId="54" w16cid:durableId="110707002">
    <w:abstractNumId w:val="146"/>
  </w:num>
  <w:num w:numId="55" w16cid:durableId="216353942">
    <w:abstractNumId w:val="52"/>
  </w:num>
  <w:num w:numId="56" w16cid:durableId="2111124874">
    <w:abstractNumId w:val="143"/>
  </w:num>
  <w:num w:numId="57" w16cid:durableId="1101142897">
    <w:abstractNumId w:val="71"/>
  </w:num>
  <w:num w:numId="58" w16cid:durableId="1261793214">
    <w:abstractNumId w:val="7"/>
  </w:num>
  <w:num w:numId="59" w16cid:durableId="1695695381">
    <w:abstractNumId w:val="18"/>
  </w:num>
  <w:num w:numId="60" w16cid:durableId="1099712370">
    <w:abstractNumId w:val="176"/>
  </w:num>
  <w:num w:numId="61" w16cid:durableId="864513471">
    <w:abstractNumId w:val="85"/>
  </w:num>
  <w:num w:numId="62" w16cid:durableId="2027976399">
    <w:abstractNumId w:val="191"/>
  </w:num>
  <w:num w:numId="63" w16cid:durableId="1904873401">
    <w:abstractNumId w:val="76"/>
  </w:num>
  <w:num w:numId="64" w16cid:durableId="419841047">
    <w:abstractNumId w:val="127"/>
  </w:num>
  <w:num w:numId="65" w16cid:durableId="1826311368">
    <w:abstractNumId w:val="147"/>
  </w:num>
  <w:num w:numId="66" w16cid:durableId="1914270116">
    <w:abstractNumId w:val="134"/>
  </w:num>
  <w:num w:numId="67" w16cid:durableId="1345285060">
    <w:abstractNumId w:val="151"/>
  </w:num>
  <w:num w:numId="68" w16cid:durableId="978614023">
    <w:abstractNumId w:val="49"/>
  </w:num>
  <w:num w:numId="69" w16cid:durableId="1889107450">
    <w:abstractNumId w:val="62"/>
  </w:num>
  <w:num w:numId="70" w16cid:durableId="1623072877">
    <w:abstractNumId w:val="74"/>
  </w:num>
  <w:num w:numId="71" w16cid:durableId="1159155414">
    <w:abstractNumId w:val="81"/>
  </w:num>
  <w:num w:numId="72" w16cid:durableId="1794591447">
    <w:abstractNumId w:val="79"/>
  </w:num>
  <w:num w:numId="73" w16cid:durableId="1543901946">
    <w:abstractNumId w:val="45"/>
  </w:num>
  <w:num w:numId="74" w16cid:durableId="1188256039">
    <w:abstractNumId w:val="20"/>
  </w:num>
  <w:num w:numId="75" w16cid:durableId="1900481820">
    <w:abstractNumId w:val="17"/>
  </w:num>
  <w:num w:numId="76" w16cid:durableId="679352128">
    <w:abstractNumId w:val="34"/>
  </w:num>
  <w:num w:numId="77" w16cid:durableId="1292394008">
    <w:abstractNumId w:val="94"/>
  </w:num>
  <w:num w:numId="78" w16cid:durableId="732314728">
    <w:abstractNumId w:val="153"/>
  </w:num>
  <w:num w:numId="79" w16cid:durableId="1612711146">
    <w:abstractNumId w:val="123"/>
  </w:num>
  <w:num w:numId="80" w16cid:durableId="2022931899">
    <w:abstractNumId w:val="99"/>
  </w:num>
  <w:num w:numId="81" w16cid:durableId="155153189">
    <w:abstractNumId w:val="120"/>
  </w:num>
  <w:num w:numId="82" w16cid:durableId="549347509">
    <w:abstractNumId w:val="86"/>
  </w:num>
  <w:num w:numId="83" w16cid:durableId="26302386">
    <w:abstractNumId w:val="113"/>
  </w:num>
  <w:num w:numId="84" w16cid:durableId="514610978">
    <w:abstractNumId w:val="6"/>
  </w:num>
  <w:num w:numId="85" w16cid:durableId="655836657">
    <w:abstractNumId w:val="177"/>
  </w:num>
  <w:num w:numId="86" w16cid:durableId="566569624">
    <w:abstractNumId w:val="1"/>
  </w:num>
  <w:num w:numId="87" w16cid:durableId="904100861">
    <w:abstractNumId w:val="192"/>
  </w:num>
  <w:num w:numId="88" w16cid:durableId="96369564">
    <w:abstractNumId w:val="83"/>
  </w:num>
  <w:num w:numId="89" w16cid:durableId="1736315361">
    <w:abstractNumId w:val="61"/>
  </w:num>
  <w:num w:numId="90" w16cid:durableId="1279491675">
    <w:abstractNumId w:val="46"/>
  </w:num>
  <w:num w:numId="91" w16cid:durableId="94833361">
    <w:abstractNumId w:val="23"/>
  </w:num>
  <w:num w:numId="92" w16cid:durableId="1300189981">
    <w:abstractNumId w:val="50"/>
  </w:num>
  <w:num w:numId="93" w16cid:durableId="1819567038">
    <w:abstractNumId w:val="195"/>
  </w:num>
  <w:num w:numId="94" w16cid:durableId="1770466039">
    <w:abstractNumId w:val="92"/>
  </w:num>
  <w:num w:numId="95" w16cid:durableId="1604414908">
    <w:abstractNumId w:val="10"/>
  </w:num>
  <w:num w:numId="96" w16cid:durableId="1738359884">
    <w:abstractNumId w:val="26"/>
  </w:num>
  <w:num w:numId="97" w16cid:durableId="297148447">
    <w:abstractNumId w:val="152"/>
  </w:num>
  <w:num w:numId="98" w16cid:durableId="660429598">
    <w:abstractNumId w:val="186"/>
  </w:num>
  <w:num w:numId="99" w16cid:durableId="1682975038">
    <w:abstractNumId w:val="122"/>
  </w:num>
  <w:num w:numId="100" w16cid:durableId="164396746">
    <w:abstractNumId w:val="166"/>
  </w:num>
  <w:num w:numId="101" w16cid:durableId="194539945">
    <w:abstractNumId w:val="154"/>
  </w:num>
  <w:num w:numId="102" w16cid:durableId="1291285446">
    <w:abstractNumId w:val="108"/>
  </w:num>
  <w:num w:numId="103" w16cid:durableId="206798460">
    <w:abstractNumId w:val="39"/>
  </w:num>
  <w:num w:numId="104" w16cid:durableId="1842428880">
    <w:abstractNumId w:val="98"/>
  </w:num>
  <w:num w:numId="105" w16cid:durableId="1401437842">
    <w:abstractNumId w:val="91"/>
  </w:num>
  <w:num w:numId="106" w16cid:durableId="329407755">
    <w:abstractNumId w:val="42"/>
  </w:num>
  <w:num w:numId="107" w16cid:durableId="964853261">
    <w:abstractNumId w:val="12"/>
  </w:num>
  <w:num w:numId="108" w16cid:durableId="1564289168">
    <w:abstractNumId w:val="196"/>
  </w:num>
  <w:num w:numId="109" w16cid:durableId="1875734010">
    <w:abstractNumId w:val="157"/>
  </w:num>
  <w:num w:numId="110" w16cid:durableId="1779984901">
    <w:abstractNumId w:val="129"/>
  </w:num>
  <w:num w:numId="111" w16cid:durableId="912593460">
    <w:abstractNumId w:val="36"/>
  </w:num>
  <w:num w:numId="112" w16cid:durableId="803235206">
    <w:abstractNumId w:val="19"/>
  </w:num>
  <w:num w:numId="113" w16cid:durableId="558982987">
    <w:abstractNumId w:val="188"/>
  </w:num>
  <w:num w:numId="114" w16cid:durableId="1258908966">
    <w:abstractNumId w:val="156"/>
  </w:num>
  <w:num w:numId="115" w16cid:durableId="13697306">
    <w:abstractNumId w:val="194"/>
  </w:num>
  <w:num w:numId="116" w16cid:durableId="1665427111">
    <w:abstractNumId w:val="161"/>
  </w:num>
  <w:num w:numId="117" w16cid:durableId="963971920">
    <w:abstractNumId w:val="27"/>
  </w:num>
  <w:num w:numId="118" w16cid:durableId="1368946385">
    <w:abstractNumId w:val="55"/>
  </w:num>
  <w:num w:numId="119" w16cid:durableId="936593230">
    <w:abstractNumId w:val="173"/>
  </w:num>
  <w:num w:numId="120" w16cid:durableId="373041521">
    <w:abstractNumId w:val="95"/>
  </w:num>
  <w:num w:numId="121" w16cid:durableId="834491811">
    <w:abstractNumId w:val="37"/>
  </w:num>
  <w:num w:numId="122" w16cid:durableId="1340963382">
    <w:abstractNumId w:val="162"/>
  </w:num>
  <w:num w:numId="123" w16cid:durableId="372076193">
    <w:abstractNumId w:val="102"/>
  </w:num>
  <w:num w:numId="124" w16cid:durableId="278999702">
    <w:abstractNumId w:val="174"/>
  </w:num>
  <w:num w:numId="125" w16cid:durableId="1804619156">
    <w:abstractNumId w:val="148"/>
  </w:num>
  <w:num w:numId="126" w16cid:durableId="881481969">
    <w:abstractNumId w:val="57"/>
  </w:num>
  <w:num w:numId="127" w16cid:durableId="1643074676">
    <w:abstractNumId w:val="135"/>
  </w:num>
  <w:num w:numId="128" w16cid:durableId="190535589">
    <w:abstractNumId w:val="72"/>
  </w:num>
  <w:num w:numId="129" w16cid:durableId="1872839745">
    <w:abstractNumId w:val="33"/>
  </w:num>
  <w:num w:numId="130" w16cid:durableId="1367175634">
    <w:abstractNumId w:val="97"/>
  </w:num>
  <w:num w:numId="131" w16cid:durableId="1247230275">
    <w:abstractNumId w:val="121"/>
  </w:num>
  <w:num w:numId="132" w16cid:durableId="578294745">
    <w:abstractNumId w:val="3"/>
  </w:num>
  <w:num w:numId="133" w16cid:durableId="588736837">
    <w:abstractNumId w:val="70"/>
  </w:num>
  <w:num w:numId="134" w16cid:durableId="538322051">
    <w:abstractNumId w:val="131"/>
  </w:num>
  <w:num w:numId="135" w16cid:durableId="523371146">
    <w:abstractNumId w:val="179"/>
  </w:num>
  <w:num w:numId="136" w16cid:durableId="1586067312">
    <w:abstractNumId w:val="25"/>
  </w:num>
  <w:num w:numId="137" w16cid:durableId="1532231782">
    <w:abstractNumId w:val="169"/>
  </w:num>
  <w:num w:numId="138" w16cid:durableId="1374690708">
    <w:abstractNumId w:val="184"/>
  </w:num>
  <w:num w:numId="139" w16cid:durableId="615478924">
    <w:abstractNumId w:val="159"/>
  </w:num>
  <w:num w:numId="140" w16cid:durableId="496650940">
    <w:abstractNumId w:val="101"/>
  </w:num>
  <w:num w:numId="141" w16cid:durableId="2133598596">
    <w:abstractNumId w:val="132"/>
  </w:num>
  <w:num w:numId="142" w16cid:durableId="1501657033">
    <w:abstractNumId w:val="111"/>
  </w:num>
  <w:num w:numId="143" w16cid:durableId="864635391">
    <w:abstractNumId w:val="51"/>
  </w:num>
  <w:num w:numId="144" w16cid:durableId="1473014852">
    <w:abstractNumId w:val="30"/>
  </w:num>
  <w:num w:numId="145" w16cid:durableId="607009412">
    <w:abstractNumId w:val="96"/>
  </w:num>
  <w:num w:numId="146" w16cid:durableId="793794654">
    <w:abstractNumId w:val="187"/>
  </w:num>
  <w:num w:numId="147" w16cid:durableId="523642191">
    <w:abstractNumId w:val="114"/>
  </w:num>
  <w:num w:numId="148" w16cid:durableId="732969069">
    <w:abstractNumId w:val="181"/>
  </w:num>
  <w:num w:numId="149" w16cid:durableId="1061951110">
    <w:abstractNumId w:val="172"/>
  </w:num>
  <w:num w:numId="150" w16cid:durableId="1752042778">
    <w:abstractNumId w:val="126"/>
  </w:num>
  <w:num w:numId="151" w16cid:durableId="2080127787">
    <w:abstractNumId w:val="29"/>
  </w:num>
  <w:num w:numId="152" w16cid:durableId="1068959531">
    <w:abstractNumId w:val="54"/>
  </w:num>
  <w:num w:numId="153" w16cid:durableId="516964173">
    <w:abstractNumId w:val="89"/>
  </w:num>
  <w:num w:numId="154" w16cid:durableId="1892306417">
    <w:abstractNumId w:val="59"/>
  </w:num>
  <w:num w:numId="155" w16cid:durableId="1683972022">
    <w:abstractNumId w:val="158"/>
  </w:num>
  <w:num w:numId="156" w16cid:durableId="1799034736">
    <w:abstractNumId w:val="56"/>
  </w:num>
  <w:num w:numId="157" w16cid:durableId="1565530995">
    <w:abstractNumId w:val="165"/>
  </w:num>
  <w:num w:numId="158" w16cid:durableId="514542440">
    <w:abstractNumId w:val="112"/>
  </w:num>
  <w:num w:numId="159" w16cid:durableId="453329373">
    <w:abstractNumId w:val="88"/>
  </w:num>
  <w:num w:numId="160" w16cid:durableId="1064598641">
    <w:abstractNumId w:val="21"/>
  </w:num>
  <w:num w:numId="161" w16cid:durableId="1107887913">
    <w:abstractNumId w:val="110"/>
  </w:num>
  <w:num w:numId="162" w16cid:durableId="1468937122">
    <w:abstractNumId w:val="139"/>
  </w:num>
  <w:num w:numId="163" w16cid:durableId="1128351101">
    <w:abstractNumId w:val="64"/>
  </w:num>
  <w:num w:numId="164" w16cid:durableId="1601522128">
    <w:abstractNumId w:val="63"/>
  </w:num>
  <w:num w:numId="165" w16cid:durableId="1776945149">
    <w:abstractNumId w:val="175"/>
  </w:num>
  <w:num w:numId="166" w16cid:durableId="74866405">
    <w:abstractNumId w:val="41"/>
  </w:num>
  <w:num w:numId="167" w16cid:durableId="610740683">
    <w:abstractNumId w:val="136"/>
  </w:num>
  <w:num w:numId="168" w16cid:durableId="1235622685">
    <w:abstractNumId w:val="24"/>
  </w:num>
  <w:num w:numId="169" w16cid:durableId="711660210">
    <w:abstractNumId w:val="141"/>
  </w:num>
  <w:num w:numId="170" w16cid:durableId="1304962402">
    <w:abstractNumId w:val="190"/>
  </w:num>
  <w:num w:numId="171" w16cid:durableId="968975892">
    <w:abstractNumId w:val="104"/>
  </w:num>
  <w:num w:numId="172" w16cid:durableId="658968373">
    <w:abstractNumId w:val="145"/>
  </w:num>
  <w:num w:numId="173" w16cid:durableId="1549956089">
    <w:abstractNumId w:val="31"/>
  </w:num>
  <w:num w:numId="174" w16cid:durableId="1340353359">
    <w:abstractNumId w:val="167"/>
  </w:num>
  <w:num w:numId="175" w16cid:durableId="1135828261">
    <w:abstractNumId w:val="65"/>
  </w:num>
  <w:num w:numId="176" w16cid:durableId="877161628">
    <w:abstractNumId w:val="22"/>
  </w:num>
  <w:num w:numId="177" w16cid:durableId="1021250145">
    <w:abstractNumId w:val="78"/>
  </w:num>
  <w:num w:numId="178" w16cid:durableId="1075319782">
    <w:abstractNumId w:val="140"/>
  </w:num>
  <w:num w:numId="179" w16cid:durableId="1612125572">
    <w:abstractNumId w:val="75"/>
  </w:num>
  <w:num w:numId="180" w16cid:durableId="1626079674">
    <w:abstractNumId w:val="144"/>
  </w:num>
  <w:num w:numId="181" w16cid:durableId="105514560">
    <w:abstractNumId w:val="171"/>
  </w:num>
  <w:num w:numId="182" w16cid:durableId="69475033">
    <w:abstractNumId w:val="164"/>
  </w:num>
  <w:num w:numId="183" w16cid:durableId="1522627750">
    <w:abstractNumId w:val="82"/>
  </w:num>
  <w:num w:numId="184" w16cid:durableId="869103582">
    <w:abstractNumId w:val="116"/>
  </w:num>
  <w:num w:numId="185" w16cid:durableId="870262356">
    <w:abstractNumId w:val="142"/>
  </w:num>
  <w:num w:numId="186" w16cid:durableId="1284768668">
    <w:abstractNumId w:val="150"/>
  </w:num>
  <w:num w:numId="187" w16cid:durableId="1370034255">
    <w:abstractNumId w:val="77"/>
  </w:num>
  <w:num w:numId="188" w16cid:durableId="1211579274">
    <w:abstractNumId w:val="48"/>
  </w:num>
  <w:num w:numId="189" w16cid:durableId="879171868">
    <w:abstractNumId w:val="130"/>
  </w:num>
  <w:num w:numId="190" w16cid:durableId="1804275009">
    <w:abstractNumId w:val="16"/>
  </w:num>
  <w:num w:numId="191" w16cid:durableId="1565410782">
    <w:abstractNumId w:val="155"/>
  </w:num>
  <w:num w:numId="192" w16cid:durableId="334186215">
    <w:abstractNumId w:val="67"/>
  </w:num>
  <w:num w:numId="193" w16cid:durableId="337199686">
    <w:abstractNumId w:val="106"/>
  </w:num>
  <w:num w:numId="194" w16cid:durableId="1231380663">
    <w:abstractNumId w:val="80"/>
  </w:num>
  <w:num w:numId="195" w16cid:durableId="1403025436">
    <w:abstractNumId w:val="8"/>
  </w:num>
  <w:num w:numId="196" w16cid:durableId="128325189">
    <w:abstractNumId w:val="43"/>
  </w:num>
  <w:num w:numId="197" w16cid:durableId="15481847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zw9t9atf6fezw6eezaavfavi059zesff20tt&quot;&gt;My EndNote Library&lt;record-ids&gt;&lt;item&gt;17&lt;/item&gt;&lt;/record-ids&gt;&lt;/item&gt;&lt;/Libraries&gt;"/>
    <w:docVar w:name="EN.ReferenceGroups" w:val="&lt;reference-groups&gt;&lt;reference-group&gt;&lt;kind&gt;1&lt;/kind&gt;&lt;heading&gt;المراجع العربية&lt;/heading&gt;&lt;alignment&gt;-1&lt;/alignment&gt;&lt;records&gt;&lt;record&gt;&lt;key app=&quot;EN&quot; db-id=&quot;t5vttv59or5xwbe2zdm5ewrxd905arrpawff&quot; timestamp=&quot;1744503231&quot;&gt;2357&lt;/key&gt;&lt;/record&gt;&lt;record&gt;&lt;key app=&quot;EN&quot; db-id=&quot;t5vttv59or5xwbe2zdm5ewrxd905arrpawff&quot; timestamp=&quot;1744503960&quot;&gt;2362&lt;/key&gt;&lt;/record&gt;&lt;record&gt;&lt;key app=&quot;EN&quot; db-id=&quot;t5vttv59or5xwbe2zdm5ewrxd905arrpawff&quot; timestamp=&quot;1730973612&quot;&gt;1369&lt;/key&gt;&lt;/record&gt;&lt;record&gt;&lt;key app=&quot;EN&quot; db-id=&quot;t5vttv59or5xwbe2zdm5ewrxd905arrpawff&quot; timestamp=&quot;1748386400&quot;&gt;2783&lt;/key&gt;&lt;/record&gt;&lt;record&gt;&lt;key app=&quot;EN&quot; db-id=&quot;t5vttv59or5xwbe2zdm5ewrxd905arrpawff&quot; timestamp=&quot;1748370952&quot;&gt;2759&lt;/key&gt;&lt;/record&gt;&lt;record&gt;&lt;key app=&quot;EN&quot; db-id=&quot;t5vttv59or5xwbe2zdm5ewrxd905arrpawff&quot; timestamp=&quot;1744500591&quot;&gt;2350&lt;/key&gt;&lt;/record&gt;&lt;record&gt;&lt;key app=&quot;EN&quot; db-id=&quot;t5vttv59or5xwbe2zdm5ewrxd905arrpawff&quot; timestamp=&quot;1730978488&quot;&gt;1372&lt;/key&gt;&lt;/record&gt;&lt;record&gt;&lt;key app=&quot;EN&quot; db-id=&quot;t5vttv59or5xwbe2zdm5ewrxd905arrpawff&quot; timestamp=&quot;1725242319&quot;&gt;755&lt;/key&gt;&lt;/record&gt;&lt;record&gt;&lt;key app=&quot;EN&quot; db-id=&quot;t5vttv59or5xwbe2zdm5ewrxd905arrpawff&quot; timestamp=&quot;1743467736&quot;&gt;2221&lt;/key&gt;&lt;/record&gt;&lt;record&gt;&lt;key app=&quot;EN&quot; db-id=&quot;t5vttv59or5xwbe2zdm5ewrxd905arrpawff&quot; timestamp=&quot;1744503345&quot;&gt;2358&lt;/key&gt;&lt;/record&gt;&lt;record&gt;&lt;key app=&quot;EN&quot; db-id=&quot;t5vttv59or5xwbe2zdm5ewrxd905arrpawff&quot; timestamp=&quot;1744500236&quot;&gt;2349&lt;/key&gt;&lt;/record&gt;&lt;/records&gt;&lt;/reference-group&gt;&lt;reference-group&gt;&lt;kind&gt;1&lt;/kind&gt;&lt;heading&gt;المراجع الاجنبية&lt;/heading&gt;&lt;alignment&gt;-1&lt;/alignment&gt;&lt;records&gt;&lt;record&gt;&lt;key app=&quot;EN&quot; db-id=&quot;t5vttv59or5xwbe2zdm5ewrxd905arrpawff&quot; timestamp=&quot;1744503546&quot;&gt;2359&lt;/key&gt;&lt;/record&gt;&lt;record&gt;&lt;key app=&quot;EN&quot; db-id=&quot;t5vttv59or5xwbe2zdm5ewrxd905arrpawff&quot; timestamp=&quot;1748385507&quot;&gt;2778&lt;/key&gt;&lt;/record&gt;&lt;record&gt;&lt;key app=&quot;EN&quot; db-id=&quot;t5vttv59or5xwbe2zdm5ewrxd905arrpawff&quot; timestamp=&quot;1754662774&quot;&gt;3022&lt;/key&gt;&lt;/record&gt;&lt;record&gt;&lt;key app=&quot;EN&quot; db-id=&quot;t5vttv59or5xwbe2zdm5ewrxd905arrpawff&quot; timestamp=&quot;1729611716&quot;&gt;1239&lt;/key&gt;&lt;/record&gt;&lt;record&gt;&lt;key app=&quot;EN&quot; db-id=&quot;t5vttv59or5xwbe2zdm5ewrxd905arrpawff&quot; timestamp=&quot;1748370214&quot;&gt;2758&lt;/key&gt;&lt;/record&gt;&lt;record&gt;&lt;key app=&quot;EN&quot; db-id=&quot;t5vttv59or5xwbe2zdm5ewrxd905arrpawff&quot; timestamp=&quot;1744393754&quot;&gt;2318&lt;/key&gt;&lt;/record&gt;&lt;record&gt;&lt;key app=&quot;EN&quot; db-id=&quot;t5vttv59or5xwbe2zdm5ewrxd905arrpawff&quot; timestamp=&quot;1744387034&quot;&gt;2316&lt;/key&gt;&lt;/record&gt;&lt;record&gt;&lt;key app=&quot;EN&quot; db-id=&quot;t5vttv59or5xwbe2zdm5ewrxd905arrpawff&quot; timestamp=&quot;1744387199&quot;&gt;2317&lt;/key&gt;&lt;/record&gt;&lt;record&gt;&lt;key app=&quot;EN&quot; db-id=&quot;t5vttv59or5xwbe2zdm5ewrxd905arrpawff&quot; timestamp=&quot;1721072708&quot;&gt;269&lt;/key&gt;&lt;/record&gt;&lt;record&gt;&lt;key app=&quot;EN&quot; db-id=&quot;t5vttv59or5xwbe2zdm5ewrxd905arrpawff&quot; timestamp=&quot;1744400652&quot;&gt;2327&lt;/key&gt;&lt;/record&gt;&lt;record&gt;&lt;key app=&quot;EN&quot; db-id=&quot;t5vttv59or5xwbe2zdm5ewrxd905arrpawff&quot; timestamp=&quot;1748342747&quot;&gt;2745&lt;/key&gt;&lt;/record&gt;&lt;record&gt;&lt;key app=&quot;EN&quot; db-id=&quot;t5vttv59or5xwbe2zdm5ewrxd905arrpawff&quot; timestamp=&quot;1748342843&quot;&gt;2746&lt;/key&gt;&lt;/record&gt;&lt;record&gt;&lt;key app=&quot;EN&quot; db-id=&quot;t5vttv59or5xwbe2zdm5ewrxd905arrpawff&quot; timestamp=&quot;1720715656&quot;&gt;243&lt;/key&gt;&lt;/record&gt;&lt;record&gt;&lt;key app=&quot;EN&quot; db-id=&quot;t5vttv59or5xwbe2zdm5ewrxd905arrpawff&quot; timestamp=&quot;1752329148&quot;&gt;2912&lt;/key&gt;&lt;/record&gt;&lt;record&gt;&lt;key app=&quot;EN&quot; db-id=&quot;t5vttv59or5xwbe2zdm5ewrxd905arrpawff&quot; timestamp=&quot;1748386171&quot;&gt;2781&lt;/key&gt;&lt;/record&gt;&lt;record&gt;&lt;key app=&quot;EN&quot; db-id=&quot;t5vttv59or5xwbe2zdm5ewrxd905arrpawff&quot; timestamp=&quot;1748386243&quot;&gt;2782&lt;/key&gt;&lt;/record&gt;&lt;record&gt;&lt;key app=&quot;EN&quot; db-id=&quot;t5vttv59or5xwbe2zdm5ewrxd905arrpawff&quot; timestamp=&quot;1748387384&quot;&gt;2784&lt;/key&gt;&lt;/record&gt;&lt;record&gt;&lt;key app=&quot;EN&quot; db-id=&quot;t5vttv59or5xwbe2zdm5ewrxd905arrpawff&quot; timestamp=&quot;1748383191&quot;&gt;2775&lt;/key&gt;&lt;/record&gt;&lt;record&gt;&lt;key app=&quot;EN&quot; db-id=&quot;t5vttv59or5xwbe2zdm5ewrxd905arrpawff&quot; timestamp=&quot;1744499529&quot;&gt;2347&lt;/key&gt;&lt;/record&gt;&lt;record&gt;&lt;key app=&quot;EN&quot; db-id=&quot;t5vttv59or5xwbe2zdm5ewrxd905arrpawff&quot; timestamp=&quot;1730932448&quot;&gt;1344&lt;/key&gt;&lt;/record&gt;&lt;record&gt;&lt;key app=&quot;EN&quot; db-id=&quot;t5vttv59or5xwbe2zdm5ewrxd905arrpawff&quot; timestamp=&quot;1748380430&quot;&gt;2772&lt;/key&gt;&lt;/record&gt;&lt;record&gt;&lt;key app=&quot;EN&quot; db-id=&quot;t5vttv59or5xwbe2zdm5ewrxd905arrpawff&quot; timestamp=&quot;1748333776&quot;&gt;2743&lt;/key&gt;&lt;/record&gt;&lt;record&gt;&lt;key app=&quot;EN&quot; db-id=&quot;t5vttv59or5xwbe2zdm5ewrxd905arrpawff&quot; timestamp=&quot;1754663154&quot;&gt;3025&lt;/key&gt;&lt;/record&gt;&lt;record&gt;&lt;key app=&quot;EN&quot; db-id=&quot;t5vttv59or5xwbe2zdm5ewrxd905arrpawff&quot; timestamp=&quot;1755719441&quot;&gt;3046&lt;/key&gt;&lt;/record&gt;&lt;record&gt;&lt;key app=&quot;EN&quot; db-id=&quot;t5vttv59or5xwbe2zdm5ewrxd905arrpawff&quot; timestamp=&quot;1748379825&quot;&gt;2767&lt;/key&gt;&lt;/record&gt;&lt;record&gt;&lt;key app=&quot;EN&quot; db-id=&quot;t5vttv59or5xwbe2zdm5ewrxd905arrpawff&quot; timestamp=&quot;1731723017&quot;&gt;1539&lt;/key&gt;&lt;/record&gt;&lt;record&gt;&lt;key app=&quot;EN&quot; db-id=&quot;t5vttv59or5xwbe2zdm5ewrxd905arrpawff&quot; timestamp=&quot;1748379875&quot;&gt;2768&lt;/key&gt;&lt;/record&gt;&lt;record&gt;&lt;key app=&quot;EN&quot; db-id=&quot;t5vttv59or5xwbe2zdm5ewrxd905arrpawff&quot; timestamp=&quot;1744393925&quot;&gt;2319&lt;/key&gt;&lt;/record&gt;&lt;record&gt;&lt;key app=&quot;EN&quot; db-id=&quot;t5vttv59or5xwbe2zdm5ewrxd905arrpawff&quot; timestamp=&quot;1730309664&quot;&gt;1293&lt;/key&gt;&lt;/record&gt;&lt;record&gt;&lt;key app=&quot;EN&quot; db-id=&quot;t5vttv59or5xwbe2zdm5ewrxd905arrpawff&quot; timestamp=&quot;1748383055&quot;&gt;2773&lt;/key&gt;&lt;/record&gt;&lt;record&gt;&lt;key app=&quot;EN&quot; db-id=&quot;t5vttv59or5xwbe2zdm5ewrxd905arrpawff&quot; timestamp=&quot;1722257270&quot;&gt;362&lt;/key&gt;&lt;/record&gt;&lt;record&gt;&lt;key app=&quot;EN&quot; db-id=&quot;t5vttv59or5xwbe2zdm5ewrxd905arrpawff&quot; timestamp=&quot;1748379659&quot;&gt;2765&lt;/key&gt;&lt;/record&gt;&lt;record&gt;&lt;key app=&quot;EN&quot; db-id=&quot;t5vttv59or5xwbe2zdm5ewrxd905arrpawff&quot; timestamp=&quot;1744494389&quot;&gt;2332&lt;/key&gt;&lt;/record&gt;&lt;record&gt;&lt;key app=&quot;EN&quot; db-id=&quot;t5vttv59or5xwbe2zdm5ewrxd905arrpawff&quot; timestamp=&quot;1748385856&quot;&gt;2779&lt;/key&gt;&lt;/record&gt;&lt;record&gt;&lt;key app=&quot;EN&quot; db-id=&quot;t5vttv59or5xwbe2zdm5ewrxd905arrpawff&quot; timestamp=&quot;1744394502&quot;&gt;2321&lt;/key&gt;&lt;/record&gt;&lt;record&gt;&lt;key app=&quot;EN&quot; db-id=&quot;t5vttv59or5xwbe2zdm5ewrxd905arrpawff&quot; timestamp=&quot;1730970664&quot;&gt;1364&lt;/key&gt;&lt;/record&gt;&lt;record&gt;&lt;key app=&quot;EN&quot; db-id=&quot;t5vttv59or5xwbe2zdm5ewrxd905arrpawff&quot; timestamp=&quot;1748383328&quot;&gt;2776&lt;/key&gt;&lt;/record&gt;&lt;record&gt;&lt;key app=&quot;EN&quot; db-id=&quot;t5vttv59or5xwbe2zdm5ewrxd905arrpawff&quot; timestamp=&quot;1730934105&quot;&gt;1349&lt;/key&gt;&lt;/record&gt;&lt;record&gt;&lt;key app=&quot;EN&quot; db-id=&quot;t5vttv59or5xwbe2zdm5ewrxd905arrpawff&quot; timestamp=&quot;1748343103&quot;&gt;2748&lt;/key&gt;&lt;/record&gt;&lt;record&gt;&lt;key app=&quot;EN&quot; db-id=&quot;t5vttv59or5xwbe2zdm5ewrxd905arrpawff&quot; timestamp=&quot;1730970647&quot;&gt;1362&lt;/key&gt;&lt;/record&gt;&lt;record&gt;&lt;key app=&quot;EN&quot; db-id=&quot;t5vttv59or5xwbe2zdm5ewrxd905arrpawff&quot; timestamp=&quot;1744400989&quot;&gt;2331&lt;/key&gt;&lt;/record&gt;&lt;record&gt;&lt;key app=&quot;EN&quot; db-id=&quot;t5vttv59or5xwbe2zdm5ewrxd905arrpawff&quot; timestamp=&quot;1722610128&quot;&gt;515&lt;/key&gt;&lt;/record&gt;&lt;record&gt;&lt;key app=&quot;EN&quot; db-id=&quot;t5vttv59or5xwbe2zdm5ewrxd905arrpawff&quot; timestamp=&quot;1744495026&quot;&gt;2335&lt;/key&gt;&lt;/record&gt;&lt;record&gt;&lt;key app=&quot;EN&quot; db-id=&quot;t5vttv59or5xwbe2zdm5ewrxd905arrpawff&quot; timestamp=&quot;1730976941&quot;&gt;1371&lt;/key&gt;&lt;/record&gt;&lt;record&gt;&lt;key app=&quot;EN&quot; db-id=&quot;t5vttv59or5xwbe2zdm5ewrxd905arrpawff&quot; timestamp=&quot;1730309668&quot;&gt;1294&lt;/key&gt;&lt;/record&gt;&lt;record&gt;&lt;key app=&quot;EN&quot; db-id=&quot;t5vttv59or5xwbe2zdm5ewrxd905arrpawff&quot; timestamp=&quot;1754663081&quot;&gt;3024&lt;/key&gt;&lt;/record&gt;&lt;record&gt;&lt;key app=&quot;EN&quot; db-id=&quot;t5vttv59or5xwbe2zdm5ewrxd905arrpawff&quot; timestamp=&quot;1748344384&quot;&gt;2753&lt;/key&gt;&lt;/record&gt;&lt;record&gt;&lt;key app=&quot;EN&quot; db-id=&quot;t5vttv59or5xwbe2zdm5ewrxd905arrpawff&quot; timestamp=&quot;1730932474&quot;&gt;1346&lt;/key&gt;&lt;/record&gt;&lt;record&gt;&lt;key app=&quot;EN&quot; db-id=&quot;t5vttv59or5xwbe2zdm5ewrxd905arrpawff&quot; timestamp=&quot;1754662539&quot;&gt;3021&lt;/key&gt;&lt;/record&gt;&lt;record&gt;&lt;key app=&quot;EN&quot; db-id=&quot;t5vttv59or5xwbe2zdm5ewrxd905arrpawff&quot; timestamp=&quot;1744394437&quot;&gt;2320&lt;/key&gt;&lt;/record&gt;&lt;record&gt;&lt;key app=&quot;EN&quot; db-id=&quot;t5vttv59or5xwbe2zdm5ewrxd905arrpawff&quot; timestamp=&quot;1744398106&quot;&gt;2325&lt;/key&gt;&lt;/record&gt;&lt;record&gt;&lt;key app=&quot;EN&quot; db-id=&quot;t5vttv59or5xwbe2zdm5ewrxd905arrpawff&quot; timestamp=&quot;1748376461&quot;&gt;2763&lt;/key&gt;&lt;/record&gt;&lt;record&gt;&lt;key app=&quot;EN&quot; db-id=&quot;t5vttv59or5xwbe2zdm5ewrxd905arrpawff&quot; timestamp=&quot;1730309673&quot;&gt;1295&lt;/key&gt;&lt;/record&gt;&lt;record&gt;&lt;key app=&quot;EN&quot; db-id=&quot;t5vttv59or5xwbe2zdm5ewrxd905arrpawff&quot; timestamp=&quot;1748347018&quot;&gt;2754&lt;/key&gt;&lt;/record&gt;&lt;record&gt;&lt;key app=&quot;EN&quot; db-id=&quot;t5vttv59or5xwbe2zdm5ewrxd905arrpawff&quot; timestamp=&quot;1744400430&quot;&gt;2326&lt;/key&gt;&lt;/record&gt;&lt;record&gt;&lt;key app=&quot;EN&quot; db-id=&quot;t5vttv59or5xwbe2zdm5ewrxd905arrpawff&quot; timestamp=&quot;1730309677&quot;&gt;1296&lt;/key&gt;&lt;/record&gt;&lt;record&gt;&lt;key app=&quot;EN&quot; db-id=&quot;t5vttv59or5xwbe2zdm5ewrxd905arrpawff&quot; timestamp=&quot;1731695466&quot;&gt;1524&lt;/key&gt;&lt;/record&gt;&lt;record&gt;&lt;key app=&quot;EN&quot; db-id=&quot;t5vttv59or5xwbe2zdm5ewrxd905arrpawff&quot; timestamp=&quot;1748379988&quot;&gt;2769&lt;/key&gt;&lt;/record&gt;&lt;record&gt;&lt;key app=&quot;EN&quot; db-id=&quot;t5vttv59or5xwbe2zdm5ewrxd905arrpawff&quot; timestamp=&quot;1730978880&quot;&gt;1373&lt;/key&gt;&lt;/record&gt;&lt;record&gt;&lt;key app=&quot;EN&quot; db-id=&quot;t5vttv59or5xwbe2zdm5ewrxd905arrpawff&quot; timestamp=&quot;1748371049&quot;&gt;2760&lt;/key&gt;&lt;/record&gt;&lt;record&gt;&lt;key app=&quot;EN&quot; db-id=&quot;t5vttv59or5xwbe2zdm5ewrxd905arrpawff&quot; timestamp=&quot;1744499132&quot;&gt;2346&lt;/key&gt;&lt;/record&gt;&lt;record&gt;&lt;key app=&quot;EN&quot; db-id=&quot;t5vttv59or5xwbe2zdm5ewrxd905arrpawff&quot; timestamp=&quot;1748347181&quot;&gt;2756&lt;/key&gt;&lt;/record&gt;&lt;record&gt;&lt;key app=&quot;EN&quot; db-id=&quot;t5vttv59or5xwbe2zdm5ewrxd905arrpawff&quot; timestamp=&quot;1748376856&quot;&gt;2764&lt;/key&gt;&lt;/record&gt;&lt;record&gt;&lt;key app=&quot;EN&quot; db-id=&quot;t5vttv59or5xwbe2zdm5ewrxd905arrpawff&quot; timestamp=&quot;1730932472&quot;&gt;1345&lt;/key&gt;&lt;/record&gt;&lt;record&gt;&lt;key app=&quot;EN&quot; db-id=&quot;t5vttv59or5xwbe2zdm5ewrxd905arrpawff&quot; timestamp=&quot;1730970622&quot;&gt;1358&lt;/key&gt;&lt;/record&gt;&lt;record&gt;&lt;key app=&quot;EN&quot; db-id=&quot;t5vttv59or5xwbe2zdm5ewrxd905arrpawff&quot; timestamp=&quot;1744400800&quot;&gt;2329&lt;/key&gt;&lt;/record&gt;&lt;record&gt;&lt;key app=&quot;EN&quot; db-id=&quot;t5vttv59or5xwbe2zdm5ewrxd905arrpawff&quot; timestamp=&quot;1748379705&quot;&gt;2766&lt;/key&gt;&lt;/record&gt;&lt;record&gt;&lt;key app=&quot;EN&quot; db-id=&quot;t5vttv59or5xwbe2zdm5ewrxd905arrpawff&quot; timestamp=&quot;1748372184&quot;&gt;2761&lt;/key&gt;&lt;/record&gt;&lt;record&gt;&lt;key app=&quot;EN&quot; db-id=&quot;t5vttv59or5xwbe2zdm5ewrxd905arrpawff&quot; timestamp=&quot;1755719259&quot;&gt;3044&lt;/key&gt;&lt;/record&gt;&lt;record&gt;&lt;key app=&quot;EN&quot; db-id=&quot;t5vttv59or5xwbe2zdm5ewrxd905arrpawff&quot; timestamp=&quot;1754662993&quot;&gt;3023&lt;/key&gt;&lt;/record&gt;&lt;record&gt;&lt;key app=&quot;EN&quot; db-id=&quot;t5vttv59or5xwbe2zdm5ewrxd905arrpawff&quot; timestamp=&quot;1748347098&quot;&gt;2755&lt;/key&gt;&lt;/record&gt;&lt;record&gt;&lt;key app=&quot;EN&quot; db-id=&quot;t5vttv59or5xwbe2zdm5ewrxd905arrpawff&quot; timestamp=&quot;1748342938&quot;&gt;2747&lt;/key&gt;&lt;/record&gt;&lt;record&gt;&lt;key app=&quot;EN&quot; db-id=&quot;t5vttv59or5xwbe2zdm5ewrxd905arrpawff&quot; timestamp=&quot;1748385950&quot;&gt;2780&lt;/key&gt;&lt;/record&gt;&lt;/records&gt;&lt;/reference-group&gt;&lt;/reference-groups&gt;"/>
  </w:docVars>
  <w:rsids>
    <w:rsidRoot w:val="00462676"/>
    <w:rsid w:val="00066035"/>
    <w:rsid w:val="0009186A"/>
    <w:rsid w:val="000A3CAB"/>
    <w:rsid w:val="000A4733"/>
    <w:rsid w:val="000A6594"/>
    <w:rsid w:val="000E496C"/>
    <w:rsid w:val="001251B2"/>
    <w:rsid w:val="001A4409"/>
    <w:rsid w:val="001B1D28"/>
    <w:rsid w:val="001B2965"/>
    <w:rsid w:val="001D3CAA"/>
    <w:rsid w:val="001F2C0F"/>
    <w:rsid w:val="002205B5"/>
    <w:rsid w:val="00244983"/>
    <w:rsid w:val="00246378"/>
    <w:rsid w:val="0027264E"/>
    <w:rsid w:val="002803E2"/>
    <w:rsid w:val="002B53BF"/>
    <w:rsid w:val="002D59D0"/>
    <w:rsid w:val="002D7391"/>
    <w:rsid w:val="002E6C18"/>
    <w:rsid w:val="003175C3"/>
    <w:rsid w:val="00331934"/>
    <w:rsid w:val="003340DD"/>
    <w:rsid w:val="00351787"/>
    <w:rsid w:val="003638FD"/>
    <w:rsid w:val="003907B9"/>
    <w:rsid w:val="003A5C90"/>
    <w:rsid w:val="003C0A73"/>
    <w:rsid w:val="003E3FCF"/>
    <w:rsid w:val="00404A54"/>
    <w:rsid w:val="004275AD"/>
    <w:rsid w:val="00445A00"/>
    <w:rsid w:val="00462676"/>
    <w:rsid w:val="004675F9"/>
    <w:rsid w:val="004721CE"/>
    <w:rsid w:val="004A1CE3"/>
    <w:rsid w:val="004D0A77"/>
    <w:rsid w:val="004D1FDF"/>
    <w:rsid w:val="004E729F"/>
    <w:rsid w:val="0050773E"/>
    <w:rsid w:val="00534413"/>
    <w:rsid w:val="0054713F"/>
    <w:rsid w:val="005566EC"/>
    <w:rsid w:val="00575213"/>
    <w:rsid w:val="00581550"/>
    <w:rsid w:val="005B4587"/>
    <w:rsid w:val="005B5993"/>
    <w:rsid w:val="005D473F"/>
    <w:rsid w:val="005E3A96"/>
    <w:rsid w:val="00611E7E"/>
    <w:rsid w:val="006324C9"/>
    <w:rsid w:val="00637B0E"/>
    <w:rsid w:val="00646AAA"/>
    <w:rsid w:val="006652C1"/>
    <w:rsid w:val="00677384"/>
    <w:rsid w:val="00683321"/>
    <w:rsid w:val="006A3A9A"/>
    <w:rsid w:val="006B7592"/>
    <w:rsid w:val="006D0201"/>
    <w:rsid w:val="006F3055"/>
    <w:rsid w:val="007346FA"/>
    <w:rsid w:val="007575D7"/>
    <w:rsid w:val="00793DFB"/>
    <w:rsid w:val="007C67B2"/>
    <w:rsid w:val="007F4D06"/>
    <w:rsid w:val="00812E2C"/>
    <w:rsid w:val="008410A6"/>
    <w:rsid w:val="0088233E"/>
    <w:rsid w:val="008A494C"/>
    <w:rsid w:val="008B2E7D"/>
    <w:rsid w:val="008D46BA"/>
    <w:rsid w:val="009404C7"/>
    <w:rsid w:val="009562FC"/>
    <w:rsid w:val="00970FC6"/>
    <w:rsid w:val="009717FC"/>
    <w:rsid w:val="00997E76"/>
    <w:rsid w:val="009B2AEA"/>
    <w:rsid w:val="009D7615"/>
    <w:rsid w:val="009E5A4E"/>
    <w:rsid w:val="00A0551C"/>
    <w:rsid w:val="00A06117"/>
    <w:rsid w:val="00A44542"/>
    <w:rsid w:val="00A445B2"/>
    <w:rsid w:val="00A53030"/>
    <w:rsid w:val="00A765E9"/>
    <w:rsid w:val="00A86179"/>
    <w:rsid w:val="00A91B25"/>
    <w:rsid w:val="00AB75B1"/>
    <w:rsid w:val="00AD3EC4"/>
    <w:rsid w:val="00AF349E"/>
    <w:rsid w:val="00AF54F6"/>
    <w:rsid w:val="00AF6289"/>
    <w:rsid w:val="00B1622B"/>
    <w:rsid w:val="00B436DC"/>
    <w:rsid w:val="00B76C65"/>
    <w:rsid w:val="00B905C6"/>
    <w:rsid w:val="00BC7C82"/>
    <w:rsid w:val="00BD395F"/>
    <w:rsid w:val="00BE5045"/>
    <w:rsid w:val="00C0605A"/>
    <w:rsid w:val="00C530AF"/>
    <w:rsid w:val="00C57562"/>
    <w:rsid w:val="00CC17A5"/>
    <w:rsid w:val="00CC49FC"/>
    <w:rsid w:val="00D17DE3"/>
    <w:rsid w:val="00D42BB2"/>
    <w:rsid w:val="00DB3C88"/>
    <w:rsid w:val="00DC32FB"/>
    <w:rsid w:val="00DC3DDE"/>
    <w:rsid w:val="00DE5DDE"/>
    <w:rsid w:val="00DE731D"/>
    <w:rsid w:val="00DF0B54"/>
    <w:rsid w:val="00E068F4"/>
    <w:rsid w:val="00E34DB7"/>
    <w:rsid w:val="00E424B4"/>
    <w:rsid w:val="00E475A6"/>
    <w:rsid w:val="00E66DDF"/>
    <w:rsid w:val="00EB39A8"/>
    <w:rsid w:val="00EF26A0"/>
    <w:rsid w:val="00F079AD"/>
    <w:rsid w:val="00F14E97"/>
    <w:rsid w:val="00F3576D"/>
    <w:rsid w:val="00F630B8"/>
    <w:rsid w:val="00F806C7"/>
    <w:rsid w:val="00FB0B52"/>
    <w:rsid w:val="00FB6AAE"/>
    <w:rsid w:val="00FC6750"/>
    <w:rsid w:val="00FD7A88"/>
    <w:rsid w:val="00FE456E"/>
    <w:rsid w:val="00FE592E"/>
    <w:rsid w:val="00FF5C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9F9B27"/>
  <w15:chartTrackingRefBased/>
  <w15:docId w15:val="{BDEE256C-A21F-46ED-AAC3-CBB56D262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26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26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626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626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26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26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6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6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6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26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626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626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26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26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26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26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2676"/>
    <w:rPr>
      <w:rFonts w:eastAsiaTheme="majorEastAsia" w:cstheme="majorBidi"/>
      <w:color w:val="272727" w:themeColor="text1" w:themeTint="D8"/>
    </w:rPr>
  </w:style>
  <w:style w:type="paragraph" w:styleId="Title">
    <w:name w:val="Title"/>
    <w:basedOn w:val="Normal"/>
    <w:next w:val="Normal"/>
    <w:link w:val="TitleChar"/>
    <w:uiPriority w:val="10"/>
    <w:qFormat/>
    <w:rsid w:val="004626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6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6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6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676"/>
    <w:pPr>
      <w:spacing w:before="160"/>
      <w:jc w:val="center"/>
    </w:pPr>
    <w:rPr>
      <w:i/>
      <w:iCs/>
      <w:color w:val="404040" w:themeColor="text1" w:themeTint="BF"/>
    </w:rPr>
  </w:style>
  <w:style w:type="character" w:customStyle="1" w:styleId="QuoteChar">
    <w:name w:val="Quote Char"/>
    <w:basedOn w:val="DefaultParagraphFont"/>
    <w:link w:val="Quote"/>
    <w:uiPriority w:val="29"/>
    <w:rsid w:val="00462676"/>
    <w:rPr>
      <w:i/>
      <w:iCs/>
      <w:color w:val="404040" w:themeColor="text1" w:themeTint="BF"/>
    </w:rPr>
  </w:style>
  <w:style w:type="paragraph" w:styleId="ListParagraph">
    <w:name w:val="List Paragraph"/>
    <w:basedOn w:val="Normal"/>
    <w:link w:val="ListParagraphChar"/>
    <w:uiPriority w:val="34"/>
    <w:qFormat/>
    <w:rsid w:val="00462676"/>
    <w:pPr>
      <w:ind w:left="720"/>
      <w:contextualSpacing/>
    </w:pPr>
  </w:style>
  <w:style w:type="character" w:styleId="IntenseEmphasis">
    <w:name w:val="Intense Emphasis"/>
    <w:basedOn w:val="DefaultParagraphFont"/>
    <w:uiPriority w:val="21"/>
    <w:qFormat/>
    <w:rsid w:val="00462676"/>
    <w:rPr>
      <w:i/>
      <w:iCs/>
      <w:color w:val="0F4761" w:themeColor="accent1" w:themeShade="BF"/>
    </w:rPr>
  </w:style>
  <w:style w:type="paragraph" w:styleId="IntenseQuote">
    <w:name w:val="Intense Quote"/>
    <w:basedOn w:val="Normal"/>
    <w:next w:val="Normal"/>
    <w:link w:val="IntenseQuoteChar"/>
    <w:uiPriority w:val="30"/>
    <w:qFormat/>
    <w:rsid w:val="004626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2676"/>
    <w:rPr>
      <w:i/>
      <w:iCs/>
      <w:color w:val="0F4761" w:themeColor="accent1" w:themeShade="BF"/>
    </w:rPr>
  </w:style>
  <w:style w:type="character" w:styleId="IntenseReference">
    <w:name w:val="Intense Reference"/>
    <w:basedOn w:val="DefaultParagraphFont"/>
    <w:uiPriority w:val="32"/>
    <w:qFormat/>
    <w:rsid w:val="00462676"/>
    <w:rPr>
      <w:b/>
      <w:bCs/>
      <w:smallCaps/>
      <w:color w:val="0F4761" w:themeColor="accent1" w:themeShade="BF"/>
      <w:spacing w:val="5"/>
    </w:rPr>
  </w:style>
  <w:style w:type="character" w:styleId="Hyperlink">
    <w:name w:val="Hyperlink"/>
    <w:basedOn w:val="DefaultParagraphFont"/>
    <w:uiPriority w:val="99"/>
    <w:unhideWhenUsed/>
    <w:rsid w:val="00AF6289"/>
    <w:rPr>
      <w:color w:val="467886" w:themeColor="hyperlink"/>
      <w:u w:val="single"/>
    </w:rPr>
  </w:style>
  <w:style w:type="character" w:styleId="UnresolvedMention">
    <w:name w:val="Unresolved Mention"/>
    <w:basedOn w:val="DefaultParagraphFont"/>
    <w:uiPriority w:val="99"/>
    <w:semiHidden/>
    <w:unhideWhenUsed/>
    <w:rsid w:val="00AF6289"/>
    <w:rPr>
      <w:color w:val="605E5C"/>
      <w:shd w:val="clear" w:color="auto" w:fill="E1DFDD"/>
    </w:rPr>
  </w:style>
  <w:style w:type="paragraph" w:customStyle="1" w:styleId="EndNoteBibliographyTitle">
    <w:name w:val="EndNote Bibliography Title"/>
    <w:basedOn w:val="Normal"/>
    <w:link w:val="EndNoteBibliographyTitleChar"/>
    <w:rsid w:val="00AF6289"/>
    <w:pPr>
      <w:spacing w:after="0"/>
      <w:jc w:val="center"/>
    </w:pPr>
    <w:rPr>
      <w:rFonts w:ascii="Aptos" w:hAnsi="Aptos"/>
      <w:noProof/>
    </w:rPr>
  </w:style>
  <w:style w:type="character" w:customStyle="1" w:styleId="EndNoteBibliographyTitleChar">
    <w:name w:val="EndNote Bibliography Title Char"/>
    <w:basedOn w:val="DefaultParagraphFont"/>
    <w:link w:val="EndNoteBibliographyTitle"/>
    <w:rsid w:val="00AF6289"/>
    <w:rPr>
      <w:rFonts w:ascii="Aptos" w:hAnsi="Aptos"/>
      <w:noProof/>
    </w:rPr>
  </w:style>
  <w:style w:type="paragraph" w:customStyle="1" w:styleId="EndNoteBibliography">
    <w:name w:val="EndNote Bibliography"/>
    <w:basedOn w:val="Normal"/>
    <w:link w:val="EndNoteBibliographyChar"/>
    <w:rsid w:val="00AF6289"/>
    <w:pPr>
      <w:spacing w:line="240" w:lineRule="auto"/>
    </w:pPr>
    <w:rPr>
      <w:rFonts w:ascii="Aptos" w:hAnsi="Aptos"/>
      <w:noProof/>
    </w:rPr>
  </w:style>
  <w:style w:type="character" w:customStyle="1" w:styleId="EndNoteBibliographyChar">
    <w:name w:val="EndNote Bibliography Char"/>
    <w:basedOn w:val="DefaultParagraphFont"/>
    <w:link w:val="EndNoteBibliography"/>
    <w:rsid w:val="00AF6289"/>
    <w:rPr>
      <w:rFonts w:ascii="Aptos" w:hAnsi="Aptos"/>
      <w:noProof/>
    </w:rPr>
  </w:style>
  <w:style w:type="paragraph" w:customStyle="1" w:styleId="EndNoteCategoryHeading">
    <w:name w:val="EndNote Category Heading"/>
    <w:basedOn w:val="Normal"/>
    <w:link w:val="EndNoteCategoryHeadingChar"/>
    <w:rsid w:val="0027264E"/>
    <w:pPr>
      <w:spacing w:before="120" w:after="120"/>
      <w:jc w:val="right"/>
    </w:pPr>
    <w:rPr>
      <w:b/>
      <w:noProof/>
    </w:rPr>
  </w:style>
  <w:style w:type="character" w:customStyle="1" w:styleId="EndNoteCategoryHeadingChar">
    <w:name w:val="EndNote Category Heading Char"/>
    <w:basedOn w:val="DefaultParagraphFont"/>
    <w:link w:val="EndNoteCategoryHeading"/>
    <w:rsid w:val="0027264E"/>
    <w:rPr>
      <w:b/>
      <w:noProof/>
    </w:rPr>
  </w:style>
  <w:style w:type="character" w:customStyle="1" w:styleId="ListParagraphChar">
    <w:name w:val="List Paragraph Char"/>
    <w:basedOn w:val="DefaultParagraphFont"/>
    <w:link w:val="ListParagraph"/>
    <w:uiPriority w:val="34"/>
    <w:rsid w:val="00DF0B54"/>
  </w:style>
  <w:style w:type="paragraph" w:styleId="Header">
    <w:name w:val="header"/>
    <w:basedOn w:val="Normal"/>
    <w:link w:val="HeaderChar"/>
    <w:uiPriority w:val="99"/>
    <w:unhideWhenUsed/>
    <w:rsid w:val="00DF0B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0B54"/>
  </w:style>
  <w:style w:type="paragraph" w:styleId="Footer">
    <w:name w:val="footer"/>
    <w:basedOn w:val="Normal"/>
    <w:link w:val="FooterChar"/>
    <w:uiPriority w:val="99"/>
    <w:unhideWhenUsed/>
    <w:rsid w:val="00DF0B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0B54"/>
  </w:style>
  <w:style w:type="character" w:styleId="Strong">
    <w:name w:val="Strong"/>
    <w:basedOn w:val="DefaultParagraphFont"/>
    <w:uiPriority w:val="22"/>
    <w:qFormat/>
    <w:rsid w:val="00DF0B54"/>
    <w:rPr>
      <w:b/>
      <w:bCs/>
    </w:rPr>
  </w:style>
  <w:style w:type="paragraph" w:styleId="Revision">
    <w:name w:val="Revision"/>
    <w:hidden/>
    <w:uiPriority w:val="99"/>
    <w:semiHidden/>
    <w:rsid w:val="00DF0B54"/>
    <w:pPr>
      <w:spacing w:after="0" w:line="240" w:lineRule="auto"/>
    </w:pPr>
  </w:style>
  <w:style w:type="paragraph" w:customStyle="1" w:styleId="ds-markdown-paragraph">
    <w:name w:val="ds-markdown-paragraph"/>
    <w:basedOn w:val="Normal"/>
    <w:rsid w:val="00DF0B54"/>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8D46B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46BA"/>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vision2030.gov.sa/en" TargetMode="External"/><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84005-7B20-452F-8CA3-71F6B3116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123</Pages>
  <Words>64077</Words>
  <Characters>365239</Characters>
  <Application>Microsoft Office Word</Application>
  <DocSecurity>0</DocSecurity>
  <Lines>3043</Lines>
  <Paragraphs>856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AhmedMustafa</dc:creator>
  <cp:keywords/>
  <dc:description/>
  <cp:lastModifiedBy>faisal.saleem@fixhomeksa.com</cp:lastModifiedBy>
  <cp:revision>5</cp:revision>
  <dcterms:created xsi:type="dcterms:W3CDTF">2026-03-27T18:29:00Z</dcterms:created>
  <dcterms:modified xsi:type="dcterms:W3CDTF">2026-04-02T08:47:00Z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48a54e09-b3f5-4efd-9db3-8f526fc27532</vt:lpwstr>
  </property>
</Properties>
</file>