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1B03D" w14:textId="77777777" w:rsidR="005A2F4A" w:rsidRPr="00545ABB" w:rsidRDefault="005A2F4A" w:rsidP="005A2F4A">
      <w:pPr>
        <w:spacing w:line="240" w:lineRule="auto"/>
        <w:rPr>
          <w:rFonts w:ascii="Times New Roman" w:eastAsia="Times New Roman" w:hAnsi="Times New Roman" w:cs="Times New Roman"/>
          <w:color w:val="000000" w:themeColor="text1"/>
          <w:sz w:val="24"/>
          <w:szCs w:val="24"/>
        </w:rPr>
      </w:pPr>
      <w:bookmarkStart w:id="0" w:name="_Hlk238218617"/>
      <w:r w:rsidRPr="00545ABB">
        <w:rPr>
          <w:rFonts w:ascii="Times New Roman" w:eastAsia="Times New Roman" w:hAnsi="Times New Roman" w:cs="Times New Roman"/>
          <w:noProof/>
          <w:color w:val="000000" w:themeColor="text1"/>
          <w:sz w:val="24"/>
          <w:szCs w:val="24"/>
        </w:rPr>
        <w:drawing>
          <wp:anchor distT="0" distB="0" distL="114300" distR="114300" simplePos="0" relativeHeight="251698688" behindDoc="0" locked="0" layoutInCell="1" allowOverlap="1" wp14:anchorId="41B7D4D0" wp14:editId="446BF89E">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7D22F903" w14:textId="77777777" w:rsidR="005A2F4A" w:rsidRPr="00545ABB" w:rsidRDefault="005A2F4A" w:rsidP="005A2F4A">
      <w:pPr>
        <w:rPr>
          <w:rFonts w:ascii="Times New Roman" w:eastAsia="Times New Roman" w:hAnsi="Times New Roman" w:cs="Times New Roman"/>
          <w:color w:val="000000" w:themeColor="text1"/>
          <w:sz w:val="24"/>
          <w:szCs w:val="24"/>
          <w:rtl/>
        </w:rPr>
      </w:pPr>
      <w:r w:rsidRPr="00545ABB">
        <w:rPr>
          <w:rFonts w:ascii="Traditional Arabic" w:eastAsia="Calibri" w:hAnsi="Traditional Arabic" w:cs="Traditional Arabic"/>
          <w:b/>
          <w:bCs/>
          <w:noProof/>
          <w:color w:val="000000" w:themeColor="text1"/>
          <w:sz w:val="28"/>
          <w:szCs w:val="28"/>
          <w:rtl/>
        </w:rPr>
        <mc:AlternateContent>
          <mc:Choice Requires="wps">
            <w:drawing>
              <wp:anchor distT="0" distB="0" distL="114300" distR="114300" simplePos="0" relativeHeight="251699712" behindDoc="0" locked="0" layoutInCell="1" allowOverlap="1" wp14:anchorId="7D2DA30E" wp14:editId="5AD5523C">
                <wp:simplePos x="0" y="0"/>
                <wp:positionH relativeFrom="column">
                  <wp:posOffset>4220210</wp:posOffset>
                </wp:positionH>
                <wp:positionV relativeFrom="paragraph">
                  <wp:posOffset>153035</wp:posOffset>
                </wp:positionV>
                <wp:extent cx="1457960" cy="914400"/>
                <wp:effectExtent l="0" t="0" r="27940" b="19050"/>
                <wp:wrapNone/>
                <wp:docPr id="5"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606CB76" w14:textId="77777777" w:rsidR="00ED4FB3" w:rsidRPr="007271E8" w:rsidRDefault="00ED4FB3" w:rsidP="005A2F4A">
                            <w:pPr>
                              <w:jc w:val="center"/>
                              <w:rPr>
                                <w:rFonts w:ascii="Traditional Arabic" w:hAnsi="Traditional Arabic" w:cs="Traditional Arabic"/>
                                <w:b/>
                                <w:bCs/>
                                <w:sz w:val="28"/>
                                <w:szCs w:val="28"/>
                                <w:rtl/>
                                <w:lang w:bidi="ar-EG"/>
                              </w:rPr>
                            </w:pPr>
                            <w:r w:rsidRPr="007271E8">
                              <w:rPr>
                                <w:rFonts w:ascii="Traditional Arabic" w:hAnsi="Traditional Arabic" w:cs="Traditional Arabic"/>
                                <w:b/>
                                <w:bCs/>
                                <w:sz w:val="28"/>
                                <w:szCs w:val="28"/>
                                <w:rtl/>
                                <w:lang w:bidi="ar-EG"/>
                              </w:rPr>
                              <w:t xml:space="preserve">جامعة ميد اوشن </w:t>
                            </w:r>
                          </w:p>
                          <w:p w14:paraId="7DB86380" w14:textId="77777777" w:rsidR="00ED4FB3" w:rsidRPr="007271E8" w:rsidRDefault="00ED4FB3" w:rsidP="005A2F4A">
                            <w:pPr>
                              <w:jc w:val="center"/>
                              <w:rPr>
                                <w:rFonts w:ascii="Traditional Arabic" w:hAnsi="Traditional Arabic" w:cs="Traditional Arabic"/>
                                <w:sz w:val="24"/>
                                <w:szCs w:val="24"/>
                                <w:lang w:bidi="ar-EG"/>
                              </w:rPr>
                            </w:pPr>
                            <w:r w:rsidRPr="007271E8">
                              <w:rPr>
                                <w:rFonts w:ascii="Traditional Arabic" w:hAnsi="Traditional Arabic" w:cs="Traditional Arabic"/>
                                <w:b/>
                                <w:bCs/>
                                <w:sz w:val="24"/>
                                <w:szCs w:val="24"/>
                                <w:rtl/>
                                <w:lang w:bidi="ar-EG"/>
                              </w:rPr>
                              <w:t>برنامج الدكتوراة</w:t>
                            </w:r>
                            <w:r w:rsidRPr="007271E8">
                              <w:rPr>
                                <w:rFonts w:ascii="Traditional Arabic" w:hAnsi="Traditional Arabic" w:cs="Traditional Arabic"/>
                                <w:sz w:val="24"/>
                                <w:szCs w:val="24"/>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2DA30E" id="Rectangle 53" o:spid="_x0000_s1026" style="position:absolute;left:0;text-align:left;margin-left:332.3pt;margin-top:12.05pt;width:114.8pt;height:1in;z-index:251699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" fillcolor="window" strokecolor="window" strokeweight="1pt">
                <v:textbox>
                  <w:txbxContent>
                    <w:p w14:paraId="7606CB76" w14:textId="77777777" w:rsidR="00ED4FB3" w:rsidRPr="007271E8" w:rsidRDefault="00ED4FB3" w:rsidP="005A2F4A">
                      <w:pPr>
                        <w:jc w:val="center"/>
                        <w:rPr>
                          <w:rFonts w:ascii="Traditional Arabic" w:hAnsi="Traditional Arabic" w:cs="Traditional Arabic"/>
                          <w:b/>
                          <w:bCs/>
                          <w:sz w:val="28"/>
                          <w:szCs w:val="28"/>
                          <w:rtl/>
                          <w:lang w:bidi="ar-EG"/>
                        </w:rPr>
                      </w:pPr>
                      <w:r w:rsidRPr="007271E8">
                        <w:rPr>
                          <w:rFonts w:ascii="Traditional Arabic" w:hAnsi="Traditional Arabic" w:cs="Traditional Arabic"/>
                          <w:b/>
                          <w:bCs/>
                          <w:sz w:val="28"/>
                          <w:szCs w:val="28"/>
                          <w:rtl/>
                          <w:lang w:bidi="ar-EG"/>
                        </w:rPr>
                        <w:t xml:space="preserve">جامعة ميد اوشن </w:t>
                      </w:r>
                    </w:p>
                    <w:p w14:paraId="7DB86380" w14:textId="77777777" w:rsidR="00ED4FB3" w:rsidRPr="007271E8" w:rsidRDefault="00ED4FB3" w:rsidP="005A2F4A">
                      <w:pPr>
                        <w:jc w:val="center"/>
                        <w:rPr>
                          <w:rFonts w:ascii="Traditional Arabic" w:hAnsi="Traditional Arabic" w:cs="Traditional Arabic"/>
                          <w:sz w:val="24"/>
                          <w:szCs w:val="24"/>
                          <w:lang w:bidi="ar-EG"/>
                        </w:rPr>
                      </w:pPr>
                      <w:r w:rsidRPr="007271E8">
                        <w:rPr>
                          <w:rFonts w:ascii="Traditional Arabic" w:hAnsi="Traditional Arabic" w:cs="Traditional Arabic"/>
                          <w:b/>
                          <w:bCs/>
                          <w:sz w:val="24"/>
                          <w:szCs w:val="24"/>
                          <w:rtl/>
                          <w:lang w:bidi="ar-EG"/>
                        </w:rPr>
                        <w:t>برنامج الدكتوراة</w:t>
                      </w:r>
                      <w:r w:rsidRPr="007271E8">
                        <w:rPr>
                          <w:rFonts w:ascii="Traditional Arabic" w:hAnsi="Traditional Arabic" w:cs="Traditional Arabic"/>
                          <w:sz w:val="24"/>
                          <w:szCs w:val="24"/>
                          <w:rtl/>
                          <w:lang w:bidi="ar-EG"/>
                        </w:rPr>
                        <w:t xml:space="preserve"> </w:t>
                      </w:r>
                    </w:p>
                  </w:txbxContent>
                </v:textbox>
              </v:rect>
            </w:pict>
          </mc:Fallback>
        </mc:AlternateContent>
      </w:r>
    </w:p>
    <w:p w14:paraId="15CB0C75" w14:textId="07110A08" w:rsidR="00B4689A" w:rsidRPr="00545ABB" w:rsidRDefault="00B4689A" w:rsidP="00022590">
      <w:pPr>
        <w:spacing w:after="0" w:line="360" w:lineRule="auto"/>
        <w:jc w:val="right"/>
        <w:rPr>
          <w:rFonts w:ascii="Traditional Arabic" w:eastAsia="Times New Roman" w:hAnsi="Traditional Arabic" w:cs="Traditional Arabic"/>
          <w:color w:val="000000" w:themeColor="text1"/>
          <w:sz w:val="24"/>
          <w:szCs w:val="24"/>
        </w:rPr>
      </w:pPr>
    </w:p>
    <w:bookmarkEnd w:id="0"/>
    <w:p w14:paraId="6893569F" w14:textId="77777777" w:rsidR="008348FD" w:rsidRPr="00545ABB" w:rsidRDefault="008348FD" w:rsidP="00022590">
      <w:pPr>
        <w:keepNext/>
        <w:pBdr>
          <w:top w:val="nil"/>
          <w:left w:val="nil"/>
          <w:bottom w:val="nil"/>
          <w:right w:val="nil"/>
          <w:between w:val="nil"/>
          <w:bar w:val="nil"/>
        </w:pBdr>
        <w:spacing w:before="50" w:after="0" w:line="360" w:lineRule="auto"/>
        <w:ind w:left="432" w:right="432"/>
        <w:jc w:val="center"/>
        <w:rPr>
          <w:rFonts w:ascii="Traditional Arabic" w:eastAsia="Arial Unicode MS" w:hAnsi="Traditional Arabic" w:cs="Traditional Arabic"/>
          <w:b/>
          <w:bCs/>
          <w:color w:val="000000" w:themeColor="text1"/>
          <w:sz w:val="36"/>
          <w:szCs w:val="36"/>
          <w:bdr w:val="nil"/>
          <w14:textOutline w14:w="0" w14:cap="flat" w14:cmpd="sng" w14:algn="ctr">
            <w14:noFill/>
            <w14:prstDash w14:val="solid"/>
            <w14:bevel/>
          </w14:textOutline>
        </w:rPr>
      </w:pPr>
    </w:p>
    <w:p w14:paraId="75B02059" w14:textId="77777777" w:rsidR="008348FD" w:rsidRPr="00545ABB" w:rsidRDefault="008348FD" w:rsidP="00022590">
      <w:pPr>
        <w:keepNext/>
        <w:pBdr>
          <w:top w:val="nil"/>
          <w:left w:val="nil"/>
          <w:bottom w:val="nil"/>
          <w:right w:val="nil"/>
          <w:between w:val="nil"/>
          <w:bar w:val="nil"/>
        </w:pBdr>
        <w:spacing w:before="50" w:after="0" w:line="360" w:lineRule="auto"/>
        <w:ind w:left="432" w:right="432"/>
        <w:jc w:val="center"/>
        <w:rPr>
          <w:rFonts w:ascii="Traditional Arabic" w:eastAsia="Arial Unicode MS" w:hAnsi="Traditional Arabic" w:cs="Traditional Arabic"/>
          <w:b/>
          <w:bCs/>
          <w:color w:val="000000" w:themeColor="text1"/>
          <w:sz w:val="36"/>
          <w:szCs w:val="36"/>
          <w:bdr w:val="nil"/>
          <w14:textOutline w14:w="0" w14:cap="flat" w14:cmpd="sng" w14:algn="ctr">
            <w14:noFill/>
            <w14:prstDash w14:val="solid"/>
            <w14:bevel/>
          </w14:textOutline>
        </w:rPr>
      </w:pPr>
    </w:p>
    <w:p w14:paraId="4209AD25" w14:textId="776EEE12" w:rsidR="00B4689A" w:rsidRPr="00545ABB" w:rsidRDefault="00B4689A" w:rsidP="00022590">
      <w:pPr>
        <w:keepNext/>
        <w:pBdr>
          <w:top w:val="nil"/>
          <w:left w:val="nil"/>
          <w:bottom w:val="nil"/>
          <w:right w:val="nil"/>
          <w:between w:val="nil"/>
          <w:bar w:val="nil"/>
        </w:pBdr>
        <w:spacing w:before="50" w:after="0" w:line="360" w:lineRule="auto"/>
        <w:ind w:left="432" w:right="432"/>
        <w:jc w:val="center"/>
        <w:rPr>
          <w:rFonts w:ascii="Traditional Arabic" w:eastAsia="Arial Unicode MS" w:hAnsi="Traditional Arabic" w:cs="Traditional Arabic"/>
          <w:b/>
          <w:bCs/>
          <w:color w:val="000000" w:themeColor="text1"/>
          <w:sz w:val="36"/>
          <w:szCs w:val="36"/>
          <w:bdr w:val="nil"/>
          <w:rtl/>
          <w:lang w:val="ar-SA"/>
          <w14:textOutline w14:w="0" w14:cap="flat" w14:cmpd="sng" w14:algn="ctr">
            <w14:noFill/>
            <w14:prstDash w14:val="solid"/>
            <w14:bevel/>
          </w14:textOutline>
        </w:rPr>
      </w:pPr>
      <w:r w:rsidRPr="00545ABB">
        <w:rPr>
          <w:rFonts w:ascii="Traditional Arabic" w:eastAsia="Arial Unicode MS" w:hAnsi="Traditional Arabic" w:cs="Traditional Arabic"/>
          <w:b/>
          <w:bCs/>
          <w:color w:val="000000" w:themeColor="text1"/>
          <w:sz w:val="36"/>
          <w:szCs w:val="36"/>
          <w:bdr w:val="nil"/>
          <w:rtl/>
          <w:lang w:val="ar-SA"/>
          <w14:textOutline w14:w="0" w14:cap="flat" w14:cmpd="sng" w14:algn="ctr">
            <w14:noFill/>
            <w14:prstDash w14:val="solid"/>
            <w14:bevel/>
          </w14:textOutline>
        </w:rPr>
        <w:t>الحوكمة الفعالة لضمان استدامة ونجاح شركات الأمن السيبراني الناشئة في المملكة العربية السعودية</w:t>
      </w:r>
    </w:p>
    <w:p w14:paraId="5B179F9D" w14:textId="77777777" w:rsidR="00B4689A" w:rsidRPr="00545ABB" w:rsidRDefault="00B4689A" w:rsidP="00022590">
      <w:pPr>
        <w:spacing w:after="0" w:line="360" w:lineRule="auto"/>
        <w:jc w:val="center"/>
        <w:rPr>
          <w:rFonts w:ascii="Traditional Arabic" w:eastAsia="Times New Roman" w:hAnsi="Traditional Arabic" w:cs="Traditional Arabic"/>
          <w:color w:val="000000" w:themeColor="text1"/>
          <w:sz w:val="32"/>
          <w:szCs w:val="32"/>
        </w:rPr>
      </w:pPr>
    </w:p>
    <w:p w14:paraId="345334A9" w14:textId="77777777" w:rsidR="00B4689A" w:rsidRPr="00545ABB" w:rsidRDefault="00B4689A" w:rsidP="00022590">
      <w:pPr>
        <w:spacing w:after="0" w:line="360" w:lineRule="auto"/>
        <w:jc w:val="center"/>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إعداد</w:t>
      </w:r>
    </w:p>
    <w:p w14:paraId="7717FD13" w14:textId="6746D60B" w:rsidR="00B4689A" w:rsidRPr="00545ABB" w:rsidRDefault="005A2F4A" w:rsidP="00022590">
      <w:pPr>
        <w:pBdr>
          <w:top w:val="nil"/>
          <w:left w:val="nil"/>
          <w:bottom w:val="nil"/>
          <w:right w:val="nil"/>
          <w:between w:val="nil"/>
          <w:bar w:val="nil"/>
        </w:pBdr>
        <w:spacing w:before="50" w:after="0" w:line="360" w:lineRule="auto"/>
        <w:ind w:left="432" w:right="432"/>
        <w:jc w:val="center"/>
        <w:rPr>
          <w:rFonts w:ascii="Traditional Arabic" w:eastAsia="Arial Unicode MS" w:hAnsi="Traditional Arabic" w:cs="Traditional Arabic"/>
          <w:b/>
          <w:bCs/>
          <w:color w:val="000000" w:themeColor="text1"/>
          <w:sz w:val="28"/>
          <w:szCs w:val="28"/>
          <w:u w:color="0000FF"/>
          <w:bdr w:val="nil"/>
          <w:rtl/>
          <w:lang w:val="ar-SA"/>
          <w14:textOutline w14:w="12700" w14:cap="flat" w14:cmpd="sng" w14:algn="ctr">
            <w14:noFill/>
            <w14:prstDash w14:val="solid"/>
            <w14:miter w14:lim="400000"/>
          </w14:textOutline>
        </w:rPr>
      </w:pPr>
      <w:r w:rsidRPr="00545ABB">
        <w:rPr>
          <w:rFonts w:ascii="Traditional Arabic" w:eastAsia="Arial Unicode MS" w:hAnsi="Traditional Arabic" w:cs="Traditional Arabic"/>
          <w:b/>
          <w:bCs/>
          <w:color w:val="000000" w:themeColor="text1"/>
          <w:sz w:val="28"/>
          <w:szCs w:val="28"/>
          <w:u w:color="0000FF"/>
          <w:bdr w:val="nil"/>
          <w:rtl/>
          <w:lang w:val="ar-SA"/>
          <w14:textOutline w14:w="12700" w14:cap="flat" w14:cmpd="sng" w14:algn="ctr">
            <w14:noFill/>
            <w14:prstDash w14:val="solid"/>
            <w14:miter w14:lim="400000"/>
          </w14:textOutline>
        </w:rPr>
        <w:t>محمد عبد العزي</w:t>
      </w:r>
      <w:r w:rsidRPr="00545ABB">
        <w:rPr>
          <w:rFonts w:ascii="Traditional Arabic" w:eastAsia="Arial Unicode MS" w:hAnsi="Traditional Arabic" w:cs="Traditional Arabic" w:hint="cs"/>
          <w:b/>
          <w:bCs/>
          <w:color w:val="000000" w:themeColor="text1"/>
          <w:sz w:val="28"/>
          <w:szCs w:val="28"/>
          <w:u w:color="0000FF"/>
          <w:bdr w:val="nil"/>
          <w:rtl/>
          <w:lang w:val="ar-SA"/>
          <w14:textOutline w14:w="12700" w14:cap="flat" w14:cmpd="sng" w14:algn="ctr">
            <w14:noFill/>
            <w14:prstDash w14:val="solid"/>
            <w14:miter w14:lim="400000"/>
          </w14:textOutline>
        </w:rPr>
        <w:t>ز عبدالرحمن</w:t>
      </w:r>
      <w:r w:rsidR="00B4689A" w:rsidRPr="00545ABB">
        <w:rPr>
          <w:rFonts w:ascii="Traditional Arabic" w:eastAsia="Arial Unicode MS" w:hAnsi="Traditional Arabic" w:cs="Traditional Arabic"/>
          <w:b/>
          <w:bCs/>
          <w:color w:val="000000" w:themeColor="text1"/>
          <w:sz w:val="28"/>
          <w:szCs w:val="28"/>
          <w:u w:color="0000FF"/>
          <w:bdr w:val="nil"/>
          <w:rtl/>
          <w:lang w:val="ar-SA"/>
          <w14:textOutline w14:w="12700" w14:cap="flat" w14:cmpd="sng" w14:algn="ctr">
            <w14:noFill/>
            <w14:prstDash w14:val="solid"/>
            <w14:miter w14:lim="400000"/>
          </w14:textOutline>
        </w:rPr>
        <w:t xml:space="preserve"> الدريويش</w:t>
      </w:r>
    </w:p>
    <w:p w14:paraId="47232725" w14:textId="1B6CE0BF" w:rsidR="00A60352" w:rsidRPr="00545ABB" w:rsidRDefault="00A60352" w:rsidP="00022590">
      <w:pPr>
        <w:pBdr>
          <w:top w:val="nil"/>
          <w:left w:val="nil"/>
          <w:bottom w:val="nil"/>
          <w:right w:val="nil"/>
          <w:between w:val="nil"/>
          <w:bar w:val="nil"/>
        </w:pBdr>
        <w:spacing w:before="50" w:after="0" w:line="360" w:lineRule="auto"/>
        <w:ind w:left="432" w:right="432"/>
        <w:jc w:val="center"/>
        <w:rPr>
          <w:rFonts w:ascii="Traditional Arabic" w:eastAsia="Arial Unicode MS" w:hAnsi="Traditional Arabic" w:cs="Traditional Arabic"/>
          <w:b/>
          <w:bCs/>
          <w:color w:val="000000" w:themeColor="text1"/>
          <w:sz w:val="24"/>
          <w:szCs w:val="24"/>
          <w:u w:color="0000FF"/>
          <w:bdr w:val="nil"/>
          <w:rtl/>
          <w:lang w:val="ar-SA"/>
          <w14:textOutline w14:w="12700" w14:cap="flat" w14:cmpd="sng" w14:algn="ctr">
            <w14:noFill/>
            <w14:prstDash w14:val="solid"/>
            <w14:miter w14:lim="400000"/>
          </w14:textOutline>
        </w:rPr>
      </w:pPr>
      <w:r w:rsidRPr="00545ABB">
        <w:rPr>
          <w:rFonts w:ascii="Traditional Arabic" w:eastAsia="Arial Unicode MS" w:hAnsi="Traditional Arabic" w:cs="Traditional Arabic"/>
          <w:b/>
          <w:bCs/>
          <w:color w:val="000000" w:themeColor="text1"/>
          <w:sz w:val="24"/>
          <w:szCs w:val="24"/>
          <w:u w:color="0000FF"/>
          <w:bdr w:val="nil"/>
          <w:rtl/>
          <w:lang w:val="ar-SA"/>
          <w14:textOutline w14:w="12700" w14:cap="flat" w14:cmpd="sng" w14:algn="ctr">
            <w14:noFill/>
            <w14:prstDash w14:val="solid"/>
            <w14:miter w14:lim="400000"/>
          </w14:textOutline>
        </w:rPr>
        <w:t>المملكة العربية السعودية</w:t>
      </w:r>
    </w:p>
    <w:p w14:paraId="04630B2D" w14:textId="77777777" w:rsidR="00B4689A" w:rsidRPr="00545ABB" w:rsidRDefault="00B4689A" w:rsidP="00022590">
      <w:pPr>
        <w:spacing w:after="0" w:line="360" w:lineRule="auto"/>
        <w:rPr>
          <w:rFonts w:ascii="Traditional Arabic" w:eastAsia="Times New Roman" w:hAnsi="Traditional Arabic" w:cs="Traditional Arabic"/>
          <w:color w:val="000000" w:themeColor="text1"/>
          <w:sz w:val="28"/>
          <w:szCs w:val="28"/>
        </w:rPr>
      </w:pPr>
      <w:bookmarkStart w:id="1" w:name="OLE_LINK2"/>
    </w:p>
    <w:bookmarkEnd w:id="1"/>
    <w:p w14:paraId="2E1F250F" w14:textId="77777777" w:rsidR="005A2F4A" w:rsidRPr="00545ABB" w:rsidRDefault="005A2F4A" w:rsidP="005A2F4A">
      <w:pPr>
        <w:spacing w:after="60"/>
        <w:jc w:val="center"/>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رسالة مقدمة إلى  برنامج الدكتوراة</w:t>
      </w:r>
    </w:p>
    <w:p w14:paraId="7BDD75D4" w14:textId="77777777" w:rsidR="005A2F4A" w:rsidRPr="00545ABB" w:rsidRDefault="005A2F4A" w:rsidP="005A2F4A">
      <w:pPr>
        <w:spacing w:after="0"/>
        <w:jc w:val="center"/>
        <w:rPr>
          <w:rFonts w:ascii="Traditional Arabic" w:eastAsia="Times New Roman" w:hAnsi="Traditional Arabic" w:cs="Traditional Arabic"/>
          <w:b/>
          <w:bCs/>
          <w:color w:val="000000" w:themeColor="text1"/>
          <w:sz w:val="28"/>
          <w:szCs w:val="28"/>
        </w:rPr>
      </w:pPr>
      <w:r w:rsidRPr="00545ABB">
        <w:rPr>
          <w:rFonts w:ascii="Traditional Arabic" w:eastAsia="Times New Roman" w:hAnsi="Traditional Arabic" w:cs="Traditional Arabic"/>
          <w:b/>
          <w:bCs/>
          <w:color w:val="000000" w:themeColor="text1"/>
          <w:sz w:val="28"/>
          <w:szCs w:val="28"/>
          <w:rtl/>
        </w:rPr>
        <w:t>كجزء من متطلبات نيل درجة دكتوراه الفلسفة في  الادارة</w:t>
      </w:r>
    </w:p>
    <w:p w14:paraId="79FE4DDB" w14:textId="77777777" w:rsidR="005A2F4A" w:rsidRPr="00545ABB" w:rsidRDefault="005A2F4A" w:rsidP="005A2F4A">
      <w:pPr>
        <w:spacing w:after="0"/>
        <w:jc w:val="center"/>
        <w:rPr>
          <w:rFonts w:ascii="Traditional Arabic" w:eastAsia="Times New Roman" w:hAnsi="Traditional Arabic" w:cs="Traditional Arabic"/>
          <w:color w:val="000000" w:themeColor="text1"/>
          <w:sz w:val="28"/>
          <w:szCs w:val="28"/>
          <w:rtl/>
        </w:rPr>
      </w:pPr>
    </w:p>
    <w:p w14:paraId="2BFDD6E7" w14:textId="77777777" w:rsidR="005A2F4A" w:rsidRPr="00545ABB" w:rsidRDefault="005A2F4A" w:rsidP="005A2F4A">
      <w:pPr>
        <w:spacing w:after="0"/>
        <w:jc w:val="center"/>
        <w:rPr>
          <w:rFonts w:ascii="Traditional Arabic" w:eastAsia="Times New Roman" w:hAnsi="Traditional Arabic" w:cs="Traditional Arabic"/>
          <w:color w:val="000000" w:themeColor="text1"/>
          <w:sz w:val="28"/>
          <w:szCs w:val="28"/>
          <w:rtl/>
        </w:rPr>
      </w:pPr>
    </w:p>
    <w:p w14:paraId="442A17A3" w14:textId="77777777" w:rsidR="005A2F4A" w:rsidRPr="00545ABB" w:rsidRDefault="005A2F4A" w:rsidP="005A2F4A">
      <w:pPr>
        <w:spacing w:after="0"/>
        <w:jc w:val="center"/>
        <w:rPr>
          <w:rFonts w:ascii="Traditional Arabic" w:eastAsia="Times New Roman" w:hAnsi="Traditional Arabic" w:cs="Traditional Arabic"/>
          <w:color w:val="000000" w:themeColor="text1"/>
          <w:sz w:val="28"/>
          <w:szCs w:val="28"/>
          <w:rtl/>
        </w:rPr>
      </w:pPr>
    </w:p>
    <w:p w14:paraId="1DD99924" w14:textId="77777777" w:rsidR="005A2F4A" w:rsidRPr="00545ABB" w:rsidRDefault="005A2F4A" w:rsidP="005A2F4A">
      <w:pPr>
        <w:tabs>
          <w:tab w:val="left" w:pos="3666"/>
        </w:tabs>
        <w:spacing w:after="0" w:line="360" w:lineRule="auto"/>
        <w:jc w:val="center"/>
        <w:rPr>
          <w:rFonts w:ascii="Traditional Arabic" w:eastAsia="Calibri" w:hAnsi="Traditional Arabic" w:cs="Traditional Arabic"/>
          <w:b/>
          <w:bCs/>
          <w:color w:val="000000" w:themeColor="text1"/>
          <w:sz w:val="24"/>
          <w:szCs w:val="24"/>
          <w:rtl/>
          <w:lang w:bidi="ar-EG"/>
        </w:rPr>
      </w:pPr>
      <w:r w:rsidRPr="00545ABB">
        <w:rPr>
          <w:rFonts w:ascii="Traditional Arabic" w:eastAsia="Times New Roman" w:hAnsi="Traditional Arabic" w:cs="Traditional Arabic"/>
          <w:color w:val="000000" w:themeColor="text1"/>
          <w:sz w:val="24"/>
          <w:szCs w:val="24"/>
          <w:rtl/>
        </w:rPr>
        <w:t>العام الجامعي</w:t>
      </w:r>
      <w:r w:rsidRPr="00545ABB">
        <w:rPr>
          <w:rFonts w:ascii="Traditional Arabic" w:eastAsia="Times New Roman" w:hAnsi="Traditional Arabic" w:cs="Traditional Arabic"/>
          <w:color w:val="000000" w:themeColor="text1"/>
          <w:sz w:val="24"/>
          <w:szCs w:val="24"/>
        </w:rPr>
        <w:t>2026 </w:t>
      </w:r>
      <w:r w:rsidRPr="00545ABB">
        <w:rPr>
          <w:rFonts w:ascii="Traditional Arabic" w:eastAsia="Times New Roman" w:hAnsi="Traditional Arabic" w:cs="Traditional Arabic"/>
          <w:color w:val="000000" w:themeColor="text1"/>
          <w:sz w:val="24"/>
          <w:szCs w:val="24"/>
          <w:rtl/>
        </w:rPr>
        <w:t>م</w:t>
      </w:r>
      <w:r w:rsidRPr="00545ABB">
        <w:rPr>
          <w:rFonts w:ascii="Traditional Arabic" w:eastAsia="Times New Roman" w:hAnsi="Traditional Arabic" w:cs="Traditional Arabic"/>
          <w:b/>
          <w:bCs/>
          <w:color w:val="000000" w:themeColor="text1"/>
          <w:sz w:val="24"/>
          <w:szCs w:val="24"/>
          <w:rtl/>
        </w:rPr>
        <w:t> </w:t>
      </w:r>
      <w:r w:rsidRPr="00545ABB">
        <w:rPr>
          <w:rFonts w:ascii="Traditional Arabic" w:eastAsia="Times New Roman" w:hAnsi="Traditional Arabic" w:cs="Traditional Arabic"/>
          <w:b/>
          <w:bCs/>
          <w:color w:val="000000" w:themeColor="text1"/>
          <w:sz w:val="24"/>
          <w:szCs w:val="24"/>
        </w:rPr>
        <w:br/>
      </w:r>
      <w:r w:rsidRPr="00545ABB">
        <w:rPr>
          <w:rFonts w:ascii="Traditional Arabic" w:eastAsia="Calibri" w:hAnsi="Traditional Arabic" w:cs="Traditional Arabic"/>
          <w:b/>
          <w:bCs/>
          <w:color w:val="000000" w:themeColor="text1"/>
          <w:sz w:val="24"/>
          <w:szCs w:val="24"/>
          <w:rtl/>
          <w:lang w:bidi="ar-EG"/>
        </w:rPr>
        <w:t>1447ه‍ - 1448ه</w:t>
      </w:r>
    </w:p>
    <w:p w14:paraId="06101DF7" w14:textId="5D6EE128" w:rsidR="00500D7F" w:rsidRPr="00545ABB" w:rsidRDefault="00500D7F" w:rsidP="00022590">
      <w:pPr>
        <w:bidi w:val="0"/>
        <w:spacing w:after="0" w:line="360" w:lineRule="auto"/>
        <w:rPr>
          <w:rFonts w:ascii="Traditional Arabic" w:eastAsia="Calibri" w:hAnsi="Traditional Arabic" w:cs="Traditional Arabic"/>
          <w:color w:val="000000" w:themeColor="text1"/>
          <w:rtl/>
        </w:rPr>
      </w:pPr>
    </w:p>
    <w:p w14:paraId="696EFD21" w14:textId="77777777" w:rsidR="00C0292C" w:rsidRPr="00545ABB" w:rsidRDefault="00C0292C" w:rsidP="00C0292C">
      <w:pPr>
        <w:bidi w:val="0"/>
        <w:spacing w:after="0" w:line="360" w:lineRule="auto"/>
        <w:rPr>
          <w:rFonts w:ascii="Traditional Arabic" w:eastAsia="Calibri" w:hAnsi="Traditional Arabic" w:cs="Traditional Arabic"/>
          <w:color w:val="000000" w:themeColor="text1"/>
          <w:rtl/>
        </w:rPr>
      </w:pPr>
    </w:p>
    <w:p w14:paraId="0FC4333B" w14:textId="77777777" w:rsidR="00C0292C" w:rsidRPr="00545ABB" w:rsidRDefault="00C0292C" w:rsidP="00C0292C">
      <w:pPr>
        <w:spacing w:line="360" w:lineRule="auto"/>
        <w:jc w:val="center"/>
        <w:rPr>
          <w:rFonts w:ascii="Traditional Arabic" w:hAnsi="Traditional Arabic" w:cs="Traditional Arabic"/>
          <w:b/>
          <w:bCs/>
          <w:color w:val="000000" w:themeColor="text1"/>
          <w:sz w:val="36"/>
          <w:szCs w:val="36"/>
          <w:rtl/>
          <w:lang w:bidi="ar-EG"/>
        </w:rPr>
      </w:pPr>
    </w:p>
    <w:p w14:paraId="4267B078" w14:textId="6FF7A561" w:rsidR="00C0292C" w:rsidRPr="00545ABB" w:rsidRDefault="00C0292C" w:rsidP="00C0292C">
      <w:pPr>
        <w:spacing w:line="360" w:lineRule="auto"/>
        <w:rPr>
          <w:rFonts w:ascii="Traditional Arabic" w:hAnsi="Traditional Arabic" w:cs="Traditional Arabic"/>
          <w:b/>
          <w:bCs/>
          <w:noProof/>
          <w:color w:val="000000" w:themeColor="text1"/>
          <w:sz w:val="24"/>
          <w:szCs w:val="24"/>
          <w:rtl/>
          <w:lang w:val="ar-SA"/>
        </w:rPr>
      </w:pPr>
      <w:r w:rsidRPr="00545ABB">
        <w:rPr>
          <w:rFonts w:ascii="Traditional Arabic" w:hAnsi="Traditional Arabic" w:cs="Traditional Arabic"/>
          <w:b/>
          <w:bCs/>
          <w:noProof/>
          <w:color w:val="000000" w:themeColor="text1"/>
          <w:sz w:val="24"/>
          <w:szCs w:val="24"/>
          <w:rtl/>
          <w:lang w:val="ar-SA"/>
        </w:rPr>
        <w:t xml:space="preserve">بسم الله الرحمن الرحيم </w:t>
      </w:r>
    </w:p>
    <w:p w14:paraId="3A3DCD3E" w14:textId="77777777" w:rsidR="00C0292C" w:rsidRPr="00545ABB" w:rsidRDefault="00C0292C" w:rsidP="00C0292C">
      <w:pPr>
        <w:spacing w:line="360" w:lineRule="auto"/>
        <w:rPr>
          <w:rFonts w:ascii="Traditional Arabic" w:hAnsi="Traditional Arabic" w:cs="Traditional Arabic"/>
          <w:b/>
          <w:bCs/>
          <w:color w:val="000000" w:themeColor="text1"/>
          <w:sz w:val="24"/>
          <w:szCs w:val="24"/>
          <w:u w:val="single"/>
          <w:rtl/>
        </w:rPr>
      </w:pPr>
    </w:p>
    <w:p w14:paraId="002401C5" w14:textId="6F0DEB4F" w:rsidR="00C0292C" w:rsidRPr="00545ABB" w:rsidRDefault="00C0292C" w:rsidP="00C0292C">
      <w:pPr>
        <w:spacing w:line="360" w:lineRule="auto"/>
        <w:jc w:val="center"/>
        <w:rPr>
          <w:rFonts w:ascii="Traditional Arabic" w:hAnsi="Traditional Arabic" w:cs="Traditional Arabic"/>
          <w:b/>
          <w:bCs/>
          <w:i/>
          <w:iCs/>
          <w:color w:val="000000" w:themeColor="text1"/>
          <w:sz w:val="24"/>
          <w:szCs w:val="24"/>
          <w:rtl/>
        </w:rPr>
      </w:pPr>
      <w:r w:rsidRPr="00545ABB">
        <w:rPr>
          <w:rFonts w:ascii="Traditional Arabic" w:hAnsi="Traditional Arabic" w:cs="Traditional Arabic"/>
          <w:b/>
          <w:bCs/>
          <w:color w:val="000000" w:themeColor="text1"/>
          <w:sz w:val="24"/>
          <w:szCs w:val="24"/>
          <w:rtl/>
        </w:rPr>
        <w:t>﴿إِنَّمَا يَخْشَى اللَّهَ مِنْ عِبَادِهِ الْعُلَمَاءُ ۗ إِنَّ اللَّهَ عَزِيزٌ غَفُورٌ﴾</w:t>
      </w:r>
      <w:r w:rsidRPr="00545ABB">
        <w:rPr>
          <w:rFonts w:ascii="Traditional Arabic" w:hAnsi="Traditional Arabic" w:cs="Traditional Arabic"/>
          <w:b/>
          <w:bCs/>
          <w:i/>
          <w:iCs/>
          <w:color w:val="000000" w:themeColor="text1"/>
          <w:sz w:val="24"/>
          <w:szCs w:val="24"/>
          <w:rtl/>
        </w:rPr>
        <w:t xml:space="preserve"> سورة فاطر (28)</w:t>
      </w:r>
      <w:r w:rsidRPr="00545ABB">
        <w:rPr>
          <w:rFonts w:ascii="Traditional Arabic" w:hAnsi="Traditional Arabic" w:cs="Traditional Arabic"/>
          <w:b/>
          <w:bCs/>
          <w:color w:val="000000" w:themeColor="text1"/>
          <w:sz w:val="24"/>
          <w:szCs w:val="24"/>
        </w:rPr>
        <w:br/>
      </w:r>
    </w:p>
    <w:p w14:paraId="0064979F" w14:textId="0A905C9F" w:rsidR="00C0292C" w:rsidRPr="00545ABB" w:rsidRDefault="00C0292C" w:rsidP="00C0292C">
      <w:pPr>
        <w:spacing w:line="360" w:lineRule="auto"/>
        <w:jc w:val="right"/>
        <w:rPr>
          <w:rFonts w:ascii="Traditional Arabic" w:hAnsi="Traditional Arabic" w:cs="Traditional Arabic"/>
          <w:b/>
          <w:bCs/>
          <w:color w:val="000000" w:themeColor="text1"/>
          <w:sz w:val="24"/>
          <w:szCs w:val="24"/>
          <w:rtl/>
        </w:rPr>
      </w:pPr>
      <w:r w:rsidRPr="00545ABB">
        <w:rPr>
          <w:rFonts w:ascii="Traditional Arabic" w:hAnsi="Traditional Arabic" w:cs="Traditional Arabic"/>
          <w:b/>
          <w:bCs/>
          <w:noProof/>
          <w:color w:val="000000" w:themeColor="text1"/>
          <w:sz w:val="24"/>
          <w:szCs w:val="24"/>
          <w:rtl/>
          <w:lang w:val="ar-SA"/>
        </w:rPr>
        <w:t>صدق الله العظيم</w:t>
      </w:r>
    </w:p>
    <w:p w14:paraId="1E6CB443" w14:textId="7117FD46" w:rsidR="00302054" w:rsidRPr="00545ABB" w:rsidRDefault="00302054" w:rsidP="00C0292C">
      <w:pPr>
        <w:spacing w:line="360" w:lineRule="auto"/>
        <w:jc w:val="center"/>
        <w:rPr>
          <w:rFonts w:ascii="Traditional Arabic" w:hAnsi="Traditional Arabic" w:cs="Traditional Arabic"/>
          <w:b/>
          <w:bCs/>
          <w:color w:val="000000" w:themeColor="text1"/>
          <w:sz w:val="36"/>
          <w:szCs w:val="36"/>
          <w:rtl/>
          <w:lang w:bidi="ar-EG"/>
        </w:rPr>
      </w:pPr>
    </w:p>
    <w:p w14:paraId="405C6283" w14:textId="77777777" w:rsidR="00302054" w:rsidRPr="00545ABB" w:rsidRDefault="00302054">
      <w:pPr>
        <w:bidi w:val="0"/>
        <w:rPr>
          <w:rFonts w:ascii="Traditional Arabic" w:hAnsi="Traditional Arabic" w:cs="Traditional Arabic"/>
          <w:b/>
          <w:bCs/>
          <w:color w:val="000000" w:themeColor="text1"/>
          <w:sz w:val="36"/>
          <w:szCs w:val="36"/>
          <w:rtl/>
          <w:lang w:bidi="ar-EG"/>
        </w:rPr>
      </w:pPr>
      <w:r w:rsidRPr="00545ABB">
        <w:rPr>
          <w:rFonts w:ascii="Traditional Arabic" w:hAnsi="Traditional Arabic" w:cs="Traditional Arabic"/>
          <w:b/>
          <w:bCs/>
          <w:color w:val="000000" w:themeColor="text1"/>
          <w:sz w:val="36"/>
          <w:szCs w:val="36"/>
          <w:rtl/>
          <w:lang w:bidi="ar-EG"/>
        </w:rPr>
        <w:br w:type="page"/>
      </w:r>
    </w:p>
    <w:p w14:paraId="18D1E529" w14:textId="77777777" w:rsidR="00302054" w:rsidRPr="00545ABB" w:rsidRDefault="00302054" w:rsidP="00302054">
      <w:pPr>
        <w:spacing w:after="0"/>
        <w:jc w:val="center"/>
        <w:rPr>
          <w:rFonts w:ascii="Traditional Arabic" w:hAnsi="Traditional Arabic" w:cs="Traditional Arabic"/>
          <w:b/>
          <w:bCs/>
          <w:color w:val="000000" w:themeColor="text1"/>
          <w:sz w:val="28"/>
          <w:szCs w:val="28"/>
          <w:u w:val="single"/>
        </w:rPr>
      </w:pPr>
      <w:r w:rsidRPr="00545ABB">
        <w:rPr>
          <w:rFonts w:ascii="Traditional Arabic" w:hAnsi="Traditional Arabic" w:cs="Traditional Arabic"/>
          <w:b/>
          <w:bCs/>
          <w:color w:val="000000" w:themeColor="text1"/>
          <w:sz w:val="28"/>
          <w:szCs w:val="28"/>
          <w:u w:val="single"/>
          <w:rtl/>
        </w:rPr>
        <w:lastRenderedPageBreak/>
        <w:t>الإهداء</w:t>
      </w:r>
    </w:p>
    <w:p w14:paraId="47510E04"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منذ خطواتنا الأولى في طريق التعليم، بدأت رحلة طويلة من التعلّم والطموح، تهيأت لنا خلالها -بعد توفيق الله- أسباب المعرفة، وتوفرت لنا فرص التعليم والنمو والتطور، حتى أصبح العلم جزءًا أصيلًا من مسيرتنا وحياتنا</w:t>
      </w:r>
      <w:r w:rsidRPr="00545ABB">
        <w:rPr>
          <w:rFonts w:ascii="Traditional Arabic" w:hAnsi="Traditional Arabic" w:cs="Traditional Arabic"/>
          <w:b/>
          <w:bCs/>
          <w:color w:val="000000" w:themeColor="text1"/>
          <w:sz w:val="24"/>
          <w:szCs w:val="24"/>
        </w:rPr>
        <w:t>.</w:t>
      </w:r>
    </w:p>
    <w:p w14:paraId="0B938B2B"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وكان للأسرة والمنزل الدور الأول في غرس قيم الاجتهاد والمثابرة والطموح، وللوالدين الفضل الأكبر في الدعم والتوجيه والدعاء، كما كان لما وفرته المملكة العربية السعودية من بيئة تعليمية، وفرص للعلم والتطوير والابتكار، أثرٌ بالغ في تمكين أبنائها وتشجيعهم على مواصلة مسيرتهم العلمية والمهنية</w:t>
      </w:r>
      <w:r w:rsidRPr="00545ABB">
        <w:rPr>
          <w:rFonts w:ascii="Traditional Arabic" w:hAnsi="Traditional Arabic" w:cs="Traditional Arabic"/>
          <w:b/>
          <w:bCs/>
          <w:color w:val="000000" w:themeColor="text1"/>
          <w:sz w:val="24"/>
          <w:szCs w:val="24"/>
        </w:rPr>
        <w:t>.</w:t>
      </w:r>
    </w:p>
    <w:p w14:paraId="364EB0B0"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وفي هذه الرحلة، لم يكن الوصول ثمرة جهد فردي فحسب، بل كان وراءه دعم أسرة، ومساندة أحبة، وتشجيع أصدقاء وزملاء، وتوجيه أساتذة، ومواقف وكلمات تركت أثرًا لا يُنسى</w:t>
      </w:r>
      <w:r w:rsidRPr="00545ABB">
        <w:rPr>
          <w:rFonts w:ascii="Traditional Arabic" w:hAnsi="Traditional Arabic" w:cs="Traditional Arabic"/>
          <w:b/>
          <w:bCs/>
          <w:color w:val="000000" w:themeColor="text1"/>
          <w:sz w:val="24"/>
          <w:szCs w:val="24"/>
        </w:rPr>
        <w:t>.</w:t>
      </w:r>
    </w:p>
    <w:p w14:paraId="03DD0F08"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إلى والديَّ العزيزين،</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t>عرفانًا بفضلهما الذي لا يُوفّى، وامتنانًا لدعائهما الصادق، ودعمهما الدائم، وما غرسا في نفسي من قيم الطموح والمثابرة والسعي نحو العلم والإنجاز</w:t>
      </w:r>
      <w:r w:rsidRPr="00545ABB">
        <w:rPr>
          <w:rFonts w:ascii="Traditional Arabic" w:hAnsi="Traditional Arabic" w:cs="Traditional Arabic"/>
          <w:b/>
          <w:bCs/>
          <w:color w:val="000000" w:themeColor="text1"/>
          <w:sz w:val="24"/>
          <w:szCs w:val="24"/>
        </w:rPr>
        <w:t>.</w:t>
      </w:r>
    </w:p>
    <w:p w14:paraId="52965722"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إلى زوجتي الغالية،</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t>رفيقة الدرب وشريكة النجاح، تقديرًا لصبرها ومساندتها وتفهّمها ووقوفها إلى جانبي في مختلف مراحل هذه الرحلة العلمية</w:t>
      </w:r>
      <w:r w:rsidRPr="00545ABB">
        <w:rPr>
          <w:rFonts w:ascii="Traditional Arabic" w:hAnsi="Traditional Arabic" w:cs="Traditional Arabic"/>
          <w:b/>
          <w:bCs/>
          <w:color w:val="000000" w:themeColor="text1"/>
          <w:sz w:val="24"/>
          <w:szCs w:val="24"/>
        </w:rPr>
        <w:t>.</w:t>
      </w:r>
    </w:p>
    <w:p w14:paraId="6C999A27"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إلى أبنائي الأعزاء،</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t>عبدالعزيز، وناصر، وسعود، وخيّال،</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t>الذين كانوا مصدر فرحٍ ودافعٍ متجدد، وإليهم أهدي ثمرة هذا الجهد، آملًا أن يكون في هذه المسيرة ما يلهمهم دائمًا نحو العلم والطموح والتميّز</w:t>
      </w:r>
      <w:r w:rsidRPr="00545ABB">
        <w:rPr>
          <w:rFonts w:ascii="Traditional Arabic" w:hAnsi="Traditional Arabic" w:cs="Traditional Arabic"/>
          <w:b/>
          <w:bCs/>
          <w:color w:val="000000" w:themeColor="text1"/>
          <w:sz w:val="24"/>
          <w:szCs w:val="24"/>
        </w:rPr>
        <w:t>.</w:t>
      </w:r>
    </w:p>
    <w:p w14:paraId="5BBBAC19"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إلى أسرتي الكريمة، وإخوتي وأخواتي،</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t>ممن كان لدعمهم وتشجيعهم وكلماتهم الصادقة أثر بالغ في مواصلة الطريق</w:t>
      </w:r>
      <w:r w:rsidRPr="00545ABB">
        <w:rPr>
          <w:rFonts w:ascii="Traditional Arabic" w:hAnsi="Traditional Arabic" w:cs="Traditional Arabic"/>
          <w:b/>
          <w:bCs/>
          <w:color w:val="000000" w:themeColor="text1"/>
          <w:sz w:val="24"/>
          <w:szCs w:val="24"/>
        </w:rPr>
        <w:t>.</w:t>
      </w:r>
    </w:p>
    <w:p w14:paraId="49C62482"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إلى أصدقائي وزملائي،</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t>الذين شاركوني مراحل هذه الرحلة، وقدموا لي الدعم والمشورة والتشجيع، وكان لوجودهم أثر كريم لا يُنسى</w:t>
      </w:r>
      <w:r w:rsidRPr="00545ABB">
        <w:rPr>
          <w:rFonts w:ascii="Traditional Arabic" w:hAnsi="Traditional Arabic" w:cs="Traditional Arabic"/>
          <w:b/>
          <w:bCs/>
          <w:color w:val="000000" w:themeColor="text1"/>
          <w:sz w:val="24"/>
          <w:szCs w:val="24"/>
        </w:rPr>
        <w:t>.</w:t>
      </w:r>
    </w:p>
    <w:p w14:paraId="51735881"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إلى أساتذتي وكل من علّمني حرفًا، أو قدّم لي علمًا، أو نصحني بإخلاص، أو أسهم في إثراء تجربتي العلمية والمهنية</w:t>
      </w:r>
      <w:r w:rsidRPr="00545ABB">
        <w:rPr>
          <w:rFonts w:ascii="Traditional Arabic" w:hAnsi="Traditional Arabic" w:cs="Traditional Arabic"/>
          <w:b/>
          <w:bCs/>
          <w:color w:val="000000" w:themeColor="text1"/>
          <w:sz w:val="24"/>
          <w:szCs w:val="24"/>
        </w:rPr>
        <w:t>.</w:t>
      </w:r>
    </w:p>
    <w:p w14:paraId="51173F6E"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وإلى وطني الغالي،</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t>المملكة العربية السعودية،</w:t>
      </w:r>
      <w:r w:rsidRPr="00545ABB">
        <w:rPr>
          <w:rFonts w:ascii="Traditional Arabic" w:hAnsi="Traditional Arabic" w:cs="Traditional Arabic"/>
          <w:b/>
          <w:bCs/>
          <w:color w:val="000000" w:themeColor="text1"/>
          <w:sz w:val="24"/>
          <w:szCs w:val="24"/>
        </w:rPr>
        <w:br/>
      </w:r>
      <w:r w:rsidRPr="00545ABB">
        <w:rPr>
          <w:rFonts w:ascii="Traditional Arabic" w:hAnsi="Traditional Arabic" w:cs="Traditional Arabic"/>
          <w:b/>
          <w:bCs/>
          <w:color w:val="000000" w:themeColor="text1"/>
          <w:sz w:val="24"/>
          <w:szCs w:val="24"/>
          <w:rtl/>
        </w:rPr>
        <w:lastRenderedPageBreak/>
        <w:t>التي أتاحت لأبنائها سبل العلم والمعرفة، ووفرت لهم بيئةً داعمة للطموح والابتكار والتميّز، وجعلت الاستثمار في الإنسان والمعرفة أحد ركائز مستقبلها</w:t>
      </w:r>
      <w:r w:rsidRPr="00545ABB">
        <w:rPr>
          <w:rFonts w:ascii="Traditional Arabic" w:hAnsi="Traditional Arabic" w:cs="Traditional Arabic"/>
          <w:b/>
          <w:bCs/>
          <w:color w:val="000000" w:themeColor="text1"/>
          <w:sz w:val="24"/>
          <w:szCs w:val="24"/>
        </w:rPr>
        <w:t>.</w:t>
      </w:r>
    </w:p>
    <w:p w14:paraId="03E92E64" w14:textId="77777777" w:rsidR="00302054" w:rsidRPr="00545ABB" w:rsidRDefault="00302054" w:rsidP="00785164">
      <w:pPr>
        <w:spacing w:after="0"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إليهم جميعًا أهدي هذا العمل، راجيًا من الله أن يجعله علمًا نافعًا، وأثرًا طيبًا، وإسهامًا متواضعًا في خدمة المعرفة والوطن وقطاع الأمن السيبراني</w:t>
      </w:r>
      <w:r w:rsidRPr="00545ABB">
        <w:rPr>
          <w:rFonts w:ascii="Traditional Arabic" w:hAnsi="Traditional Arabic" w:cs="Traditional Arabic"/>
          <w:b/>
          <w:bCs/>
          <w:color w:val="000000" w:themeColor="text1"/>
          <w:sz w:val="24"/>
          <w:szCs w:val="24"/>
        </w:rPr>
        <w:t>.</w:t>
      </w:r>
    </w:p>
    <w:p w14:paraId="56896C99" w14:textId="3869BF18" w:rsidR="00302054" w:rsidRPr="00545ABB" w:rsidRDefault="00302054" w:rsidP="00C0292C">
      <w:pPr>
        <w:spacing w:line="360" w:lineRule="auto"/>
        <w:jc w:val="center"/>
        <w:rPr>
          <w:rFonts w:ascii="Traditional Arabic" w:hAnsi="Traditional Arabic" w:cs="Traditional Arabic"/>
          <w:b/>
          <w:bCs/>
          <w:color w:val="000000" w:themeColor="text1"/>
          <w:sz w:val="36"/>
          <w:szCs w:val="36"/>
          <w:rtl/>
          <w:lang w:bidi="ar-EG"/>
        </w:rPr>
      </w:pPr>
    </w:p>
    <w:p w14:paraId="6F1CA16D" w14:textId="44061CF4" w:rsidR="009C56D6" w:rsidRPr="00545ABB" w:rsidRDefault="00302054" w:rsidP="00E01361">
      <w:pPr>
        <w:bidi w:val="0"/>
        <w:rPr>
          <w:rFonts w:ascii="Traditional Arabic" w:hAnsi="Traditional Arabic" w:cs="Traditional Arabic"/>
          <w:b/>
          <w:bCs/>
          <w:color w:val="000000" w:themeColor="text1"/>
          <w:sz w:val="36"/>
          <w:szCs w:val="36"/>
          <w:rtl/>
          <w:lang w:bidi="ar-EG"/>
        </w:rPr>
      </w:pPr>
      <w:r w:rsidRPr="00545ABB">
        <w:rPr>
          <w:rFonts w:ascii="Traditional Arabic" w:hAnsi="Traditional Arabic" w:cs="Traditional Arabic"/>
          <w:b/>
          <w:bCs/>
          <w:color w:val="000000" w:themeColor="text1"/>
          <w:sz w:val="36"/>
          <w:szCs w:val="36"/>
          <w:rtl/>
          <w:lang w:bidi="ar-EG"/>
        </w:rPr>
        <w:br w:type="page"/>
      </w:r>
    </w:p>
    <w:p w14:paraId="50AA4B49" w14:textId="10D64EED" w:rsidR="00C0292C" w:rsidRPr="00545ABB" w:rsidRDefault="00C0292C" w:rsidP="00C0292C">
      <w:pPr>
        <w:spacing w:line="360" w:lineRule="auto"/>
        <w:jc w:val="center"/>
        <w:rPr>
          <w:rFonts w:ascii="Traditional Arabic" w:hAnsi="Traditional Arabic" w:cs="Traditional Arabic"/>
          <w:b/>
          <w:bCs/>
          <w:color w:val="000000" w:themeColor="text1"/>
          <w:sz w:val="28"/>
          <w:szCs w:val="28"/>
          <w:u w:val="single"/>
          <w:rtl/>
          <w:lang w:bidi="ar-EG"/>
        </w:rPr>
      </w:pPr>
      <w:r w:rsidRPr="00545ABB">
        <w:rPr>
          <w:rFonts w:ascii="Traditional Arabic" w:hAnsi="Traditional Arabic" w:cs="Traditional Arabic"/>
          <w:b/>
          <w:bCs/>
          <w:color w:val="000000" w:themeColor="text1"/>
          <w:sz w:val="28"/>
          <w:szCs w:val="28"/>
          <w:u w:val="single"/>
          <w:rtl/>
          <w:lang w:bidi="ar-EG"/>
        </w:rPr>
        <w:lastRenderedPageBreak/>
        <w:t>شكر وتقدير</w:t>
      </w:r>
    </w:p>
    <w:p w14:paraId="2F24932F"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rtl/>
          <w:lang w:bidi="ar-EG"/>
        </w:rPr>
      </w:pPr>
      <w:r w:rsidRPr="00545ABB">
        <w:rPr>
          <w:rFonts w:ascii="Traditional Arabic" w:hAnsi="Traditional Arabic" w:cs="Traditional Arabic"/>
          <w:b/>
          <w:bCs/>
          <w:color w:val="000000" w:themeColor="text1"/>
          <w:sz w:val="24"/>
          <w:szCs w:val="24"/>
          <w:rtl/>
        </w:rPr>
        <w:t>الحمد لله رب العالمين، الذي بنعمته تتم الصالحات، وبفضله تتحقق الإنجازات، والصلاة والسلام على نبينا محمد وعلى آله وصحبه أجمعين</w:t>
      </w:r>
      <w:r w:rsidRPr="00545ABB">
        <w:rPr>
          <w:rFonts w:ascii="Traditional Arabic" w:hAnsi="Traditional Arabic" w:cs="Traditional Arabic"/>
          <w:b/>
          <w:bCs/>
          <w:color w:val="000000" w:themeColor="text1"/>
          <w:sz w:val="24"/>
          <w:szCs w:val="24"/>
          <w:lang w:bidi="ar-EG"/>
        </w:rPr>
        <w:t>.</w:t>
      </w:r>
    </w:p>
    <w:p w14:paraId="308DEBAD"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lang w:bidi="ar-EG"/>
        </w:rPr>
      </w:pPr>
    </w:p>
    <w:p w14:paraId="292F39C8"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lang w:bidi="ar-EG"/>
        </w:rPr>
      </w:pPr>
      <w:r w:rsidRPr="00545ABB">
        <w:rPr>
          <w:rFonts w:ascii="Traditional Arabic" w:hAnsi="Traditional Arabic" w:cs="Traditional Arabic"/>
          <w:b/>
          <w:bCs/>
          <w:color w:val="000000" w:themeColor="text1"/>
          <w:sz w:val="24"/>
          <w:szCs w:val="24"/>
          <w:rtl/>
        </w:rPr>
        <w:t>أتقدم بخالص الشكر والعرفان إلى جامعة ميد أوشن، ممثلة في إدارتها وأساتذتها الكرام، على ما توفره من بيئة أكاديمية محفزة، ودعم مستمر للباحثين، وإتاحة الفرصة لإنجاز هذا العمل العلمي</w:t>
      </w:r>
      <w:r w:rsidRPr="00545ABB">
        <w:rPr>
          <w:rFonts w:ascii="Traditional Arabic" w:hAnsi="Traditional Arabic" w:cs="Traditional Arabic"/>
          <w:b/>
          <w:bCs/>
          <w:color w:val="000000" w:themeColor="text1"/>
          <w:sz w:val="24"/>
          <w:szCs w:val="24"/>
          <w:lang w:bidi="ar-EG"/>
        </w:rPr>
        <w:t>.</w:t>
      </w:r>
    </w:p>
    <w:p w14:paraId="13C880FB"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rtl/>
          <w:lang w:bidi="ar-EG"/>
        </w:rPr>
      </w:pPr>
      <w:r w:rsidRPr="00545ABB">
        <w:rPr>
          <w:rFonts w:ascii="Traditional Arabic" w:hAnsi="Traditional Arabic" w:cs="Traditional Arabic"/>
          <w:b/>
          <w:bCs/>
          <w:color w:val="000000" w:themeColor="text1"/>
          <w:sz w:val="24"/>
          <w:szCs w:val="24"/>
          <w:rtl/>
        </w:rPr>
        <w:t>كما أتقدم بجزيل الامتنان والتقدير إلى كل من أسهم في إنجاح هذه الرسالة، وقدَّم لي العون والمشورة والتوجيه، سواء من خلال التوجيهات العلمية السديدة، أو المشاركة الفاعلة في المناقشات الأكاديمية، أو تسهيل إجراءات البحث وإتاحة المعلومات والمراجع اللازمة، فكان لهم فضل كبير في إخراج هذا العمل بالصورة التي ترجى</w:t>
      </w:r>
      <w:r w:rsidRPr="00545ABB">
        <w:rPr>
          <w:rFonts w:ascii="Traditional Arabic" w:hAnsi="Traditional Arabic" w:cs="Traditional Arabic"/>
          <w:b/>
          <w:bCs/>
          <w:color w:val="000000" w:themeColor="text1"/>
          <w:sz w:val="24"/>
          <w:szCs w:val="24"/>
          <w:lang w:bidi="ar-EG"/>
        </w:rPr>
        <w:t>.</w:t>
      </w:r>
    </w:p>
    <w:p w14:paraId="70E76CA3"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lang w:bidi="ar-EG"/>
        </w:rPr>
      </w:pPr>
    </w:p>
    <w:p w14:paraId="0E08D010"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rtl/>
          <w:lang w:bidi="ar-EG"/>
        </w:rPr>
      </w:pPr>
      <w:r w:rsidRPr="00545ABB">
        <w:rPr>
          <w:rFonts w:ascii="Traditional Arabic" w:hAnsi="Traditional Arabic" w:cs="Traditional Arabic"/>
          <w:b/>
          <w:bCs/>
          <w:color w:val="000000" w:themeColor="text1"/>
          <w:sz w:val="24"/>
          <w:szCs w:val="24"/>
          <w:rtl/>
        </w:rPr>
        <w:t>كما أتقدم بالشكر إلى الهيئة الوطنية للأمن السيبراني، ووزارة الاتصالات وتقنية المعلومات، وجميع الجهات التنظيمية في المملكة العربية السعودية على دعمها المستمر لقطاع الأمن السيبراني وتمكينها للشركات الناشئة، وإلى شركة الضوابط المتقدمة لتقنية المعلومات وشركة المتغير الأمني الذكي، وجميع العاملين فيهما، على تعاونهم المثمر واستضافتهم للبحث الميداني، وإلى جميع الخبراء والمختصين الذين شاركوا في المقابلات النوعية وقدموا رؤى ثرية أضافت عمقاً للدراسة</w:t>
      </w:r>
      <w:r w:rsidRPr="00545ABB">
        <w:rPr>
          <w:rFonts w:ascii="Traditional Arabic" w:hAnsi="Traditional Arabic" w:cs="Traditional Arabic"/>
          <w:b/>
          <w:bCs/>
          <w:color w:val="000000" w:themeColor="text1"/>
          <w:sz w:val="24"/>
          <w:szCs w:val="24"/>
          <w:lang w:bidi="ar-EG"/>
        </w:rPr>
        <w:t>.</w:t>
      </w:r>
    </w:p>
    <w:p w14:paraId="19C0A624"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lang w:bidi="ar-EG"/>
        </w:rPr>
      </w:pPr>
    </w:p>
    <w:p w14:paraId="0322B61B"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lang w:bidi="ar-EG"/>
        </w:rPr>
      </w:pPr>
      <w:r w:rsidRPr="00545ABB">
        <w:rPr>
          <w:rFonts w:ascii="Traditional Arabic" w:hAnsi="Traditional Arabic" w:cs="Traditional Arabic"/>
          <w:b/>
          <w:bCs/>
          <w:color w:val="000000" w:themeColor="text1"/>
          <w:sz w:val="24"/>
          <w:szCs w:val="24"/>
          <w:rtl/>
        </w:rPr>
        <w:t>ولا يفوتني في هذا المقام أن أتقدم بالشكر والامتنان إلى والديَّ على دعواتهما الصادقة وتربيتهما الفاضلة، وإلى زوجتي الغالية على صبرها وتفهمها ووقوفها إلى جانبي، وإلى أبنائي الأعزاء على تحملهم انشغالي، وإلى جميع أفراد أسرتي وإخوتي وأخواتي على دعمهم المعنوي وتشجيعهم المستمر</w:t>
      </w:r>
      <w:r w:rsidRPr="00545ABB">
        <w:rPr>
          <w:rFonts w:ascii="Traditional Arabic" w:hAnsi="Traditional Arabic" w:cs="Traditional Arabic"/>
          <w:b/>
          <w:bCs/>
          <w:color w:val="000000" w:themeColor="text1"/>
          <w:sz w:val="24"/>
          <w:szCs w:val="24"/>
          <w:lang w:bidi="ar-EG"/>
        </w:rPr>
        <w:t>.</w:t>
      </w:r>
    </w:p>
    <w:p w14:paraId="65B0D770" w14:textId="77777777" w:rsidR="00C0292C" w:rsidRPr="00545ABB" w:rsidRDefault="00C0292C" w:rsidP="00CF412E">
      <w:pPr>
        <w:spacing w:after="0" w:line="360" w:lineRule="auto"/>
        <w:jc w:val="both"/>
        <w:rPr>
          <w:rFonts w:ascii="Traditional Arabic" w:hAnsi="Traditional Arabic" w:cs="Traditional Arabic"/>
          <w:b/>
          <w:bCs/>
          <w:color w:val="000000" w:themeColor="text1"/>
          <w:sz w:val="24"/>
          <w:szCs w:val="24"/>
          <w:rtl/>
          <w:lang w:bidi="ar-EG"/>
        </w:rPr>
      </w:pPr>
      <w:r w:rsidRPr="00545ABB">
        <w:rPr>
          <w:rFonts w:ascii="Traditional Arabic" w:hAnsi="Traditional Arabic" w:cs="Traditional Arabic"/>
          <w:b/>
          <w:bCs/>
          <w:color w:val="000000" w:themeColor="text1"/>
          <w:sz w:val="24"/>
          <w:szCs w:val="24"/>
          <w:rtl/>
        </w:rPr>
        <w:t>أسأل الله أن ينفع بهذا العمل، وأن يجعله إضافة علمية تسهم في تطوير منظومة الحوكمة وشركات الأمن السيبراني الناشئة في المملكة العربية السعودية. والحمد لله رب العالمين</w:t>
      </w:r>
      <w:r w:rsidRPr="00545ABB">
        <w:rPr>
          <w:rFonts w:ascii="Traditional Arabic" w:hAnsi="Traditional Arabic" w:cs="Traditional Arabic"/>
          <w:b/>
          <w:bCs/>
          <w:color w:val="000000" w:themeColor="text1"/>
          <w:sz w:val="24"/>
          <w:szCs w:val="24"/>
          <w:lang w:bidi="ar-EG"/>
        </w:rPr>
        <w:t>.</w:t>
      </w:r>
    </w:p>
    <w:p w14:paraId="40B153FE" w14:textId="77777777" w:rsidR="008153D7" w:rsidRPr="00545ABB" w:rsidRDefault="008153D7" w:rsidP="00C0292C">
      <w:pPr>
        <w:spacing w:after="0"/>
        <w:jc w:val="both"/>
        <w:rPr>
          <w:rFonts w:ascii="Traditional Arabic" w:hAnsi="Traditional Arabic" w:cs="Traditional Arabic"/>
          <w:b/>
          <w:bCs/>
          <w:color w:val="000000" w:themeColor="text1"/>
          <w:sz w:val="28"/>
          <w:szCs w:val="28"/>
          <w:rtl/>
          <w:lang w:bidi="ar-EG"/>
        </w:rPr>
      </w:pPr>
    </w:p>
    <w:p w14:paraId="2ECD2BB3" w14:textId="77777777" w:rsidR="008153D7" w:rsidRPr="00545ABB" w:rsidRDefault="008153D7" w:rsidP="00C0292C">
      <w:pPr>
        <w:spacing w:after="0"/>
        <w:jc w:val="both"/>
        <w:rPr>
          <w:rFonts w:ascii="Traditional Arabic" w:hAnsi="Traditional Arabic" w:cs="Traditional Arabic"/>
          <w:b/>
          <w:bCs/>
          <w:color w:val="000000" w:themeColor="text1"/>
          <w:sz w:val="28"/>
          <w:szCs w:val="28"/>
          <w:rtl/>
          <w:lang w:bidi="ar-EG"/>
        </w:rPr>
      </w:pPr>
    </w:p>
    <w:p w14:paraId="25ADFB16" w14:textId="77777777" w:rsidR="008153D7" w:rsidRPr="00545ABB" w:rsidRDefault="008153D7" w:rsidP="00C0292C">
      <w:pPr>
        <w:spacing w:after="0"/>
        <w:jc w:val="both"/>
        <w:rPr>
          <w:rFonts w:ascii="Traditional Arabic" w:hAnsi="Traditional Arabic" w:cs="Traditional Arabic"/>
          <w:b/>
          <w:bCs/>
          <w:color w:val="000000" w:themeColor="text1"/>
          <w:sz w:val="28"/>
          <w:szCs w:val="28"/>
          <w:lang w:bidi="ar-EG"/>
        </w:rPr>
      </w:pPr>
    </w:p>
    <w:p w14:paraId="79F066F1" w14:textId="77777777" w:rsidR="006E57E6" w:rsidRPr="00545ABB" w:rsidRDefault="006E57E6" w:rsidP="00C0292C">
      <w:pPr>
        <w:spacing w:after="0"/>
        <w:jc w:val="both"/>
        <w:rPr>
          <w:rFonts w:ascii="Traditional Arabic" w:hAnsi="Traditional Arabic" w:cs="Traditional Arabic"/>
          <w:b/>
          <w:bCs/>
          <w:color w:val="000000" w:themeColor="text1"/>
          <w:sz w:val="28"/>
          <w:szCs w:val="28"/>
          <w:lang w:bidi="ar-EG"/>
        </w:rPr>
      </w:pPr>
    </w:p>
    <w:p w14:paraId="128D455A" w14:textId="77777777" w:rsidR="00C0292C" w:rsidRPr="00545ABB" w:rsidRDefault="00C0292C" w:rsidP="00C0292C">
      <w:pPr>
        <w:bidi w:val="0"/>
        <w:spacing w:after="0" w:line="360" w:lineRule="auto"/>
        <w:rPr>
          <w:rFonts w:ascii="Traditional Arabic" w:eastAsia="Calibri" w:hAnsi="Traditional Arabic" w:cs="Traditional Arabic"/>
          <w:color w:val="000000" w:themeColor="text1"/>
        </w:rPr>
      </w:pPr>
    </w:p>
    <w:p w14:paraId="335A3F02" w14:textId="0D85CE85" w:rsidR="004F75DC" w:rsidRPr="00545ABB" w:rsidRDefault="00C0292C" w:rsidP="00022590">
      <w:pPr>
        <w:spacing w:after="0" w:line="360" w:lineRule="auto"/>
        <w:jc w:val="center"/>
        <w:rPr>
          <w:rFonts w:ascii="Traditional Arabic" w:eastAsia="Calibri" w:hAnsi="Traditional Arabic" w:cs="Traditional Arabic"/>
          <w:b/>
          <w:bCs/>
          <w:color w:val="000000" w:themeColor="text1"/>
          <w:sz w:val="32"/>
          <w:szCs w:val="32"/>
          <w:u w:val="single"/>
          <w:rtl/>
          <w:lang w:bidi="ar-EG"/>
        </w:rPr>
      </w:pPr>
      <w:r w:rsidRPr="00545ABB">
        <w:rPr>
          <w:rFonts w:ascii="Traditional Arabic" w:eastAsia="Calibri" w:hAnsi="Traditional Arabic" w:cs="Traditional Arabic"/>
          <w:b/>
          <w:bCs/>
          <w:color w:val="000000" w:themeColor="text1"/>
          <w:sz w:val="32"/>
          <w:szCs w:val="32"/>
          <w:u w:val="single"/>
          <w:rtl/>
          <w:lang w:bidi="ar-EG"/>
        </w:rPr>
        <w:lastRenderedPageBreak/>
        <w:t>ال</w:t>
      </w:r>
      <w:r w:rsidR="00844AB6" w:rsidRPr="00545ABB">
        <w:rPr>
          <w:rFonts w:ascii="Traditional Arabic" w:eastAsia="Calibri" w:hAnsi="Traditional Arabic" w:cs="Traditional Arabic"/>
          <w:b/>
          <w:bCs/>
          <w:color w:val="000000" w:themeColor="text1"/>
          <w:sz w:val="32"/>
          <w:szCs w:val="32"/>
          <w:u w:val="single"/>
          <w:rtl/>
          <w:lang w:bidi="ar-EG"/>
        </w:rPr>
        <w:t>مستخلص</w:t>
      </w:r>
    </w:p>
    <w:p w14:paraId="28E868D1" w14:textId="77777777" w:rsidR="008A522F" w:rsidRPr="00545ABB" w:rsidRDefault="008A522F" w:rsidP="00402A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في ظل التطور التقني المتسارع والاعتماد المتزايد على الأنظمة الرقمية، أصبح الأمن السيبراني عنصرًا أساسيًا في حماية المعلومات، ودعم التحول الرقمي، وتعزيز مرونة المؤسسات وقدرتها على الاستمرار. وفي هذا السياق، تؤدي شركات الأمن السيبراني الناشئة دورًا متزايد الأهمية في تطوير الحلول المبتكرة ودعم نمو الاقتصاد الرقمي. وهدفت هذه الدراسة إلى تحليل أثر الحوكمة الفعالة في الاستدامة المؤسسية والنجاح المؤسسي لشركات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7709EA19" w14:textId="77777777" w:rsidR="008A522F" w:rsidRPr="00545ABB" w:rsidRDefault="008A522F" w:rsidP="00402A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ركزت الدراسة على الحوكمة الفعالة بوصفها المتغير المستقل، وتمثلت أبعادها في: الشفافية والإفصاح، والمساءلة والمسؤولية، والمشاركة في اتخاذ القرار، وإدارة المخاطر والالتزام، والكفاءة في استخدام الموارد. كما تناولت الدراسة الاستدامة المؤسسية والنجاح المؤسسي بوصفهما متغيرين تابعين؛ حيث تم قياس الاستدامة المؤسسية من خلال الأبعاد الاقتصادي والاجتماعي والتقني، في حين تم قياس النجاح المؤسسي من خلال جودة الأداء الإداري والتقني، والكفاءة التشغيلية، والابتكار والتكيف، ورضا العملاء والنمو المؤسسي</w:t>
      </w:r>
      <w:r w:rsidRPr="00545ABB">
        <w:rPr>
          <w:rFonts w:ascii="Traditional Arabic" w:hAnsi="Traditional Arabic" w:cs="Traditional Arabic"/>
          <w:b/>
          <w:bCs/>
          <w:color w:val="000000" w:themeColor="text1"/>
        </w:rPr>
        <w:t>.</w:t>
      </w:r>
    </w:p>
    <w:p w14:paraId="5266A88F" w14:textId="77777777" w:rsidR="008A522F" w:rsidRPr="00545ABB" w:rsidRDefault="008A522F" w:rsidP="00402A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اعتمدت الدراسة على المنهج الوصفي التحليلي، واستفادت من البيانات الكمية والكيفية. واستخدمت الاستبانة بوصفها الأداة الرئيسة لجمع البيانات الكمية، وتكونت من </w:t>
      </w:r>
      <w:r w:rsidRPr="00545ABB">
        <w:rPr>
          <w:rStyle w:val="Strong"/>
          <w:rFonts w:ascii="Traditional Arabic" w:hAnsi="Traditional Arabic" w:cs="Traditional Arabic"/>
          <w:color w:val="000000" w:themeColor="text1"/>
        </w:rPr>
        <w:t xml:space="preserve">(56)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متغيرات الدراسة وأبعادها. كما تم استخدام المقابلات شبه المقننة مع عدد من المختصين والخبراء، إلى جانب الاستفادة من الوثائق والتقارير ذات العلاقة لدعم تفسير النتائج في سياقها. وتمثلت العينة المؤسسية في شركتين ناشئتين تعملان في مجال الأمن السيبراني في المملكة العربية السعودية، هما</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شركة الضوابط المتقدمة لتقنية المعلومات</w:t>
      </w:r>
      <w:r w:rsidRPr="00545ABB">
        <w:rPr>
          <w:rFonts w:ascii="Traditional Arabic" w:hAnsi="Traditional Arabic" w:cs="Traditional Arabic"/>
          <w:b/>
          <w:bCs/>
          <w:color w:val="000000" w:themeColor="text1"/>
          <w:rtl/>
        </w:rPr>
        <w:t xml:space="preserve"> و</w:t>
      </w:r>
      <w:r w:rsidRPr="00545ABB">
        <w:rPr>
          <w:rStyle w:val="Strong"/>
          <w:rFonts w:ascii="Traditional Arabic" w:hAnsi="Traditional Arabic" w:cs="Traditional Arabic"/>
          <w:color w:val="000000" w:themeColor="text1"/>
          <w:rtl/>
        </w:rPr>
        <w:t>شركة المتغير الأمني الذكي</w:t>
      </w:r>
      <w:r w:rsidRPr="00545ABB">
        <w:rPr>
          <w:rFonts w:ascii="Traditional Arabic" w:hAnsi="Traditional Arabic" w:cs="Traditional Arabic"/>
          <w:b/>
          <w:bCs/>
          <w:color w:val="000000" w:themeColor="text1"/>
          <w:rtl/>
        </w:rPr>
        <w:t xml:space="preserve">، بينما بلغ عدد المشاركين في العينة البشرية </w:t>
      </w:r>
      <w:r w:rsidRPr="00545ABB">
        <w:rPr>
          <w:rStyle w:val="Strong"/>
          <w:rFonts w:ascii="Traditional Arabic" w:hAnsi="Traditional Arabic" w:cs="Traditional Arabic"/>
          <w:color w:val="000000" w:themeColor="text1"/>
        </w:rPr>
        <w:t xml:space="preserve">(63) </w:t>
      </w:r>
      <w:r w:rsidRPr="00545ABB">
        <w:rPr>
          <w:rStyle w:val="Strong"/>
          <w:rFonts w:ascii="Traditional Arabic" w:hAnsi="Traditional Arabic" w:cs="Traditional Arabic"/>
          <w:color w:val="000000" w:themeColor="text1"/>
          <w:rtl/>
        </w:rPr>
        <w:t>مشاركًا</w:t>
      </w:r>
      <w:r w:rsidRPr="00545ABB">
        <w:rPr>
          <w:rFonts w:ascii="Traditional Arabic" w:hAnsi="Traditional Arabic" w:cs="Traditional Arabic"/>
          <w:b/>
          <w:bCs/>
          <w:color w:val="000000" w:themeColor="text1"/>
          <w:rtl/>
        </w:rPr>
        <w:t xml:space="preserve"> من العاملين والمختصين ذوي العلاقة بالأمن السيبراني والإدارة والحوكمة. وتم تحليل البيانات الكمية باستخدام برنامج </w:t>
      </w:r>
      <w:r w:rsidRPr="00545ABB">
        <w:rPr>
          <w:rStyle w:val="Strong"/>
          <w:rFonts w:ascii="Traditional Arabic" w:hAnsi="Traditional Arabic" w:cs="Traditional Arabic"/>
          <w:color w:val="000000" w:themeColor="text1"/>
        </w:rPr>
        <w:t>SPSS</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من خلال الإحصاءات الوصفية، ومعامل ارتباط بيرسون، وتحليل الانحدار الخطي، في حين تم تحليل البيانات الكيفية باستخدام التحليل الموضوعي</w:t>
      </w:r>
      <w:r w:rsidRPr="00545ABB">
        <w:rPr>
          <w:rFonts w:ascii="Traditional Arabic" w:hAnsi="Traditional Arabic" w:cs="Traditional Arabic"/>
          <w:b/>
          <w:bCs/>
          <w:color w:val="000000" w:themeColor="text1"/>
        </w:rPr>
        <w:t>.</w:t>
      </w:r>
    </w:p>
    <w:p w14:paraId="475D49F2" w14:textId="77777777" w:rsidR="008A522F" w:rsidRPr="00545ABB" w:rsidRDefault="008A522F" w:rsidP="00402A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وأظهرت النتائج ارتفاع مستويات تطبيق الحوكمة الفعالة والاستدامة المؤسسية والنجاح المؤسسي لدى الشركات محل الدراسة، كما كشفت عن وجود علاقات ارتباط موجبة قوية وذات دلالة إحصائية بين الحوكمة الفعالة وكل من الاستدامة المؤسسية والنجاح المؤسسي. وتشير هذه النتائج إلى أن تعزيز ممارسات الحوكمة يرتبط بتحسين الأداء المؤسسي، ودعم الاستدامة، وزيادة قدرة شركات الأمن السيبراني الناشئة على النمو والتكيف مع المتغيرات. كما أظهرت النتائج أن تعزيز الحوكمة في هذه الشركات ينسجم مع التوجهات العامة لرؤية المملكة العربية السعودية 2030، ولا سيما ما يتعلق بالتحول الرقمي، وريادة الأعمال، والابتكار، وتنمية الاقتصاد الرقمي التنافسي</w:t>
      </w:r>
      <w:r w:rsidRPr="00545ABB">
        <w:rPr>
          <w:rFonts w:ascii="Traditional Arabic" w:hAnsi="Traditional Arabic" w:cs="Traditional Arabic"/>
          <w:b/>
          <w:bCs/>
          <w:color w:val="000000" w:themeColor="text1"/>
        </w:rPr>
        <w:t>.</w:t>
      </w:r>
    </w:p>
    <w:p w14:paraId="60EA9424" w14:textId="77777777" w:rsidR="008A522F" w:rsidRPr="00545ABB" w:rsidRDefault="008A522F" w:rsidP="00402A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وخلصت الدراسة إلى أن الحوكمة الفعالة تمثل أساسًا تنظيميًا مهمًا لدعم استدامة ونجاح شركات الأمن السيبراني الناشئة في المملكة العربية السعودية، وأوصت بتعزيز هياكل الحوكمة، وممارسات إدارة المخاطر، وآليات المساءلة، والقدرات المؤسسية؛ بما يسهم في دعم تطور هذه الشركات ورفع قدرتها التنافسية على المدى الطويل</w:t>
      </w:r>
      <w:r w:rsidRPr="00545ABB">
        <w:rPr>
          <w:rFonts w:ascii="Traditional Arabic" w:hAnsi="Traditional Arabic" w:cs="Traditional Arabic"/>
          <w:b/>
          <w:bCs/>
          <w:color w:val="000000" w:themeColor="text1"/>
        </w:rPr>
        <w:t>.</w:t>
      </w:r>
    </w:p>
    <w:p w14:paraId="454A3D0B" w14:textId="65758FB8" w:rsidR="00DA2134" w:rsidRPr="005C1307" w:rsidRDefault="008A522F" w:rsidP="005C1307">
      <w:pPr>
        <w:pStyle w:val="NormalWeb"/>
        <w:bidi/>
        <w:spacing w:line="360" w:lineRule="auto"/>
        <w:rPr>
          <w:rFonts w:ascii="Traditional Arabic" w:hAnsi="Traditional Arabic" w:cs="Traditional Arabic"/>
          <w:b/>
          <w:bCs/>
          <w:color w:val="000000" w:themeColor="text1"/>
          <w:rtl/>
        </w:rPr>
      </w:pPr>
      <w:r w:rsidRPr="00545ABB">
        <w:rPr>
          <w:rStyle w:val="Strong"/>
          <w:rFonts w:ascii="Traditional Arabic" w:hAnsi="Traditional Arabic" w:cs="Traditional Arabic"/>
          <w:color w:val="000000" w:themeColor="text1"/>
          <w:rtl/>
        </w:rPr>
        <w:t>الكلمات المفتاحية</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الحوكمة الفعالة، الأمن السيبراني، الشركات الناشئة، الاستدامة المؤسسية، النجاح المؤسسي، حوكمة الشركات، رؤية المملكة العربية السعودية 2030، الاقتصاد الرقمي</w:t>
      </w:r>
      <w:r w:rsidRPr="00545ABB">
        <w:rPr>
          <w:rFonts w:ascii="Traditional Arabic" w:hAnsi="Traditional Arabic" w:cs="Traditional Arabic"/>
          <w:b/>
          <w:bCs/>
          <w:color w:val="000000" w:themeColor="text1"/>
        </w:rPr>
        <w:t>.</w:t>
      </w:r>
      <w:bookmarkStart w:id="2" w:name="_GoBack"/>
      <w:bookmarkEnd w:id="2"/>
      <w:r w:rsidR="00DA2134" w:rsidRPr="00545ABB">
        <w:rPr>
          <w:rFonts w:ascii="Traditional Arabic" w:eastAsia="Calibri" w:hAnsi="Traditional Arabic" w:cs="Traditional Arabic"/>
          <w:color w:val="000000" w:themeColor="text1"/>
          <w:sz w:val="28"/>
          <w:szCs w:val="28"/>
          <w:rtl/>
          <w:lang w:bidi="ar-EG"/>
        </w:rPr>
        <w:br w:type="page"/>
      </w:r>
    </w:p>
    <w:sdt>
      <w:sdtPr>
        <w:rPr>
          <w:rFonts w:ascii="Traditional Arabic" w:eastAsiaTheme="minorHAnsi" w:hAnsi="Traditional Arabic" w:cs="Traditional Arabic"/>
          <w:b/>
          <w:bCs/>
          <w:color w:val="000000" w:themeColor="text1"/>
          <w:sz w:val="28"/>
          <w:szCs w:val="28"/>
          <w:rtl/>
        </w:rPr>
        <w:id w:val="1439095854"/>
        <w:docPartObj>
          <w:docPartGallery w:val="Table of Contents"/>
          <w:docPartUnique/>
        </w:docPartObj>
      </w:sdtPr>
      <w:sdtEndPr>
        <w:rPr>
          <w:noProof/>
        </w:rPr>
      </w:sdtEndPr>
      <w:sdtContent>
        <w:p w14:paraId="5369180D" w14:textId="79826C22" w:rsidR="00E4652C" w:rsidRPr="00545ABB" w:rsidRDefault="000B3CEF" w:rsidP="00FC05A1">
          <w:pPr>
            <w:pStyle w:val="TOCHeading"/>
            <w:bidi/>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قائمة المحتويات</w:t>
          </w:r>
        </w:p>
        <w:p w14:paraId="4D19EE6E" w14:textId="3E3BF659" w:rsidR="00FC05A1" w:rsidRDefault="00E4652C" w:rsidP="00FC05A1">
          <w:pPr>
            <w:pStyle w:val="TOC2"/>
            <w:tabs>
              <w:tab w:val="right" w:leader="dot" w:pos="9350"/>
            </w:tabs>
            <w:rPr>
              <w:rFonts w:eastAsiaTheme="minorEastAsia"/>
              <w:noProof/>
            </w:rPr>
          </w:pPr>
          <w:r w:rsidRPr="00545ABB">
            <w:rPr>
              <w:rFonts w:ascii="Traditional Arabic" w:hAnsi="Traditional Arabic" w:cs="Traditional Arabic"/>
              <w:b/>
              <w:bCs/>
              <w:color w:val="000000" w:themeColor="text1"/>
              <w:sz w:val="28"/>
              <w:szCs w:val="28"/>
            </w:rPr>
            <w:fldChar w:fldCharType="begin"/>
          </w:r>
          <w:r w:rsidRPr="00545ABB">
            <w:rPr>
              <w:rFonts w:ascii="Traditional Arabic" w:hAnsi="Traditional Arabic" w:cs="Traditional Arabic"/>
              <w:b/>
              <w:bCs/>
              <w:color w:val="000000" w:themeColor="text1"/>
              <w:sz w:val="28"/>
              <w:szCs w:val="28"/>
            </w:rPr>
            <w:instrText xml:space="preserve"> TOC \o "1-3" \h \z \u </w:instrText>
          </w:r>
          <w:r w:rsidRPr="00545ABB">
            <w:rPr>
              <w:rFonts w:ascii="Traditional Arabic" w:hAnsi="Traditional Arabic" w:cs="Traditional Arabic"/>
              <w:b/>
              <w:bCs/>
              <w:color w:val="000000" w:themeColor="text1"/>
              <w:sz w:val="28"/>
              <w:szCs w:val="28"/>
            </w:rPr>
            <w:fldChar w:fldCharType="separate"/>
          </w:r>
          <w:hyperlink w:anchor="_Toc242325176" w:history="1">
            <w:r w:rsidR="00FC05A1" w:rsidRPr="00756B62">
              <w:rPr>
                <w:rStyle w:val="Hyperlink"/>
                <w:rFonts w:ascii="Traditional Arabic" w:hAnsi="Traditional Arabic" w:cs="Traditional Arabic"/>
                <w:b/>
                <w:bCs/>
                <w:noProof/>
                <w:rtl/>
              </w:rPr>
              <w:t>قائمة الجداول</w:t>
            </w:r>
            <w:r w:rsidR="00FC05A1">
              <w:rPr>
                <w:noProof/>
                <w:webHidden/>
              </w:rPr>
              <w:tab/>
            </w:r>
            <w:r w:rsidR="00FC05A1">
              <w:rPr>
                <w:noProof/>
                <w:webHidden/>
              </w:rPr>
              <w:fldChar w:fldCharType="begin"/>
            </w:r>
            <w:r w:rsidR="00FC05A1">
              <w:rPr>
                <w:noProof/>
                <w:webHidden/>
              </w:rPr>
              <w:instrText xml:space="preserve"> PAGEREF _Toc242325176 \h </w:instrText>
            </w:r>
            <w:r w:rsidR="00FC05A1">
              <w:rPr>
                <w:noProof/>
                <w:webHidden/>
              </w:rPr>
            </w:r>
            <w:r w:rsidR="00FC05A1">
              <w:rPr>
                <w:noProof/>
                <w:webHidden/>
              </w:rPr>
              <w:fldChar w:fldCharType="separate"/>
            </w:r>
            <w:r w:rsidR="00FC05A1">
              <w:rPr>
                <w:noProof/>
                <w:webHidden/>
              </w:rPr>
              <w:t>15</w:t>
            </w:r>
            <w:r w:rsidR="00FC05A1">
              <w:rPr>
                <w:noProof/>
                <w:webHidden/>
              </w:rPr>
              <w:fldChar w:fldCharType="end"/>
            </w:r>
          </w:hyperlink>
        </w:p>
        <w:p w14:paraId="76DCD2FD" w14:textId="161B31EE" w:rsidR="00FC05A1" w:rsidRDefault="00FC05A1" w:rsidP="00FC05A1">
          <w:pPr>
            <w:pStyle w:val="TOC1"/>
            <w:rPr>
              <w:rFonts w:eastAsiaTheme="minorEastAsia"/>
              <w:noProof/>
            </w:rPr>
          </w:pPr>
          <w:hyperlink w:anchor="_Toc242325177" w:history="1">
            <w:r w:rsidRPr="00756B62">
              <w:rPr>
                <w:rStyle w:val="Hyperlink"/>
                <w:rFonts w:ascii="Traditional Arabic" w:hAnsi="Traditional Arabic" w:cs="Traditional Arabic"/>
                <w:b/>
                <w:bCs/>
                <w:noProof/>
                <w:rtl/>
              </w:rPr>
              <w:t>قائمة الأشكال</w:t>
            </w:r>
            <w:r>
              <w:rPr>
                <w:noProof/>
                <w:webHidden/>
              </w:rPr>
              <w:tab/>
            </w:r>
            <w:r>
              <w:rPr>
                <w:noProof/>
                <w:webHidden/>
              </w:rPr>
              <w:fldChar w:fldCharType="begin"/>
            </w:r>
            <w:r>
              <w:rPr>
                <w:noProof/>
                <w:webHidden/>
              </w:rPr>
              <w:instrText xml:space="preserve"> PAGEREF _Toc242325177 \h </w:instrText>
            </w:r>
            <w:r>
              <w:rPr>
                <w:noProof/>
                <w:webHidden/>
              </w:rPr>
            </w:r>
            <w:r>
              <w:rPr>
                <w:noProof/>
                <w:webHidden/>
              </w:rPr>
              <w:fldChar w:fldCharType="separate"/>
            </w:r>
            <w:r>
              <w:rPr>
                <w:noProof/>
                <w:webHidden/>
              </w:rPr>
              <w:t>17</w:t>
            </w:r>
            <w:r>
              <w:rPr>
                <w:noProof/>
                <w:webHidden/>
              </w:rPr>
              <w:fldChar w:fldCharType="end"/>
            </w:r>
          </w:hyperlink>
        </w:p>
        <w:p w14:paraId="10973CBC" w14:textId="058FC494" w:rsidR="00FC05A1" w:rsidRDefault="00FC05A1" w:rsidP="00FC05A1">
          <w:pPr>
            <w:pStyle w:val="TOC1"/>
            <w:rPr>
              <w:rFonts w:eastAsiaTheme="minorEastAsia"/>
              <w:noProof/>
            </w:rPr>
          </w:pPr>
          <w:hyperlink w:anchor="_Toc242325178" w:history="1">
            <w:r w:rsidRPr="00756B62">
              <w:rPr>
                <w:rStyle w:val="Hyperlink"/>
                <w:rFonts w:ascii="Traditional Arabic" w:eastAsia="Calibri" w:hAnsi="Traditional Arabic" w:cs="Traditional Arabic"/>
                <w:b/>
                <w:bCs/>
                <w:noProof/>
                <w:rtl/>
                <w:lang w:bidi="ar-EG"/>
              </w:rPr>
              <w:t>الفصـــل الأول</w:t>
            </w:r>
            <w:r>
              <w:rPr>
                <w:noProof/>
                <w:webHidden/>
              </w:rPr>
              <w:tab/>
            </w:r>
            <w:r>
              <w:rPr>
                <w:noProof/>
                <w:webHidden/>
              </w:rPr>
              <w:fldChar w:fldCharType="begin"/>
            </w:r>
            <w:r>
              <w:rPr>
                <w:noProof/>
                <w:webHidden/>
              </w:rPr>
              <w:instrText xml:space="preserve"> PAGEREF _Toc242325178 \h </w:instrText>
            </w:r>
            <w:r>
              <w:rPr>
                <w:noProof/>
                <w:webHidden/>
              </w:rPr>
            </w:r>
            <w:r>
              <w:rPr>
                <w:noProof/>
                <w:webHidden/>
              </w:rPr>
              <w:fldChar w:fldCharType="separate"/>
            </w:r>
            <w:r>
              <w:rPr>
                <w:noProof/>
                <w:webHidden/>
              </w:rPr>
              <w:t>18</w:t>
            </w:r>
            <w:r>
              <w:rPr>
                <w:noProof/>
                <w:webHidden/>
              </w:rPr>
              <w:fldChar w:fldCharType="end"/>
            </w:r>
          </w:hyperlink>
        </w:p>
        <w:p w14:paraId="15019F7D" w14:textId="1333E90A" w:rsidR="00FC05A1" w:rsidRDefault="00FC05A1" w:rsidP="00FC05A1">
          <w:pPr>
            <w:pStyle w:val="TOC1"/>
            <w:rPr>
              <w:rFonts w:eastAsiaTheme="minorEastAsia"/>
              <w:noProof/>
            </w:rPr>
          </w:pPr>
          <w:hyperlink w:anchor="_Toc242325179" w:history="1">
            <w:r w:rsidRPr="00756B62">
              <w:rPr>
                <w:rStyle w:val="Hyperlink"/>
                <w:rFonts w:ascii="Traditional Arabic" w:eastAsia="Calibri" w:hAnsi="Traditional Arabic" w:cs="Traditional Arabic"/>
                <w:b/>
                <w:bCs/>
                <w:noProof/>
                <w:rtl/>
                <w:lang w:bidi="ar-EG"/>
              </w:rPr>
              <w:t>المقدمة الإطار العام للدراسة</w:t>
            </w:r>
            <w:r>
              <w:rPr>
                <w:noProof/>
                <w:webHidden/>
              </w:rPr>
              <w:tab/>
            </w:r>
            <w:r>
              <w:rPr>
                <w:noProof/>
                <w:webHidden/>
              </w:rPr>
              <w:fldChar w:fldCharType="begin"/>
            </w:r>
            <w:r>
              <w:rPr>
                <w:noProof/>
                <w:webHidden/>
              </w:rPr>
              <w:instrText xml:space="preserve"> PAGEREF _Toc242325179 \h </w:instrText>
            </w:r>
            <w:r>
              <w:rPr>
                <w:noProof/>
                <w:webHidden/>
              </w:rPr>
            </w:r>
            <w:r>
              <w:rPr>
                <w:noProof/>
                <w:webHidden/>
              </w:rPr>
              <w:fldChar w:fldCharType="separate"/>
            </w:r>
            <w:r>
              <w:rPr>
                <w:noProof/>
                <w:webHidden/>
              </w:rPr>
              <w:t>18</w:t>
            </w:r>
            <w:r>
              <w:rPr>
                <w:noProof/>
                <w:webHidden/>
              </w:rPr>
              <w:fldChar w:fldCharType="end"/>
            </w:r>
          </w:hyperlink>
        </w:p>
        <w:p w14:paraId="7A5031CF" w14:textId="572D7CAF" w:rsidR="00FC05A1" w:rsidRDefault="00FC05A1" w:rsidP="00FC05A1">
          <w:pPr>
            <w:pStyle w:val="TOC2"/>
            <w:tabs>
              <w:tab w:val="right" w:leader="dot" w:pos="9350"/>
            </w:tabs>
            <w:rPr>
              <w:rFonts w:eastAsiaTheme="minorEastAsia"/>
              <w:noProof/>
            </w:rPr>
          </w:pPr>
          <w:hyperlink w:anchor="_Toc242325180" w:history="1">
            <w:r w:rsidRPr="00756B62">
              <w:rPr>
                <w:rStyle w:val="Hyperlink"/>
                <w:rFonts w:ascii="Traditional Arabic" w:eastAsia="Calibri" w:hAnsi="Traditional Arabic" w:cs="Traditional Arabic"/>
                <w:b/>
                <w:bCs/>
                <w:noProof/>
                <w:rtl/>
                <w:lang w:bidi="ar-EG"/>
              </w:rPr>
              <w:t>مقدمة:</w:t>
            </w:r>
            <w:r>
              <w:rPr>
                <w:noProof/>
                <w:webHidden/>
              </w:rPr>
              <w:tab/>
            </w:r>
            <w:r>
              <w:rPr>
                <w:noProof/>
                <w:webHidden/>
              </w:rPr>
              <w:fldChar w:fldCharType="begin"/>
            </w:r>
            <w:r>
              <w:rPr>
                <w:noProof/>
                <w:webHidden/>
              </w:rPr>
              <w:instrText xml:space="preserve"> PAGEREF _Toc242325180 \h </w:instrText>
            </w:r>
            <w:r>
              <w:rPr>
                <w:noProof/>
                <w:webHidden/>
              </w:rPr>
            </w:r>
            <w:r>
              <w:rPr>
                <w:noProof/>
                <w:webHidden/>
              </w:rPr>
              <w:fldChar w:fldCharType="separate"/>
            </w:r>
            <w:r>
              <w:rPr>
                <w:noProof/>
                <w:webHidden/>
              </w:rPr>
              <w:t>19</w:t>
            </w:r>
            <w:r>
              <w:rPr>
                <w:noProof/>
                <w:webHidden/>
              </w:rPr>
              <w:fldChar w:fldCharType="end"/>
            </w:r>
          </w:hyperlink>
        </w:p>
        <w:p w14:paraId="7193C343" w14:textId="47F0AEAD" w:rsidR="00FC05A1" w:rsidRDefault="00FC05A1" w:rsidP="00FC05A1">
          <w:pPr>
            <w:pStyle w:val="TOC2"/>
            <w:tabs>
              <w:tab w:val="right" w:leader="dot" w:pos="9350"/>
            </w:tabs>
            <w:rPr>
              <w:rFonts w:eastAsiaTheme="minorEastAsia"/>
              <w:noProof/>
            </w:rPr>
          </w:pPr>
          <w:hyperlink w:anchor="_Toc242325181" w:history="1">
            <w:r w:rsidRPr="00756B62">
              <w:rPr>
                <w:rStyle w:val="Hyperlink"/>
                <w:rFonts w:ascii="Traditional Arabic" w:eastAsia="Calibri" w:hAnsi="Traditional Arabic" w:cs="Traditional Arabic"/>
                <w:b/>
                <w:bCs/>
                <w:noProof/>
                <w:rtl/>
                <w:lang w:bidi="ar-EG"/>
              </w:rPr>
              <w:t>مشكلة الدراسة</w:t>
            </w:r>
            <w:r>
              <w:rPr>
                <w:noProof/>
                <w:webHidden/>
              </w:rPr>
              <w:tab/>
            </w:r>
            <w:r>
              <w:rPr>
                <w:noProof/>
                <w:webHidden/>
              </w:rPr>
              <w:fldChar w:fldCharType="begin"/>
            </w:r>
            <w:r>
              <w:rPr>
                <w:noProof/>
                <w:webHidden/>
              </w:rPr>
              <w:instrText xml:space="preserve"> PAGEREF _Toc242325181 \h </w:instrText>
            </w:r>
            <w:r>
              <w:rPr>
                <w:noProof/>
                <w:webHidden/>
              </w:rPr>
            </w:r>
            <w:r>
              <w:rPr>
                <w:noProof/>
                <w:webHidden/>
              </w:rPr>
              <w:fldChar w:fldCharType="separate"/>
            </w:r>
            <w:r>
              <w:rPr>
                <w:noProof/>
                <w:webHidden/>
              </w:rPr>
              <w:t>20</w:t>
            </w:r>
            <w:r>
              <w:rPr>
                <w:noProof/>
                <w:webHidden/>
              </w:rPr>
              <w:fldChar w:fldCharType="end"/>
            </w:r>
          </w:hyperlink>
        </w:p>
        <w:p w14:paraId="4CB6E54A" w14:textId="08C15E2D" w:rsidR="00FC05A1" w:rsidRDefault="00FC05A1" w:rsidP="00FC05A1">
          <w:pPr>
            <w:pStyle w:val="TOC2"/>
            <w:tabs>
              <w:tab w:val="right" w:leader="dot" w:pos="9350"/>
            </w:tabs>
            <w:rPr>
              <w:rFonts w:eastAsiaTheme="minorEastAsia"/>
              <w:noProof/>
            </w:rPr>
          </w:pPr>
          <w:hyperlink w:anchor="_Toc242325182" w:history="1">
            <w:r w:rsidRPr="00756B62">
              <w:rPr>
                <w:rStyle w:val="Hyperlink"/>
                <w:rFonts w:ascii="Traditional Arabic" w:eastAsia="Calibri" w:hAnsi="Traditional Arabic" w:cs="Traditional Arabic"/>
                <w:b/>
                <w:bCs/>
                <w:noProof/>
                <w:rtl/>
                <w:lang w:bidi="ar-EG"/>
              </w:rPr>
              <w:t>أهمية الدراسة</w:t>
            </w:r>
            <w:r>
              <w:rPr>
                <w:noProof/>
                <w:webHidden/>
              </w:rPr>
              <w:tab/>
            </w:r>
            <w:r>
              <w:rPr>
                <w:noProof/>
                <w:webHidden/>
              </w:rPr>
              <w:fldChar w:fldCharType="begin"/>
            </w:r>
            <w:r>
              <w:rPr>
                <w:noProof/>
                <w:webHidden/>
              </w:rPr>
              <w:instrText xml:space="preserve"> PAGEREF _Toc242325182 \h </w:instrText>
            </w:r>
            <w:r>
              <w:rPr>
                <w:noProof/>
                <w:webHidden/>
              </w:rPr>
            </w:r>
            <w:r>
              <w:rPr>
                <w:noProof/>
                <w:webHidden/>
              </w:rPr>
              <w:fldChar w:fldCharType="separate"/>
            </w:r>
            <w:r>
              <w:rPr>
                <w:noProof/>
                <w:webHidden/>
              </w:rPr>
              <w:t>25</w:t>
            </w:r>
            <w:r>
              <w:rPr>
                <w:noProof/>
                <w:webHidden/>
              </w:rPr>
              <w:fldChar w:fldCharType="end"/>
            </w:r>
          </w:hyperlink>
        </w:p>
        <w:p w14:paraId="1F871CC7" w14:textId="1196D5A8" w:rsidR="00FC05A1" w:rsidRDefault="00FC05A1" w:rsidP="00FC05A1">
          <w:pPr>
            <w:pStyle w:val="TOC2"/>
            <w:tabs>
              <w:tab w:val="right" w:leader="dot" w:pos="9350"/>
            </w:tabs>
            <w:rPr>
              <w:rFonts w:eastAsiaTheme="minorEastAsia"/>
              <w:noProof/>
            </w:rPr>
          </w:pPr>
          <w:hyperlink w:anchor="_Toc242325183" w:history="1">
            <w:r w:rsidRPr="00756B62">
              <w:rPr>
                <w:rStyle w:val="Hyperlink"/>
                <w:rFonts w:ascii="Traditional Arabic" w:eastAsia="Calibri" w:hAnsi="Traditional Arabic" w:cs="Traditional Arabic"/>
                <w:b/>
                <w:bCs/>
                <w:noProof/>
                <w:rtl/>
                <w:lang w:bidi="ar-EG"/>
              </w:rPr>
              <w:t>أهداف الدراسة</w:t>
            </w:r>
            <w:r>
              <w:rPr>
                <w:noProof/>
                <w:webHidden/>
              </w:rPr>
              <w:tab/>
            </w:r>
            <w:r>
              <w:rPr>
                <w:noProof/>
                <w:webHidden/>
              </w:rPr>
              <w:fldChar w:fldCharType="begin"/>
            </w:r>
            <w:r>
              <w:rPr>
                <w:noProof/>
                <w:webHidden/>
              </w:rPr>
              <w:instrText xml:space="preserve"> PAGEREF _Toc242325183 \h </w:instrText>
            </w:r>
            <w:r>
              <w:rPr>
                <w:noProof/>
                <w:webHidden/>
              </w:rPr>
            </w:r>
            <w:r>
              <w:rPr>
                <w:noProof/>
                <w:webHidden/>
              </w:rPr>
              <w:fldChar w:fldCharType="separate"/>
            </w:r>
            <w:r>
              <w:rPr>
                <w:noProof/>
                <w:webHidden/>
              </w:rPr>
              <w:t>26</w:t>
            </w:r>
            <w:r>
              <w:rPr>
                <w:noProof/>
                <w:webHidden/>
              </w:rPr>
              <w:fldChar w:fldCharType="end"/>
            </w:r>
          </w:hyperlink>
        </w:p>
        <w:p w14:paraId="1D67D06B" w14:textId="7C26B5DE" w:rsidR="00FC05A1" w:rsidRDefault="00FC05A1" w:rsidP="00FC05A1">
          <w:pPr>
            <w:pStyle w:val="TOC2"/>
            <w:tabs>
              <w:tab w:val="right" w:leader="dot" w:pos="9350"/>
            </w:tabs>
            <w:rPr>
              <w:rFonts w:eastAsiaTheme="minorEastAsia"/>
              <w:noProof/>
            </w:rPr>
          </w:pPr>
          <w:hyperlink w:anchor="_Toc242325184" w:history="1">
            <w:r w:rsidRPr="00756B62">
              <w:rPr>
                <w:rStyle w:val="Hyperlink"/>
                <w:rFonts w:ascii="Traditional Arabic" w:eastAsia="Calibri" w:hAnsi="Traditional Arabic" w:cs="Traditional Arabic"/>
                <w:b/>
                <w:bCs/>
                <w:noProof/>
                <w:rtl/>
                <w:lang w:bidi="ar-EG"/>
              </w:rPr>
              <w:t>فروض الدراسة</w:t>
            </w:r>
            <w:r>
              <w:rPr>
                <w:noProof/>
                <w:webHidden/>
              </w:rPr>
              <w:tab/>
            </w:r>
            <w:r>
              <w:rPr>
                <w:noProof/>
                <w:webHidden/>
              </w:rPr>
              <w:fldChar w:fldCharType="begin"/>
            </w:r>
            <w:r>
              <w:rPr>
                <w:noProof/>
                <w:webHidden/>
              </w:rPr>
              <w:instrText xml:space="preserve"> PAGEREF _Toc242325184 \h </w:instrText>
            </w:r>
            <w:r>
              <w:rPr>
                <w:noProof/>
                <w:webHidden/>
              </w:rPr>
            </w:r>
            <w:r>
              <w:rPr>
                <w:noProof/>
                <w:webHidden/>
              </w:rPr>
              <w:fldChar w:fldCharType="separate"/>
            </w:r>
            <w:r>
              <w:rPr>
                <w:noProof/>
                <w:webHidden/>
              </w:rPr>
              <w:t>26</w:t>
            </w:r>
            <w:r>
              <w:rPr>
                <w:noProof/>
                <w:webHidden/>
              </w:rPr>
              <w:fldChar w:fldCharType="end"/>
            </w:r>
          </w:hyperlink>
        </w:p>
        <w:p w14:paraId="32B34F58" w14:textId="26547259" w:rsidR="00FC05A1" w:rsidRDefault="00FC05A1" w:rsidP="00FC05A1">
          <w:pPr>
            <w:pStyle w:val="TOC2"/>
            <w:tabs>
              <w:tab w:val="right" w:leader="dot" w:pos="9350"/>
            </w:tabs>
            <w:rPr>
              <w:rFonts w:eastAsiaTheme="minorEastAsia"/>
              <w:noProof/>
            </w:rPr>
          </w:pPr>
          <w:hyperlink w:anchor="_Toc242325185" w:history="1">
            <w:r w:rsidRPr="00756B62">
              <w:rPr>
                <w:rStyle w:val="Hyperlink"/>
                <w:rFonts w:ascii="Traditional Arabic" w:eastAsia="Calibri" w:hAnsi="Traditional Arabic" w:cs="Traditional Arabic"/>
                <w:b/>
                <w:bCs/>
                <w:noProof/>
                <w:rtl/>
                <w:lang w:bidi="ar-EG"/>
              </w:rPr>
              <w:t>نموذج الدراسة:</w:t>
            </w:r>
            <w:r>
              <w:rPr>
                <w:noProof/>
                <w:webHidden/>
              </w:rPr>
              <w:tab/>
            </w:r>
            <w:r>
              <w:rPr>
                <w:noProof/>
                <w:webHidden/>
              </w:rPr>
              <w:fldChar w:fldCharType="begin"/>
            </w:r>
            <w:r>
              <w:rPr>
                <w:noProof/>
                <w:webHidden/>
              </w:rPr>
              <w:instrText xml:space="preserve"> PAGEREF _Toc242325185 \h </w:instrText>
            </w:r>
            <w:r>
              <w:rPr>
                <w:noProof/>
                <w:webHidden/>
              </w:rPr>
            </w:r>
            <w:r>
              <w:rPr>
                <w:noProof/>
                <w:webHidden/>
              </w:rPr>
              <w:fldChar w:fldCharType="separate"/>
            </w:r>
            <w:r>
              <w:rPr>
                <w:noProof/>
                <w:webHidden/>
              </w:rPr>
              <w:t>27</w:t>
            </w:r>
            <w:r>
              <w:rPr>
                <w:noProof/>
                <w:webHidden/>
              </w:rPr>
              <w:fldChar w:fldCharType="end"/>
            </w:r>
          </w:hyperlink>
        </w:p>
        <w:p w14:paraId="23F7BED5" w14:textId="0CFB61C1" w:rsidR="00FC05A1" w:rsidRDefault="00FC05A1" w:rsidP="00FC05A1">
          <w:pPr>
            <w:pStyle w:val="TOC2"/>
            <w:tabs>
              <w:tab w:val="right" w:leader="dot" w:pos="9350"/>
            </w:tabs>
            <w:rPr>
              <w:rFonts w:eastAsiaTheme="minorEastAsia"/>
              <w:noProof/>
            </w:rPr>
          </w:pPr>
          <w:hyperlink w:anchor="_Toc242325186" w:history="1">
            <w:r w:rsidRPr="00756B62">
              <w:rPr>
                <w:rStyle w:val="Hyperlink"/>
                <w:rFonts w:ascii="Traditional Arabic" w:eastAsia="Calibri" w:hAnsi="Traditional Arabic" w:cs="Traditional Arabic"/>
                <w:b/>
                <w:bCs/>
                <w:noProof/>
                <w:rtl/>
                <w:lang w:bidi="ar-EG"/>
              </w:rPr>
              <w:t>أبعاد تطبيق الدراسة</w:t>
            </w:r>
            <w:r>
              <w:rPr>
                <w:noProof/>
                <w:webHidden/>
              </w:rPr>
              <w:tab/>
            </w:r>
            <w:r>
              <w:rPr>
                <w:noProof/>
                <w:webHidden/>
              </w:rPr>
              <w:fldChar w:fldCharType="begin"/>
            </w:r>
            <w:r>
              <w:rPr>
                <w:noProof/>
                <w:webHidden/>
              </w:rPr>
              <w:instrText xml:space="preserve"> PAGEREF _Toc242325186 \h </w:instrText>
            </w:r>
            <w:r>
              <w:rPr>
                <w:noProof/>
                <w:webHidden/>
              </w:rPr>
            </w:r>
            <w:r>
              <w:rPr>
                <w:noProof/>
                <w:webHidden/>
              </w:rPr>
              <w:fldChar w:fldCharType="separate"/>
            </w:r>
            <w:r>
              <w:rPr>
                <w:noProof/>
                <w:webHidden/>
              </w:rPr>
              <w:t>28</w:t>
            </w:r>
            <w:r>
              <w:rPr>
                <w:noProof/>
                <w:webHidden/>
              </w:rPr>
              <w:fldChar w:fldCharType="end"/>
            </w:r>
          </w:hyperlink>
        </w:p>
        <w:p w14:paraId="7260BF60" w14:textId="4EC506D1" w:rsidR="00FC05A1" w:rsidRDefault="00FC05A1" w:rsidP="00FC05A1">
          <w:pPr>
            <w:pStyle w:val="TOC2"/>
            <w:tabs>
              <w:tab w:val="right" w:leader="dot" w:pos="9350"/>
            </w:tabs>
            <w:rPr>
              <w:rFonts w:eastAsiaTheme="minorEastAsia"/>
              <w:noProof/>
            </w:rPr>
          </w:pPr>
          <w:hyperlink w:anchor="_Toc242325187" w:history="1">
            <w:r w:rsidRPr="00756B62">
              <w:rPr>
                <w:rStyle w:val="Hyperlink"/>
                <w:rFonts w:ascii="Traditional Arabic" w:hAnsi="Traditional Arabic" w:cs="Traditional Arabic"/>
                <w:b/>
                <w:bCs/>
                <w:noProof/>
                <w:rtl/>
                <w:lang w:bidi="ar-EG"/>
              </w:rPr>
              <w:t>تم تنفيذ الدراسة الميدانية خلال الفترة المحددة لجمع البيانات وتطبيق أدوات الدراسة وتحليل النتائج، وفق الإجراءات المنهجية الموضحة في الفصل الثالث.</w:t>
            </w:r>
            <w:r>
              <w:rPr>
                <w:noProof/>
                <w:webHidden/>
              </w:rPr>
              <w:tab/>
            </w:r>
            <w:r>
              <w:rPr>
                <w:noProof/>
                <w:webHidden/>
              </w:rPr>
              <w:fldChar w:fldCharType="begin"/>
            </w:r>
            <w:r>
              <w:rPr>
                <w:noProof/>
                <w:webHidden/>
              </w:rPr>
              <w:instrText xml:space="preserve"> PAGEREF _Toc242325187 \h </w:instrText>
            </w:r>
            <w:r>
              <w:rPr>
                <w:noProof/>
                <w:webHidden/>
              </w:rPr>
            </w:r>
            <w:r>
              <w:rPr>
                <w:noProof/>
                <w:webHidden/>
              </w:rPr>
              <w:fldChar w:fldCharType="separate"/>
            </w:r>
            <w:r>
              <w:rPr>
                <w:noProof/>
                <w:webHidden/>
              </w:rPr>
              <w:t>28</w:t>
            </w:r>
            <w:r>
              <w:rPr>
                <w:noProof/>
                <w:webHidden/>
              </w:rPr>
              <w:fldChar w:fldCharType="end"/>
            </w:r>
          </w:hyperlink>
        </w:p>
        <w:p w14:paraId="049AC974" w14:textId="365260DC" w:rsidR="00FC05A1" w:rsidRDefault="00FC05A1" w:rsidP="00FC05A1">
          <w:pPr>
            <w:pStyle w:val="TOC2"/>
            <w:tabs>
              <w:tab w:val="right" w:leader="dot" w:pos="9350"/>
            </w:tabs>
            <w:rPr>
              <w:rFonts w:eastAsiaTheme="minorEastAsia"/>
              <w:noProof/>
            </w:rPr>
          </w:pPr>
          <w:hyperlink w:anchor="_Toc242325188" w:history="1">
            <w:r w:rsidRPr="00756B62">
              <w:rPr>
                <w:rStyle w:val="Hyperlink"/>
                <w:rFonts w:ascii="Traditional Arabic" w:eastAsia="Calibri" w:hAnsi="Traditional Arabic" w:cs="Traditional Arabic"/>
                <w:b/>
                <w:bCs/>
                <w:noProof/>
                <w:rtl/>
                <w:lang w:bidi="ar-EG"/>
              </w:rPr>
              <w:t>الإجراءات المنهجية للدراسة</w:t>
            </w:r>
            <w:r>
              <w:rPr>
                <w:noProof/>
                <w:webHidden/>
              </w:rPr>
              <w:tab/>
            </w:r>
            <w:r>
              <w:rPr>
                <w:noProof/>
                <w:webHidden/>
              </w:rPr>
              <w:fldChar w:fldCharType="begin"/>
            </w:r>
            <w:r>
              <w:rPr>
                <w:noProof/>
                <w:webHidden/>
              </w:rPr>
              <w:instrText xml:space="preserve"> PAGEREF _Toc242325188 \h </w:instrText>
            </w:r>
            <w:r>
              <w:rPr>
                <w:noProof/>
                <w:webHidden/>
              </w:rPr>
            </w:r>
            <w:r>
              <w:rPr>
                <w:noProof/>
                <w:webHidden/>
              </w:rPr>
              <w:fldChar w:fldCharType="separate"/>
            </w:r>
            <w:r>
              <w:rPr>
                <w:noProof/>
                <w:webHidden/>
              </w:rPr>
              <w:t>28</w:t>
            </w:r>
            <w:r>
              <w:rPr>
                <w:noProof/>
                <w:webHidden/>
              </w:rPr>
              <w:fldChar w:fldCharType="end"/>
            </w:r>
          </w:hyperlink>
        </w:p>
        <w:p w14:paraId="412F191E" w14:textId="26F1B24E" w:rsidR="00FC05A1" w:rsidRDefault="00FC05A1" w:rsidP="00FC05A1">
          <w:pPr>
            <w:pStyle w:val="TOC2"/>
            <w:tabs>
              <w:tab w:val="right" w:leader="dot" w:pos="9350"/>
            </w:tabs>
            <w:rPr>
              <w:rFonts w:eastAsiaTheme="minorEastAsia"/>
              <w:noProof/>
            </w:rPr>
          </w:pPr>
          <w:hyperlink w:anchor="_Toc242325189" w:history="1">
            <w:r w:rsidRPr="00756B62">
              <w:rPr>
                <w:rStyle w:val="Hyperlink"/>
                <w:rFonts w:ascii="Traditional Arabic" w:eastAsia="Times New Roman" w:hAnsi="Traditional Arabic" w:cs="Traditional Arabic"/>
                <w:b/>
                <w:bCs/>
                <w:noProof/>
                <w:rtl/>
              </w:rPr>
              <w:t>هيكل الدراسة</w:t>
            </w:r>
            <w:r>
              <w:rPr>
                <w:noProof/>
                <w:webHidden/>
              </w:rPr>
              <w:tab/>
            </w:r>
            <w:r>
              <w:rPr>
                <w:noProof/>
                <w:webHidden/>
              </w:rPr>
              <w:fldChar w:fldCharType="begin"/>
            </w:r>
            <w:r>
              <w:rPr>
                <w:noProof/>
                <w:webHidden/>
              </w:rPr>
              <w:instrText xml:space="preserve"> PAGEREF _Toc242325189 \h </w:instrText>
            </w:r>
            <w:r>
              <w:rPr>
                <w:noProof/>
                <w:webHidden/>
              </w:rPr>
            </w:r>
            <w:r>
              <w:rPr>
                <w:noProof/>
                <w:webHidden/>
              </w:rPr>
              <w:fldChar w:fldCharType="separate"/>
            </w:r>
            <w:r>
              <w:rPr>
                <w:noProof/>
                <w:webHidden/>
              </w:rPr>
              <w:t>29</w:t>
            </w:r>
            <w:r>
              <w:rPr>
                <w:noProof/>
                <w:webHidden/>
              </w:rPr>
              <w:fldChar w:fldCharType="end"/>
            </w:r>
          </w:hyperlink>
        </w:p>
        <w:p w14:paraId="46E373A8" w14:textId="18F4765E" w:rsidR="00FC05A1" w:rsidRDefault="00FC05A1" w:rsidP="00FC05A1">
          <w:pPr>
            <w:pStyle w:val="TOC2"/>
            <w:tabs>
              <w:tab w:val="right" w:leader="dot" w:pos="9350"/>
            </w:tabs>
            <w:rPr>
              <w:rFonts w:eastAsiaTheme="minorEastAsia"/>
              <w:noProof/>
            </w:rPr>
          </w:pPr>
          <w:hyperlink w:anchor="_Toc242325190" w:history="1">
            <w:r w:rsidRPr="00756B62">
              <w:rPr>
                <w:rStyle w:val="Hyperlink"/>
                <w:rFonts w:ascii="Traditional Arabic" w:eastAsia="Times New Roman" w:hAnsi="Traditional Arabic" w:cs="Traditional Arabic"/>
                <w:b/>
                <w:bCs/>
                <w:noProof/>
                <w:rtl/>
              </w:rPr>
              <w:t>خاتمة:</w:t>
            </w:r>
            <w:r>
              <w:rPr>
                <w:noProof/>
                <w:webHidden/>
              </w:rPr>
              <w:tab/>
            </w:r>
            <w:r>
              <w:rPr>
                <w:noProof/>
                <w:webHidden/>
              </w:rPr>
              <w:fldChar w:fldCharType="begin"/>
            </w:r>
            <w:r>
              <w:rPr>
                <w:noProof/>
                <w:webHidden/>
              </w:rPr>
              <w:instrText xml:space="preserve"> PAGEREF _Toc242325190 \h </w:instrText>
            </w:r>
            <w:r>
              <w:rPr>
                <w:noProof/>
                <w:webHidden/>
              </w:rPr>
            </w:r>
            <w:r>
              <w:rPr>
                <w:noProof/>
                <w:webHidden/>
              </w:rPr>
              <w:fldChar w:fldCharType="separate"/>
            </w:r>
            <w:r>
              <w:rPr>
                <w:noProof/>
                <w:webHidden/>
              </w:rPr>
              <w:t>31</w:t>
            </w:r>
            <w:r>
              <w:rPr>
                <w:noProof/>
                <w:webHidden/>
              </w:rPr>
              <w:fldChar w:fldCharType="end"/>
            </w:r>
          </w:hyperlink>
        </w:p>
        <w:p w14:paraId="1ED8D31E" w14:textId="3A34288A" w:rsidR="00FC05A1" w:rsidRDefault="00FC05A1" w:rsidP="00FC05A1">
          <w:pPr>
            <w:pStyle w:val="TOC1"/>
            <w:rPr>
              <w:rFonts w:eastAsiaTheme="minorEastAsia"/>
              <w:noProof/>
            </w:rPr>
          </w:pPr>
          <w:hyperlink w:anchor="_Toc242325191" w:history="1">
            <w:r w:rsidRPr="00756B62">
              <w:rPr>
                <w:rStyle w:val="Hyperlink"/>
                <w:rFonts w:ascii="Traditional Arabic" w:hAnsi="Traditional Arabic" w:cs="Traditional Arabic"/>
                <w:b/>
                <w:bCs/>
                <w:noProof/>
                <w:rtl/>
              </w:rPr>
              <w:t xml:space="preserve">الفصل </w:t>
            </w:r>
            <w:r w:rsidRPr="00756B62">
              <w:rPr>
                <w:rStyle w:val="Hyperlink"/>
                <w:rFonts w:ascii="Traditional Arabic" w:hAnsi="Traditional Arabic" w:cs="Traditional Arabic"/>
                <w:b/>
                <w:bCs/>
                <w:noProof/>
                <w:rtl/>
                <w:lang w:bidi="ar-EG"/>
              </w:rPr>
              <w:t>الثاني</w:t>
            </w:r>
            <w:r>
              <w:rPr>
                <w:noProof/>
                <w:webHidden/>
              </w:rPr>
              <w:tab/>
            </w:r>
            <w:r>
              <w:rPr>
                <w:noProof/>
                <w:webHidden/>
              </w:rPr>
              <w:fldChar w:fldCharType="begin"/>
            </w:r>
            <w:r>
              <w:rPr>
                <w:noProof/>
                <w:webHidden/>
              </w:rPr>
              <w:instrText xml:space="preserve"> PAGEREF _Toc242325191 \h </w:instrText>
            </w:r>
            <w:r>
              <w:rPr>
                <w:noProof/>
                <w:webHidden/>
              </w:rPr>
            </w:r>
            <w:r>
              <w:rPr>
                <w:noProof/>
                <w:webHidden/>
              </w:rPr>
              <w:fldChar w:fldCharType="separate"/>
            </w:r>
            <w:r>
              <w:rPr>
                <w:noProof/>
                <w:webHidden/>
              </w:rPr>
              <w:t>31</w:t>
            </w:r>
            <w:r>
              <w:rPr>
                <w:noProof/>
                <w:webHidden/>
              </w:rPr>
              <w:fldChar w:fldCharType="end"/>
            </w:r>
          </w:hyperlink>
        </w:p>
        <w:p w14:paraId="7F27ECA1" w14:textId="0B400E92" w:rsidR="00FC05A1" w:rsidRDefault="00FC05A1" w:rsidP="00FC05A1">
          <w:pPr>
            <w:pStyle w:val="TOC1"/>
            <w:rPr>
              <w:rFonts w:eastAsiaTheme="minorEastAsia"/>
              <w:noProof/>
            </w:rPr>
          </w:pPr>
          <w:hyperlink w:anchor="_Toc242325192" w:history="1">
            <w:r w:rsidRPr="00756B62">
              <w:rPr>
                <w:rStyle w:val="Hyperlink"/>
                <w:rFonts w:ascii="Traditional Arabic" w:hAnsi="Traditional Arabic" w:cs="Traditional Arabic"/>
                <w:b/>
                <w:bCs/>
                <w:noProof/>
                <w:rtl/>
              </w:rPr>
              <w:t>الحوكمة الفعالة في</w:t>
            </w:r>
            <w:r w:rsidRPr="00756B62">
              <w:rPr>
                <w:rStyle w:val="Hyperlink"/>
                <w:rFonts w:ascii="Traditional Arabic" w:hAnsi="Traditional Arabic" w:cs="Traditional Arabic"/>
                <w:b/>
                <w:bCs/>
                <w:noProof/>
              </w:rPr>
              <w:t xml:space="preserve"> </w:t>
            </w:r>
            <w:r w:rsidRPr="00756B62">
              <w:rPr>
                <w:rStyle w:val="Hyperlink"/>
                <w:rFonts w:ascii="Traditional Arabic" w:hAnsi="Traditional Arabic" w:cs="Traditional Arabic"/>
                <w:b/>
                <w:bCs/>
                <w:noProof/>
                <w:rtl/>
                <w:lang w:bidi="ar-EG"/>
              </w:rPr>
              <w:t>ال</w:t>
            </w:r>
            <w:r w:rsidRPr="00756B62">
              <w:rPr>
                <w:rStyle w:val="Hyperlink"/>
                <w:rFonts w:ascii="Traditional Arabic" w:hAnsi="Traditional Arabic" w:cs="Traditional Arabic"/>
                <w:b/>
                <w:bCs/>
                <w:noProof/>
                <w:rtl/>
              </w:rPr>
              <w:t>شركات الناشئة</w:t>
            </w:r>
            <w:r>
              <w:rPr>
                <w:noProof/>
                <w:webHidden/>
              </w:rPr>
              <w:tab/>
            </w:r>
            <w:r>
              <w:rPr>
                <w:noProof/>
                <w:webHidden/>
              </w:rPr>
              <w:fldChar w:fldCharType="begin"/>
            </w:r>
            <w:r>
              <w:rPr>
                <w:noProof/>
                <w:webHidden/>
              </w:rPr>
              <w:instrText xml:space="preserve"> PAGEREF _Toc242325192 \h </w:instrText>
            </w:r>
            <w:r>
              <w:rPr>
                <w:noProof/>
                <w:webHidden/>
              </w:rPr>
            </w:r>
            <w:r>
              <w:rPr>
                <w:noProof/>
                <w:webHidden/>
              </w:rPr>
              <w:fldChar w:fldCharType="separate"/>
            </w:r>
            <w:r>
              <w:rPr>
                <w:noProof/>
                <w:webHidden/>
              </w:rPr>
              <w:t>31</w:t>
            </w:r>
            <w:r>
              <w:rPr>
                <w:noProof/>
                <w:webHidden/>
              </w:rPr>
              <w:fldChar w:fldCharType="end"/>
            </w:r>
          </w:hyperlink>
        </w:p>
        <w:p w14:paraId="39ADC850" w14:textId="61D80AA5" w:rsidR="00FC05A1" w:rsidRDefault="00FC05A1" w:rsidP="00FC05A1">
          <w:pPr>
            <w:pStyle w:val="TOC2"/>
            <w:tabs>
              <w:tab w:val="right" w:leader="dot" w:pos="9350"/>
            </w:tabs>
            <w:rPr>
              <w:rFonts w:eastAsiaTheme="minorEastAsia"/>
              <w:noProof/>
            </w:rPr>
          </w:pPr>
          <w:hyperlink w:anchor="_Toc242325193" w:history="1">
            <w:r w:rsidRPr="00756B62">
              <w:rPr>
                <w:rStyle w:val="Hyperlink"/>
                <w:rFonts w:ascii="Traditional Arabic" w:eastAsia="Times New Roman" w:hAnsi="Traditional Arabic" w:cs="Traditional Arabic"/>
                <w:b/>
                <w:bCs/>
                <w:noProof/>
                <w:rtl/>
              </w:rPr>
              <w:t>مقدمة</w:t>
            </w:r>
            <w:r>
              <w:rPr>
                <w:noProof/>
                <w:webHidden/>
              </w:rPr>
              <w:tab/>
            </w:r>
            <w:r>
              <w:rPr>
                <w:noProof/>
                <w:webHidden/>
              </w:rPr>
              <w:fldChar w:fldCharType="begin"/>
            </w:r>
            <w:r>
              <w:rPr>
                <w:noProof/>
                <w:webHidden/>
              </w:rPr>
              <w:instrText xml:space="preserve"> PAGEREF _Toc242325193 \h </w:instrText>
            </w:r>
            <w:r>
              <w:rPr>
                <w:noProof/>
                <w:webHidden/>
              </w:rPr>
            </w:r>
            <w:r>
              <w:rPr>
                <w:noProof/>
                <w:webHidden/>
              </w:rPr>
              <w:fldChar w:fldCharType="separate"/>
            </w:r>
            <w:r>
              <w:rPr>
                <w:noProof/>
                <w:webHidden/>
              </w:rPr>
              <w:t>33</w:t>
            </w:r>
            <w:r>
              <w:rPr>
                <w:noProof/>
                <w:webHidden/>
              </w:rPr>
              <w:fldChar w:fldCharType="end"/>
            </w:r>
          </w:hyperlink>
        </w:p>
        <w:p w14:paraId="5AEA6739" w14:textId="6CD06F27" w:rsidR="00FC05A1" w:rsidRDefault="00FC05A1" w:rsidP="00FC05A1">
          <w:pPr>
            <w:pStyle w:val="TOC2"/>
            <w:tabs>
              <w:tab w:val="right" w:leader="dot" w:pos="9350"/>
            </w:tabs>
            <w:rPr>
              <w:rFonts w:eastAsiaTheme="minorEastAsia"/>
              <w:noProof/>
            </w:rPr>
          </w:pPr>
          <w:hyperlink w:anchor="_Toc242325194" w:history="1">
            <w:r w:rsidRPr="00756B62">
              <w:rPr>
                <w:rStyle w:val="Hyperlink"/>
                <w:rFonts w:ascii="Traditional Arabic" w:hAnsi="Traditional Arabic" w:cs="Traditional Arabic"/>
                <w:bCs/>
                <w:noProof/>
                <w:rtl/>
              </w:rPr>
              <w:t>مدخل إلى الحوكمة</w:t>
            </w:r>
            <w:r>
              <w:rPr>
                <w:noProof/>
                <w:webHidden/>
              </w:rPr>
              <w:tab/>
            </w:r>
            <w:r>
              <w:rPr>
                <w:noProof/>
                <w:webHidden/>
              </w:rPr>
              <w:fldChar w:fldCharType="begin"/>
            </w:r>
            <w:r>
              <w:rPr>
                <w:noProof/>
                <w:webHidden/>
              </w:rPr>
              <w:instrText xml:space="preserve"> PAGEREF _Toc242325194 \h </w:instrText>
            </w:r>
            <w:r>
              <w:rPr>
                <w:noProof/>
                <w:webHidden/>
              </w:rPr>
            </w:r>
            <w:r>
              <w:rPr>
                <w:noProof/>
                <w:webHidden/>
              </w:rPr>
              <w:fldChar w:fldCharType="separate"/>
            </w:r>
            <w:r>
              <w:rPr>
                <w:noProof/>
                <w:webHidden/>
              </w:rPr>
              <w:t>35</w:t>
            </w:r>
            <w:r>
              <w:rPr>
                <w:noProof/>
                <w:webHidden/>
              </w:rPr>
              <w:fldChar w:fldCharType="end"/>
            </w:r>
          </w:hyperlink>
        </w:p>
        <w:p w14:paraId="6D86DE74" w14:textId="3583C843" w:rsidR="00FC05A1" w:rsidRDefault="00FC05A1" w:rsidP="00FC05A1">
          <w:pPr>
            <w:pStyle w:val="TOC3"/>
            <w:tabs>
              <w:tab w:val="right" w:leader="dot" w:pos="9350"/>
            </w:tabs>
            <w:rPr>
              <w:rFonts w:eastAsiaTheme="minorEastAsia"/>
              <w:noProof/>
            </w:rPr>
          </w:pPr>
          <w:hyperlink w:anchor="_Toc242325195" w:history="1">
            <w:r w:rsidRPr="00756B62">
              <w:rPr>
                <w:rStyle w:val="Hyperlink"/>
                <w:rFonts w:ascii="Traditional Arabic" w:hAnsi="Traditional Arabic" w:cs="Traditional Arabic"/>
                <w:b/>
                <w:bCs/>
                <w:noProof/>
                <w:rtl/>
              </w:rPr>
              <w:t>ومن هنا يمكن تقسيم دوافع ظهور الحوكمة الرشيدة إلى ما يلي</w:t>
            </w:r>
            <w:r w:rsidRPr="00756B62">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_Toc242325195 \h </w:instrText>
            </w:r>
            <w:r>
              <w:rPr>
                <w:noProof/>
                <w:webHidden/>
              </w:rPr>
            </w:r>
            <w:r>
              <w:rPr>
                <w:noProof/>
                <w:webHidden/>
              </w:rPr>
              <w:fldChar w:fldCharType="separate"/>
            </w:r>
            <w:r>
              <w:rPr>
                <w:noProof/>
                <w:webHidden/>
              </w:rPr>
              <w:t>36</w:t>
            </w:r>
            <w:r>
              <w:rPr>
                <w:noProof/>
                <w:webHidden/>
              </w:rPr>
              <w:fldChar w:fldCharType="end"/>
            </w:r>
          </w:hyperlink>
        </w:p>
        <w:p w14:paraId="6A1105CB" w14:textId="4F39ED3F" w:rsidR="00FC05A1" w:rsidRDefault="00FC05A1" w:rsidP="00FC05A1">
          <w:pPr>
            <w:pStyle w:val="TOC2"/>
            <w:tabs>
              <w:tab w:val="right" w:leader="dot" w:pos="9350"/>
            </w:tabs>
            <w:rPr>
              <w:rFonts w:eastAsiaTheme="minorEastAsia"/>
              <w:noProof/>
            </w:rPr>
          </w:pPr>
          <w:hyperlink w:anchor="_Toc242325196" w:history="1">
            <w:r w:rsidRPr="00756B62">
              <w:rPr>
                <w:rStyle w:val="Hyperlink"/>
                <w:rFonts w:ascii="Traditional Arabic" w:hAnsi="Traditional Arabic" w:cs="Traditional Arabic"/>
                <w:b/>
                <w:bCs/>
                <w:noProof/>
                <w:rtl/>
              </w:rPr>
              <w:t>أهمية الحوكمة بالنسبة لشركات الأمن السيبراني الناشئة</w:t>
            </w:r>
            <w:r>
              <w:rPr>
                <w:noProof/>
                <w:webHidden/>
              </w:rPr>
              <w:tab/>
            </w:r>
            <w:r>
              <w:rPr>
                <w:noProof/>
                <w:webHidden/>
              </w:rPr>
              <w:fldChar w:fldCharType="begin"/>
            </w:r>
            <w:r>
              <w:rPr>
                <w:noProof/>
                <w:webHidden/>
              </w:rPr>
              <w:instrText xml:space="preserve"> PAGEREF _Toc242325196 \h </w:instrText>
            </w:r>
            <w:r>
              <w:rPr>
                <w:noProof/>
                <w:webHidden/>
              </w:rPr>
            </w:r>
            <w:r>
              <w:rPr>
                <w:noProof/>
                <w:webHidden/>
              </w:rPr>
              <w:fldChar w:fldCharType="separate"/>
            </w:r>
            <w:r>
              <w:rPr>
                <w:noProof/>
                <w:webHidden/>
              </w:rPr>
              <w:t>38</w:t>
            </w:r>
            <w:r>
              <w:rPr>
                <w:noProof/>
                <w:webHidden/>
              </w:rPr>
              <w:fldChar w:fldCharType="end"/>
            </w:r>
          </w:hyperlink>
        </w:p>
        <w:p w14:paraId="2A182E1D" w14:textId="2A8B98F7" w:rsidR="00FC05A1" w:rsidRDefault="00FC05A1" w:rsidP="00FC05A1">
          <w:pPr>
            <w:pStyle w:val="TOC3"/>
            <w:tabs>
              <w:tab w:val="right" w:leader="dot" w:pos="9350"/>
            </w:tabs>
            <w:rPr>
              <w:rFonts w:eastAsiaTheme="minorEastAsia"/>
              <w:noProof/>
            </w:rPr>
          </w:pPr>
          <w:hyperlink w:anchor="_Toc242325197" w:history="1">
            <w:r w:rsidRPr="00756B62">
              <w:rPr>
                <w:rStyle w:val="Hyperlink"/>
                <w:rFonts w:ascii="Traditional Arabic" w:hAnsi="Traditional Arabic" w:cs="Traditional Arabic"/>
                <w:b/>
                <w:bCs/>
                <w:noProof/>
                <w:rtl/>
              </w:rPr>
              <w:t>الأطر والضوابط والإرشادات ذات الصلة بحوكمة الأمن السيبراني</w:t>
            </w:r>
            <w:r>
              <w:rPr>
                <w:noProof/>
                <w:webHidden/>
              </w:rPr>
              <w:tab/>
            </w:r>
            <w:r>
              <w:rPr>
                <w:noProof/>
                <w:webHidden/>
              </w:rPr>
              <w:fldChar w:fldCharType="begin"/>
            </w:r>
            <w:r>
              <w:rPr>
                <w:noProof/>
                <w:webHidden/>
              </w:rPr>
              <w:instrText xml:space="preserve"> PAGEREF _Toc242325197 \h </w:instrText>
            </w:r>
            <w:r>
              <w:rPr>
                <w:noProof/>
                <w:webHidden/>
              </w:rPr>
            </w:r>
            <w:r>
              <w:rPr>
                <w:noProof/>
                <w:webHidden/>
              </w:rPr>
              <w:fldChar w:fldCharType="separate"/>
            </w:r>
            <w:r>
              <w:rPr>
                <w:noProof/>
                <w:webHidden/>
              </w:rPr>
              <w:t>41</w:t>
            </w:r>
            <w:r>
              <w:rPr>
                <w:noProof/>
                <w:webHidden/>
              </w:rPr>
              <w:fldChar w:fldCharType="end"/>
            </w:r>
          </w:hyperlink>
        </w:p>
        <w:p w14:paraId="7CADE18D" w14:textId="33E4665B" w:rsidR="00FC05A1" w:rsidRDefault="00FC05A1" w:rsidP="00FC05A1">
          <w:pPr>
            <w:pStyle w:val="TOC2"/>
            <w:tabs>
              <w:tab w:val="right" w:leader="dot" w:pos="9350"/>
            </w:tabs>
            <w:rPr>
              <w:rFonts w:eastAsiaTheme="minorEastAsia"/>
              <w:noProof/>
            </w:rPr>
          </w:pPr>
          <w:hyperlink w:anchor="_Toc242325198" w:history="1">
            <w:r w:rsidRPr="00756B62">
              <w:rPr>
                <w:rStyle w:val="Hyperlink"/>
                <w:rFonts w:ascii="Traditional Arabic" w:eastAsia="Times New Roman" w:hAnsi="Traditional Arabic" w:cs="Traditional Arabic"/>
                <w:b/>
                <w:bCs/>
                <w:noProof/>
                <w:rtl/>
              </w:rPr>
              <w:t>الأطر والضوابط الوطنية للأمن السيبراني في المملكة العربية السعودية</w:t>
            </w:r>
            <w:r>
              <w:rPr>
                <w:noProof/>
                <w:webHidden/>
              </w:rPr>
              <w:tab/>
            </w:r>
            <w:r>
              <w:rPr>
                <w:noProof/>
                <w:webHidden/>
              </w:rPr>
              <w:fldChar w:fldCharType="begin"/>
            </w:r>
            <w:r>
              <w:rPr>
                <w:noProof/>
                <w:webHidden/>
              </w:rPr>
              <w:instrText xml:space="preserve"> PAGEREF _Toc242325198 \h </w:instrText>
            </w:r>
            <w:r>
              <w:rPr>
                <w:noProof/>
                <w:webHidden/>
              </w:rPr>
            </w:r>
            <w:r>
              <w:rPr>
                <w:noProof/>
                <w:webHidden/>
              </w:rPr>
              <w:fldChar w:fldCharType="separate"/>
            </w:r>
            <w:r>
              <w:rPr>
                <w:noProof/>
                <w:webHidden/>
              </w:rPr>
              <w:t>42</w:t>
            </w:r>
            <w:r>
              <w:rPr>
                <w:noProof/>
                <w:webHidden/>
              </w:rPr>
              <w:fldChar w:fldCharType="end"/>
            </w:r>
          </w:hyperlink>
        </w:p>
        <w:p w14:paraId="35B2E851" w14:textId="7D57D82D" w:rsidR="00FC05A1" w:rsidRDefault="00FC05A1" w:rsidP="00FC05A1">
          <w:pPr>
            <w:pStyle w:val="TOC3"/>
            <w:tabs>
              <w:tab w:val="right" w:leader="dot" w:pos="9350"/>
            </w:tabs>
            <w:rPr>
              <w:rFonts w:eastAsiaTheme="minorEastAsia"/>
              <w:noProof/>
            </w:rPr>
          </w:pPr>
          <w:hyperlink w:anchor="_Toc242325199" w:history="1">
            <w:r w:rsidRPr="00756B62">
              <w:rPr>
                <w:rStyle w:val="Hyperlink"/>
                <w:rFonts w:ascii="Traditional Arabic" w:hAnsi="Traditional Arabic" w:cs="Traditional Arabic"/>
                <w:b/>
                <w:bCs/>
                <w:noProof/>
                <w:rtl/>
              </w:rPr>
              <w:t>أولًا: الضوابط</w:t>
            </w:r>
            <w:r>
              <w:rPr>
                <w:noProof/>
                <w:webHidden/>
              </w:rPr>
              <w:tab/>
            </w:r>
            <w:r>
              <w:rPr>
                <w:noProof/>
                <w:webHidden/>
              </w:rPr>
              <w:fldChar w:fldCharType="begin"/>
            </w:r>
            <w:r>
              <w:rPr>
                <w:noProof/>
                <w:webHidden/>
              </w:rPr>
              <w:instrText xml:space="preserve"> PAGEREF _Toc242325199 \h </w:instrText>
            </w:r>
            <w:r>
              <w:rPr>
                <w:noProof/>
                <w:webHidden/>
              </w:rPr>
            </w:r>
            <w:r>
              <w:rPr>
                <w:noProof/>
                <w:webHidden/>
              </w:rPr>
              <w:fldChar w:fldCharType="separate"/>
            </w:r>
            <w:r>
              <w:rPr>
                <w:noProof/>
                <w:webHidden/>
              </w:rPr>
              <w:t>45</w:t>
            </w:r>
            <w:r>
              <w:rPr>
                <w:noProof/>
                <w:webHidden/>
              </w:rPr>
              <w:fldChar w:fldCharType="end"/>
            </w:r>
          </w:hyperlink>
        </w:p>
        <w:p w14:paraId="2B873C46" w14:textId="1BA544BA" w:rsidR="00FC05A1" w:rsidRDefault="00FC05A1" w:rsidP="00FC05A1">
          <w:pPr>
            <w:pStyle w:val="TOC3"/>
            <w:tabs>
              <w:tab w:val="right" w:leader="dot" w:pos="9350"/>
            </w:tabs>
            <w:rPr>
              <w:rFonts w:eastAsiaTheme="minorEastAsia"/>
              <w:noProof/>
            </w:rPr>
          </w:pPr>
          <w:hyperlink w:anchor="_Toc242325200" w:history="1">
            <w:r w:rsidRPr="00756B62">
              <w:rPr>
                <w:rStyle w:val="Hyperlink"/>
                <w:rFonts w:ascii="Traditional Arabic" w:hAnsi="Traditional Arabic" w:cs="Traditional Arabic"/>
                <w:b/>
                <w:bCs/>
                <w:noProof/>
                <w:rtl/>
              </w:rPr>
              <w:t>ثانيًا: الأطر والمعايير</w:t>
            </w:r>
            <w:r>
              <w:rPr>
                <w:noProof/>
                <w:webHidden/>
              </w:rPr>
              <w:tab/>
            </w:r>
            <w:r>
              <w:rPr>
                <w:noProof/>
                <w:webHidden/>
              </w:rPr>
              <w:fldChar w:fldCharType="begin"/>
            </w:r>
            <w:r>
              <w:rPr>
                <w:noProof/>
                <w:webHidden/>
              </w:rPr>
              <w:instrText xml:space="preserve"> PAGEREF _Toc242325200 \h </w:instrText>
            </w:r>
            <w:r>
              <w:rPr>
                <w:noProof/>
                <w:webHidden/>
              </w:rPr>
            </w:r>
            <w:r>
              <w:rPr>
                <w:noProof/>
                <w:webHidden/>
              </w:rPr>
              <w:fldChar w:fldCharType="separate"/>
            </w:r>
            <w:r>
              <w:rPr>
                <w:noProof/>
                <w:webHidden/>
              </w:rPr>
              <w:t>46</w:t>
            </w:r>
            <w:r>
              <w:rPr>
                <w:noProof/>
                <w:webHidden/>
              </w:rPr>
              <w:fldChar w:fldCharType="end"/>
            </w:r>
          </w:hyperlink>
        </w:p>
        <w:p w14:paraId="7E2022E4" w14:textId="7B5ACC02" w:rsidR="00FC05A1" w:rsidRDefault="00FC05A1" w:rsidP="00FC05A1">
          <w:pPr>
            <w:pStyle w:val="TOC3"/>
            <w:tabs>
              <w:tab w:val="right" w:leader="dot" w:pos="9350"/>
            </w:tabs>
            <w:rPr>
              <w:rFonts w:eastAsiaTheme="minorEastAsia"/>
              <w:noProof/>
            </w:rPr>
          </w:pPr>
          <w:hyperlink w:anchor="_Toc242325201" w:history="1">
            <w:r w:rsidRPr="00756B62">
              <w:rPr>
                <w:rStyle w:val="Hyperlink"/>
                <w:rFonts w:ascii="Traditional Arabic" w:hAnsi="Traditional Arabic" w:cs="Traditional Arabic"/>
                <w:b/>
                <w:bCs/>
                <w:noProof/>
                <w:rtl/>
              </w:rPr>
              <w:t>ثالثًا: الإرشادات والأدوات المساعدة</w:t>
            </w:r>
            <w:r>
              <w:rPr>
                <w:noProof/>
                <w:webHidden/>
              </w:rPr>
              <w:tab/>
            </w:r>
            <w:r>
              <w:rPr>
                <w:noProof/>
                <w:webHidden/>
              </w:rPr>
              <w:fldChar w:fldCharType="begin"/>
            </w:r>
            <w:r>
              <w:rPr>
                <w:noProof/>
                <w:webHidden/>
              </w:rPr>
              <w:instrText xml:space="preserve"> PAGEREF _Toc242325201 \h </w:instrText>
            </w:r>
            <w:r>
              <w:rPr>
                <w:noProof/>
                <w:webHidden/>
              </w:rPr>
            </w:r>
            <w:r>
              <w:rPr>
                <w:noProof/>
                <w:webHidden/>
              </w:rPr>
              <w:fldChar w:fldCharType="separate"/>
            </w:r>
            <w:r>
              <w:rPr>
                <w:noProof/>
                <w:webHidden/>
              </w:rPr>
              <w:t>46</w:t>
            </w:r>
            <w:r>
              <w:rPr>
                <w:noProof/>
                <w:webHidden/>
              </w:rPr>
              <w:fldChar w:fldCharType="end"/>
            </w:r>
          </w:hyperlink>
        </w:p>
        <w:p w14:paraId="31E78063" w14:textId="4C0E1012" w:rsidR="00FC05A1" w:rsidRDefault="00FC05A1" w:rsidP="00FC05A1">
          <w:pPr>
            <w:pStyle w:val="TOC2"/>
            <w:tabs>
              <w:tab w:val="right" w:leader="dot" w:pos="9350"/>
            </w:tabs>
            <w:rPr>
              <w:rFonts w:eastAsiaTheme="minorEastAsia"/>
              <w:noProof/>
            </w:rPr>
          </w:pPr>
          <w:hyperlink w:anchor="_Toc242325202" w:history="1">
            <w:r w:rsidRPr="00756B62">
              <w:rPr>
                <w:rStyle w:val="Hyperlink"/>
                <w:rFonts w:ascii="Traditional Arabic" w:eastAsia="Times New Roman" w:hAnsi="Traditional Arabic" w:cs="Traditional Arabic"/>
                <w:b/>
                <w:bCs/>
                <w:noProof/>
                <w:rtl/>
              </w:rPr>
              <w:t>دور شركات الأمن السيبراني في دعم تطبيق الأطر والضوابط</w:t>
            </w:r>
            <w:r>
              <w:rPr>
                <w:noProof/>
                <w:webHidden/>
              </w:rPr>
              <w:tab/>
            </w:r>
            <w:r>
              <w:rPr>
                <w:noProof/>
                <w:webHidden/>
              </w:rPr>
              <w:fldChar w:fldCharType="begin"/>
            </w:r>
            <w:r>
              <w:rPr>
                <w:noProof/>
                <w:webHidden/>
              </w:rPr>
              <w:instrText xml:space="preserve"> PAGEREF _Toc242325202 \h </w:instrText>
            </w:r>
            <w:r>
              <w:rPr>
                <w:noProof/>
                <w:webHidden/>
              </w:rPr>
            </w:r>
            <w:r>
              <w:rPr>
                <w:noProof/>
                <w:webHidden/>
              </w:rPr>
              <w:fldChar w:fldCharType="separate"/>
            </w:r>
            <w:r>
              <w:rPr>
                <w:noProof/>
                <w:webHidden/>
              </w:rPr>
              <w:t>47</w:t>
            </w:r>
            <w:r>
              <w:rPr>
                <w:noProof/>
                <w:webHidden/>
              </w:rPr>
              <w:fldChar w:fldCharType="end"/>
            </w:r>
          </w:hyperlink>
        </w:p>
        <w:p w14:paraId="19351DAD" w14:textId="67F42618" w:rsidR="00FC05A1" w:rsidRDefault="00FC05A1" w:rsidP="00FC05A1">
          <w:pPr>
            <w:pStyle w:val="TOC2"/>
            <w:tabs>
              <w:tab w:val="right" w:leader="dot" w:pos="9350"/>
            </w:tabs>
            <w:rPr>
              <w:rFonts w:eastAsiaTheme="minorEastAsia"/>
              <w:noProof/>
            </w:rPr>
          </w:pPr>
          <w:hyperlink w:anchor="_Toc242325203" w:history="1">
            <w:r w:rsidRPr="00756B62">
              <w:rPr>
                <w:rStyle w:val="Hyperlink"/>
                <w:rFonts w:ascii="Traditional Arabic" w:hAnsi="Traditional Arabic" w:cs="Traditional Arabic"/>
                <w:b/>
                <w:bCs/>
                <w:noProof/>
                <w:rtl/>
              </w:rPr>
              <w:t>أهداف الحوكمة بالنسبة للشركات الناشئة</w:t>
            </w:r>
            <w:r>
              <w:rPr>
                <w:noProof/>
                <w:webHidden/>
              </w:rPr>
              <w:tab/>
            </w:r>
            <w:r>
              <w:rPr>
                <w:noProof/>
                <w:webHidden/>
              </w:rPr>
              <w:fldChar w:fldCharType="begin"/>
            </w:r>
            <w:r>
              <w:rPr>
                <w:noProof/>
                <w:webHidden/>
              </w:rPr>
              <w:instrText xml:space="preserve"> PAGEREF _Toc242325203 \h </w:instrText>
            </w:r>
            <w:r>
              <w:rPr>
                <w:noProof/>
                <w:webHidden/>
              </w:rPr>
            </w:r>
            <w:r>
              <w:rPr>
                <w:noProof/>
                <w:webHidden/>
              </w:rPr>
              <w:fldChar w:fldCharType="separate"/>
            </w:r>
            <w:r>
              <w:rPr>
                <w:noProof/>
                <w:webHidden/>
              </w:rPr>
              <w:t>48</w:t>
            </w:r>
            <w:r>
              <w:rPr>
                <w:noProof/>
                <w:webHidden/>
              </w:rPr>
              <w:fldChar w:fldCharType="end"/>
            </w:r>
          </w:hyperlink>
        </w:p>
        <w:p w14:paraId="25C022CE" w14:textId="7EA68DEC" w:rsidR="00FC05A1" w:rsidRDefault="00FC05A1" w:rsidP="00FC05A1">
          <w:pPr>
            <w:pStyle w:val="TOC2"/>
            <w:tabs>
              <w:tab w:val="right" w:leader="dot" w:pos="9350"/>
            </w:tabs>
            <w:rPr>
              <w:rFonts w:eastAsiaTheme="minorEastAsia"/>
              <w:noProof/>
            </w:rPr>
          </w:pPr>
          <w:hyperlink w:anchor="_Toc242325204" w:history="1">
            <w:r w:rsidRPr="00756B62">
              <w:rPr>
                <w:rStyle w:val="Hyperlink"/>
                <w:rFonts w:ascii="Traditional Arabic" w:hAnsi="Traditional Arabic" w:cs="Traditional Arabic"/>
                <w:b/>
                <w:bCs/>
                <w:noProof/>
                <w:rtl/>
              </w:rPr>
              <w:t>عناصر الحوكمة بالنسبة لشركات الأمن السيبراني</w:t>
            </w:r>
            <w:r>
              <w:rPr>
                <w:noProof/>
                <w:webHidden/>
              </w:rPr>
              <w:tab/>
            </w:r>
            <w:r>
              <w:rPr>
                <w:noProof/>
                <w:webHidden/>
              </w:rPr>
              <w:fldChar w:fldCharType="begin"/>
            </w:r>
            <w:r>
              <w:rPr>
                <w:noProof/>
                <w:webHidden/>
              </w:rPr>
              <w:instrText xml:space="preserve"> PAGEREF _Toc242325204 \h </w:instrText>
            </w:r>
            <w:r>
              <w:rPr>
                <w:noProof/>
                <w:webHidden/>
              </w:rPr>
            </w:r>
            <w:r>
              <w:rPr>
                <w:noProof/>
                <w:webHidden/>
              </w:rPr>
              <w:fldChar w:fldCharType="separate"/>
            </w:r>
            <w:r>
              <w:rPr>
                <w:noProof/>
                <w:webHidden/>
              </w:rPr>
              <w:t>50</w:t>
            </w:r>
            <w:r>
              <w:rPr>
                <w:noProof/>
                <w:webHidden/>
              </w:rPr>
              <w:fldChar w:fldCharType="end"/>
            </w:r>
          </w:hyperlink>
        </w:p>
        <w:p w14:paraId="57041213" w14:textId="3D51AE35" w:rsidR="00FC05A1" w:rsidRDefault="00FC05A1" w:rsidP="00FC05A1">
          <w:pPr>
            <w:pStyle w:val="TOC3"/>
            <w:tabs>
              <w:tab w:val="right" w:leader="dot" w:pos="9350"/>
            </w:tabs>
            <w:rPr>
              <w:rFonts w:eastAsiaTheme="minorEastAsia"/>
              <w:noProof/>
            </w:rPr>
          </w:pPr>
          <w:hyperlink w:anchor="_Toc242325205" w:history="1">
            <w:r w:rsidRPr="00756B62">
              <w:rPr>
                <w:rStyle w:val="Hyperlink"/>
                <w:rFonts w:ascii="Traditional Arabic" w:hAnsi="Traditional Arabic" w:cs="Traditional Arabic"/>
                <w:b/>
                <w:bCs/>
                <w:noProof/>
                <w:rtl/>
              </w:rPr>
              <w:t xml:space="preserve">جدول رقم </w:t>
            </w:r>
            <w:r w:rsidRPr="00756B62">
              <w:rPr>
                <w:rStyle w:val="Hyperlink"/>
                <w:rFonts w:ascii="Traditional Arabic" w:hAnsi="Traditional Arabic" w:cs="Traditional Arabic"/>
                <w:b/>
                <w:bCs/>
                <w:noProof/>
              </w:rPr>
              <w:t>(2-1)</w:t>
            </w:r>
            <w:r>
              <w:rPr>
                <w:noProof/>
                <w:webHidden/>
              </w:rPr>
              <w:tab/>
            </w:r>
            <w:r>
              <w:rPr>
                <w:noProof/>
                <w:webHidden/>
              </w:rPr>
              <w:fldChar w:fldCharType="begin"/>
            </w:r>
            <w:r>
              <w:rPr>
                <w:noProof/>
                <w:webHidden/>
              </w:rPr>
              <w:instrText xml:space="preserve"> PAGEREF _Toc242325205 \h </w:instrText>
            </w:r>
            <w:r>
              <w:rPr>
                <w:noProof/>
                <w:webHidden/>
              </w:rPr>
            </w:r>
            <w:r>
              <w:rPr>
                <w:noProof/>
                <w:webHidden/>
              </w:rPr>
              <w:fldChar w:fldCharType="separate"/>
            </w:r>
            <w:r>
              <w:rPr>
                <w:noProof/>
                <w:webHidden/>
              </w:rPr>
              <w:t>50</w:t>
            </w:r>
            <w:r>
              <w:rPr>
                <w:noProof/>
                <w:webHidden/>
              </w:rPr>
              <w:fldChar w:fldCharType="end"/>
            </w:r>
          </w:hyperlink>
        </w:p>
        <w:p w14:paraId="5236498E" w14:textId="7DD56177" w:rsidR="00FC05A1" w:rsidRDefault="00FC05A1" w:rsidP="00FC05A1">
          <w:pPr>
            <w:pStyle w:val="TOC3"/>
            <w:tabs>
              <w:tab w:val="right" w:leader="dot" w:pos="9350"/>
            </w:tabs>
            <w:rPr>
              <w:rFonts w:eastAsiaTheme="minorEastAsia"/>
              <w:noProof/>
            </w:rPr>
          </w:pPr>
          <w:hyperlink w:anchor="_Toc242325206" w:history="1">
            <w:r w:rsidRPr="00756B62">
              <w:rPr>
                <w:rStyle w:val="Hyperlink"/>
                <w:rFonts w:ascii="Traditional Arabic" w:hAnsi="Traditional Arabic" w:cs="Traditional Arabic"/>
                <w:b/>
                <w:bCs/>
                <w:noProof/>
                <w:rtl/>
              </w:rPr>
              <w:t>التحديات المرتبطة بتطبيق حوكمة تقنية المعلومات</w:t>
            </w:r>
            <w:r>
              <w:rPr>
                <w:noProof/>
                <w:webHidden/>
              </w:rPr>
              <w:tab/>
            </w:r>
            <w:r>
              <w:rPr>
                <w:noProof/>
                <w:webHidden/>
              </w:rPr>
              <w:fldChar w:fldCharType="begin"/>
            </w:r>
            <w:r>
              <w:rPr>
                <w:noProof/>
                <w:webHidden/>
              </w:rPr>
              <w:instrText xml:space="preserve"> PAGEREF _Toc242325206 \h </w:instrText>
            </w:r>
            <w:r>
              <w:rPr>
                <w:noProof/>
                <w:webHidden/>
              </w:rPr>
            </w:r>
            <w:r>
              <w:rPr>
                <w:noProof/>
                <w:webHidden/>
              </w:rPr>
              <w:fldChar w:fldCharType="separate"/>
            </w:r>
            <w:r>
              <w:rPr>
                <w:noProof/>
                <w:webHidden/>
              </w:rPr>
              <w:t>52</w:t>
            </w:r>
            <w:r>
              <w:rPr>
                <w:noProof/>
                <w:webHidden/>
              </w:rPr>
              <w:fldChar w:fldCharType="end"/>
            </w:r>
          </w:hyperlink>
        </w:p>
        <w:p w14:paraId="07B0A096" w14:textId="7608CB1E" w:rsidR="00FC05A1" w:rsidRDefault="00FC05A1" w:rsidP="00FC05A1">
          <w:pPr>
            <w:pStyle w:val="TOC2"/>
            <w:tabs>
              <w:tab w:val="right" w:leader="dot" w:pos="9350"/>
            </w:tabs>
            <w:rPr>
              <w:rFonts w:eastAsiaTheme="minorEastAsia"/>
              <w:noProof/>
            </w:rPr>
          </w:pPr>
          <w:hyperlink w:anchor="_Toc242325207" w:history="1">
            <w:r w:rsidRPr="00756B62">
              <w:rPr>
                <w:rStyle w:val="Hyperlink"/>
                <w:rFonts w:ascii="Traditional Arabic" w:hAnsi="Traditional Arabic" w:cs="Traditional Arabic"/>
                <w:b/>
                <w:bCs/>
                <w:noProof/>
                <w:rtl/>
              </w:rPr>
              <w:t>مبادئ داعمة لحوكمة شركات الأمن السيبراني</w:t>
            </w:r>
            <w:r>
              <w:rPr>
                <w:noProof/>
                <w:webHidden/>
              </w:rPr>
              <w:tab/>
            </w:r>
            <w:r>
              <w:rPr>
                <w:noProof/>
                <w:webHidden/>
              </w:rPr>
              <w:fldChar w:fldCharType="begin"/>
            </w:r>
            <w:r>
              <w:rPr>
                <w:noProof/>
                <w:webHidden/>
              </w:rPr>
              <w:instrText xml:space="preserve"> PAGEREF _Toc242325207 \h </w:instrText>
            </w:r>
            <w:r>
              <w:rPr>
                <w:noProof/>
                <w:webHidden/>
              </w:rPr>
            </w:r>
            <w:r>
              <w:rPr>
                <w:noProof/>
                <w:webHidden/>
              </w:rPr>
              <w:fldChar w:fldCharType="separate"/>
            </w:r>
            <w:r>
              <w:rPr>
                <w:noProof/>
                <w:webHidden/>
              </w:rPr>
              <w:t>52</w:t>
            </w:r>
            <w:r>
              <w:rPr>
                <w:noProof/>
                <w:webHidden/>
              </w:rPr>
              <w:fldChar w:fldCharType="end"/>
            </w:r>
          </w:hyperlink>
        </w:p>
        <w:p w14:paraId="1E0D3F5C" w14:textId="51453E6D" w:rsidR="00FC05A1" w:rsidRDefault="00FC05A1" w:rsidP="00FC05A1">
          <w:pPr>
            <w:pStyle w:val="TOC3"/>
            <w:tabs>
              <w:tab w:val="right" w:leader="dot" w:pos="9350"/>
            </w:tabs>
            <w:rPr>
              <w:rFonts w:eastAsiaTheme="minorEastAsia"/>
              <w:noProof/>
            </w:rPr>
          </w:pPr>
          <w:hyperlink w:anchor="_Toc242325208" w:history="1">
            <w:r w:rsidRPr="00756B62">
              <w:rPr>
                <w:rStyle w:val="Hyperlink"/>
                <w:rFonts w:ascii="Traditional Arabic" w:hAnsi="Traditional Arabic" w:cs="Traditional Arabic"/>
                <w:b/>
                <w:bCs/>
                <w:noProof/>
                <w:rtl/>
              </w:rPr>
              <w:t>أ. ضمان وجود أساس فعال لإطار الحوكمة</w:t>
            </w:r>
            <w:r>
              <w:rPr>
                <w:noProof/>
                <w:webHidden/>
              </w:rPr>
              <w:tab/>
            </w:r>
            <w:r>
              <w:rPr>
                <w:noProof/>
                <w:webHidden/>
              </w:rPr>
              <w:fldChar w:fldCharType="begin"/>
            </w:r>
            <w:r>
              <w:rPr>
                <w:noProof/>
                <w:webHidden/>
              </w:rPr>
              <w:instrText xml:space="preserve"> PAGEREF _Toc242325208 \h </w:instrText>
            </w:r>
            <w:r>
              <w:rPr>
                <w:noProof/>
                <w:webHidden/>
              </w:rPr>
            </w:r>
            <w:r>
              <w:rPr>
                <w:noProof/>
                <w:webHidden/>
              </w:rPr>
              <w:fldChar w:fldCharType="separate"/>
            </w:r>
            <w:r>
              <w:rPr>
                <w:noProof/>
                <w:webHidden/>
              </w:rPr>
              <w:t>52</w:t>
            </w:r>
            <w:r>
              <w:rPr>
                <w:noProof/>
                <w:webHidden/>
              </w:rPr>
              <w:fldChar w:fldCharType="end"/>
            </w:r>
          </w:hyperlink>
        </w:p>
        <w:p w14:paraId="7D446DFB" w14:textId="6C3652D2" w:rsidR="00FC05A1" w:rsidRDefault="00FC05A1" w:rsidP="00FC05A1">
          <w:pPr>
            <w:pStyle w:val="TOC3"/>
            <w:tabs>
              <w:tab w:val="right" w:leader="dot" w:pos="9350"/>
            </w:tabs>
            <w:rPr>
              <w:rFonts w:eastAsiaTheme="minorEastAsia"/>
              <w:noProof/>
            </w:rPr>
          </w:pPr>
          <w:hyperlink w:anchor="_Toc242325209" w:history="1">
            <w:r w:rsidRPr="00756B62">
              <w:rPr>
                <w:rStyle w:val="Hyperlink"/>
                <w:rFonts w:ascii="Traditional Arabic" w:hAnsi="Traditional Arabic" w:cs="Traditional Arabic"/>
                <w:b/>
                <w:bCs/>
                <w:noProof/>
                <w:rtl/>
              </w:rPr>
              <w:t>ب. ضمان حقوق المساهمين</w:t>
            </w:r>
            <w:r>
              <w:rPr>
                <w:noProof/>
                <w:webHidden/>
              </w:rPr>
              <w:tab/>
            </w:r>
            <w:r>
              <w:rPr>
                <w:noProof/>
                <w:webHidden/>
              </w:rPr>
              <w:fldChar w:fldCharType="begin"/>
            </w:r>
            <w:r>
              <w:rPr>
                <w:noProof/>
                <w:webHidden/>
              </w:rPr>
              <w:instrText xml:space="preserve"> PAGEREF _Toc242325209 \h </w:instrText>
            </w:r>
            <w:r>
              <w:rPr>
                <w:noProof/>
                <w:webHidden/>
              </w:rPr>
            </w:r>
            <w:r>
              <w:rPr>
                <w:noProof/>
                <w:webHidden/>
              </w:rPr>
              <w:fldChar w:fldCharType="separate"/>
            </w:r>
            <w:r>
              <w:rPr>
                <w:noProof/>
                <w:webHidden/>
              </w:rPr>
              <w:t>53</w:t>
            </w:r>
            <w:r>
              <w:rPr>
                <w:noProof/>
                <w:webHidden/>
              </w:rPr>
              <w:fldChar w:fldCharType="end"/>
            </w:r>
          </w:hyperlink>
        </w:p>
        <w:p w14:paraId="453C33EA" w14:textId="45C4C59A" w:rsidR="00FC05A1" w:rsidRDefault="00FC05A1" w:rsidP="00FC05A1">
          <w:pPr>
            <w:pStyle w:val="TOC3"/>
            <w:tabs>
              <w:tab w:val="right" w:leader="dot" w:pos="9350"/>
            </w:tabs>
            <w:rPr>
              <w:rFonts w:eastAsiaTheme="minorEastAsia"/>
              <w:noProof/>
            </w:rPr>
          </w:pPr>
          <w:hyperlink w:anchor="_Toc242325210" w:history="1">
            <w:r w:rsidRPr="00756B62">
              <w:rPr>
                <w:rStyle w:val="Hyperlink"/>
                <w:rFonts w:ascii="Traditional Arabic" w:hAnsi="Traditional Arabic" w:cs="Traditional Arabic"/>
                <w:b/>
                <w:bCs/>
                <w:noProof/>
                <w:rtl/>
              </w:rPr>
              <w:t>ج. المعاملة المتساوية للمساهمين</w:t>
            </w:r>
            <w:r>
              <w:rPr>
                <w:noProof/>
                <w:webHidden/>
              </w:rPr>
              <w:tab/>
            </w:r>
            <w:r>
              <w:rPr>
                <w:noProof/>
                <w:webHidden/>
              </w:rPr>
              <w:fldChar w:fldCharType="begin"/>
            </w:r>
            <w:r>
              <w:rPr>
                <w:noProof/>
                <w:webHidden/>
              </w:rPr>
              <w:instrText xml:space="preserve"> PAGEREF _Toc242325210 \h </w:instrText>
            </w:r>
            <w:r>
              <w:rPr>
                <w:noProof/>
                <w:webHidden/>
              </w:rPr>
            </w:r>
            <w:r>
              <w:rPr>
                <w:noProof/>
                <w:webHidden/>
              </w:rPr>
              <w:fldChar w:fldCharType="separate"/>
            </w:r>
            <w:r>
              <w:rPr>
                <w:noProof/>
                <w:webHidden/>
              </w:rPr>
              <w:t>53</w:t>
            </w:r>
            <w:r>
              <w:rPr>
                <w:noProof/>
                <w:webHidden/>
              </w:rPr>
              <w:fldChar w:fldCharType="end"/>
            </w:r>
          </w:hyperlink>
        </w:p>
        <w:p w14:paraId="31A06A0E" w14:textId="79B4F0DA" w:rsidR="00FC05A1" w:rsidRDefault="00FC05A1" w:rsidP="00FC05A1">
          <w:pPr>
            <w:pStyle w:val="TOC3"/>
            <w:tabs>
              <w:tab w:val="right" w:leader="dot" w:pos="9350"/>
            </w:tabs>
            <w:rPr>
              <w:rFonts w:eastAsiaTheme="minorEastAsia"/>
              <w:noProof/>
            </w:rPr>
          </w:pPr>
          <w:hyperlink w:anchor="_Toc242325211" w:history="1">
            <w:r w:rsidRPr="00756B62">
              <w:rPr>
                <w:rStyle w:val="Hyperlink"/>
                <w:rFonts w:ascii="Traditional Arabic" w:hAnsi="Traditional Arabic" w:cs="Traditional Arabic"/>
                <w:b/>
                <w:bCs/>
                <w:noProof/>
                <w:rtl/>
              </w:rPr>
              <w:t>الشفافية</w:t>
            </w:r>
            <w:r>
              <w:rPr>
                <w:noProof/>
                <w:webHidden/>
              </w:rPr>
              <w:tab/>
            </w:r>
            <w:r>
              <w:rPr>
                <w:noProof/>
                <w:webHidden/>
              </w:rPr>
              <w:fldChar w:fldCharType="begin"/>
            </w:r>
            <w:r>
              <w:rPr>
                <w:noProof/>
                <w:webHidden/>
              </w:rPr>
              <w:instrText xml:space="preserve"> PAGEREF _Toc242325211 \h </w:instrText>
            </w:r>
            <w:r>
              <w:rPr>
                <w:noProof/>
                <w:webHidden/>
              </w:rPr>
            </w:r>
            <w:r>
              <w:rPr>
                <w:noProof/>
                <w:webHidden/>
              </w:rPr>
              <w:fldChar w:fldCharType="separate"/>
            </w:r>
            <w:r>
              <w:rPr>
                <w:noProof/>
                <w:webHidden/>
              </w:rPr>
              <w:t>54</w:t>
            </w:r>
            <w:r>
              <w:rPr>
                <w:noProof/>
                <w:webHidden/>
              </w:rPr>
              <w:fldChar w:fldCharType="end"/>
            </w:r>
          </w:hyperlink>
        </w:p>
        <w:p w14:paraId="721170F3" w14:textId="7DADAE40" w:rsidR="00FC05A1" w:rsidRDefault="00FC05A1" w:rsidP="00FC05A1">
          <w:pPr>
            <w:pStyle w:val="TOC3"/>
            <w:tabs>
              <w:tab w:val="right" w:leader="dot" w:pos="9350"/>
            </w:tabs>
            <w:rPr>
              <w:rFonts w:eastAsiaTheme="minorEastAsia"/>
              <w:noProof/>
            </w:rPr>
          </w:pPr>
          <w:hyperlink w:anchor="_Toc242325212" w:history="1">
            <w:r w:rsidRPr="00756B62">
              <w:rPr>
                <w:rStyle w:val="Hyperlink"/>
                <w:rFonts w:ascii="Traditional Arabic" w:hAnsi="Traditional Arabic" w:cs="Traditional Arabic"/>
                <w:b/>
                <w:bCs/>
                <w:noProof/>
                <w:rtl/>
              </w:rPr>
              <w:t>المساءلة</w:t>
            </w:r>
            <w:r>
              <w:rPr>
                <w:noProof/>
                <w:webHidden/>
              </w:rPr>
              <w:tab/>
            </w:r>
            <w:r>
              <w:rPr>
                <w:noProof/>
                <w:webHidden/>
              </w:rPr>
              <w:fldChar w:fldCharType="begin"/>
            </w:r>
            <w:r>
              <w:rPr>
                <w:noProof/>
                <w:webHidden/>
              </w:rPr>
              <w:instrText xml:space="preserve"> PAGEREF _Toc242325212 \h </w:instrText>
            </w:r>
            <w:r>
              <w:rPr>
                <w:noProof/>
                <w:webHidden/>
              </w:rPr>
            </w:r>
            <w:r>
              <w:rPr>
                <w:noProof/>
                <w:webHidden/>
              </w:rPr>
              <w:fldChar w:fldCharType="separate"/>
            </w:r>
            <w:r>
              <w:rPr>
                <w:noProof/>
                <w:webHidden/>
              </w:rPr>
              <w:t>55</w:t>
            </w:r>
            <w:r>
              <w:rPr>
                <w:noProof/>
                <w:webHidden/>
              </w:rPr>
              <w:fldChar w:fldCharType="end"/>
            </w:r>
          </w:hyperlink>
        </w:p>
        <w:p w14:paraId="222720A0" w14:textId="234501E0" w:rsidR="00FC05A1" w:rsidRDefault="00FC05A1" w:rsidP="00FC05A1">
          <w:pPr>
            <w:pStyle w:val="TOC3"/>
            <w:tabs>
              <w:tab w:val="right" w:leader="dot" w:pos="9350"/>
            </w:tabs>
            <w:rPr>
              <w:rFonts w:eastAsiaTheme="minorEastAsia"/>
              <w:noProof/>
            </w:rPr>
          </w:pPr>
          <w:hyperlink w:anchor="_Toc242325213" w:history="1">
            <w:r w:rsidRPr="00756B62">
              <w:rPr>
                <w:rStyle w:val="Hyperlink"/>
                <w:rFonts w:ascii="Traditional Arabic" w:hAnsi="Traditional Arabic" w:cs="Traditional Arabic"/>
                <w:b/>
                <w:bCs/>
                <w:noProof/>
                <w:rtl/>
              </w:rPr>
              <w:t>المسؤولية</w:t>
            </w:r>
            <w:r>
              <w:rPr>
                <w:noProof/>
                <w:webHidden/>
              </w:rPr>
              <w:tab/>
            </w:r>
            <w:r>
              <w:rPr>
                <w:noProof/>
                <w:webHidden/>
              </w:rPr>
              <w:fldChar w:fldCharType="begin"/>
            </w:r>
            <w:r>
              <w:rPr>
                <w:noProof/>
                <w:webHidden/>
              </w:rPr>
              <w:instrText xml:space="preserve"> PAGEREF _Toc242325213 \h </w:instrText>
            </w:r>
            <w:r>
              <w:rPr>
                <w:noProof/>
                <w:webHidden/>
              </w:rPr>
            </w:r>
            <w:r>
              <w:rPr>
                <w:noProof/>
                <w:webHidden/>
              </w:rPr>
              <w:fldChar w:fldCharType="separate"/>
            </w:r>
            <w:r>
              <w:rPr>
                <w:noProof/>
                <w:webHidden/>
              </w:rPr>
              <w:t>55</w:t>
            </w:r>
            <w:r>
              <w:rPr>
                <w:noProof/>
                <w:webHidden/>
              </w:rPr>
              <w:fldChar w:fldCharType="end"/>
            </w:r>
          </w:hyperlink>
        </w:p>
        <w:p w14:paraId="521B67D3" w14:textId="3FDCA34B" w:rsidR="00FC05A1" w:rsidRDefault="00FC05A1" w:rsidP="00FC05A1">
          <w:pPr>
            <w:pStyle w:val="TOC3"/>
            <w:tabs>
              <w:tab w:val="right" w:leader="dot" w:pos="9350"/>
            </w:tabs>
            <w:rPr>
              <w:rFonts w:eastAsiaTheme="minorEastAsia"/>
              <w:noProof/>
            </w:rPr>
          </w:pPr>
          <w:hyperlink w:anchor="_Toc242325214" w:history="1">
            <w:r w:rsidRPr="00756B62">
              <w:rPr>
                <w:rStyle w:val="Hyperlink"/>
                <w:rFonts w:ascii="Traditional Arabic" w:hAnsi="Traditional Arabic" w:cs="Traditional Arabic"/>
                <w:b/>
                <w:bCs/>
                <w:noProof/>
                <w:rtl/>
              </w:rPr>
              <w:t>العدالة الاجتماعية</w:t>
            </w:r>
            <w:r>
              <w:rPr>
                <w:noProof/>
                <w:webHidden/>
              </w:rPr>
              <w:tab/>
            </w:r>
            <w:r>
              <w:rPr>
                <w:noProof/>
                <w:webHidden/>
              </w:rPr>
              <w:fldChar w:fldCharType="begin"/>
            </w:r>
            <w:r>
              <w:rPr>
                <w:noProof/>
                <w:webHidden/>
              </w:rPr>
              <w:instrText xml:space="preserve"> PAGEREF _Toc242325214 \h </w:instrText>
            </w:r>
            <w:r>
              <w:rPr>
                <w:noProof/>
                <w:webHidden/>
              </w:rPr>
            </w:r>
            <w:r>
              <w:rPr>
                <w:noProof/>
                <w:webHidden/>
              </w:rPr>
              <w:fldChar w:fldCharType="separate"/>
            </w:r>
            <w:r>
              <w:rPr>
                <w:noProof/>
                <w:webHidden/>
              </w:rPr>
              <w:t>56</w:t>
            </w:r>
            <w:r>
              <w:rPr>
                <w:noProof/>
                <w:webHidden/>
              </w:rPr>
              <w:fldChar w:fldCharType="end"/>
            </w:r>
          </w:hyperlink>
        </w:p>
        <w:p w14:paraId="006AF15B" w14:textId="78C5A459" w:rsidR="00FC05A1" w:rsidRDefault="00FC05A1" w:rsidP="00FC05A1">
          <w:pPr>
            <w:pStyle w:val="TOC2"/>
            <w:tabs>
              <w:tab w:val="right" w:leader="dot" w:pos="9350"/>
            </w:tabs>
            <w:rPr>
              <w:rFonts w:eastAsiaTheme="minorEastAsia"/>
              <w:noProof/>
            </w:rPr>
          </w:pPr>
          <w:hyperlink w:anchor="_Toc242325215" w:history="1">
            <w:r w:rsidRPr="00756B62">
              <w:rPr>
                <w:rStyle w:val="Hyperlink"/>
                <w:rFonts w:ascii="Traditional Arabic" w:hAnsi="Traditional Arabic" w:cs="Traditional Arabic"/>
                <w:b/>
                <w:bCs/>
                <w:noProof/>
                <w:rtl/>
              </w:rPr>
              <w:t>دور أصحاب المصالح</w:t>
            </w:r>
            <w:r>
              <w:rPr>
                <w:noProof/>
                <w:webHidden/>
              </w:rPr>
              <w:tab/>
            </w:r>
            <w:r>
              <w:rPr>
                <w:noProof/>
                <w:webHidden/>
              </w:rPr>
              <w:fldChar w:fldCharType="begin"/>
            </w:r>
            <w:r>
              <w:rPr>
                <w:noProof/>
                <w:webHidden/>
              </w:rPr>
              <w:instrText xml:space="preserve"> PAGEREF _Toc242325215 \h </w:instrText>
            </w:r>
            <w:r>
              <w:rPr>
                <w:noProof/>
                <w:webHidden/>
              </w:rPr>
            </w:r>
            <w:r>
              <w:rPr>
                <w:noProof/>
                <w:webHidden/>
              </w:rPr>
              <w:fldChar w:fldCharType="separate"/>
            </w:r>
            <w:r>
              <w:rPr>
                <w:noProof/>
                <w:webHidden/>
              </w:rPr>
              <w:t>57</w:t>
            </w:r>
            <w:r>
              <w:rPr>
                <w:noProof/>
                <w:webHidden/>
              </w:rPr>
              <w:fldChar w:fldCharType="end"/>
            </w:r>
          </w:hyperlink>
        </w:p>
        <w:p w14:paraId="21B9F286" w14:textId="6EB6EF04" w:rsidR="00FC05A1" w:rsidRDefault="00FC05A1" w:rsidP="00FC05A1">
          <w:pPr>
            <w:pStyle w:val="TOC3"/>
            <w:tabs>
              <w:tab w:val="right" w:leader="dot" w:pos="9350"/>
            </w:tabs>
            <w:rPr>
              <w:rFonts w:eastAsiaTheme="minorEastAsia"/>
              <w:noProof/>
            </w:rPr>
          </w:pPr>
          <w:hyperlink w:anchor="_Toc242325216" w:history="1">
            <w:r w:rsidRPr="00756B62">
              <w:rPr>
                <w:rStyle w:val="Hyperlink"/>
                <w:rFonts w:ascii="Traditional Arabic" w:hAnsi="Traditional Arabic" w:cs="Traditional Arabic"/>
                <w:b/>
                <w:bCs/>
                <w:noProof/>
                <w:rtl/>
              </w:rPr>
              <w:t>أصحاب المصالح</w:t>
            </w:r>
            <w:r>
              <w:rPr>
                <w:noProof/>
                <w:webHidden/>
              </w:rPr>
              <w:tab/>
            </w:r>
            <w:r>
              <w:rPr>
                <w:noProof/>
                <w:webHidden/>
              </w:rPr>
              <w:fldChar w:fldCharType="begin"/>
            </w:r>
            <w:r>
              <w:rPr>
                <w:noProof/>
                <w:webHidden/>
              </w:rPr>
              <w:instrText xml:space="preserve"> PAGEREF _Toc242325216 \h </w:instrText>
            </w:r>
            <w:r>
              <w:rPr>
                <w:noProof/>
                <w:webHidden/>
              </w:rPr>
            </w:r>
            <w:r>
              <w:rPr>
                <w:noProof/>
                <w:webHidden/>
              </w:rPr>
              <w:fldChar w:fldCharType="separate"/>
            </w:r>
            <w:r>
              <w:rPr>
                <w:noProof/>
                <w:webHidden/>
              </w:rPr>
              <w:t>57</w:t>
            </w:r>
            <w:r>
              <w:rPr>
                <w:noProof/>
                <w:webHidden/>
              </w:rPr>
              <w:fldChar w:fldCharType="end"/>
            </w:r>
          </w:hyperlink>
        </w:p>
        <w:p w14:paraId="7599B693" w14:textId="5D4607EF" w:rsidR="00FC05A1" w:rsidRDefault="00FC05A1" w:rsidP="00FC05A1">
          <w:pPr>
            <w:pStyle w:val="TOC3"/>
            <w:tabs>
              <w:tab w:val="right" w:leader="dot" w:pos="9350"/>
            </w:tabs>
            <w:rPr>
              <w:rFonts w:eastAsiaTheme="minorEastAsia"/>
              <w:noProof/>
            </w:rPr>
          </w:pPr>
          <w:hyperlink w:anchor="_Toc242325217" w:history="1">
            <w:r w:rsidRPr="00756B62">
              <w:rPr>
                <w:rStyle w:val="Hyperlink"/>
                <w:rFonts w:ascii="Traditional Arabic" w:hAnsi="Traditional Arabic" w:cs="Traditional Arabic"/>
                <w:b/>
                <w:bCs/>
                <w:noProof/>
                <w:rtl/>
              </w:rPr>
              <w:t>مسؤوليات مجلس الإدارة</w:t>
            </w:r>
            <w:r>
              <w:rPr>
                <w:noProof/>
                <w:webHidden/>
              </w:rPr>
              <w:tab/>
            </w:r>
            <w:r>
              <w:rPr>
                <w:noProof/>
                <w:webHidden/>
              </w:rPr>
              <w:fldChar w:fldCharType="begin"/>
            </w:r>
            <w:r>
              <w:rPr>
                <w:noProof/>
                <w:webHidden/>
              </w:rPr>
              <w:instrText xml:space="preserve"> PAGEREF _Toc242325217 \h </w:instrText>
            </w:r>
            <w:r>
              <w:rPr>
                <w:noProof/>
                <w:webHidden/>
              </w:rPr>
            </w:r>
            <w:r>
              <w:rPr>
                <w:noProof/>
                <w:webHidden/>
              </w:rPr>
              <w:fldChar w:fldCharType="separate"/>
            </w:r>
            <w:r>
              <w:rPr>
                <w:noProof/>
                <w:webHidden/>
              </w:rPr>
              <w:t>57</w:t>
            </w:r>
            <w:r>
              <w:rPr>
                <w:noProof/>
                <w:webHidden/>
              </w:rPr>
              <w:fldChar w:fldCharType="end"/>
            </w:r>
          </w:hyperlink>
        </w:p>
        <w:p w14:paraId="24FE1E14" w14:textId="798666F4" w:rsidR="00FC05A1" w:rsidRDefault="00FC05A1" w:rsidP="00831CAB">
          <w:pPr>
            <w:pStyle w:val="TOC2"/>
            <w:tabs>
              <w:tab w:val="right" w:leader="dot" w:pos="9350"/>
            </w:tabs>
            <w:rPr>
              <w:rFonts w:eastAsiaTheme="minorEastAsia"/>
              <w:noProof/>
            </w:rPr>
          </w:pPr>
          <w:hyperlink w:anchor="_Toc242325218" w:history="1">
            <w:r>
              <w:rPr>
                <w:noProof/>
                <w:webHidden/>
              </w:rPr>
              <w:tab/>
            </w:r>
            <w:r>
              <w:rPr>
                <w:noProof/>
                <w:webHidden/>
              </w:rPr>
              <w:fldChar w:fldCharType="begin"/>
            </w:r>
            <w:r>
              <w:rPr>
                <w:noProof/>
                <w:webHidden/>
              </w:rPr>
              <w:instrText xml:space="preserve"> PAGEREF _Toc242325218 \h </w:instrText>
            </w:r>
            <w:r>
              <w:rPr>
                <w:noProof/>
                <w:webHidden/>
              </w:rPr>
            </w:r>
            <w:r>
              <w:rPr>
                <w:noProof/>
                <w:webHidden/>
              </w:rPr>
              <w:fldChar w:fldCharType="separate"/>
            </w:r>
            <w:r>
              <w:rPr>
                <w:noProof/>
                <w:webHidden/>
              </w:rPr>
              <w:t>58</w:t>
            </w:r>
            <w:r>
              <w:rPr>
                <w:noProof/>
                <w:webHidden/>
              </w:rPr>
              <w:fldChar w:fldCharType="end"/>
            </w:r>
          </w:hyperlink>
        </w:p>
        <w:p w14:paraId="43D49A17" w14:textId="2138008F" w:rsidR="00FC05A1" w:rsidRDefault="00FC05A1" w:rsidP="00FC05A1">
          <w:pPr>
            <w:pStyle w:val="TOC2"/>
            <w:tabs>
              <w:tab w:val="right" w:leader="dot" w:pos="9350"/>
            </w:tabs>
            <w:rPr>
              <w:rFonts w:eastAsiaTheme="minorEastAsia"/>
              <w:noProof/>
            </w:rPr>
          </w:pPr>
          <w:hyperlink w:anchor="_Toc242325219" w:history="1">
            <w:r w:rsidRPr="00756B62">
              <w:rPr>
                <w:rStyle w:val="Hyperlink"/>
                <w:rFonts w:ascii="Traditional Arabic" w:hAnsi="Traditional Arabic" w:cs="Traditional Arabic"/>
                <w:b/>
                <w:bCs/>
                <w:noProof/>
                <w:rtl/>
              </w:rPr>
              <w:t>إدارة المخاطر للشركات الناشئة</w:t>
            </w:r>
            <w:r>
              <w:rPr>
                <w:noProof/>
                <w:webHidden/>
              </w:rPr>
              <w:tab/>
            </w:r>
            <w:r>
              <w:rPr>
                <w:noProof/>
                <w:webHidden/>
              </w:rPr>
              <w:fldChar w:fldCharType="begin"/>
            </w:r>
            <w:r>
              <w:rPr>
                <w:noProof/>
                <w:webHidden/>
              </w:rPr>
              <w:instrText xml:space="preserve"> PAGEREF _Toc242325219 \h </w:instrText>
            </w:r>
            <w:r>
              <w:rPr>
                <w:noProof/>
                <w:webHidden/>
              </w:rPr>
            </w:r>
            <w:r>
              <w:rPr>
                <w:noProof/>
                <w:webHidden/>
              </w:rPr>
              <w:fldChar w:fldCharType="separate"/>
            </w:r>
            <w:r>
              <w:rPr>
                <w:noProof/>
                <w:webHidden/>
              </w:rPr>
              <w:t>59</w:t>
            </w:r>
            <w:r>
              <w:rPr>
                <w:noProof/>
                <w:webHidden/>
              </w:rPr>
              <w:fldChar w:fldCharType="end"/>
            </w:r>
          </w:hyperlink>
        </w:p>
        <w:p w14:paraId="4E28405E" w14:textId="57CD015E" w:rsidR="00FC05A1" w:rsidRDefault="00FC05A1" w:rsidP="00FC05A1">
          <w:pPr>
            <w:pStyle w:val="TOC2"/>
            <w:tabs>
              <w:tab w:val="right" w:leader="dot" w:pos="9350"/>
            </w:tabs>
            <w:rPr>
              <w:rFonts w:eastAsiaTheme="minorEastAsia"/>
              <w:noProof/>
            </w:rPr>
          </w:pPr>
          <w:hyperlink w:anchor="_Toc242325220" w:history="1">
            <w:r w:rsidRPr="00756B62">
              <w:rPr>
                <w:rStyle w:val="Hyperlink"/>
                <w:rFonts w:ascii="Traditional Arabic" w:hAnsi="Traditional Arabic" w:cs="Traditional Arabic"/>
                <w:b/>
                <w:bCs/>
                <w:noProof/>
                <w:rtl/>
              </w:rPr>
              <w:t>حوكمة أمن المعلومات ودورها في إدارة المخاطر</w:t>
            </w:r>
            <w:r>
              <w:rPr>
                <w:noProof/>
                <w:webHidden/>
              </w:rPr>
              <w:tab/>
            </w:r>
            <w:r>
              <w:rPr>
                <w:noProof/>
                <w:webHidden/>
              </w:rPr>
              <w:fldChar w:fldCharType="begin"/>
            </w:r>
            <w:r>
              <w:rPr>
                <w:noProof/>
                <w:webHidden/>
              </w:rPr>
              <w:instrText xml:space="preserve"> PAGEREF _Toc242325220 \h </w:instrText>
            </w:r>
            <w:r>
              <w:rPr>
                <w:noProof/>
                <w:webHidden/>
              </w:rPr>
            </w:r>
            <w:r>
              <w:rPr>
                <w:noProof/>
                <w:webHidden/>
              </w:rPr>
              <w:fldChar w:fldCharType="separate"/>
            </w:r>
            <w:r>
              <w:rPr>
                <w:noProof/>
                <w:webHidden/>
              </w:rPr>
              <w:t>60</w:t>
            </w:r>
            <w:r>
              <w:rPr>
                <w:noProof/>
                <w:webHidden/>
              </w:rPr>
              <w:fldChar w:fldCharType="end"/>
            </w:r>
          </w:hyperlink>
        </w:p>
        <w:p w14:paraId="793A3215" w14:textId="34A99C46" w:rsidR="00FC05A1" w:rsidRDefault="00FC05A1" w:rsidP="00FC05A1">
          <w:pPr>
            <w:pStyle w:val="TOC3"/>
            <w:tabs>
              <w:tab w:val="right" w:leader="dot" w:pos="9350"/>
            </w:tabs>
            <w:rPr>
              <w:rFonts w:eastAsiaTheme="minorEastAsia"/>
              <w:noProof/>
            </w:rPr>
          </w:pPr>
          <w:hyperlink w:anchor="_Toc242325221" w:history="1">
            <w:r w:rsidRPr="00756B62">
              <w:rPr>
                <w:rStyle w:val="Hyperlink"/>
                <w:rFonts w:ascii="Traditional Arabic" w:hAnsi="Traditional Arabic" w:cs="Traditional Arabic"/>
                <w:b/>
                <w:bCs/>
                <w:noProof/>
                <w:rtl/>
              </w:rPr>
              <w:t>أ) ماهية حوكمة أمن المعلومات</w:t>
            </w:r>
            <w:r>
              <w:rPr>
                <w:noProof/>
                <w:webHidden/>
              </w:rPr>
              <w:tab/>
            </w:r>
            <w:r>
              <w:rPr>
                <w:noProof/>
                <w:webHidden/>
              </w:rPr>
              <w:fldChar w:fldCharType="begin"/>
            </w:r>
            <w:r>
              <w:rPr>
                <w:noProof/>
                <w:webHidden/>
              </w:rPr>
              <w:instrText xml:space="preserve"> PAGEREF _Toc242325221 \h </w:instrText>
            </w:r>
            <w:r>
              <w:rPr>
                <w:noProof/>
                <w:webHidden/>
              </w:rPr>
            </w:r>
            <w:r>
              <w:rPr>
                <w:noProof/>
                <w:webHidden/>
              </w:rPr>
              <w:fldChar w:fldCharType="separate"/>
            </w:r>
            <w:r>
              <w:rPr>
                <w:noProof/>
                <w:webHidden/>
              </w:rPr>
              <w:t>60</w:t>
            </w:r>
            <w:r>
              <w:rPr>
                <w:noProof/>
                <w:webHidden/>
              </w:rPr>
              <w:fldChar w:fldCharType="end"/>
            </w:r>
          </w:hyperlink>
        </w:p>
        <w:p w14:paraId="48A04AF6" w14:textId="7BE25AF9" w:rsidR="00FC05A1" w:rsidRDefault="00FC05A1" w:rsidP="00FC05A1">
          <w:pPr>
            <w:pStyle w:val="TOC2"/>
            <w:tabs>
              <w:tab w:val="right" w:leader="dot" w:pos="9350"/>
            </w:tabs>
            <w:rPr>
              <w:rFonts w:eastAsiaTheme="minorEastAsia"/>
              <w:noProof/>
            </w:rPr>
          </w:pPr>
          <w:hyperlink w:anchor="_Toc242325222" w:history="1">
            <w:r w:rsidRPr="00756B62">
              <w:rPr>
                <w:rStyle w:val="Hyperlink"/>
                <w:rFonts w:ascii="Traditional Arabic" w:hAnsi="Traditional Arabic" w:cs="Traditional Arabic"/>
                <w:b/>
                <w:bCs/>
                <w:noProof/>
                <w:rtl/>
              </w:rPr>
              <w:t>الإصدارات الدولية الخاصة بالحوكمة المستخدمة عالميًا</w:t>
            </w:r>
            <w:r>
              <w:rPr>
                <w:noProof/>
                <w:webHidden/>
              </w:rPr>
              <w:tab/>
            </w:r>
            <w:r>
              <w:rPr>
                <w:noProof/>
                <w:webHidden/>
              </w:rPr>
              <w:fldChar w:fldCharType="begin"/>
            </w:r>
            <w:r>
              <w:rPr>
                <w:noProof/>
                <w:webHidden/>
              </w:rPr>
              <w:instrText xml:space="preserve"> PAGEREF _Toc242325222 \h </w:instrText>
            </w:r>
            <w:r>
              <w:rPr>
                <w:noProof/>
                <w:webHidden/>
              </w:rPr>
            </w:r>
            <w:r>
              <w:rPr>
                <w:noProof/>
                <w:webHidden/>
              </w:rPr>
              <w:fldChar w:fldCharType="separate"/>
            </w:r>
            <w:r>
              <w:rPr>
                <w:noProof/>
                <w:webHidden/>
              </w:rPr>
              <w:t>61</w:t>
            </w:r>
            <w:r>
              <w:rPr>
                <w:noProof/>
                <w:webHidden/>
              </w:rPr>
              <w:fldChar w:fldCharType="end"/>
            </w:r>
          </w:hyperlink>
        </w:p>
        <w:p w14:paraId="4868989B" w14:textId="45B6D0AE" w:rsidR="00FC05A1" w:rsidRDefault="00FC05A1" w:rsidP="00FC05A1">
          <w:pPr>
            <w:pStyle w:val="TOC3"/>
            <w:tabs>
              <w:tab w:val="right" w:leader="dot" w:pos="9350"/>
            </w:tabs>
            <w:rPr>
              <w:rFonts w:eastAsiaTheme="minorEastAsia"/>
              <w:noProof/>
            </w:rPr>
          </w:pPr>
          <w:hyperlink w:anchor="_Toc242325223" w:history="1">
            <w:r w:rsidRPr="00756B62">
              <w:rPr>
                <w:rStyle w:val="Hyperlink"/>
                <w:rFonts w:ascii="Traditional Arabic" w:hAnsi="Traditional Arabic" w:cs="Traditional Arabic"/>
                <w:b/>
                <w:bCs/>
                <w:noProof/>
                <w:rtl/>
              </w:rPr>
              <w:t>(أ) نموذج</w:t>
            </w:r>
            <w:r w:rsidRPr="00756B62">
              <w:rPr>
                <w:rStyle w:val="Hyperlink"/>
                <w:rFonts w:ascii="Traditional Arabic" w:hAnsi="Traditional Arabic" w:cs="Traditional Arabic"/>
                <w:b/>
                <w:bCs/>
                <w:noProof/>
              </w:rPr>
              <w:t xml:space="preserve"> COBIT </w:t>
            </w:r>
            <w:r w:rsidRPr="00756B62">
              <w:rPr>
                <w:rStyle w:val="Hyperlink"/>
                <w:rFonts w:ascii="Traditional Arabic" w:hAnsi="Traditional Arabic" w:cs="Traditional Arabic"/>
                <w:b/>
                <w:bCs/>
                <w:noProof/>
                <w:rtl/>
              </w:rPr>
              <w:t>كمرجعية لحوكمة تكنولوجيا المعلومات</w:t>
            </w:r>
            <w:r>
              <w:rPr>
                <w:noProof/>
                <w:webHidden/>
              </w:rPr>
              <w:tab/>
            </w:r>
            <w:r>
              <w:rPr>
                <w:noProof/>
                <w:webHidden/>
              </w:rPr>
              <w:fldChar w:fldCharType="begin"/>
            </w:r>
            <w:r>
              <w:rPr>
                <w:noProof/>
                <w:webHidden/>
              </w:rPr>
              <w:instrText xml:space="preserve"> PAGEREF _Toc242325223 \h </w:instrText>
            </w:r>
            <w:r>
              <w:rPr>
                <w:noProof/>
                <w:webHidden/>
              </w:rPr>
            </w:r>
            <w:r>
              <w:rPr>
                <w:noProof/>
                <w:webHidden/>
              </w:rPr>
              <w:fldChar w:fldCharType="separate"/>
            </w:r>
            <w:r>
              <w:rPr>
                <w:noProof/>
                <w:webHidden/>
              </w:rPr>
              <w:t>61</w:t>
            </w:r>
            <w:r>
              <w:rPr>
                <w:noProof/>
                <w:webHidden/>
              </w:rPr>
              <w:fldChar w:fldCharType="end"/>
            </w:r>
          </w:hyperlink>
        </w:p>
        <w:p w14:paraId="6FB358F5" w14:textId="2A514865" w:rsidR="00FC05A1" w:rsidRDefault="00FC05A1" w:rsidP="00FC05A1">
          <w:pPr>
            <w:pStyle w:val="TOC3"/>
            <w:tabs>
              <w:tab w:val="right" w:leader="dot" w:pos="9350"/>
            </w:tabs>
            <w:rPr>
              <w:rFonts w:eastAsiaTheme="minorEastAsia"/>
              <w:noProof/>
            </w:rPr>
          </w:pPr>
          <w:hyperlink w:anchor="_Toc242325224" w:history="1">
            <w:r w:rsidRPr="00756B62">
              <w:rPr>
                <w:rStyle w:val="Hyperlink"/>
                <w:rFonts w:ascii="Traditional Arabic" w:hAnsi="Traditional Arabic" w:cs="Traditional Arabic"/>
                <w:b/>
                <w:bCs/>
                <w:noProof/>
                <w:rtl/>
              </w:rPr>
              <w:t xml:space="preserve">مراحل تصميم نظام الحوكمة وفق </w:t>
            </w:r>
            <w:r w:rsidRPr="00756B62">
              <w:rPr>
                <w:rStyle w:val="Hyperlink"/>
                <w:rFonts w:ascii="Traditional Arabic" w:hAnsi="Traditional Arabic" w:cs="Traditional Arabic"/>
                <w:b/>
                <w:bCs/>
                <w:noProof/>
              </w:rPr>
              <w:t>COBIT 2019</w:t>
            </w:r>
            <w:r>
              <w:rPr>
                <w:noProof/>
                <w:webHidden/>
              </w:rPr>
              <w:tab/>
            </w:r>
            <w:r>
              <w:rPr>
                <w:noProof/>
                <w:webHidden/>
              </w:rPr>
              <w:fldChar w:fldCharType="begin"/>
            </w:r>
            <w:r>
              <w:rPr>
                <w:noProof/>
                <w:webHidden/>
              </w:rPr>
              <w:instrText xml:space="preserve"> PAGEREF _Toc242325224 \h </w:instrText>
            </w:r>
            <w:r>
              <w:rPr>
                <w:noProof/>
                <w:webHidden/>
              </w:rPr>
            </w:r>
            <w:r>
              <w:rPr>
                <w:noProof/>
                <w:webHidden/>
              </w:rPr>
              <w:fldChar w:fldCharType="separate"/>
            </w:r>
            <w:r>
              <w:rPr>
                <w:noProof/>
                <w:webHidden/>
              </w:rPr>
              <w:t>62</w:t>
            </w:r>
            <w:r>
              <w:rPr>
                <w:noProof/>
                <w:webHidden/>
              </w:rPr>
              <w:fldChar w:fldCharType="end"/>
            </w:r>
          </w:hyperlink>
        </w:p>
        <w:p w14:paraId="4E68A95C" w14:textId="406FA3E6" w:rsidR="00FC05A1" w:rsidRDefault="00FC05A1" w:rsidP="00FC05A1">
          <w:pPr>
            <w:pStyle w:val="TOC3"/>
            <w:tabs>
              <w:tab w:val="right" w:leader="dot" w:pos="9350"/>
            </w:tabs>
            <w:rPr>
              <w:rFonts w:eastAsiaTheme="minorEastAsia"/>
              <w:noProof/>
            </w:rPr>
          </w:pPr>
          <w:hyperlink w:anchor="_Toc242325225" w:history="1">
            <w:r w:rsidRPr="00756B62">
              <w:rPr>
                <w:rStyle w:val="Hyperlink"/>
                <w:rFonts w:ascii="Traditional Arabic" w:hAnsi="Traditional Arabic" w:cs="Traditional Arabic"/>
                <w:b/>
                <w:bCs/>
                <w:noProof/>
                <w:rtl/>
              </w:rPr>
              <w:t xml:space="preserve">جدول رقم </w:t>
            </w:r>
            <w:r w:rsidRPr="00756B62">
              <w:rPr>
                <w:rStyle w:val="Hyperlink"/>
                <w:rFonts w:ascii="Traditional Arabic" w:hAnsi="Traditional Arabic" w:cs="Traditional Arabic"/>
                <w:b/>
                <w:bCs/>
                <w:noProof/>
              </w:rPr>
              <w:t>(2-2)</w:t>
            </w:r>
            <w:r>
              <w:rPr>
                <w:noProof/>
                <w:webHidden/>
              </w:rPr>
              <w:tab/>
            </w:r>
            <w:r>
              <w:rPr>
                <w:noProof/>
                <w:webHidden/>
              </w:rPr>
              <w:fldChar w:fldCharType="begin"/>
            </w:r>
            <w:r>
              <w:rPr>
                <w:noProof/>
                <w:webHidden/>
              </w:rPr>
              <w:instrText xml:space="preserve"> PAGEREF _Toc242325225 \h </w:instrText>
            </w:r>
            <w:r>
              <w:rPr>
                <w:noProof/>
                <w:webHidden/>
              </w:rPr>
            </w:r>
            <w:r>
              <w:rPr>
                <w:noProof/>
                <w:webHidden/>
              </w:rPr>
              <w:fldChar w:fldCharType="separate"/>
            </w:r>
            <w:r>
              <w:rPr>
                <w:noProof/>
                <w:webHidden/>
              </w:rPr>
              <w:t>63</w:t>
            </w:r>
            <w:r>
              <w:rPr>
                <w:noProof/>
                <w:webHidden/>
              </w:rPr>
              <w:fldChar w:fldCharType="end"/>
            </w:r>
          </w:hyperlink>
        </w:p>
        <w:p w14:paraId="20362017" w14:textId="5397A4E7" w:rsidR="00FC05A1" w:rsidRDefault="00FC05A1" w:rsidP="00FC05A1">
          <w:pPr>
            <w:pStyle w:val="TOC3"/>
            <w:tabs>
              <w:tab w:val="right" w:leader="dot" w:pos="9350"/>
            </w:tabs>
            <w:rPr>
              <w:rFonts w:eastAsiaTheme="minorEastAsia"/>
              <w:noProof/>
            </w:rPr>
          </w:pPr>
          <w:hyperlink w:anchor="_Toc242325226" w:history="1">
            <w:r w:rsidRPr="00756B62">
              <w:rPr>
                <w:rStyle w:val="Hyperlink"/>
                <w:rFonts w:ascii="Traditional Arabic" w:hAnsi="Traditional Arabic" w:cs="Traditional Arabic"/>
                <w:b/>
                <w:bCs/>
                <w:noProof/>
                <w:rtl/>
              </w:rPr>
              <w:t>(ب) نموذج</w:t>
            </w:r>
            <w:r w:rsidRPr="00756B62">
              <w:rPr>
                <w:rStyle w:val="Hyperlink"/>
                <w:rFonts w:ascii="Traditional Arabic" w:hAnsi="Traditional Arabic" w:cs="Traditional Arabic"/>
                <w:b/>
                <w:bCs/>
                <w:noProof/>
              </w:rPr>
              <w:t xml:space="preserve"> NIST </w:t>
            </w:r>
            <w:r w:rsidRPr="00756B62">
              <w:rPr>
                <w:rStyle w:val="Hyperlink"/>
                <w:rFonts w:ascii="Traditional Arabic" w:hAnsi="Traditional Arabic" w:cs="Traditional Arabic"/>
                <w:b/>
                <w:bCs/>
                <w:noProof/>
                <w:rtl/>
              </w:rPr>
              <w:t>كمرجعية لحوكمة الأمن السيبراني</w:t>
            </w:r>
            <w:r>
              <w:rPr>
                <w:noProof/>
                <w:webHidden/>
              </w:rPr>
              <w:tab/>
            </w:r>
            <w:r>
              <w:rPr>
                <w:noProof/>
                <w:webHidden/>
              </w:rPr>
              <w:fldChar w:fldCharType="begin"/>
            </w:r>
            <w:r>
              <w:rPr>
                <w:noProof/>
                <w:webHidden/>
              </w:rPr>
              <w:instrText xml:space="preserve"> PAGEREF _Toc242325226 \h </w:instrText>
            </w:r>
            <w:r>
              <w:rPr>
                <w:noProof/>
                <w:webHidden/>
              </w:rPr>
            </w:r>
            <w:r>
              <w:rPr>
                <w:noProof/>
                <w:webHidden/>
              </w:rPr>
              <w:fldChar w:fldCharType="separate"/>
            </w:r>
            <w:r>
              <w:rPr>
                <w:noProof/>
                <w:webHidden/>
              </w:rPr>
              <w:t>64</w:t>
            </w:r>
            <w:r>
              <w:rPr>
                <w:noProof/>
                <w:webHidden/>
              </w:rPr>
              <w:fldChar w:fldCharType="end"/>
            </w:r>
          </w:hyperlink>
        </w:p>
        <w:p w14:paraId="5779DAE3" w14:textId="6FE998D5" w:rsidR="00FC05A1" w:rsidRDefault="00FC05A1" w:rsidP="00FC05A1">
          <w:pPr>
            <w:pStyle w:val="TOC3"/>
            <w:tabs>
              <w:tab w:val="right" w:leader="dot" w:pos="9350"/>
            </w:tabs>
            <w:rPr>
              <w:rFonts w:eastAsiaTheme="minorEastAsia"/>
              <w:noProof/>
            </w:rPr>
          </w:pPr>
          <w:hyperlink w:anchor="_Toc242325227" w:history="1">
            <w:r w:rsidRPr="00756B62">
              <w:rPr>
                <w:rStyle w:val="Hyperlink"/>
                <w:rFonts w:ascii="Traditional Arabic" w:hAnsi="Traditional Arabic" w:cs="Traditional Arabic"/>
                <w:b/>
                <w:bCs/>
                <w:noProof/>
                <w:rtl/>
              </w:rPr>
              <w:t xml:space="preserve">جدول رقم </w:t>
            </w:r>
            <w:r w:rsidRPr="00756B62">
              <w:rPr>
                <w:rStyle w:val="Hyperlink"/>
                <w:rFonts w:ascii="Traditional Arabic" w:hAnsi="Traditional Arabic" w:cs="Traditional Arabic"/>
                <w:b/>
                <w:bCs/>
                <w:noProof/>
              </w:rPr>
              <w:t>(2-3)</w:t>
            </w:r>
            <w:r>
              <w:rPr>
                <w:noProof/>
                <w:webHidden/>
              </w:rPr>
              <w:tab/>
            </w:r>
            <w:r>
              <w:rPr>
                <w:noProof/>
                <w:webHidden/>
              </w:rPr>
              <w:fldChar w:fldCharType="begin"/>
            </w:r>
            <w:r>
              <w:rPr>
                <w:noProof/>
                <w:webHidden/>
              </w:rPr>
              <w:instrText xml:space="preserve"> PAGEREF _Toc242325227 \h </w:instrText>
            </w:r>
            <w:r>
              <w:rPr>
                <w:noProof/>
                <w:webHidden/>
              </w:rPr>
            </w:r>
            <w:r>
              <w:rPr>
                <w:noProof/>
                <w:webHidden/>
              </w:rPr>
              <w:fldChar w:fldCharType="separate"/>
            </w:r>
            <w:r>
              <w:rPr>
                <w:noProof/>
                <w:webHidden/>
              </w:rPr>
              <w:t>65</w:t>
            </w:r>
            <w:r>
              <w:rPr>
                <w:noProof/>
                <w:webHidden/>
              </w:rPr>
              <w:fldChar w:fldCharType="end"/>
            </w:r>
          </w:hyperlink>
        </w:p>
        <w:p w14:paraId="78CF09B5" w14:textId="3063249B" w:rsidR="00FC05A1" w:rsidRDefault="00FC05A1" w:rsidP="00FC05A1">
          <w:pPr>
            <w:pStyle w:val="TOC2"/>
            <w:tabs>
              <w:tab w:val="right" w:leader="dot" w:pos="9350"/>
            </w:tabs>
            <w:rPr>
              <w:rFonts w:eastAsiaTheme="minorEastAsia"/>
              <w:noProof/>
            </w:rPr>
          </w:pPr>
          <w:hyperlink w:anchor="_Toc242325228" w:history="1">
            <w:r w:rsidRPr="00756B62">
              <w:rPr>
                <w:rStyle w:val="Hyperlink"/>
                <w:rFonts w:ascii="Traditional Arabic" w:hAnsi="Traditional Arabic" w:cs="Traditional Arabic"/>
                <w:bCs/>
                <w:noProof/>
                <w:rtl/>
              </w:rPr>
              <w:t>الخلفية النظرية لعلاقة الحوكمة بالأمن السيبراني</w:t>
            </w:r>
            <w:r>
              <w:rPr>
                <w:noProof/>
                <w:webHidden/>
              </w:rPr>
              <w:tab/>
            </w:r>
            <w:r>
              <w:rPr>
                <w:noProof/>
                <w:webHidden/>
              </w:rPr>
              <w:fldChar w:fldCharType="begin"/>
            </w:r>
            <w:r>
              <w:rPr>
                <w:noProof/>
                <w:webHidden/>
              </w:rPr>
              <w:instrText xml:space="preserve"> PAGEREF _Toc242325228 \h </w:instrText>
            </w:r>
            <w:r>
              <w:rPr>
                <w:noProof/>
                <w:webHidden/>
              </w:rPr>
            </w:r>
            <w:r>
              <w:rPr>
                <w:noProof/>
                <w:webHidden/>
              </w:rPr>
              <w:fldChar w:fldCharType="separate"/>
            </w:r>
            <w:r>
              <w:rPr>
                <w:noProof/>
                <w:webHidden/>
              </w:rPr>
              <w:t>67</w:t>
            </w:r>
            <w:r>
              <w:rPr>
                <w:noProof/>
                <w:webHidden/>
              </w:rPr>
              <w:fldChar w:fldCharType="end"/>
            </w:r>
          </w:hyperlink>
        </w:p>
        <w:p w14:paraId="39B45D64" w14:textId="191FAD3E" w:rsidR="00FC05A1" w:rsidRDefault="00FC05A1" w:rsidP="00FC05A1">
          <w:pPr>
            <w:pStyle w:val="TOC2"/>
            <w:tabs>
              <w:tab w:val="right" w:leader="dot" w:pos="9350"/>
            </w:tabs>
            <w:rPr>
              <w:rFonts w:eastAsiaTheme="minorEastAsia"/>
              <w:noProof/>
            </w:rPr>
          </w:pPr>
          <w:hyperlink w:anchor="_Toc242325229" w:history="1">
            <w:r w:rsidRPr="00756B62">
              <w:rPr>
                <w:rStyle w:val="Hyperlink"/>
                <w:rFonts w:ascii="Traditional Arabic" w:hAnsi="Traditional Arabic" w:cs="Traditional Arabic"/>
                <w:b/>
                <w:bCs/>
                <w:noProof/>
                <w:rtl/>
              </w:rPr>
              <w:t>نشأة وبداية الأمن السيبراني</w:t>
            </w:r>
            <w:r>
              <w:rPr>
                <w:noProof/>
                <w:webHidden/>
              </w:rPr>
              <w:tab/>
            </w:r>
            <w:r>
              <w:rPr>
                <w:noProof/>
                <w:webHidden/>
              </w:rPr>
              <w:fldChar w:fldCharType="begin"/>
            </w:r>
            <w:r>
              <w:rPr>
                <w:noProof/>
                <w:webHidden/>
              </w:rPr>
              <w:instrText xml:space="preserve"> PAGEREF _Toc242325229 \h </w:instrText>
            </w:r>
            <w:r>
              <w:rPr>
                <w:noProof/>
                <w:webHidden/>
              </w:rPr>
            </w:r>
            <w:r>
              <w:rPr>
                <w:noProof/>
                <w:webHidden/>
              </w:rPr>
              <w:fldChar w:fldCharType="separate"/>
            </w:r>
            <w:r>
              <w:rPr>
                <w:noProof/>
                <w:webHidden/>
              </w:rPr>
              <w:t>70</w:t>
            </w:r>
            <w:r>
              <w:rPr>
                <w:noProof/>
                <w:webHidden/>
              </w:rPr>
              <w:fldChar w:fldCharType="end"/>
            </w:r>
          </w:hyperlink>
        </w:p>
        <w:p w14:paraId="576F89E3" w14:textId="41A0CF27" w:rsidR="00FC05A1" w:rsidRDefault="00FC05A1" w:rsidP="00FC05A1">
          <w:pPr>
            <w:pStyle w:val="TOC2"/>
            <w:tabs>
              <w:tab w:val="right" w:leader="dot" w:pos="9350"/>
            </w:tabs>
            <w:rPr>
              <w:rFonts w:eastAsiaTheme="minorEastAsia"/>
              <w:noProof/>
            </w:rPr>
          </w:pPr>
          <w:hyperlink w:anchor="_Toc242325230" w:history="1">
            <w:r w:rsidRPr="00756B62">
              <w:rPr>
                <w:rStyle w:val="Hyperlink"/>
                <w:rFonts w:ascii="Traditional Arabic" w:hAnsi="Traditional Arabic" w:cs="Traditional Arabic"/>
                <w:bCs/>
                <w:noProof/>
                <w:rtl/>
              </w:rPr>
              <w:t>مكونات نظام الحوكمة</w:t>
            </w:r>
            <w:r>
              <w:rPr>
                <w:noProof/>
                <w:webHidden/>
              </w:rPr>
              <w:tab/>
            </w:r>
            <w:r>
              <w:rPr>
                <w:noProof/>
                <w:webHidden/>
              </w:rPr>
              <w:fldChar w:fldCharType="begin"/>
            </w:r>
            <w:r>
              <w:rPr>
                <w:noProof/>
                <w:webHidden/>
              </w:rPr>
              <w:instrText xml:space="preserve"> PAGEREF _Toc242325230 \h </w:instrText>
            </w:r>
            <w:r>
              <w:rPr>
                <w:noProof/>
                <w:webHidden/>
              </w:rPr>
            </w:r>
            <w:r>
              <w:rPr>
                <w:noProof/>
                <w:webHidden/>
              </w:rPr>
              <w:fldChar w:fldCharType="separate"/>
            </w:r>
            <w:r>
              <w:rPr>
                <w:noProof/>
                <w:webHidden/>
              </w:rPr>
              <w:t>72</w:t>
            </w:r>
            <w:r>
              <w:rPr>
                <w:noProof/>
                <w:webHidden/>
              </w:rPr>
              <w:fldChar w:fldCharType="end"/>
            </w:r>
          </w:hyperlink>
        </w:p>
        <w:p w14:paraId="6D09AB05" w14:textId="4E6EF3AA" w:rsidR="00FC05A1" w:rsidRDefault="00FC05A1" w:rsidP="00FC05A1">
          <w:pPr>
            <w:pStyle w:val="TOC3"/>
            <w:tabs>
              <w:tab w:val="left" w:pos="1440"/>
              <w:tab w:val="right" w:leader="dot" w:pos="9350"/>
            </w:tabs>
            <w:rPr>
              <w:rFonts w:eastAsiaTheme="minorEastAsia"/>
              <w:noProof/>
            </w:rPr>
          </w:pPr>
          <w:hyperlink w:anchor="_Toc242325231" w:history="1">
            <w:r w:rsidRPr="00756B62">
              <w:rPr>
                <w:rStyle w:val="Hyperlink"/>
                <w:rFonts w:ascii="Traditional Arabic" w:hAnsi="Traditional Arabic" w:cs="Traditional Arabic"/>
                <w:bCs/>
                <w:noProof/>
              </w:rPr>
              <w:t>1.</w:t>
            </w:r>
            <w:r>
              <w:rPr>
                <w:rFonts w:eastAsiaTheme="minorEastAsia"/>
                <w:noProof/>
              </w:rPr>
              <w:tab/>
            </w:r>
            <w:r w:rsidRPr="00756B62">
              <w:rPr>
                <w:rStyle w:val="Hyperlink"/>
                <w:rFonts w:ascii="Traditional Arabic" w:hAnsi="Traditional Arabic" w:cs="Traditional Arabic"/>
                <w:bCs/>
                <w:noProof/>
                <w:rtl/>
              </w:rPr>
              <w:t xml:space="preserve">العمليات </w:t>
            </w:r>
            <w:r w:rsidRPr="00756B62">
              <w:rPr>
                <w:rStyle w:val="Hyperlink"/>
                <w:rFonts w:ascii="Traditional Arabic" w:hAnsi="Traditional Arabic" w:cs="Traditional Arabic"/>
                <w:bCs/>
                <w:noProof/>
              </w:rPr>
              <w:t>(Processes)</w:t>
            </w:r>
            <w:r>
              <w:rPr>
                <w:noProof/>
                <w:webHidden/>
              </w:rPr>
              <w:tab/>
            </w:r>
            <w:r>
              <w:rPr>
                <w:noProof/>
                <w:webHidden/>
              </w:rPr>
              <w:fldChar w:fldCharType="begin"/>
            </w:r>
            <w:r>
              <w:rPr>
                <w:noProof/>
                <w:webHidden/>
              </w:rPr>
              <w:instrText xml:space="preserve"> PAGEREF _Toc242325231 \h </w:instrText>
            </w:r>
            <w:r>
              <w:rPr>
                <w:noProof/>
                <w:webHidden/>
              </w:rPr>
            </w:r>
            <w:r>
              <w:rPr>
                <w:noProof/>
                <w:webHidden/>
              </w:rPr>
              <w:fldChar w:fldCharType="separate"/>
            </w:r>
            <w:r>
              <w:rPr>
                <w:noProof/>
                <w:webHidden/>
              </w:rPr>
              <w:t>72</w:t>
            </w:r>
            <w:r>
              <w:rPr>
                <w:noProof/>
                <w:webHidden/>
              </w:rPr>
              <w:fldChar w:fldCharType="end"/>
            </w:r>
          </w:hyperlink>
        </w:p>
        <w:p w14:paraId="26F2CBB0" w14:textId="2E93F0BD" w:rsidR="00FC05A1" w:rsidRDefault="00FC05A1" w:rsidP="00FC05A1">
          <w:pPr>
            <w:pStyle w:val="TOC3"/>
            <w:tabs>
              <w:tab w:val="left" w:pos="1920"/>
              <w:tab w:val="right" w:leader="dot" w:pos="9350"/>
            </w:tabs>
            <w:rPr>
              <w:rFonts w:eastAsiaTheme="minorEastAsia"/>
              <w:noProof/>
            </w:rPr>
          </w:pPr>
          <w:hyperlink w:anchor="_Toc242325232" w:history="1">
            <w:r w:rsidRPr="00756B62">
              <w:rPr>
                <w:rStyle w:val="Hyperlink"/>
                <w:rFonts w:ascii="Traditional Arabic" w:hAnsi="Traditional Arabic" w:cs="Traditional Arabic"/>
                <w:bCs/>
                <w:noProof/>
              </w:rPr>
              <w:t>2.</w:t>
            </w:r>
            <w:r>
              <w:rPr>
                <w:rFonts w:eastAsiaTheme="minorEastAsia"/>
                <w:noProof/>
              </w:rPr>
              <w:tab/>
            </w:r>
            <w:r w:rsidRPr="00756B62">
              <w:rPr>
                <w:rStyle w:val="Hyperlink"/>
                <w:rFonts w:ascii="Traditional Arabic" w:hAnsi="Traditional Arabic" w:cs="Traditional Arabic"/>
                <w:bCs/>
                <w:noProof/>
                <w:rtl/>
              </w:rPr>
              <w:t xml:space="preserve">الهياكل التنظيمية </w:t>
            </w:r>
            <w:r w:rsidRPr="00756B62">
              <w:rPr>
                <w:rStyle w:val="Hyperlink"/>
                <w:rFonts w:ascii="Traditional Arabic" w:hAnsi="Traditional Arabic" w:cs="Traditional Arabic"/>
                <w:bCs/>
                <w:noProof/>
              </w:rPr>
              <w:t>(Organizational Structures)</w:t>
            </w:r>
            <w:r>
              <w:rPr>
                <w:noProof/>
                <w:webHidden/>
              </w:rPr>
              <w:tab/>
            </w:r>
            <w:r>
              <w:rPr>
                <w:noProof/>
                <w:webHidden/>
              </w:rPr>
              <w:fldChar w:fldCharType="begin"/>
            </w:r>
            <w:r>
              <w:rPr>
                <w:noProof/>
                <w:webHidden/>
              </w:rPr>
              <w:instrText xml:space="preserve"> PAGEREF _Toc242325232 \h </w:instrText>
            </w:r>
            <w:r>
              <w:rPr>
                <w:noProof/>
                <w:webHidden/>
              </w:rPr>
            </w:r>
            <w:r>
              <w:rPr>
                <w:noProof/>
                <w:webHidden/>
              </w:rPr>
              <w:fldChar w:fldCharType="separate"/>
            </w:r>
            <w:r>
              <w:rPr>
                <w:noProof/>
                <w:webHidden/>
              </w:rPr>
              <w:t>73</w:t>
            </w:r>
            <w:r>
              <w:rPr>
                <w:noProof/>
                <w:webHidden/>
              </w:rPr>
              <w:fldChar w:fldCharType="end"/>
            </w:r>
          </w:hyperlink>
        </w:p>
        <w:p w14:paraId="4B7CF5EE" w14:textId="32434AE9" w:rsidR="00FC05A1" w:rsidRDefault="00FC05A1" w:rsidP="00FC05A1">
          <w:pPr>
            <w:pStyle w:val="TOC3"/>
            <w:tabs>
              <w:tab w:val="left" w:pos="2738"/>
              <w:tab w:val="right" w:leader="dot" w:pos="9350"/>
            </w:tabs>
            <w:rPr>
              <w:rFonts w:eastAsiaTheme="minorEastAsia"/>
              <w:noProof/>
            </w:rPr>
          </w:pPr>
          <w:hyperlink w:anchor="_Toc242325233" w:history="1">
            <w:r w:rsidRPr="00756B62">
              <w:rPr>
                <w:rStyle w:val="Hyperlink"/>
                <w:rFonts w:ascii="Traditional Arabic" w:hAnsi="Traditional Arabic" w:cs="Traditional Arabic"/>
                <w:bCs/>
                <w:noProof/>
              </w:rPr>
              <w:t>3.</w:t>
            </w:r>
            <w:r>
              <w:rPr>
                <w:rFonts w:eastAsiaTheme="minorEastAsia"/>
                <w:noProof/>
              </w:rPr>
              <w:tab/>
            </w:r>
            <w:r w:rsidRPr="00756B62">
              <w:rPr>
                <w:rStyle w:val="Hyperlink"/>
                <w:rFonts w:ascii="Traditional Arabic" w:hAnsi="Traditional Arabic" w:cs="Traditional Arabic"/>
                <w:bCs/>
                <w:noProof/>
                <w:rtl/>
              </w:rPr>
              <w:t xml:space="preserve">المبادئ والسياسات والإجراءات </w:t>
            </w:r>
            <w:r w:rsidRPr="00756B62">
              <w:rPr>
                <w:rStyle w:val="Hyperlink"/>
                <w:rFonts w:ascii="Traditional Arabic" w:hAnsi="Traditional Arabic" w:cs="Traditional Arabic"/>
                <w:bCs/>
                <w:noProof/>
              </w:rPr>
              <w:t>(Principles, Policies and Procedures)</w:t>
            </w:r>
            <w:r>
              <w:rPr>
                <w:noProof/>
                <w:webHidden/>
              </w:rPr>
              <w:tab/>
            </w:r>
            <w:r>
              <w:rPr>
                <w:noProof/>
                <w:webHidden/>
              </w:rPr>
              <w:fldChar w:fldCharType="begin"/>
            </w:r>
            <w:r>
              <w:rPr>
                <w:noProof/>
                <w:webHidden/>
              </w:rPr>
              <w:instrText xml:space="preserve"> PAGEREF _Toc242325233 \h </w:instrText>
            </w:r>
            <w:r>
              <w:rPr>
                <w:noProof/>
                <w:webHidden/>
              </w:rPr>
            </w:r>
            <w:r>
              <w:rPr>
                <w:noProof/>
                <w:webHidden/>
              </w:rPr>
              <w:fldChar w:fldCharType="separate"/>
            </w:r>
            <w:r>
              <w:rPr>
                <w:noProof/>
                <w:webHidden/>
              </w:rPr>
              <w:t>73</w:t>
            </w:r>
            <w:r>
              <w:rPr>
                <w:noProof/>
                <w:webHidden/>
              </w:rPr>
              <w:fldChar w:fldCharType="end"/>
            </w:r>
          </w:hyperlink>
        </w:p>
        <w:p w14:paraId="13F380E2" w14:textId="5A9DCD84" w:rsidR="00FC05A1" w:rsidRDefault="00FC05A1" w:rsidP="00FC05A1">
          <w:pPr>
            <w:pStyle w:val="TOC3"/>
            <w:tabs>
              <w:tab w:val="left" w:pos="1680"/>
              <w:tab w:val="right" w:leader="dot" w:pos="9350"/>
            </w:tabs>
            <w:rPr>
              <w:rFonts w:eastAsiaTheme="minorEastAsia"/>
              <w:noProof/>
            </w:rPr>
          </w:pPr>
          <w:hyperlink w:anchor="_Toc242325234" w:history="1">
            <w:r w:rsidRPr="00756B62">
              <w:rPr>
                <w:rStyle w:val="Hyperlink"/>
                <w:rFonts w:ascii="Traditional Arabic" w:hAnsi="Traditional Arabic" w:cs="Traditional Arabic"/>
                <w:bCs/>
                <w:noProof/>
              </w:rPr>
              <w:t>4.</w:t>
            </w:r>
            <w:r>
              <w:rPr>
                <w:rFonts w:eastAsiaTheme="minorEastAsia"/>
                <w:noProof/>
              </w:rPr>
              <w:tab/>
            </w:r>
            <w:r w:rsidRPr="00756B62">
              <w:rPr>
                <w:rStyle w:val="Hyperlink"/>
                <w:rFonts w:ascii="Traditional Arabic" w:hAnsi="Traditional Arabic" w:cs="Traditional Arabic"/>
                <w:bCs/>
                <w:noProof/>
                <w:rtl/>
              </w:rPr>
              <w:t xml:space="preserve">المعلومات </w:t>
            </w:r>
            <w:r w:rsidRPr="00756B62">
              <w:rPr>
                <w:rStyle w:val="Hyperlink"/>
                <w:rFonts w:ascii="Traditional Arabic" w:hAnsi="Traditional Arabic" w:cs="Traditional Arabic"/>
                <w:bCs/>
                <w:noProof/>
              </w:rPr>
              <w:t>(Information)</w:t>
            </w:r>
            <w:r>
              <w:rPr>
                <w:noProof/>
                <w:webHidden/>
              </w:rPr>
              <w:tab/>
            </w:r>
            <w:r>
              <w:rPr>
                <w:noProof/>
                <w:webHidden/>
              </w:rPr>
              <w:fldChar w:fldCharType="begin"/>
            </w:r>
            <w:r>
              <w:rPr>
                <w:noProof/>
                <w:webHidden/>
              </w:rPr>
              <w:instrText xml:space="preserve"> PAGEREF _Toc242325234 \h </w:instrText>
            </w:r>
            <w:r>
              <w:rPr>
                <w:noProof/>
                <w:webHidden/>
              </w:rPr>
            </w:r>
            <w:r>
              <w:rPr>
                <w:noProof/>
                <w:webHidden/>
              </w:rPr>
              <w:fldChar w:fldCharType="separate"/>
            </w:r>
            <w:r>
              <w:rPr>
                <w:noProof/>
                <w:webHidden/>
              </w:rPr>
              <w:t>73</w:t>
            </w:r>
            <w:r>
              <w:rPr>
                <w:noProof/>
                <w:webHidden/>
              </w:rPr>
              <w:fldChar w:fldCharType="end"/>
            </w:r>
          </w:hyperlink>
        </w:p>
        <w:p w14:paraId="7FA41445" w14:textId="239B24AB" w:rsidR="00FC05A1" w:rsidRDefault="00FC05A1" w:rsidP="00FC05A1">
          <w:pPr>
            <w:pStyle w:val="TOC3"/>
            <w:tabs>
              <w:tab w:val="left" w:pos="2595"/>
              <w:tab w:val="right" w:leader="dot" w:pos="9350"/>
            </w:tabs>
            <w:rPr>
              <w:rFonts w:eastAsiaTheme="minorEastAsia"/>
              <w:noProof/>
            </w:rPr>
          </w:pPr>
          <w:hyperlink w:anchor="_Toc242325235" w:history="1">
            <w:r w:rsidRPr="00756B62">
              <w:rPr>
                <w:rStyle w:val="Hyperlink"/>
                <w:rFonts w:ascii="Traditional Arabic" w:hAnsi="Traditional Arabic" w:cs="Traditional Arabic"/>
                <w:bCs/>
                <w:noProof/>
              </w:rPr>
              <w:t>5.</w:t>
            </w:r>
            <w:r>
              <w:rPr>
                <w:rFonts w:eastAsiaTheme="minorEastAsia"/>
                <w:noProof/>
              </w:rPr>
              <w:tab/>
            </w:r>
            <w:r w:rsidRPr="00756B62">
              <w:rPr>
                <w:rStyle w:val="Hyperlink"/>
                <w:rFonts w:ascii="Traditional Arabic" w:hAnsi="Traditional Arabic" w:cs="Traditional Arabic"/>
                <w:bCs/>
                <w:noProof/>
                <w:rtl/>
              </w:rPr>
              <w:t xml:space="preserve">الثقافة والأخلاقيات والسلوك </w:t>
            </w:r>
            <w:r w:rsidRPr="00756B62">
              <w:rPr>
                <w:rStyle w:val="Hyperlink"/>
                <w:rFonts w:ascii="Traditional Arabic" w:hAnsi="Traditional Arabic" w:cs="Traditional Arabic"/>
                <w:bCs/>
                <w:noProof/>
              </w:rPr>
              <w:t>(Culture, Ethics and Behavior)</w:t>
            </w:r>
            <w:r>
              <w:rPr>
                <w:noProof/>
                <w:webHidden/>
              </w:rPr>
              <w:tab/>
            </w:r>
            <w:r>
              <w:rPr>
                <w:noProof/>
                <w:webHidden/>
              </w:rPr>
              <w:fldChar w:fldCharType="begin"/>
            </w:r>
            <w:r>
              <w:rPr>
                <w:noProof/>
                <w:webHidden/>
              </w:rPr>
              <w:instrText xml:space="preserve"> PAGEREF _Toc242325235 \h </w:instrText>
            </w:r>
            <w:r>
              <w:rPr>
                <w:noProof/>
                <w:webHidden/>
              </w:rPr>
            </w:r>
            <w:r>
              <w:rPr>
                <w:noProof/>
                <w:webHidden/>
              </w:rPr>
              <w:fldChar w:fldCharType="separate"/>
            </w:r>
            <w:r>
              <w:rPr>
                <w:noProof/>
                <w:webHidden/>
              </w:rPr>
              <w:t>74</w:t>
            </w:r>
            <w:r>
              <w:rPr>
                <w:noProof/>
                <w:webHidden/>
              </w:rPr>
              <w:fldChar w:fldCharType="end"/>
            </w:r>
          </w:hyperlink>
        </w:p>
        <w:p w14:paraId="54AAA7C8" w14:textId="14B21122" w:rsidR="00FC05A1" w:rsidRDefault="00FC05A1" w:rsidP="00FC05A1">
          <w:pPr>
            <w:pStyle w:val="TOC3"/>
            <w:tabs>
              <w:tab w:val="left" w:pos="2757"/>
              <w:tab w:val="right" w:leader="dot" w:pos="9350"/>
            </w:tabs>
            <w:rPr>
              <w:rFonts w:eastAsiaTheme="minorEastAsia"/>
              <w:noProof/>
            </w:rPr>
          </w:pPr>
          <w:hyperlink w:anchor="_Toc242325236" w:history="1">
            <w:r w:rsidRPr="00756B62">
              <w:rPr>
                <w:rStyle w:val="Hyperlink"/>
                <w:rFonts w:ascii="Traditional Arabic" w:hAnsi="Traditional Arabic" w:cs="Traditional Arabic"/>
                <w:bCs/>
                <w:noProof/>
              </w:rPr>
              <w:t>6.</w:t>
            </w:r>
            <w:r>
              <w:rPr>
                <w:rFonts w:eastAsiaTheme="minorEastAsia"/>
                <w:noProof/>
              </w:rPr>
              <w:tab/>
            </w:r>
            <w:r w:rsidRPr="00756B62">
              <w:rPr>
                <w:rStyle w:val="Hyperlink"/>
                <w:rFonts w:ascii="Traditional Arabic" w:hAnsi="Traditional Arabic" w:cs="Traditional Arabic"/>
                <w:bCs/>
                <w:noProof/>
                <w:rtl/>
              </w:rPr>
              <w:t xml:space="preserve">الأشخاص والمهارات والكفاءات </w:t>
            </w:r>
            <w:r w:rsidRPr="00756B62">
              <w:rPr>
                <w:rStyle w:val="Hyperlink"/>
                <w:rFonts w:ascii="Traditional Arabic" w:hAnsi="Traditional Arabic" w:cs="Traditional Arabic"/>
                <w:bCs/>
                <w:noProof/>
              </w:rPr>
              <w:t>(People, Skills and Competencies)</w:t>
            </w:r>
            <w:r>
              <w:rPr>
                <w:noProof/>
                <w:webHidden/>
              </w:rPr>
              <w:tab/>
            </w:r>
            <w:r>
              <w:rPr>
                <w:noProof/>
                <w:webHidden/>
              </w:rPr>
              <w:fldChar w:fldCharType="begin"/>
            </w:r>
            <w:r>
              <w:rPr>
                <w:noProof/>
                <w:webHidden/>
              </w:rPr>
              <w:instrText xml:space="preserve"> PAGEREF _Toc242325236 \h </w:instrText>
            </w:r>
            <w:r>
              <w:rPr>
                <w:noProof/>
                <w:webHidden/>
              </w:rPr>
            </w:r>
            <w:r>
              <w:rPr>
                <w:noProof/>
                <w:webHidden/>
              </w:rPr>
              <w:fldChar w:fldCharType="separate"/>
            </w:r>
            <w:r>
              <w:rPr>
                <w:noProof/>
                <w:webHidden/>
              </w:rPr>
              <w:t>74</w:t>
            </w:r>
            <w:r>
              <w:rPr>
                <w:noProof/>
                <w:webHidden/>
              </w:rPr>
              <w:fldChar w:fldCharType="end"/>
            </w:r>
          </w:hyperlink>
        </w:p>
        <w:p w14:paraId="31F3824B" w14:textId="30D9E530" w:rsidR="00FC05A1" w:rsidRDefault="00FC05A1" w:rsidP="00FC05A1">
          <w:pPr>
            <w:pStyle w:val="TOC3"/>
            <w:tabs>
              <w:tab w:val="left" w:pos="2942"/>
              <w:tab w:val="right" w:leader="dot" w:pos="9350"/>
            </w:tabs>
            <w:rPr>
              <w:rFonts w:eastAsiaTheme="minorEastAsia"/>
              <w:noProof/>
            </w:rPr>
          </w:pPr>
          <w:hyperlink w:anchor="_Toc242325237" w:history="1">
            <w:r w:rsidRPr="00756B62">
              <w:rPr>
                <w:rStyle w:val="Hyperlink"/>
                <w:rFonts w:ascii="Traditional Arabic" w:hAnsi="Traditional Arabic" w:cs="Traditional Arabic"/>
                <w:bCs/>
                <w:noProof/>
              </w:rPr>
              <w:t>7.</w:t>
            </w:r>
            <w:r>
              <w:rPr>
                <w:rFonts w:eastAsiaTheme="minorEastAsia"/>
                <w:noProof/>
              </w:rPr>
              <w:tab/>
            </w:r>
            <w:r w:rsidRPr="00756B62">
              <w:rPr>
                <w:rStyle w:val="Hyperlink"/>
                <w:rFonts w:ascii="Traditional Arabic" w:hAnsi="Traditional Arabic" w:cs="Traditional Arabic"/>
                <w:bCs/>
                <w:noProof/>
                <w:rtl/>
              </w:rPr>
              <w:t xml:space="preserve">الخدمات والبنية التحتية والتطبيقات </w:t>
            </w:r>
            <w:r w:rsidRPr="00756B62">
              <w:rPr>
                <w:rStyle w:val="Hyperlink"/>
                <w:rFonts w:ascii="Traditional Arabic" w:hAnsi="Traditional Arabic" w:cs="Traditional Arabic"/>
                <w:bCs/>
                <w:noProof/>
              </w:rPr>
              <w:t>(Services, Infrastructure and Applications)</w:t>
            </w:r>
            <w:r>
              <w:rPr>
                <w:noProof/>
                <w:webHidden/>
              </w:rPr>
              <w:tab/>
            </w:r>
            <w:r>
              <w:rPr>
                <w:noProof/>
                <w:webHidden/>
              </w:rPr>
              <w:fldChar w:fldCharType="begin"/>
            </w:r>
            <w:r>
              <w:rPr>
                <w:noProof/>
                <w:webHidden/>
              </w:rPr>
              <w:instrText xml:space="preserve"> PAGEREF _Toc242325237 \h </w:instrText>
            </w:r>
            <w:r>
              <w:rPr>
                <w:noProof/>
                <w:webHidden/>
              </w:rPr>
            </w:r>
            <w:r>
              <w:rPr>
                <w:noProof/>
                <w:webHidden/>
              </w:rPr>
              <w:fldChar w:fldCharType="separate"/>
            </w:r>
            <w:r>
              <w:rPr>
                <w:noProof/>
                <w:webHidden/>
              </w:rPr>
              <w:t>74</w:t>
            </w:r>
            <w:r>
              <w:rPr>
                <w:noProof/>
                <w:webHidden/>
              </w:rPr>
              <w:fldChar w:fldCharType="end"/>
            </w:r>
          </w:hyperlink>
        </w:p>
        <w:p w14:paraId="65DA3A88" w14:textId="6981C214" w:rsidR="00FC05A1" w:rsidRDefault="00FC05A1" w:rsidP="00FC05A1">
          <w:pPr>
            <w:pStyle w:val="TOC2"/>
            <w:tabs>
              <w:tab w:val="right" w:leader="dot" w:pos="9350"/>
            </w:tabs>
            <w:rPr>
              <w:rFonts w:eastAsiaTheme="minorEastAsia"/>
              <w:noProof/>
            </w:rPr>
          </w:pPr>
          <w:hyperlink w:anchor="_Toc242325238" w:history="1">
            <w:r w:rsidRPr="00756B62">
              <w:rPr>
                <w:rStyle w:val="Hyperlink"/>
                <w:rFonts w:ascii="Traditional Arabic" w:hAnsi="Traditional Arabic" w:cs="Traditional Arabic"/>
                <w:b/>
                <w:bCs/>
                <w:noProof/>
                <w:rtl/>
              </w:rPr>
              <w:t>خصائص حوكمة الشركات</w:t>
            </w:r>
            <w:r>
              <w:rPr>
                <w:noProof/>
                <w:webHidden/>
              </w:rPr>
              <w:tab/>
            </w:r>
            <w:r>
              <w:rPr>
                <w:noProof/>
                <w:webHidden/>
              </w:rPr>
              <w:fldChar w:fldCharType="begin"/>
            </w:r>
            <w:r>
              <w:rPr>
                <w:noProof/>
                <w:webHidden/>
              </w:rPr>
              <w:instrText xml:space="preserve"> PAGEREF _Toc242325238 \h </w:instrText>
            </w:r>
            <w:r>
              <w:rPr>
                <w:noProof/>
                <w:webHidden/>
              </w:rPr>
            </w:r>
            <w:r>
              <w:rPr>
                <w:noProof/>
                <w:webHidden/>
              </w:rPr>
              <w:fldChar w:fldCharType="separate"/>
            </w:r>
            <w:r>
              <w:rPr>
                <w:noProof/>
                <w:webHidden/>
              </w:rPr>
              <w:t>76</w:t>
            </w:r>
            <w:r>
              <w:rPr>
                <w:noProof/>
                <w:webHidden/>
              </w:rPr>
              <w:fldChar w:fldCharType="end"/>
            </w:r>
          </w:hyperlink>
        </w:p>
        <w:p w14:paraId="00045198" w14:textId="4950C966" w:rsidR="00FC05A1" w:rsidRDefault="00FC05A1" w:rsidP="00FC05A1">
          <w:pPr>
            <w:pStyle w:val="TOC2"/>
            <w:tabs>
              <w:tab w:val="right" w:leader="dot" w:pos="9350"/>
            </w:tabs>
            <w:rPr>
              <w:rFonts w:eastAsiaTheme="minorEastAsia"/>
              <w:noProof/>
            </w:rPr>
          </w:pPr>
          <w:hyperlink w:anchor="_Toc242325239" w:history="1">
            <w:r w:rsidRPr="00756B62">
              <w:rPr>
                <w:rStyle w:val="Hyperlink"/>
                <w:rFonts w:ascii="Traditional Arabic" w:hAnsi="Traditional Arabic" w:cs="Traditional Arabic"/>
                <w:b/>
                <w:bCs/>
                <w:noProof/>
                <w:rtl/>
              </w:rPr>
              <w:t>محددات الحوكمة</w:t>
            </w:r>
            <w:r>
              <w:rPr>
                <w:noProof/>
                <w:webHidden/>
              </w:rPr>
              <w:tab/>
            </w:r>
            <w:r>
              <w:rPr>
                <w:noProof/>
                <w:webHidden/>
              </w:rPr>
              <w:fldChar w:fldCharType="begin"/>
            </w:r>
            <w:r>
              <w:rPr>
                <w:noProof/>
                <w:webHidden/>
              </w:rPr>
              <w:instrText xml:space="preserve"> PAGEREF _Toc242325239 \h </w:instrText>
            </w:r>
            <w:r>
              <w:rPr>
                <w:noProof/>
                <w:webHidden/>
              </w:rPr>
            </w:r>
            <w:r>
              <w:rPr>
                <w:noProof/>
                <w:webHidden/>
              </w:rPr>
              <w:fldChar w:fldCharType="separate"/>
            </w:r>
            <w:r>
              <w:rPr>
                <w:noProof/>
                <w:webHidden/>
              </w:rPr>
              <w:t>77</w:t>
            </w:r>
            <w:r>
              <w:rPr>
                <w:noProof/>
                <w:webHidden/>
              </w:rPr>
              <w:fldChar w:fldCharType="end"/>
            </w:r>
          </w:hyperlink>
        </w:p>
        <w:p w14:paraId="40BAF40F" w14:textId="2C6C3841" w:rsidR="00FC05A1" w:rsidRDefault="00FC05A1" w:rsidP="00FC05A1">
          <w:pPr>
            <w:pStyle w:val="TOC3"/>
            <w:tabs>
              <w:tab w:val="right" w:leader="dot" w:pos="9350"/>
            </w:tabs>
            <w:rPr>
              <w:rFonts w:eastAsiaTheme="minorEastAsia"/>
              <w:noProof/>
            </w:rPr>
          </w:pPr>
          <w:hyperlink w:anchor="_Toc242325240" w:history="1">
            <w:r w:rsidRPr="00756B62">
              <w:rPr>
                <w:rStyle w:val="Hyperlink"/>
                <w:rFonts w:ascii="Traditional Arabic" w:hAnsi="Traditional Arabic" w:cs="Traditional Arabic"/>
                <w:b/>
                <w:bCs/>
                <w:noProof/>
                <w:rtl/>
              </w:rPr>
              <w:t>أولًا: المحددات الداخلية</w:t>
            </w:r>
            <w:r>
              <w:rPr>
                <w:noProof/>
                <w:webHidden/>
              </w:rPr>
              <w:tab/>
            </w:r>
            <w:r>
              <w:rPr>
                <w:noProof/>
                <w:webHidden/>
              </w:rPr>
              <w:fldChar w:fldCharType="begin"/>
            </w:r>
            <w:r>
              <w:rPr>
                <w:noProof/>
                <w:webHidden/>
              </w:rPr>
              <w:instrText xml:space="preserve"> PAGEREF _Toc242325240 \h </w:instrText>
            </w:r>
            <w:r>
              <w:rPr>
                <w:noProof/>
                <w:webHidden/>
              </w:rPr>
            </w:r>
            <w:r>
              <w:rPr>
                <w:noProof/>
                <w:webHidden/>
              </w:rPr>
              <w:fldChar w:fldCharType="separate"/>
            </w:r>
            <w:r>
              <w:rPr>
                <w:noProof/>
                <w:webHidden/>
              </w:rPr>
              <w:t>77</w:t>
            </w:r>
            <w:r>
              <w:rPr>
                <w:noProof/>
                <w:webHidden/>
              </w:rPr>
              <w:fldChar w:fldCharType="end"/>
            </w:r>
          </w:hyperlink>
        </w:p>
        <w:p w14:paraId="5F31B3FF" w14:textId="414B73EB" w:rsidR="00FC05A1" w:rsidRDefault="00FC05A1" w:rsidP="00FC05A1">
          <w:pPr>
            <w:pStyle w:val="TOC3"/>
            <w:tabs>
              <w:tab w:val="right" w:leader="dot" w:pos="9350"/>
            </w:tabs>
            <w:rPr>
              <w:rFonts w:eastAsiaTheme="minorEastAsia"/>
              <w:noProof/>
            </w:rPr>
          </w:pPr>
          <w:hyperlink w:anchor="_Toc242325241" w:history="1">
            <w:r w:rsidRPr="00756B62">
              <w:rPr>
                <w:rStyle w:val="Hyperlink"/>
                <w:rFonts w:ascii="Traditional Arabic" w:hAnsi="Traditional Arabic" w:cs="Traditional Arabic"/>
                <w:b/>
                <w:bCs/>
                <w:noProof/>
                <w:rtl/>
              </w:rPr>
              <w:t>ثانيًا: المحددات الخارجية</w:t>
            </w:r>
            <w:r>
              <w:rPr>
                <w:noProof/>
                <w:webHidden/>
              </w:rPr>
              <w:tab/>
            </w:r>
            <w:r>
              <w:rPr>
                <w:noProof/>
                <w:webHidden/>
              </w:rPr>
              <w:fldChar w:fldCharType="begin"/>
            </w:r>
            <w:r>
              <w:rPr>
                <w:noProof/>
                <w:webHidden/>
              </w:rPr>
              <w:instrText xml:space="preserve"> PAGEREF _Toc242325241 \h </w:instrText>
            </w:r>
            <w:r>
              <w:rPr>
                <w:noProof/>
                <w:webHidden/>
              </w:rPr>
            </w:r>
            <w:r>
              <w:rPr>
                <w:noProof/>
                <w:webHidden/>
              </w:rPr>
              <w:fldChar w:fldCharType="separate"/>
            </w:r>
            <w:r>
              <w:rPr>
                <w:noProof/>
                <w:webHidden/>
              </w:rPr>
              <w:t>78</w:t>
            </w:r>
            <w:r>
              <w:rPr>
                <w:noProof/>
                <w:webHidden/>
              </w:rPr>
              <w:fldChar w:fldCharType="end"/>
            </w:r>
          </w:hyperlink>
        </w:p>
        <w:p w14:paraId="10D32F75" w14:textId="73BBA972" w:rsidR="00FC05A1" w:rsidRDefault="00FC05A1" w:rsidP="00FC05A1">
          <w:pPr>
            <w:pStyle w:val="TOC2"/>
            <w:tabs>
              <w:tab w:val="right" w:leader="dot" w:pos="9350"/>
            </w:tabs>
            <w:rPr>
              <w:rFonts w:eastAsiaTheme="minorEastAsia"/>
              <w:noProof/>
            </w:rPr>
          </w:pPr>
          <w:hyperlink w:anchor="_Toc242325242" w:history="1">
            <w:r w:rsidRPr="00756B62">
              <w:rPr>
                <w:rStyle w:val="Hyperlink"/>
                <w:rFonts w:ascii="Traditional Arabic" w:hAnsi="Traditional Arabic" w:cs="Traditional Arabic"/>
                <w:b/>
                <w:bCs/>
                <w:noProof/>
                <w:rtl/>
              </w:rPr>
              <w:t>الحوكمة في دعم استدامة ونجاح الشركات الناشئة</w:t>
            </w:r>
            <w:r>
              <w:rPr>
                <w:noProof/>
                <w:webHidden/>
              </w:rPr>
              <w:tab/>
            </w:r>
            <w:r>
              <w:rPr>
                <w:noProof/>
                <w:webHidden/>
              </w:rPr>
              <w:fldChar w:fldCharType="begin"/>
            </w:r>
            <w:r>
              <w:rPr>
                <w:noProof/>
                <w:webHidden/>
              </w:rPr>
              <w:instrText xml:space="preserve"> PAGEREF _Toc242325242 \h </w:instrText>
            </w:r>
            <w:r>
              <w:rPr>
                <w:noProof/>
                <w:webHidden/>
              </w:rPr>
            </w:r>
            <w:r>
              <w:rPr>
                <w:noProof/>
                <w:webHidden/>
              </w:rPr>
              <w:fldChar w:fldCharType="separate"/>
            </w:r>
            <w:r>
              <w:rPr>
                <w:noProof/>
                <w:webHidden/>
              </w:rPr>
              <w:t>79</w:t>
            </w:r>
            <w:r>
              <w:rPr>
                <w:noProof/>
                <w:webHidden/>
              </w:rPr>
              <w:fldChar w:fldCharType="end"/>
            </w:r>
          </w:hyperlink>
        </w:p>
        <w:p w14:paraId="10D04B9C" w14:textId="3923FE28" w:rsidR="00FC05A1" w:rsidRDefault="00FC05A1" w:rsidP="00FC05A1">
          <w:pPr>
            <w:pStyle w:val="TOC3"/>
            <w:tabs>
              <w:tab w:val="right" w:leader="dot" w:pos="9350"/>
            </w:tabs>
            <w:rPr>
              <w:rFonts w:eastAsiaTheme="minorEastAsia"/>
              <w:noProof/>
            </w:rPr>
          </w:pPr>
          <w:hyperlink w:anchor="_Toc242325243" w:history="1">
            <w:r w:rsidRPr="00756B62">
              <w:rPr>
                <w:rStyle w:val="Hyperlink"/>
                <w:rFonts w:ascii="Traditional Arabic" w:hAnsi="Traditional Arabic" w:cs="Traditional Arabic"/>
                <w:b/>
                <w:bCs/>
                <w:noProof/>
              </w:rPr>
              <w:t>(</w:t>
            </w:r>
            <w:r w:rsidRPr="00756B62">
              <w:rPr>
                <w:rStyle w:val="Hyperlink"/>
                <w:rFonts w:ascii="Traditional Arabic" w:hAnsi="Traditional Arabic" w:cs="Traditional Arabic"/>
                <w:b/>
                <w:bCs/>
                <w:noProof/>
                <w:rtl/>
              </w:rPr>
              <w:t>أ) كيف تعزز الحوكمة من كفاءة الأداء التنظيمي</w:t>
            </w:r>
            <w:r>
              <w:rPr>
                <w:noProof/>
                <w:webHidden/>
              </w:rPr>
              <w:tab/>
            </w:r>
            <w:r>
              <w:rPr>
                <w:noProof/>
                <w:webHidden/>
              </w:rPr>
              <w:fldChar w:fldCharType="begin"/>
            </w:r>
            <w:r>
              <w:rPr>
                <w:noProof/>
                <w:webHidden/>
              </w:rPr>
              <w:instrText xml:space="preserve"> PAGEREF _Toc242325243 \h </w:instrText>
            </w:r>
            <w:r>
              <w:rPr>
                <w:noProof/>
                <w:webHidden/>
              </w:rPr>
            </w:r>
            <w:r>
              <w:rPr>
                <w:noProof/>
                <w:webHidden/>
              </w:rPr>
              <w:fldChar w:fldCharType="separate"/>
            </w:r>
            <w:r>
              <w:rPr>
                <w:noProof/>
                <w:webHidden/>
              </w:rPr>
              <w:t>79</w:t>
            </w:r>
            <w:r>
              <w:rPr>
                <w:noProof/>
                <w:webHidden/>
              </w:rPr>
              <w:fldChar w:fldCharType="end"/>
            </w:r>
          </w:hyperlink>
        </w:p>
        <w:p w14:paraId="21F16AAD" w14:textId="4358B03D" w:rsidR="00FC05A1" w:rsidRDefault="00FC05A1" w:rsidP="00FC05A1">
          <w:pPr>
            <w:pStyle w:val="TOC3"/>
            <w:tabs>
              <w:tab w:val="right" w:leader="dot" w:pos="9350"/>
            </w:tabs>
            <w:rPr>
              <w:rFonts w:eastAsiaTheme="minorEastAsia"/>
              <w:noProof/>
            </w:rPr>
          </w:pPr>
          <w:hyperlink w:anchor="_Toc242325244" w:history="1">
            <w:r w:rsidRPr="00756B62">
              <w:rPr>
                <w:rStyle w:val="Hyperlink"/>
                <w:rFonts w:ascii="Traditional Arabic" w:hAnsi="Traditional Arabic" w:cs="Traditional Arabic"/>
                <w:b/>
                <w:bCs/>
                <w:noProof/>
              </w:rPr>
              <w:t>(</w:t>
            </w:r>
            <w:r w:rsidRPr="00756B62">
              <w:rPr>
                <w:rStyle w:val="Hyperlink"/>
                <w:rFonts w:ascii="Traditional Arabic" w:hAnsi="Traditional Arabic" w:cs="Traditional Arabic"/>
                <w:b/>
                <w:bCs/>
                <w:noProof/>
                <w:rtl/>
              </w:rPr>
              <w:t>ب) أثر الحوكمة على جذب الاستثمار وبناء الثقة</w:t>
            </w:r>
            <w:r>
              <w:rPr>
                <w:noProof/>
                <w:webHidden/>
              </w:rPr>
              <w:tab/>
            </w:r>
            <w:r>
              <w:rPr>
                <w:noProof/>
                <w:webHidden/>
              </w:rPr>
              <w:fldChar w:fldCharType="begin"/>
            </w:r>
            <w:r>
              <w:rPr>
                <w:noProof/>
                <w:webHidden/>
              </w:rPr>
              <w:instrText xml:space="preserve"> PAGEREF _Toc242325244 \h </w:instrText>
            </w:r>
            <w:r>
              <w:rPr>
                <w:noProof/>
                <w:webHidden/>
              </w:rPr>
            </w:r>
            <w:r>
              <w:rPr>
                <w:noProof/>
                <w:webHidden/>
              </w:rPr>
              <w:fldChar w:fldCharType="separate"/>
            </w:r>
            <w:r>
              <w:rPr>
                <w:noProof/>
                <w:webHidden/>
              </w:rPr>
              <w:t>80</w:t>
            </w:r>
            <w:r>
              <w:rPr>
                <w:noProof/>
                <w:webHidden/>
              </w:rPr>
              <w:fldChar w:fldCharType="end"/>
            </w:r>
          </w:hyperlink>
        </w:p>
        <w:p w14:paraId="459641DE" w14:textId="243D1F11" w:rsidR="00FC05A1" w:rsidRDefault="00FC05A1" w:rsidP="00FC05A1">
          <w:pPr>
            <w:pStyle w:val="TOC3"/>
            <w:tabs>
              <w:tab w:val="right" w:leader="dot" w:pos="9350"/>
            </w:tabs>
            <w:rPr>
              <w:rFonts w:eastAsiaTheme="minorEastAsia"/>
              <w:noProof/>
            </w:rPr>
          </w:pPr>
          <w:hyperlink w:anchor="_Toc242325245" w:history="1">
            <w:r w:rsidRPr="00756B62">
              <w:rPr>
                <w:rStyle w:val="Hyperlink"/>
                <w:rFonts w:ascii="Traditional Arabic" w:hAnsi="Traditional Arabic" w:cs="Traditional Arabic"/>
                <w:b/>
                <w:bCs/>
                <w:noProof/>
              </w:rPr>
              <w:t>(</w:t>
            </w:r>
            <w:r w:rsidRPr="00756B62">
              <w:rPr>
                <w:rStyle w:val="Hyperlink"/>
                <w:rFonts w:ascii="Traditional Arabic" w:hAnsi="Traditional Arabic" w:cs="Traditional Arabic"/>
                <w:b/>
                <w:bCs/>
                <w:noProof/>
                <w:rtl/>
              </w:rPr>
              <w:t>ج) العلاقة بين الحوكمة والاستدامة الاستراتيجية</w:t>
            </w:r>
            <w:r>
              <w:rPr>
                <w:noProof/>
                <w:webHidden/>
              </w:rPr>
              <w:tab/>
            </w:r>
            <w:r>
              <w:rPr>
                <w:noProof/>
                <w:webHidden/>
              </w:rPr>
              <w:fldChar w:fldCharType="begin"/>
            </w:r>
            <w:r>
              <w:rPr>
                <w:noProof/>
                <w:webHidden/>
              </w:rPr>
              <w:instrText xml:space="preserve"> PAGEREF _Toc242325245 \h </w:instrText>
            </w:r>
            <w:r>
              <w:rPr>
                <w:noProof/>
                <w:webHidden/>
              </w:rPr>
            </w:r>
            <w:r>
              <w:rPr>
                <w:noProof/>
                <w:webHidden/>
              </w:rPr>
              <w:fldChar w:fldCharType="separate"/>
            </w:r>
            <w:r>
              <w:rPr>
                <w:noProof/>
                <w:webHidden/>
              </w:rPr>
              <w:t>81</w:t>
            </w:r>
            <w:r>
              <w:rPr>
                <w:noProof/>
                <w:webHidden/>
              </w:rPr>
              <w:fldChar w:fldCharType="end"/>
            </w:r>
          </w:hyperlink>
        </w:p>
        <w:p w14:paraId="3069C561" w14:textId="17166F17" w:rsidR="00FC05A1" w:rsidRDefault="00FC05A1" w:rsidP="00FC05A1">
          <w:pPr>
            <w:pStyle w:val="TOC2"/>
            <w:tabs>
              <w:tab w:val="right" w:leader="dot" w:pos="9350"/>
            </w:tabs>
            <w:rPr>
              <w:rFonts w:eastAsiaTheme="minorEastAsia"/>
              <w:noProof/>
            </w:rPr>
          </w:pPr>
          <w:hyperlink w:anchor="_Toc242325246" w:history="1">
            <w:r w:rsidRPr="00756B62">
              <w:rPr>
                <w:rStyle w:val="Hyperlink"/>
                <w:rFonts w:ascii="Traditional Arabic" w:hAnsi="Traditional Arabic" w:cs="Traditional Arabic"/>
                <w:b/>
                <w:bCs/>
                <w:noProof/>
                <w:rtl/>
              </w:rPr>
              <w:t>انعكاس العلاقة بين آليات الحوكمة وتقارير الاستدامة على أداء الشركات</w:t>
            </w:r>
            <w:r>
              <w:rPr>
                <w:noProof/>
                <w:webHidden/>
              </w:rPr>
              <w:tab/>
            </w:r>
            <w:r>
              <w:rPr>
                <w:noProof/>
                <w:webHidden/>
              </w:rPr>
              <w:fldChar w:fldCharType="begin"/>
            </w:r>
            <w:r>
              <w:rPr>
                <w:noProof/>
                <w:webHidden/>
              </w:rPr>
              <w:instrText xml:space="preserve"> PAGEREF _Toc242325246 \h </w:instrText>
            </w:r>
            <w:r>
              <w:rPr>
                <w:noProof/>
                <w:webHidden/>
              </w:rPr>
            </w:r>
            <w:r>
              <w:rPr>
                <w:noProof/>
                <w:webHidden/>
              </w:rPr>
              <w:fldChar w:fldCharType="separate"/>
            </w:r>
            <w:r>
              <w:rPr>
                <w:noProof/>
                <w:webHidden/>
              </w:rPr>
              <w:t>84</w:t>
            </w:r>
            <w:r>
              <w:rPr>
                <w:noProof/>
                <w:webHidden/>
              </w:rPr>
              <w:fldChar w:fldCharType="end"/>
            </w:r>
          </w:hyperlink>
        </w:p>
        <w:p w14:paraId="64C5EB02" w14:textId="4568E46A" w:rsidR="00FC05A1" w:rsidRDefault="00FC05A1" w:rsidP="00FC05A1">
          <w:pPr>
            <w:pStyle w:val="TOC2"/>
            <w:tabs>
              <w:tab w:val="right" w:leader="dot" w:pos="9350"/>
            </w:tabs>
            <w:rPr>
              <w:rFonts w:eastAsiaTheme="minorEastAsia"/>
              <w:noProof/>
            </w:rPr>
          </w:pPr>
          <w:hyperlink w:anchor="_Toc242325247" w:history="1">
            <w:r w:rsidRPr="00756B62">
              <w:rPr>
                <w:rStyle w:val="Hyperlink"/>
                <w:rFonts w:ascii="Traditional Arabic" w:hAnsi="Traditional Arabic" w:cs="Traditional Arabic"/>
                <w:b/>
                <w:bCs/>
                <w:noProof/>
                <w:rtl/>
              </w:rPr>
              <w:t>واقع تطبيق الحوكمة في الشركات الناشئة بالمملكة العربية السعودية</w:t>
            </w:r>
            <w:r>
              <w:rPr>
                <w:noProof/>
                <w:webHidden/>
              </w:rPr>
              <w:tab/>
            </w:r>
            <w:r>
              <w:rPr>
                <w:noProof/>
                <w:webHidden/>
              </w:rPr>
              <w:fldChar w:fldCharType="begin"/>
            </w:r>
            <w:r>
              <w:rPr>
                <w:noProof/>
                <w:webHidden/>
              </w:rPr>
              <w:instrText xml:space="preserve"> PAGEREF _Toc242325247 \h </w:instrText>
            </w:r>
            <w:r>
              <w:rPr>
                <w:noProof/>
                <w:webHidden/>
              </w:rPr>
            </w:r>
            <w:r>
              <w:rPr>
                <w:noProof/>
                <w:webHidden/>
              </w:rPr>
              <w:fldChar w:fldCharType="separate"/>
            </w:r>
            <w:r>
              <w:rPr>
                <w:noProof/>
                <w:webHidden/>
              </w:rPr>
              <w:t>87</w:t>
            </w:r>
            <w:r>
              <w:rPr>
                <w:noProof/>
                <w:webHidden/>
              </w:rPr>
              <w:fldChar w:fldCharType="end"/>
            </w:r>
          </w:hyperlink>
        </w:p>
        <w:p w14:paraId="17D5A497" w14:textId="01DB1FBC" w:rsidR="00FC05A1" w:rsidRDefault="00FC05A1" w:rsidP="00FC05A1">
          <w:pPr>
            <w:pStyle w:val="TOC3"/>
            <w:tabs>
              <w:tab w:val="right" w:leader="dot" w:pos="9350"/>
            </w:tabs>
            <w:rPr>
              <w:rFonts w:eastAsiaTheme="minorEastAsia"/>
              <w:noProof/>
            </w:rPr>
          </w:pPr>
          <w:hyperlink w:anchor="_Toc242325248" w:history="1">
            <w:r w:rsidRPr="00756B62">
              <w:rPr>
                <w:rStyle w:val="Hyperlink"/>
                <w:rFonts w:ascii="Traditional Arabic" w:hAnsi="Traditional Arabic" w:cs="Traditional Arabic"/>
                <w:b/>
                <w:bCs/>
                <w:noProof/>
                <w:rtl/>
              </w:rPr>
              <w:t>(أ)  جهود المملكة في تعزيز الحوكمة</w:t>
            </w:r>
            <w:r>
              <w:rPr>
                <w:noProof/>
                <w:webHidden/>
              </w:rPr>
              <w:tab/>
            </w:r>
            <w:r>
              <w:rPr>
                <w:noProof/>
                <w:webHidden/>
              </w:rPr>
              <w:fldChar w:fldCharType="begin"/>
            </w:r>
            <w:r>
              <w:rPr>
                <w:noProof/>
                <w:webHidden/>
              </w:rPr>
              <w:instrText xml:space="preserve"> PAGEREF _Toc242325248 \h </w:instrText>
            </w:r>
            <w:r>
              <w:rPr>
                <w:noProof/>
                <w:webHidden/>
              </w:rPr>
            </w:r>
            <w:r>
              <w:rPr>
                <w:noProof/>
                <w:webHidden/>
              </w:rPr>
              <w:fldChar w:fldCharType="separate"/>
            </w:r>
            <w:r>
              <w:rPr>
                <w:noProof/>
                <w:webHidden/>
              </w:rPr>
              <w:t>88</w:t>
            </w:r>
            <w:r>
              <w:rPr>
                <w:noProof/>
                <w:webHidden/>
              </w:rPr>
              <w:fldChar w:fldCharType="end"/>
            </w:r>
          </w:hyperlink>
        </w:p>
        <w:p w14:paraId="7A17E7CE" w14:textId="22DACDF2" w:rsidR="00FC05A1" w:rsidRDefault="00FC05A1" w:rsidP="00FC05A1">
          <w:pPr>
            <w:pStyle w:val="TOC3"/>
            <w:tabs>
              <w:tab w:val="right" w:leader="dot" w:pos="9350"/>
            </w:tabs>
            <w:rPr>
              <w:rFonts w:eastAsiaTheme="minorEastAsia"/>
              <w:noProof/>
            </w:rPr>
          </w:pPr>
          <w:hyperlink w:anchor="_Toc242325249" w:history="1">
            <w:r w:rsidRPr="00756B62">
              <w:rPr>
                <w:rStyle w:val="Hyperlink"/>
                <w:rFonts w:ascii="Traditional Arabic" w:hAnsi="Traditional Arabic" w:cs="Traditional Arabic"/>
                <w:b/>
                <w:bCs/>
                <w:noProof/>
                <w:rtl/>
              </w:rPr>
              <w:t>(ب) التحديات التي تواجه الشركات الناشئة في تطبيق الحوكمة</w:t>
            </w:r>
            <w:r>
              <w:rPr>
                <w:noProof/>
                <w:webHidden/>
              </w:rPr>
              <w:tab/>
            </w:r>
            <w:r>
              <w:rPr>
                <w:noProof/>
                <w:webHidden/>
              </w:rPr>
              <w:fldChar w:fldCharType="begin"/>
            </w:r>
            <w:r>
              <w:rPr>
                <w:noProof/>
                <w:webHidden/>
              </w:rPr>
              <w:instrText xml:space="preserve"> PAGEREF _Toc242325249 \h </w:instrText>
            </w:r>
            <w:r>
              <w:rPr>
                <w:noProof/>
                <w:webHidden/>
              </w:rPr>
            </w:r>
            <w:r>
              <w:rPr>
                <w:noProof/>
                <w:webHidden/>
              </w:rPr>
              <w:fldChar w:fldCharType="separate"/>
            </w:r>
            <w:r>
              <w:rPr>
                <w:noProof/>
                <w:webHidden/>
              </w:rPr>
              <w:t>90</w:t>
            </w:r>
            <w:r>
              <w:rPr>
                <w:noProof/>
                <w:webHidden/>
              </w:rPr>
              <w:fldChar w:fldCharType="end"/>
            </w:r>
          </w:hyperlink>
        </w:p>
        <w:p w14:paraId="0224B776" w14:textId="2F831081" w:rsidR="00FC05A1" w:rsidRDefault="00FC05A1" w:rsidP="00FC05A1">
          <w:pPr>
            <w:pStyle w:val="TOC3"/>
            <w:tabs>
              <w:tab w:val="right" w:leader="dot" w:pos="9350"/>
            </w:tabs>
            <w:rPr>
              <w:rFonts w:eastAsiaTheme="minorEastAsia"/>
              <w:noProof/>
            </w:rPr>
          </w:pPr>
          <w:hyperlink w:anchor="_Toc242325250" w:history="1">
            <w:r w:rsidRPr="00756B62">
              <w:rPr>
                <w:rStyle w:val="Hyperlink"/>
                <w:rFonts w:ascii="Traditional Arabic" w:hAnsi="Traditional Arabic" w:cs="Traditional Arabic"/>
                <w:b/>
                <w:bCs/>
                <w:noProof/>
                <w:rtl/>
              </w:rPr>
              <w:t>(ج)  فرص تطوير منظومة الحوكمة في ضوء التحول الرقمي في المملكة العربية السعودية</w:t>
            </w:r>
            <w:r>
              <w:rPr>
                <w:noProof/>
                <w:webHidden/>
              </w:rPr>
              <w:tab/>
            </w:r>
            <w:r>
              <w:rPr>
                <w:noProof/>
                <w:webHidden/>
              </w:rPr>
              <w:fldChar w:fldCharType="begin"/>
            </w:r>
            <w:r>
              <w:rPr>
                <w:noProof/>
                <w:webHidden/>
              </w:rPr>
              <w:instrText xml:space="preserve"> PAGEREF _Toc242325250 \h </w:instrText>
            </w:r>
            <w:r>
              <w:rPr>
                <w:noProof/>
                <w:webHidden/>
              </w:rPr>
            </w:r>
            <w:r>
              <w:rPr>
                <w:noProof/>
                <w:webHidden/>
              </w:rPr>
              <w:fldChar w:fldCharType="separate"/>
            </w:r>
            <w:r>
              <w:rPr>
                <w:noProof/>
                <w:webHidden/>
              </w:rPr>
              <w:t>92</w:t>
            </w:r>
            <w:r>
              <w:rPr>
                <w:noProof/>
                <w:webHidden/>
              </w:rPr>
              <w:fldChar w:fldCharType="end"/>
            </w:r>
          </w:hyperlink>
        </w:p>
        <w:p w14:paraId="559ED374" w14:textId="183E3900" w:rsidR="00FC05A1" w:rsidRDefault="00FC05A1" w:rsidP="00FC05A1">
          <w:pPr>
            <w:pStyle w:val="TOC2"/>
            <w:tabs>
              <w:tab w:val="right" w:leader="dot" w:pos="9350"/>
            </w:tabs>
            <w:rPr>
              <w:rFonts w:eastAsiaTheme="minorEastAsia"/>
              <w:noProof/>
            </w:rPr>
          </w:pPr>
          <w:hyperlink w:anchor="_Toc242325251" w:history="1">
            <w:r w:rsidRPr="00756B62">
              <w:rPr>
                <w:rStyle w:val="Hyperlink"/>
                <w:rFonts w:ascii="Traditional Arabic" w:hAnsi="Traditional Arabic" w:cs="Traditional Arabic"/>
                <w:b/>
                <w:bCs/>
                <w:noProof/>
                <w:rtl/>
              </w:rPr>
              <w:t>الدراسات المرجعية</w:t>
            </w:r>
            <w:r>
              <w:rPr>
                <w:noProof/>
                <w:webHidden/>
              </w:rPr>
              <w:tab/>
            </w:r>
            <w:r>
              <w:rPr>
                <w:noProof/>
                <w:webHidden/>
              </w:rPr>
              <w:fldChar w:fldCharType="begin"/>
            </w:r>
            <w:r>
              <w:rPr>
                <w:noProof/>
                <w:webHidden/>
              </w:rPr>
              <w:instrText xml:space="preserve"> PAGEREF _Toc242325251 \h </w:instrText>
            </w:r>
            <w:r>
              <w:rPr>
                <w:noProof/>
                <w:webHidden/>
              </w:rPr>
            </w:r>
            <w:r>
              <w:rPr>
                <w:noProof/>
                <w:webHidden/>
              </w:rPr>
              <w:fldChar w:fldCharType="separate"/>
            </w:r>
            <w:r>
              <w:rPr>
                <w:noProof/>
                <w:webHidden/>
              </w:rPr>
              <w:t>94</w:t>
            </w:r>
            <w:r>
              <w:rPr>
                <w:noProof/>
                <w:webHidden/>
              </w:rPr>
              <w:fldChar w:fldCharType="end"/>
            </w:r>
          </w:hyperlink>
        </w:p>
        <w:p w14:paraId="4922DBB7" w14:textId="29EAA813" w:rsidR="00FC05A1" w:rsidRDefault="00FC05A1" w:rsidP="00FC05A1">
          <w:pPr>
            <w:pStyle w:val="TOC3"/>
            <w:tabs>
              <w:tab w:val="right" w:leader="dot" w:pos="9350"/>
            </w:tabs>
            <w:rPr>
              <w:rFonts w:eastAsiaTheme="minorEastAsia"/>
              <w:noProof/>
            </w:rPr>
          </w:pPr>
          <w:hyperlink w:anchor="_Toc242325252" w:history="1">
            <w:r w:rsidRPr="00756B62">
              <w:rPr>
                <w:rStyle w:val="Hyperlink"/>
                <w:rFonts w:ascii="Traditional Arabic" w:hAnsi="Traditional Arabic" w:cs="Traditional Arabic"/>
                <w:b/>
                <w:bCs/>
                <w:noProof/>
                <w:rtl/>
              </w:rPr>
              <w:t>أولًا: الدراسات المرتبطة بالحوكمة</w:t>
            </w:r>
            <w:r>
              <w:rPr>
                <w:noProof/>
                <w:webHidden/>
              </w:rPr>
              <w:tab/>
            </w:r>
            <w:r>
              <w:rPr>
                <w:noProof/>
                <w:webHidden/>
              </w:rPr>
              <w:fldChar w:fldCharType="begin"/>
            </w:r>
            <w:r>
              <w:rPr>
                <w:noProof/>
                <w:webHidden/>
              </w:rPr>
              <w:instrText xml:space="preserve"> PAGEREF _Toc242325252 \h </w:instrText>
            </w:r>
            <w:r>
              <w:rPr>
                <w:noProof/>
                <w:webHidden/>
              </w:rPr>
            </w:r>
            <w:r>
              <w:rPr>
                <w:noProof/>
                <w:webHidden/>
              </w:rPr>
              <w:fldChar w:fldCharType="separate"/>
            </w:r>
            <w:r>
              <w:rPr>
                <w:noProof/>
                <w:webHidden/>
              </w:rPr>
              <w:t>94</w:t>
            </w:r>
            <w:r>
              <w:rPr>
                <w:noProof/>
                <w:webHidden/>
              </w:rPr>
              <w:fldChar w:fldCharType="end"/>
            </w:r>
          </w:hyperlink>
        </w:p>
        <w:p w14:paraId="5953CC67" w14:textId="42C9D05D" w:rsidR="00FC05A1" w:rsidRDefault="00FC05A1" w:rsidP="00FC05A1">
          <w:pPr>
            <w:pStyle w:val="TOC3"/>
            <w:tabs>
              <w:tab w:val="right" w:leader="dot" w:pos="9350"/>
            </w:tabs>
            <w:rPr>
              <w:rFonts w:eastAsiaTheme="minorEastAsia"/>
              <w:noProof/>
            </w:rPr>
          </w:pPr>
          <w:hyperlink w:anchor="_Toc242325253" w:history="1">
            <w:r w:rsidRPr="00756B62">
              <w:rPr>
                <w:rStyle w:val="Hyperlink"/>
                <w:rFonts w:ascii="Traditional Arabic" w:hAnsi="Traditional Arabic" w:cs="Traditional Arabic"/>
                <w:b/>
                <w:bCs/>
                <w:noProof/>
                <w:rtl/>
              </w:rPr>
              <w:t>ثانيًا: الدراسات المرتبطة بالاستدامة</w:t>
            </w:r>
            <w:r>
              <w:rPr>
                <w:noProof/>
                <w:webHidden/>
              </w:rPr>
              <w:tab/>
            </w:r>
            <w:r>
              <w:rPr>
                <w:noProof/>
                <w:webHidden/>
              </w:rPr>
              <w:fldChar w:fldCharType="begin"/>
            </w:r>
            <w:r>
              <w:rPr>
                <w:noProof/>
                <w:webHidden/>
              </w:rPr>
              <w:instrText xml:space="preserve"> PAGEREF _Toc242325253 \h </w:instrText>
            </w:r>
            <w:r>
              <w:rPr>
                <w:noProof/>
                <w:webHidden/>
              </w:rPr>
            </w:r>
            <w:r>
              <w:rPr>
                <w:noProof/>
                <w:webHidden/>
              </w:rPr>
              <w:fldChar w:fldCharType="separate"/>
            </w:r>
            <w:r>
              <w:rPr>
                <w:noProof/>
                <w:webHidden/>
              </w:rPr>
              <w:t>96</w:t>
            </w:r>
            <w:r>
              <w:rPr>
                <w:noProof/>
                <w:webHidden/>
              </w:rPr>
              <w:fldChar w:fldCharType="end"/>
            </w:r>
          </w:hyperlink>
        </w:p>
        <w:p w14:paraId="7ED56BD9" w14:textId="70757023" w:rsidR="00FC05A1" w:rsidRDefault="00FC05A1" w:rsidP="00FC05A1">
          <w:pPr>
            <w:pStyle w:val="TOC3"/>
            <w:tabs>
              <w:tab w:val="right" w:leader="dot" w:pos="9350"/>
            </w:tabs>
            <w:rPr>
              <w:rFonts w:eastAsiaTheme="minorEastAsia"/>
              <w:noProof/>
            </w:rPr>
          </w:pPr>
          <w:hyperlink w:anchor="_Toc242325254" w:history="1">
            <w:r w:rsidRPr="00756B62">
              <w:rPr>
                <w:rStyle w:val="Hyperlink"/>
                <w:rFonts w:ascii="Traditional Arabic" w:hAnsi="Traditional Arabic" w:cs="Traditional Arabic"/>
                <w:b/>
                <w:bCs/>
                <w:noProof/>
                <w:rtl/>
              </w:rPr>
              <w:t>ثالثًا: الدراسات المرتبطة بنجاح الشركات الناشئة</w:t>
            </w:r>
            <w:r>
              <w:rPr>
                <w:noProof/>
                <w:webHidden/>
              </w:rPr>
              <w:tab/>
            </w:r>
            <w:r>
              <w:rPr>
                <w:noProof/>
                <w:webHidden/>
              </w:rPr>
              <w:fldChar w:fldCharType="begin"/>
            </w:r>
            <w:r>
              <w:rPr>
                <w:noProof/>
                <w:webHidden/>
              </w:rPr>
              <w:instrText xml:space="preserve"> PAGEREF _Toc242325254 \h </w:instrText>
            </w:r>
            <w:r>
              <w:rPr>
                <w:noProof/>
                <w:webHidden/>
              </w:rPr>
            </w:r>
            <w:r>
              <w:rPr>
                <w:noProof/>
                <w:webHidden/>
              </w:rPr>
              <w:fldChar w:fldCharType="separate"/>
            </w:r>
            <w:r>
              <w:rPr>
                <w:noProof/>
                <w:webHidden/>
              </w:rPr>
              <w:t>97</w:t>
            </w:r>
            <w:r>
              <w:rPr>
                <w:noProof/>
                <w:webHidden/>
              </w:rPr>
              <w:fldChar w:fldCharType="end"/>
            </w:r>
          </w:hyperlink>
        </w:p>
        <w:p w14:paraId="5C975B44" w14:textId="46289ECB" w:rsidR="00FC05A1" w:rsidRDefault="00FC05A1" w:rsidP="00FC05A1">
          <w:pPr>
            <w:pStyle w:val="TOC2"/>
            <w:tabs>
              <w:tab w:val="right" w:leader="dot" w:pos="9350"/>
            </w:tabs>
            <w:rPr>
              <w:rFonts w:eastAsiaTheme="minorEastAsia"/>
              <w:noProof/>
            </w:rPr>
          </w:pPr>
          <w:hyperlink w:anchor="_Toc242325255" w:history="1">
            <w:r w:rsidRPr="00756B62">
              <w:rPr>
                <w:rStyle w:val="Hyperlink"/>
                <w:rFonts w:ascii="Traditional Arabic" w:hAnsi="Traditional Arabic" w:cs="Traditional Arabic"/>
                <w:b/>
                <w:bCs/>
                <w:noProof/>
                <w:rtl/>
              </w:rPr>
              <w:t>التعقيب على الدراسات السابقة</w:t>
            </w:r>
            <w:r>
              <w:rPr>
                <w:noProof/>
                <w:webHidden/>
              </w:rPr>
              <w:tab/>
            </w:r>
            <w:r>
              <w:rPr>
                <w:noProof/>
                <w:webHidden/>
              </w:rPr>
              <w:fldChar w:fldCharType="begin"/>
            </w:r>
            <w:r>
              <w:rPr>
                <w:noProof/>
                <w:webHidden/>
              </w:rPr>
              <w:instrText xml:space="preserve"> PAGEREF _Toc242325255 \h </w:instrText>
            </w:r>
            <w:r>
              <w:rPr>
                <w:noProof/>
                <w:webHidden/>
              </w:rPr>
            </w:r>
            <w:r>
              <w:rPr>
                <w:noProof/>
                <w:webHidden/>
              </w:rPr>
              <w:fldChar w:fldCharType="separate"/>
            </w:r>
            <w:r>
              <w:rPr>
                <w:noProof/>
                <w:webHidden/>
              </w:rPr>
              <w:t>97</w:t>
            </w:r>
            <w:r>
              <w:rPr>
                <w:noProof/>
                <w:webHidden/>
              </w:rPr>
              <w:fldChar w:fldCharType="end"/>
            </w:r>
          </w:hyperlink>
        </w:p>
        <w:p w14:paraId="35952E39" w14:textId="0A3AB96F" w:rsidR="00FC05A1" w:rsidRDefault="00FC05A1" w:rsidP="00FC05A1">
          <w:pPr>
            <w:pStyle w:val="TOC2"/>
            <w:tabs>
              <w:tab w:val="right" w:leader="dot" w:pos="9350"/>
            </w:tabs>
            <w:rPr>
              <w:rFonts w:eastAsiaTheme="minorEastAsia"/>
              <w:noProof/>
            </w:rPr>
          </w:pPr>
          <w:hyperlink w:anchor="_Toc242325256" w:history="1">
            <w:r w:rsidRPr="00756B62">
              <w:rPr>
                <w:rStyle w:val="Hyperlink"/>
                <w:rFonts w:ascii="Traditional Arabic" w:hAnsi="Traditional Arabic" w:cs="Traditional Arabic"/>
                <w:b/>
                <w:bCs/>
                <w:noProof/>
                <w:rtl/>
              </w:rPr>
              <w:t>الفجوة البحثية</w:t>
            </w:r>
            <w:r>
              <w:rPr>
                <w:noProof/>
                <w:webHidden/>
              </w:rPr>
              <w:tab/>
            </w:r>
            <w:r>
              <w:rPr>
                <w:noProof/>
                <w:webHidden/>
              </w:rPr>
              <w:fldChar w:fldCharType="begin"/>
            </w:r>
            <w:r>
              <w:rPr>
                <w:noProof/>
                <w:webHidden/>
              </w:rPr>
              <w:instrText xml:space="preserve"> PAGEREF _Toc242325256 \h </w:instrText>
            </w:r>
            <w:r>
              <w:rPr>
                <w:noProof/>
                <w:webHidden/>
              </w:rPr>
            </w:r>
            <w:r>
              <w:rPr>
                <w:noProof/>
                <w:webHidden/>
              </w:rPr>
              <w:fldChar w:fldCharType="separate"/>
            </w:r>
            <w:r>
              <w:rPr>
                <w:noProof/>
                <w:webHidden/>
              </w:rPr>
              <w:t>98</w:t>
            </w:r>
            <w:r>
              <w:rPr>
                <w:noProof/>
                <w:webHidden/>
              </w:rPr>
              <w:fldChar w:fldCharType="end"/>
            </w:r>
          </w:hyperlink>
        </w:p>
        <w:p w14:paraId="371B177A" w14:textId="0C2F641A" w:rsidR="00FC05A1" w:rsidRDefault="00FC05A1" w:rsidP="00FC05A1">
          <w:pPr>
            <w:pStyle w:val="TOC2"/>
            <w:tabs>
              <w:tab w:val="right" w:leader="dot" w:pos="9350"/>
            </w:tabs>
            <w:rPr>
              <w:rFonts w:eastAsiaTheme="minorEastAsia"/>
              <w:noProof/>
            </w:rPr>
          </w:pPr>
          <w:hyperlink w:anchor="_Toc242325257" w:history="1">
            <w:r w:rsidRPr="00756B62">
              <w:rPr>
                <w:rStyle w:val="Hyperlink"/>
                <w:rFonts w:ascii="Traditional Arabic" w:hAnsi="Traditional Arabic" w:cs="Traditional Arabic"/>
                <w:b/>
                <w:bCs/>
                <w:noProof/>
                <w:rtl/>
              </w:rPr>
              <w:t>الإضافة البحثية</w:t>
            </w:r>
            <w:r>
              <w:rPr>
                <w:noProof/>
                <w:webHidden/>
              </w:rPr>
              <w:tab/>
            </w:r>
            <w:r>
              <w:rPr>
                <w:noProof/>
                <w:webHidden/>
              </w:rPr>
              <w:fldChar w:fldCharType="begin"/>
            </w:r>
            <w:r>
              <w:rPr>
                <w:noProof/>
                <w:webHidden/>
              </w:rPr>
              <w:instrText xml:space="preserve"> PAGEREF _Toc242325257 \h </w:instrText>
            </w:r>
            <w:r>
              <w:rPr>
                <w:noProof/>
                <w:webHidden/>
              </w:rPr>
            </w:r>
            <w:r>
              <w:rPr>
                <w:noProof/>
                <w:webHidden/>
              </w:rPr>
              <w:fldChar w:fldCharType="separate"/>
            </w:r>
            <w:r>
              <w:rPr>
                <w:noProof/>
                <w:webHidden/>
              </w:rPr>
              <w:t>100</w:t>
            </w:r>
            <w:r>
              <w:rPr>
                <w:noProof/>
                <w:webHidden/>
              </w:rPr>
              <w:fldChar w:fldCharType="end"/>
            </w:r>
          </w:hyperlink>
        </w:p>
        <w:p w14:paraId="256063D6" w14:textId="047441F1" w:rsidR="00FC05A1" w:rsidRDefault="00FC05A1" w:rsidP="00FC05A1">
          <w:pPr>
            <w:pStyle w:val="TOC3"/>
            <w:tabs>
              <w:tab w:val="right" w:leader="dot" w:pos="9350"/>
            </w:tabs>
            <w:rPr>
              <w:rFonts w:eastAsiaTheme="minorEastAsia"/>
              <w:noProof/>
            </w:rPr>
          </w:pPr>
          <w:hyperlink w:anchor="_Toc242325258" w:history="1">
            <w:r w:rsidRPr="00756B62">
              <w:rPr>
                <w:rStyle w:val="Hyperlink"/>
                <w:rFonts w:ascii="Traditional Arabic" w:hAnsi="Traditional Arabic" w:cs="Traditional Arabic"/>
                <w:b/>
                <w:bCs/>
                <w:noProof/>
                <w:rtl/>
              </w:rPr>
              <w:t>1- تقديم إطار تطبيقي لقياس الحوكمة الفعالة في شركات الأمن السيبراني الناشئة</w:t>
            </w:r>
            <w:r>
              <w:rPr>
                <w:noProof/>
                <w:webHidden/>
              </w:rPr>
              <w:tab/>
            </w:r>
            <w:r>
              <w:rPr>
                <w:noProof/>
                <w:webHidden/>
              </w:rPr>
              <w:fldChar w:fldCharType="begin"/>
            </w:r>
            <w:r>
              <w:rPr>
                <w:noProof/>
                <w:webHidden/>
              </w:rPr>
              <w:instrText xml:space="preserve"> PAGEREF _Toc242325258 \h </w:instrText>
            </w:r>
            <w:r>
              <w:rPr>
                <w:noProof/>
                <w:webHidden/>
              </w:rPr>
            </w:r>
            <w:r>
              <w:rPr>
                <w:noProof/>
                <w:webHidden/>
              </w:rPr>
              <w:fldChar w:fldCharType="separate"/>
            </w:r>
            <w:r>
              <w:rPr>
                <w:noProof/>
                <w:webHidden/>
              </w:rPr>
              <w:t>100</w:t>
            </w:r>
            <w:r>
              <w:rPr>
                <w:noProof/>
                <w:webHidden/>
              </w:rPr>
              <w:fldChar w:fldCharType="end"/>
            </w:r>
          </w:hyperlink>
        </w:p>
        <w:p w14:paraId="7DE2CB46" w14:textId="6E9D1007" w:rsidR="00FC05A1" w:rsidRDefault="00FC05A1" w:rsidP="00FC05A1">
          <w:pPr>
            <w:pStyle w:val="TOC3"/>
            <w:tabs>
              <w:tab w:val="right" w:leader="dot" w:pos="9350"/>
            </w:tabs>
            <w:rPr>
              <w:rFonts w:eastAsiaTheme="minorEastAsia"/>
              <w:noProof/>
            </w:rPr>
          </w:pPr>
          <w:hyperlink w:anchor="_Toc242325259" w:history="1">
            <w:r w:rsidRPr="00756B62">
              <w:rPr>
                <w:rStyle w:val="Hyperlink"/>
                <w:rFonts w:ascii="Traditional Arabic" w:hAnsi="Traditional Arabic" w:cs="Traditional Arabic"/>
                <w:b/>
                <w:bCs/>
                <w:noProof/>
                <w:rtl/>
              </w:rPr>
              <w:t xml:space="preserve">جدول رقم </w:t>
            </w:r>
            <w:r w:rsidRPr="00756B62">
              <w:rPr>
                <w:rStyle w:val="Hyperlink"/>
                <w:rFonts w:ascii="Traditional Arabic" w:hAnsi="Traditional Arabic" w:cs="Traditional Arabic"/>
                <w:b/>
                <w:bCs/>
                <w:noProof/>
              </w:rPr>
              <w:t>(2-4)</w:t>
            </w:r>
            <w:r>
              <w:rPr>
                <w:noProof/>
                <w:webHidden/>
              </w:rPr>
              <w:tab/>
            </w:r>
            <w:r>
              <w:rPr>
                <w:noProof/>
                <w:webHidden/>
              </w:rPr>
              <w:fldChar w:fldCharType="begin"/>
            </w:r>
            <w:r>
              <w:rPr>
                <w:noProof/>
                <w:webHidden/>
              </w:rPr>
              <w:instrText xml:space="preserve"> PAGEREF _Toc242325259 \h </w:instrText>
            </w:r>
            <w:r>
              <w:rPr>
                <w:noProof/>
                <w:webHidden/>
              </w:rPr>
            </w:r>
            <w:r>
              <w:rPr>
                <w:noProof/>
                <w:webHidden/>
              </w:rPr>
              <w:fldChar w:fldCharType="separate"/>
            </w:r>
            <w:r>
              <w:rPr>
                <w:noProof/>
                <w:webHidden/>
              </w:rPr>
              <w:t>100</w:t>
            </w:r>
            <w:r>
              <w:rPr>
                <w:noProof/>
                <w:webHidden/>
              </w:rPr>
              <w:fldChar w:fldCharType="end"/>
            </w:r>
          </w:hyperlink>
        </w:p>
        <w:p w14:paraId="009D4806" w14:textId="79637694" w:rsidR="00FC05A1" w:rsidRDefault="00FC05A1" w:rsidP="00FC05A1">
          <w:pPr>
            <w:pStyle w:val="TOC3"/>
            <w:tabs>
              <w:tab w:val="right" w:leader="dot" w:pos="9350"/>
            </w:tabs>
            <w:rPr>
              <w:rFonts w:eastAsiaTheme="minorEastAsia"/>
              <w:noProof/>
            </w:rPr>
          </w:pPr>
          <w:hyperlink w:anchor="_Toc242325260" w:history="1">
            <w:r w:rsidRPr="00756B62">
              <w:rPr>
                <w:rStyle w:val="Hyperlink"/>
                <w:rFonts w:ascii="Traditional Arabic" w:hAnsi="Traditional Arabic" w:cs="Traditional Arabic"/>
                <w:b/>
                <w:bCs/>
                <w:noProof/>
                <w:rtl/>
              </w:rPr>
              <w:t>2- بناء نموذج تكاملي يربط الحوكمة بالاستدامة والنجاح المؤسسي</w:t>
            </w:r>
            <w:r>
              <w:rPr>
                <w:noProof/>
                <w:webHidden/>
              </w:rPr>
              <w:tab/>
            </w:r>
            <w:r>
              <w:rPr>
                <w:noProof/>
                <w:webHidden/>
              </w:rPr>
              <w:fldChar w:fldCharType="begin"/>
            </w:r>
            <w:r>
              <w:rPr>
                <w:noProof/>
                <w:webHidden/>
              </w:rPr>
              <w:instrText xml:space="preserve"> PAGEREF _Toc242325260 \h </w:instrText>
            </w:r>
            <w:r>
              <w:rPr>
                <w:noProof/>
                <w:webHidden/>
              </w:rPr>
            </w:r>
            <w:r>
              <w:rPr>
                <w:noProof/>
                <w:webHidden/>
              </w:rPr>
              <w:fldChar w:fldCharType="separate"/>
            </w:r>
            <w:r>
              <w:rPr>
                <w:noProof/>
                <w:webHidden/>
              </w:rPr>
              <w:t>101</w:t>
            </w:r>
            <w:r>
              <w:rPr>
                <w:noProof/>
                <w:webHidden/>
              </w:rPr>
              <w:fldChar w:fldCharType="end"/>
            </w:r>
          </w:hyperlink>
        </w:p>
        <w:p w14:paraId="2CE0D0F1" w14:textId="717F8328" w:rsidR="00FC05A1" w:rsidRDefault="00FC05A1" w:rsidP="00FC05A1">
          <w:pPr>
            <w:pStyle w:val="TOC3"/>
            <w:tabs>
              <w:tab w:val="right" w:leader="dot" w:pos="9350"/>
            </w:tabs>
            <w:rPr>
              <w:rFonts w:eastAsiaTheme="minorEastAsia"/>
              <w:noProof/>
            </w:rPr>
          </w:pPr>
          <w:hyperlink w:anchor="_Toc242325261" w:history="1">
            <w:r w:rsidRPr="00756B62">
              <w:rPr>
                <w:rStyle w:val="Hyperlink"/>
                <w:rFonts w:ascii="Traditional Arabic" w:hAnsi="Traditional Arabic" w:cs="Traditional Arabic"/>
                <w:b/>
                <w:bCs/>
                <w:noProof/>
                <w:rtl/>
              </w:rPr>
              <w:t xml:space="preserve">3- </w:t>
            </w:r>
            <w:r w:rsidRPr="00756B62">
              <w:rPr>
                <w:rStyle w:val="Hyperlink"/>
                <w:rFonts w:ascii="Traditional Arabic" w:hAnsi="Traditional Arabic" w:cs="Traditional Arabic"/>
                <w:b/>
                <w:bCs/>
                <w:noProof/>
              </w:rPr>
              <w:t xml:space="preserve"> </w:t>
            </w:r>
            <w:r w:rsidRPr="00756B62">
              <w:rPr>
                <w:rStyle w:val="Hyperlink"/>
                <w:rFonts w:ascii="Traditional Arabic" w:hAnsi="Traditional Arabic" w:cs="Traditional Arabic"/>
                <w:b/>
                <w:bCs/>
                <w:noProof/>
                <w:rtl/>
              </w:rPr>
              <w:t>قياس الاستدامة المؤسسية من منظور يتناسب مع شركات الأمن السيبراني</w:t>
            </w:r>
            <w:r>
              <w:rPr>
                <w:noProof/>
                <w:webHidden/>
              </w:rPr>
              <w:tab/>
            </w:r>
            <w:r>
              <w:rPr>
                <w:noProof/>
                <w:webHidden/>
              </w:rPr>
              <w:fldChar w:fldCharType="begin"/>
            </w:r>
            <w:r>
              <w:rPr>
                <w:noProof/>
                <w:webHidden/>
              </w:rPr>
              <w:instrText xml:space="preserve"> PAGEREF _Toc242325261 \h </w:instrText>
            </w:r>
            <w:r>
              <w:rPr>
                <w:noProof/>
                <w:webHidden/>
              </w:rPr>
            </w:r>
            <w:r>
              <w:rPr>
                <w:noProof/>
                <w:webHidden/>
              </w:rPr>
              <w:fldChar w:fldCharType="separate"/>
            </w:r>
            <w:r>
              <w:rPr>
                <w:noProof/>
                <w:webHidden/>
              </w:rPr>
              <w:t>101</w:t>
            </w:r>
            <w:r>
              <w:rPr>
                <w:noProof/>
                <w:webHidden/>
              </w:rPr>
              <w:fldChar w:fldCharType="end"/>
            </w:r>
          </w:hyperlink>
        </w:p>
        <w:p w14:paraId="47BC8152" w14:textId="5316B8BD" w:rsidR="00FC05A1" w:rsidRDefault="00FC05A1" w:rsidP="00FC05A1">
          <w:pPr>
            <w:pStyle w:val="TOC3"/>
            <w:tabs>
              <w:tab w:val="right" w:leader="dot" w:pos="9350"/>
            </w:tabs>
            <w:rPr>
              <w:rFonts w:eastAsiaTheme="minorEastAsia"/>
              <w:noProof/>
            </w:rPr>
          </w:pPr>
          <w:hyperlink w:anchor="_Toc242325262" w:history="1">
            <w:r w:rsidRPr="00756B62">
              <w:rPr>
                <w:rStyle w:val="Hyperlink"/>
                <w:rFonts w:ascii="Traditional Arabic" w:hAnsi="Traditional Arabic" w:cs="Traditional Arabic"/>
                <w:b/>
                <w:bCs/>
                <w:noProof/>
                <w:rtl/>
              </w:rPr>
              <w:t xml:space="preserve">جدول رقم </w:t>
            </w:r>
            <w:r w:rsidRPr="00756B62">
              <w:rPr>
                <w:rStyle w:val="Hyperlink"/>
                <w:rFonts w:ascii="Traditional Arabic" w:hAnsi="Traditional Arabic" w:cs="Traditional Arabic"/>
                <w:b/>
                <w:bCs/>
                <w:noProof/>
              </w:rPr>
              <w:t>(2-5)</w:t>
            </w:r>
            <w:r>
              <w:rPr>
                <w:noProof/>
                <w:webHidden/>
              </w:rPr>
              <w:tab/>
            </w:r>
            <w:r>
              <w:rPr>
                <w:noProof/>
                <w:webHidden/>
              </w:rPr>
              <w:fldChar w:fldCharType="begin"/>
            </w:r>
            <w:r>
              <w:rPr>
                <w:noProof/>
                <w:webHidden/>
              </w:rPr>
              <w:instrText xml:space="preserve"> PAGEREF _Toc242325262 \h </w:instrText>
            </w:r>
            <w:r>
              <w:rPr>
                <w:noProof/>
                <w:webHidden/>
              </w:rPr>
            </w:r>
            <w:r>
              <w:rPr>
                <w:noProof/>
                <w:webHidden/>
              </w:rPr>
              <w:fldChar w:fldCharType="separate"/>
            </w:r>
            <w:r>
              <w:rPr>
                <w:noProof/>
                <w:webHidden/>
              </w:rPr>
              <w:t>101</w:t>
            </w:r>
            <w:r>
              <w:rPr>
                <w:noProof/>
                <w:webHidden/>
              </w:rPr>
              <w:fldChar w:fldCharType="end"/>
            </w:r>
          </w:hyperlink>
        </w:p>
        <w:p w14:paraId="25BA0EFB" w14:textId="1729DCEA" w:rsidR="00FC05A1" w:rsidRDefault="00FC05A1" w:rsidP="00FC05A1">
          <w:pPr>
            <w:pStyle w:val="TOC3"/>
            <w:tabs>
              <w:tab w:val="right" w:leader="dot" w:pos="9350"/>
            </w:tabs>
            <w:rPr>
              <w:rFonts w:eastAsiaTheme="minorEastAsia"/>
              <w:noProof/>
            </w:rPr>
          </w:pPr>
          <w:hyperlink w:anchor="_Toc242325263" w:history="1">
            <w:r w:rsidRPr="00756B62">
              <w:rPr>
                <w:rStyle w:val="Hyperlink"/>
                <w:rFonts w:ascii="Traditional Arabic" w:hAnsi="Traditional Arabic" w:cs="Traditional Arabic"/>
                <w:b/>
                <w:bCs/>
                <w:noProof/>
                <w:rtl/>
              </w:rPr>
              <w:t xml:space="preserve">4- </w:t>
            </w:r>
            <w:r w:rsidRPr="00756B62">
              <w:rPr>
                <w:rStyle w:val="Hyperlink"/>
                <w:rFonts w:ascii="Traditional Arabic" w:hAnsi="Traditional Arabic" w:cs="Traditional Arabic"/>
                <w:b/>
                <w:bCs/>
                <w:noProof/>
              </w:rPr>
              <w:t xml:space="preserve"> </w:t>
            </w:r>
            <w:r w:rsidRPr="00756B62">
              <w:rPr>
                <w:rStyle w:val="Hyperlink"/>
                <w:rFonts w:ascii="Traditional Arabic" w:hAnsi="Traditional Arabic" w:cs="Traditional Arabic"/>
                <w:b/>
                <w:bCs/>
                <w:noProof/>
                <w:rtl/>
              </w:rPr>
              <w:t>قياس النجاح المؤسسي من خلال مؤشرات تشغيلية واستراتيجية متعددة</w:t>
            </w:r>
            <w:r>
              <w:rPr>
                <w:noProof/>
                <w:webHidden/>
              </w:rPr>
              <w:tab/>
            </w:r>
            <w:r>
              <w:rPr>
                <w:noProof/>
                <w:webHidden/>
              </w:rPr>
              <w:fldChar w:fldCharType="begin"/>
            </w:r>
            <w:r>
              <w:rPr>
                <w:noProof/>
                <w:webHidden/>
              </w:rPr>
              <w:instrText xml:space="preserve"> PAGEREF _Toc242325263 \h </w:instrText>
            </w:r>
            <w:r>
              <w:rPr>
                <w:noProof/>
                <w:webHidden/>
              </w:rPr>
            </w:r>
            <w:r>
              <w:rPr>
                <w:noProof/>
                <w:webHidden/>
              </w:rPr>
              <w:fldChar w:fldCharType="separate"/>
            </w:r>
            <w:r>
              <w:rPr>
                <w:noProof/>
                <w:webHidden/>
              </w:rPr>
              <w:t>102</w:t>
            </w:r>
            <w:r>
              <w:rPr>
                <w:noProof/>
                <w:webHidden/>
              </w:rPr>
              <w:fldChar w:fldCharType="end"/>
            </w:r>
          </w:hyperlink>
        </w:p>
        <w:p w14:paraId="6DDD696E" w14:textId="4B54DDFF" w:rsidR="00FC05A1" w:rsidRDefault="00FC05A1" w:rsidP="00FC05A1">
          <w:pPr>
            <w:pStyle w:val="TOC3"/>
            <w:tabs>
              <w:tab w:val="right" w:leader="dot" w:pos="9350"/>
            </w:tabs>
            <w:rPr>
              <w:rFonts w:eastAsiaTheme="minorEastAsia"/>
              <w:noProof/>
            </w:rPr>
          </w:pPr>
          <w:hyperlink w:anchor="_Toc242325264" w:history="1">
            <w:r w:rsidRPr="00756B62">
              <w:rPr>
                <w:rStyle w:val="Hyperlink"/>
                <w:rFonts w:ascii="Traditional Arabic" w:hAnsi="Traditional Arabic" w:cs="Traditional Arabic"/>
                <w:b/>
                <w:bCs/>
                <w:noProof/>
                <w:rtl/>
              </w:rPr>
              <w:t xml:space="preserve">جدول رقم </w:t>
            </w:r>
            <w:r w:rsidRPr="00756B62">
              <w:rPr>
                <w:rStyle w:val="Hyperlink"/>
                <w:rFonts w:ascii="Traditional Arabic" w:hAnsi="Traditional Arabic" w:cs="Traditional Arabic"/>
                <w:b/>
                <w:bCs/>
                <w:noProof/>
              </w:rPr>
              <w:t>(2-6)</w:t>
            </w:r>
            <w:r>
              <w:rPr>
                <w:noProof/>
                <w:webHidden/>
              </w:rPr>
              <w:tab/>
            </w:r>
            <w:r>
              <w:rPr>
                <w:noProof/>
                <w:webHidden/>
              </w:rPr>
              <w:fldChar w:fldCharType="begin"/>
            </w:r>
            <w:r>
              <w:rPr>
                <w:noProof/>
                <w:webHidden/>
              </w:rPr>
              <w:instrText xml:space="preserve"> PAGEREF _Toc242325264 \h </w:instrText>
            </w:r>
            <w:r>
              <w:rPr>
                <w:noProof/>
                <w:webHidden/>
              </w:rPr>
            </w:r>
            <w:r>
              <w:rPr>
                <w:noProof/>
                <w:webHidden/>
              </w:rPr>
              <w:fldChar w:fldCharType="separate"/>
            </w:r>
            <w:r>
              <w:rPr>
                <w:noProof/>
                <w:webHidden/>
              </w:rPr>
              <w:t>102</w:t>
            </w:r>
            <w:r>
              <w:rPr>
                <w:noProof/>
                <w:webHidden/>
              </w:rPr>
              <w:fldChar w:fldCharType="end"/>
            </w:r>
          </w:hyperlink>
        </w:p>
        <w:p w14:paraId="62228E48" w14:textId="53E189F9" w:rsidR="00FC05A1" w:rsidRDefault="00FC05A1" w:rsidP="00FC05A1">
          <w:pPr>
            <w:pStyle w:val="TOC3"/>
            <w:tabs>
              <w:tab w:val="right" w:leader="dot" w:pos="9350"/>
            </w:tabs>
            <w:rPr>
              <w:rFonts w:eastAsiaTheme="minorEastAsia"/>
              <w:noProof/>
            </w:rPr>
          </w:pPr>
          <w:hyperlink w:anchor="_Toc242325265" w:history="1">
            <w:r w:rsidRPr="00756B62">
              <w:rPr>
                <w:rStyle w:val="Hyperlink"/>
                <w:rFonts w:ascii="Traditional Arabic" w:hAnsi="Traditional Arabic" w:cs="Traditional Arabic"/>
                <w:b/>
                <w:bCs/>
                <w:noProof/>
                <w:rtl/>
              </w:rPr>
              <w:t>5- تقديم دليل تطبيقي من البيئة السعودية</w:t>
            </w:r>
            <w:r>
              <w:rPr>
                <w:noProof/>
                <w:webHidden/>
              </w:rPr>
              <w:tab/>
            </w:r>
            <w:r>
              <w:rPr>
                <w:noProof/>
                <w:webHidden/>
              </w:rPr>
              <w:fldChar w:fldCharType="begin"/>
            </w:r>
            <w:r>
              <w:rPr>
                <w:noProof/>
                <w:webHidden/>
              </w:rPr>
              <w:instrText xml:space="preserve"> PAGEREF _Toc242325265 \h </w:instrText>
            </w:r>
            <w:r>
              <w:rPr>
                <w:noProof/>
                <w:webHidden/>
              </w:rPr>
            </w:r>
            <w:r>
              <w:rPr>
                <w:noProof/>
                <w:webHidden/>
              </w:rPr>
              <w:fldChar w:fldCharType="separate"/>
            </w:r>
            <w:r>
              <w:rPr>
                <w:noProof/>
                <w:webHidden/>
              </w:rPr>
              <w:t>102</w:t>
            </w:r>
            <w:r>
              <w:rPr>
                <w:noProof/>
                <w:webHidden/>
              </w:rPr>
              <w:fldChar w:fldCharType="end"/>
            </w:r>
          </w:hyperlink>
        </w:p>
        <w:p w14:paraId="62B93A98" w14:textId="2F8E5D0E" w:rsidR="00FC05A1" w:rsidRDefault="00FC05A1" w:rsidP="00FC05A1">
          <w:pPr>
            <w:pStyle w:val="TOC3"/>
            <w:tabs>
              <w:tab w:val="right" w:leader="dot" w:pos="9350"/>
            </w:tabs>
            <w:rPr>
              <w:rFonts w:eastAsiaTheme="minorEastAsia"/>
              <w:noProof/>
            </w:rPr>
          </w:pPr>
          <w:hyperlink w:anchor="_Toc242325266" w:history="1">
            <w:r w:rsidRPr="00756B62">
              <w:rPr>
                <w:rStyle w:val="Hyperlink"/>
                <w:rFonts w:ascii="Traditional Arabic" w:hAnsi="Traditional Arabic" w:cs="Traditional Arabic"/>
                <w:b/>
                <w:bCs/>
                <w:noProof/>
                <w:rtl/>
              </w:rPr>
              <w:t xml:space="preserve">6- </w:t>
            </w:r>
            <w:r w:rsidRPr="00756B62">
              <w:rPr>
                <w:rStyle w:val="Hyperlink"/>
                <w:rFonts w:ascii="Traditional Arabic" w:hAnsi="Traditional Arabic" w:cs="Traditional Arabic"/>
                <w:b/>
                <w:bCs/>
                <w:noProof/>
              </w:rPr>
              <w:t xml:space="preserve"> </w:t>
            </w:r>
            <w:r w:rsidRPr="00756B62">
              <w:rPr>
                <w:rStyle w:val="Hyperlink"/>
                <w:rFonts w:ascii="Traditional Arabic" w:hAnsi="Traditional Arabic" w:cs="Traditional Arabic"/>
                <w:b/>
                <w:bCs/>
                <w:noProof/>
                <w:rtl/>
              </w:rPr>
              <w:t>تقديم دلالات عملية للمؤسسين والإدارات والمستثمرين والجهات الداعمة</w:t>
            </w:r>
            <w:r>
              <w:rPr>
                <w:noProof/>
                <w:webHidden/>
              </w:rPr>
              <w:tab/>
            </w:r>
            <w:r>
              <w:rPr>
                <w:noProof/>
                <w:webHidden/>
              </w:rPr>
              <w:fldChar w:fldCharType="begin"/>
            </w:r>
            <w:r>
              <w:rPr>
                <w:noProof/>
                <w:webHidden/>
              </w:rPr>
              <w:instrText xml:space="preserve"> PAGEREF _Toc242325266 \h </w:instrText>
            </w:r>
            <w:r>
              <w:rPr>
                <w:noProof/>
                <w:webHidden/>
              </w:rPr>
            </w:r>
            <w:r>
              <w:rPr>
                <w:noProof/>
                <w:webHidden/>
              </w:rPr>
              <w:fldChar w:fldCharType="separate"/>
            </w:r>
            <w:r>
              <w:rPr>
                <w:noProof/>
                <w:webHidden/>
              </w:rPr>
              <w:t>102</w:t>
            </w:r>
            <w:r>
              <w:rPr>
                <w:noProof/>
                <w:webHidden/>
              </w:rPr>
              <w:fldChar w:fldCharType="end"/>
            </w:r>
          </w:hyperlink>
        </w:p>
        <w:p w14:paraId="7709BC45" w14:textId="189A3133" w:rsidR="00FC05A1" w:rsidRDefault="00FC05A1" w:rsidP="00FC05A1">
          <w:pPr>
            <w:pStyle w:val="TOC2"/>
            <w:tabs>
              <w:tab w:val="right" w:leader="dot" w:pos="9350"/>
            </w:tabs>
            <w:rPr>
              <w:rFonts w:eastAsiaTheme="minorEastAsia"/>
              <w:noProof/>
            </w:rPr>
          </w:pPr>
          <w:hyperlink w:anchor="_Toc242325267" w:history="1">
            <w:r w:rsidRPr="00756B62">
              <w:rPr>
                <w:rStyle w:val="Hyperlink"/>
                <w:rFonts w:ascii="Traditional Arabic" w:hAnsi="Traditional Arabic" w:cs="Traditional Arabic"/>
                <w:b/>
                <w:bCs/>
                <w:noProof/>
                <w:rtl/>
              </w:rPr>
              <w:t>خلاصة المبحث</w:t>
            </w:r>
            <w:r>
              <w:rPr>
                <w:noProof/>
                <w:webHidden/>
              </w:rPr>
              <w:tab/>
            </w:r>
            <w:r>
              <w:rPr>
                <w:noProof/>
                <w:webHidden/>
              </w:rPr>
              <w:fldChar w:fldCharType="begin"/>
            </w:r>
            <w:r>
              <w:rPr>
                <w:noProof/>
                <w:webHidden/>
              </w:rPr>
              <w:instrText xml:space="preserve"> PAGEREF _Toc242325267 \h </w:instrText>
            </w:r>
            <w:r>
              <w:rPr>
                <w:noProof/>
                <w:webHidden/>
              </w:rPr>
            </w:r>
            <w:r>
              <w:rPr>
                <w:noProof/>
                <w:webHidden/>
              </w:rPr>
              <w:fldChar w:fldCharType="separate"/>
            </w:r>
            <w:r>
              <w:rPr>
                <w:noProof/>
                <w:webHidden/>
              </w:rPr>
              <w:t>103</w:t>
            </w:r>
            <w:r>
              <w:rPr>
                <w:noProof/>
                <w:webHidden/>
              </w:rPr>
              <w:fldChar w:fldCharType="end"/>
            </w:r>
          </w:hyperlink>
        </w:p>
        <w:p w14:paraId="4B88A837" w14:textId="505FF929" w:rsidR="00FC05A1" w:rsidRDefault="00FC05A1" w:rsidP="00FC05A1">
          <w:pPr>
            <w:pStyle w:val="TOC2"/>
            <w:tabs>
              <w:tab w:val="right" w:leader="dot" w:pos="9350"/>
            </w:tabs>
            <w:rPr>
              <w:rFonts w:eastAsiaTheme="minorEastAsia"/>
              <w:noProof/>
            </w:rPr>
          </w:pPr>
          <w:hyperlink w:anchor="_Toc242325268" w:history="1">
            <w:r w:rsidRPr="00756B62">
              <w:rPr>
                <w:rStyle w:val="Hyperlink"/>
                <w:rFonts w:ascii="Traditional Arabic" w:hAnsi="Traditional Arabic" w:cs="Traditional Arabic"/>
                <w:b/>
                <w:bCs/>
                <w:noProof/>
                <w:rtl/>
              </w:rPr>
              <w:t>خاتمة الفصل</w:t>
            </w:r>
            <w:r>
              <w:rPr>
                <w:noProof/>
                <w:webHidden/>
              </w:rPr>
              <w:tab/>
            </w:r>
            <w:r>
              <w:rPr>
                <w:noProof/>
                <w:webHidden/>
              </w:rPr>
              <w:fldChar w:fldCharType="begin"/>
            </w:r>
            <w:r>
              <w:rPr>
                <w:noProof/>
                <w:webHidden/>
              </w:rPr>
              <w:instrText xml:space="preserve"> PAGEREF _Toc242325268 \h </w:instrText>
            </w:r>
            <w:r>
              <w:rPr>
                <w:noProof/>
                <w:webHidden/>
              </w:rPr>
            </w:r>
            <w:r>
              <w:rPr>
                <w:noProof/>
                <w:webHidden/>
              </w:rPr>
              <w:fldChar w:fldCharType="separate"/>
            </w:r>
            <w:r>
              <w:rPr>
                <w:noProof/>
                <w:webHidden/>
              </w:rPr>
              <w:t>103</w:t>
            </w:r>
            <w:r>
              <w:rPr>
                <w:noProof/>
                <w:webHidden/>
              </w:rPr>
              <w:fldChar w:fldCharType="end"/>
            </w:r>
          </w:hyperlink>
        </w:p>
        <w:p w14:paraId="54AA1747" w14:textId="63EF12F0" w:rsidR="00FC05A1" w:rsidRDefault="00FC05A1" w:rsidP="00FC05A1">
          <w:pPr>
            <w:pStyle w:val="TOC1"/>
            <w:rPr>
              <w:rFonts w:eastAsiaTheme="minorEastAsia"/>
              <w:noProof/>
            </w:rPr>
          </w:pPr>
          <w:hyperlink w:anchor="_Toc242325269" w:history="1">
            <w:r w:rsidRPr="00756B62">
              <w:rPr>
                <w:rStyle w:val="Hyperlink"/>
                <w:rFonts w:ascii="Traditional Arabic" w:hAnsi="Traditional Arabic" w:cs="Traditional Arabic"/>
                <w:b/>
                <w:bCs/>
                <w:noProof/>
                <w:rtl/>
              </w:rPr>
              <w:t>الفصل الثالث</w:t>
            </w:r>
            <w:r>
              <w:rPr>
                <w:noProof/>
                <w:webHidden/>
              </w:rPr>
              <w:tab/>
            </w:r>
            <w:r>
              <w:rPr>
                <w:noProof/>
                <w:webHidden/>
              </w:rPr>
              <w:fldChar w:fldCharType="begin"/>
            </w:r>
            <w:r>
              <w:rPr>
                <w:noProof/>
                <w:webHidden/>
              </w:rPr>
              <w:instrText xml:space="preserve"> PAGEREF _Toc242325269 \h </w:instrText>
            </w:r>
            <w:r>
              <w:rPr>
                <w:noProof/>
                <w:webHidden/>
              </w:rPr>
            </w:r>
            <w:r>
              <w:rPr>
                <w:noProof/>
                <w:webHidden/>
              </w:rPr>
              <w:fldChar w:fldCharType="separate"/>
            </w:r>
            <w:r>
              <w:rPr>
                <w:noProof/>
                <w:webHidden/>
              </w:rPr>
              <w:t>105</w:t>
            </w:r>
            <w:r>
              <w:rPr>
                <w:noProof/>
                <w:webHidden/>
              </w:rPr>
              <w:fldChar w:fldCharType="end"/>
            </w:r>
          </w:hyperlink>
        </w:p>
        <w:p w14:paraId="1C4BDBB5" w14:textId="0175DF54" w:rsidR="00FC05A1" w:rsidRDefault="00FC05A1" w:rsidP="00FC05A1">
          <w:pPr>
            <w:pStyle w:val="TOC1"/>
            <w:rPr>
              <w:rFonts w:eastAsiaTheme="minorEastAsia"/>
              <w:noProof/>
            </w:rPr>
          </w:pPr>
          <w:hyperlink w:anchor="_Toc242325270" w:history="1">
            <w:r w:rsidRPr="00756B62">
              <w:rPr>
                <w:rStyle w:val="Hyperlink"/>
                <w:rFonts w:ascii="Traditional Arabic" w:hAnsi="Traditional Arabic" w:cs="Traditional Arabic"/>
                <w:b/>
                <w:bCs/>
                <w:noProof/>
                <w:rtl/>
              </w:rPr>
              <w:t>الطريقة والإجراءات المنهجية</w:t>
            </w:r>
            <w:r>
              <w:rPr>
                <w:noProof/>
                <w:webHidden/>
              </w:rPr>
              <w:tab/>
            </w:r>
            <w:r>
              <w:rPr>
                <w:noProof/>
                <w:webHidden/>
              </w:rPr>
              <w:fldChar w:fldCharType="begin"/>
            </w:r>
            <w:r>
              <w:rPr>
                <w:noProof/>
                <w:webHidden/>
              </w:rPr>
              <w:instrText xml:space="preserve"> PAGEREF _Toc242325270 \h </w:instrText>
            </w:r>
            <w:r>
              <w:rPr>
                <w:noProof/>
                <w:webHidden/>
              </w:rPr>
            </w:r>
            <w:r>
              <w:rPr>
                <w:noProof/>
                <w:webHidden/>
              </w:rPr>
              <w:fldChar w:fldCharType="separate"/>
            </w:r>
            <w:r>
              <w:rPr>
                <w:noProof/>
                <w:webHidden/>
              </w:rPr>
              <w:t>105</w:t>
            </w:r>
            <w:r>
              <w:rPr>
                <w:noProof/>
                <w:webHidden/>
              </w:rPr>
              <w:fldChar w:fldCharType="end"/>
            </w:r>
          </w:hyperlink>
        </w:p>
        <w:p w14:paraId="25386B39" w14:textId="57B366DA" w:rsidR="00FC05A1" w:rsidRDefault="00FC05A1" w:rsidP="00FC05A1">
          <w:pPr>
            <w:pStyle w:val="TOC2"/>
            <w:tabs>
              <w:tab w:val="right" w:leader="dot" w:pos="9350"/>
            </w:tabs>
            <w:rPr>
              <w:rFonts w:eastAsiaTheme="minorEastAsia"/>
              <w:noProof/>
            </w:rPr>
          </w:pPr>
          <w:hyperlink w:anchor="_Toc242325271" w:history="1">
            <w:r w:rsidRPr="00756B62">
              <w:rPr>
                <w:rStyle w:val="Hyperlink"/>
                <w:rFonts w:ascii="Traditional Arabic" w:hAnsi="Traditional Arabic" w:cs="Traditional Arabic"/>
                <w:bCs/>
                <w:noProof/>
                <w:rtl/>
              </w:rPr>
              <w:t>مقدمة:</w:t>
            </w:r>
            <w:r>
              <w:rPr>
                <w:noProof/>
                <w:webHidden/>
              </w:rPr>
              <w:tab/>
            </w:r>
            <w:r>
              <w:rPr>
                <w:noProof/>
                <w:webHidden/>
              </w:rPr>
              <w:fldChar w:fldCharType="begin"/>
            </w:r>
            <w:r>
              <w:rPr>
                <w:noProof/>
                <w:webHidden/>
              </w:rPr>
              <w:instrText xml:space="preserve"> PAGEREF _Toc242325271 \h </w:instrText>
            </w:r>
            <w:r>
              <w:rPr>
                <w:noProof/>
                <w:webHidden/>
              </w:rPr>
            </w:r>
            <w:r>
              <w:rPr>
                <w:noProof/>
                <w:webHidden/>
              </w:rPr>
              <w:fldChar w:fldCharType="separate"/>
            </w:r>
            <w:r>
              <w:rPr>
                <w:noProof/>
                <w:webHidden/>
              </w:rPr>
              <w:t>106</w:t>
            </w:r>
            <w:r>
              <w:rPr>
                <w:noProof/>
                <w:webHidden/>
              </w:rPr>
              <w:fldChar w:fldCharType="end"/>
            </w:r>
          </w:hyperlink>
        </w:p>
        <w:p w14:paraId="00763397" w14:textId="5FB05D40" w:rsidR="00FC05A1" w:rsidRDefault="00FC05A1" w:rsidP="00FC05A1">
          <w:pPr>
            <w:pStyle w:val="TOC2"/>
            <w:tabs>
              <w:tab w:val="right" w:leader="dot" w:pos="9350"/>
            </w:tabs>
            <w:rPr>
              <w:rFonts w:eastAsiaTheme="minorEastAsia"/>
              <w:noProof/>
            </w:rPr>
          </w:pPr>
          <w:hyperlink w:anchor="_Toc242325272" w:history="1">
            <w:r w:rsidRPr="00756B62">
              <w:rPr>
                <w:rStyle w:val="Hyperlink"/>
                <w:rFonts w:ascii="Traditional Arabic" w:hAnsi="Traditional Arabic" w:cs="Traditional Arabic"/>
                <w:bCs/>
                <w:noProof/>
                <w:rtl/>
              </w:rPr>
              <w:t>منهج البحث</w:t>
            </w:r>
            <w:r w:rsidRPr="00756B62">
              <w:rPr>
                <w:rStyle w:val="Hyperlink"/>
                <w:rFonts w:ascii="Traditional Arabic" w:hAnsi="Traditional Arabic" w:cs="Traditional Arabic"/>
                <w:bCs/>
                <w:noProof/>
              </w:rPr>
              <w:t>:</w:t>
            </w:r>
            <w:r>
              <w:rPr>
                <w:noProof/>
                <w:webHidden/>
              </w:rPr>
              <w:tab/>
            </w:r>
            <w:r>
              <w:rPr>
                <w:noProof/>
                <w:webHidden/>
              </w:rPr>
              <w:fldChar w:fldCharType="begin"/>
            </w:r>
            <w:r>
              <w:rPr>
                <w:noProof/>
                <w:webHidden/>
              </w:rPr>
              <w:instrText xml:space="preserve"> PAGEREF _Toc242325272 \h </w:instrText>
            </w:r>
            <w:r>
              <w:rPr>
                <w:noProof/>
                <w:webHidden/>
              </w:rPr>
            </w:r>
            <w:r>
              <w:rPr>
                <w:noProof/>
                <w:webHidden/>
              </w:rPr>
              <w:fldChar w:fldCharType="separate"/>
            </w:r>
            <w:r>
              <w:rPr>
                <w:noProof/>
                <w:webHidden/>
              </w:rPr>
              <w:t>106</w:t>
            </w:r>
            <w:r>
              <w:rPr>
                <w:noProof/>
                <w:webHidden/>
              </w:rPr>
              <w:fldChar w:fldCharType="end"/>
            </w:r>
          </w:hyperlink>
        </w:p>
        <w:p w14:paraId="51A5DF14" w14:textId="3596FDF5" w:rsidR="00FC05A1" w:rsidRDefault="00FC05A1" w:rsidP="00FC05A1">
          <w:pPr>
            <w:pStyle w:val="TOC2"/>
            <w:tabs>
              <w:tab w:val="right" w:leader="dot" w:pos="9350"/>
            </w:tabs>
            <w:rPr>
              <w:rFonts w:eastAsiaTheme="minorEastAsia"/>
              <w:noProof/>
            </w:rPr>
          </w:pPr>
          <w:hyperlink w:anchor="_Toc242325273" w:history="1">
            <w:r w:rsidRPr="00756B62">
              <w:rPr>
                <w:rStyle w:val="Hyperlink"/>
                <w:rFonts w:ascii="Traditional Arabic" w:hAnsi="Traditional Arabic" w:cs="Traditional Arabic"/>
                <w:b/>
                <w:bCs/>
                <w:noProof/>
                <w:rtl/>
              </w:rPr>
              <w:t>أدوات جمع البيانات</w:t>
            </w:r>
            <w:r>
              <w:rPr>
                <w:noProof/>
                <w:webHidden/>
              </w:rPr>
              <w:tab/>
            </w:r>
            <w:r>
              <w:rPr>
                <w:noProof/>
                <w:webHidden/>
              </w:rPr>
              <w:fldChar w:fldCharType="begin"/>
            </w:r>
            <w:r>
              <w:rPr>
                <w:noProof/>
                <w:webHidden/>
              </w:rPr>
              <w:instrText xml:space="preserve"> PAGEREF _Toc242325273 \h </w:instrText>
            </w:r>
            <w:r>
              <w:rPr>
                <w:noProof/>
                <w:webHidden/>
              </w:rPr>
            </w:r>
            <w:r>
              <w:rPr>
                <w:noProof/>
                <w:webHidden/>
              </w:rPr>
              <w:fldChar w:fldCharType="separate"/>
            </w:r>
            <w:r>
              <w:rPr>
                <w:noProof/>
                <w:webHidden/>
              </w:rPr>
              <w:t>108</w:t>
            </w:r>
            <w:r>
              <w:rPr>
                <w:noProof/>
                <w:webHidden/>
              </w:rPr>
              <w:fldChar w:fldCharType="end"/>
            </w:r>
          </w:hyperlink>
        </w:p>
        <w:p w14:paraId="636BD715" w14:textId="47E5AF80" w:rsidR="00FC05A1" w:rsidRDefault="00FC05A1" w:rsidP="00FC05A1">
          <w:pPr>
            <w:pStyle w:val="TOC3"/>
            <w:tabs>
              <w:tab w:val="right" w:leader="dot" w:pos="9350"/>
            </w:tabs>
            <w:rPr>
              <w:rFonts w:eastAsiaTheme="minorEastAsia"/>
              <w:noProof/>
            </w:rPr>
          </w:pPr>
          <w:hyperlink w:anchor="_Toc242325274" w:history="1">
            <w:r w:rsidRPr="00756B62">
              <w:rPr>
                <w:rStyle w:val="Hyperlink"/>
                <w:rFonts w:ascii="Traditional Arabic" w:hAnsi="Traditional Arabic" w:cs="Traditional Arabic"/>
                <w:b/>
                <w:bCs/>
                <w:noProof/>
                <w:rtl/>
              </w:rPr>
              <w:t xml:space="preserve">أولًا: الاستبانة </w:t>
            </w:r>
            <w:r w:rsidRPr="00756B62">
              <w:rPr>
                <w:rStyle w:val="Hyperlink"/>
                <w:rFonts w:ascii="Traditional Arabic" w:hAnsi="Traditional Arabic" w:cs="Traditional Arabic"/>
                <w:b/>
                <w:bCs/>
                <w:noProof/>
              </w:rPr>
              <w:t>(Questionnaire)</w:t>
            </w:r>
            <w:r>
              <w:rPr>
                <w:noProof/>
                <w:webHidden/>
              </w:rPr>
              <w:tab/>
            </w:r>
            <w:r>
              <w:rPr>
                <w:noProof/>
                <w:webHidden/>
              </w:rPr>
              <w:fldChar w:fldCharType="begin"/>
            </w:r>
            <w:r>
              <w:rPr>
                <w:noProof/>
                <w:webHidden/>
              </w:rPr>
              <w:instrText xml:space="preserve"> PAGEREF _Toc242325274 \h </w:instrText>
            </w:r>
            <w:r>
              <w:rPr>
                <w:noProof/>
                <w:webHidden/>
              </w:rPr>
            </w:r>
            <w:r>
              <w:rPr>
                <w:noProof/>
                <w:webHidden/>
              </w:rPr>
              <w:fldChar w:fldCharType="separate"/>
            </w:r>
            <w:r>
              <w:rPr>
                <w:noProof/>
                <w:webHidden/>
              </w:rPr>
              <w:t>108</w:t>
            </w:r>
            <w:r>
              <w:rPr>
                <w:noProof/>
                <w:webHidden/>
              </w:rPr>
              <w:fldChar w:fldCharType="end"/>
            </w:r>
          </w:hyperlink>
        </w:p>
        <w:p w14:paraId="3B273D9C" w14:textId="46E2CD76" w:rsidR="00FC05A1" w:rsidRDefault="00FC05A1" w:rsidP="00FC05A1">
          <w:pPr>
            <w:pStyle w:val="TOC3"/>
            <w:tabs>
              <w:tab w:val="right" w:leader="dot" w:pos="9350"/>
            </w:tabs>
            <w:rPr>
              <w:rFonts w:eastAsiaTheme="minorEastAsia"/>
              <w:noProof/>
            </w:rPr>
          </w:pPr>
          <w:hyperlink w:anchor="_Toc242325275" w:history="1">
            <w:r w:rsidRPr="00756B62">
              <w:rPr>
                <w:rStyle w:val="Hyperlink"/>
                <w:rFonts w:ascii="Traditional Arabic" w:hAnsi="Traditional Arabic" w:cs="Traditional Arabic"/>
                <w:b/>
                <w:bCs/>
                <w:noProof/>
                <w:rtl/>
              </w:rPr>
              <w:t xml:space="preserve">ثانيًا: المقابلة شبه المقننة </w:t>
            </w:r>
            <w:r w:rsidRPr="00756B62">
              <w:rPr>
                <w:rStyle w:val="Hyperlink"/>
                <w:rFonts w:ascii="Traditional Arabic" w:hAnsi="Traditional Arabic" w:cs="Traditional Arabic"/>
                <w:b/>
                <w:bCs/>
                <w:noProof/>
              </w:rPr>
              <w:t>(Semi-Structured Interview)</w:t>
            </w:r>
            <w:r>
              <w:rPr>
                <w:noProof/>
                <w:webHidden/>
              </w:rPr>
              <w:tab/>
            </w:r>
            <w:r>
              <w:rPr>
                <w:noProof/>
                <w:webHidden/>
              </w:rPr>
              <w:fldChar w:fldCharType="begin"/>
            </w:r>
            <w:r>
              <w:rPr>
                <w:noProof/>
                <w:webHidden/>
              </w:rPr>
              <w:instrText xml:space="preserve"> PAGEREF _Toc242325275 \h </w:instrText>
            </w:r>
            <w:r>
              <w:rPr>
                <w:noProof/>
                <w:webHidden/>
              </w:rPr>
            </w:r>
            <w:r>
              <w:rPr>
                <w:noProof/>
                <w:webHidden/>
              </w:rPr>
              <w:fldChar w:fldCharType="separate"/>
            </w:r>
            <w:r>
              <w:rPr>
                <w:noProof/>
                <w:webHidden/>
              </w:rPr>
              <w:t>108</w:t>
            </w:r>
            <w:r>
              <w:rPr>
                <w:noProof/>
                <w:webHidden/>
              </w:rPr>
              <w:fldChar w:fldCharType="end"/>
            </w:r>
          </w:hyperlink>
        </w:p>
        <w:p w14:paraId="6B73629C" w14:textId="1569E3F2" w:rsidR="00FC05A1" w:rsidRDefault="00FC05A1" w:rsidP="00FC05A1">
          <w:pPr>
            <w:pStyle w:val="TOC3"/>
            <w:tabs>
              <w:tab w:val="right" w:leader="dot" w:pos="9350"/>
            </w:tabs>
            <w:rPr>
              <w:rFonts w:eastAsiaTheme="minorEastAsia"/>
              <w:noProof/>
            </w:rPr>
          </w:pPr>
          <w:hyperlink w:anchor="_Toc242325276" w:history="1">
            <w:r w:rsidRPr="00756B62">
              <w:rPr>
                <w:rStyle w:val="Hyperlink"/>
                <w:rFonts w:ascii="Traditional Arabic" w:hAnsi="Traditional Arabic" w:cs="Traditional Arabic"/>
                <w:b/>
                <w:bCs/>
                <w:noProof/>
                <w:rtl/>
              </w:rPr>
              <w:t>ثالثًا: تحليل الوثائق والتقارير</w:t>
            </w:r>
            <w:r>
              <w:rPr>
                <w:noProof/>
                <w:webHidden/>
              </w:rPr>
              <w:tab/>
            </w:r>
            <w:r>
              <w:rPr>
                <w:noProof/>
                <w:webHidden/>
              </w:rPr>
              <w:fldChar w:fldCharType="begin"/>
            </w:r>
            <w:r>
              <w:rPr>
                <w:noProof/>
                <w:webHidden/>
              </w:rPr>
              <w:instrText xml:space="preserve"> PAGEREF _Toc242325276 \h </w:instrText>
            </w:r>
            <w:r>
              <w:rPr>
                <w:noProof/>
                <w:webHidden/>
              </w:rPr>
            </w:r>
            <w:r>
              <w:rPr>
                <w:noProof/>
                <w:webHidden/>
              </w:rPr>
              <w:fldChar w:fldCharType="separate"/>
            </w:r>
            <w:r>
              <w:rPr>
                <w:noProof/>
                <w:webHidden/>
              </w:rPr>
              <w:t>109</w:t>
            </w:r>
            <w:r>
              <w:rPr>
                <w:noProof/>
                <w:webHidden/>
              </w:rPr>
              <w:fldChar w:fldCharType="end"/>
            </w:r>
          </w:hyperlink>
        </w:p>
        <w:p w14:paraId="449AEBD0" w14:textId="64C5D3F4" w:rsidR="00FC05A1" w:rsidRDefault="00FC05A1" w:rsidP="00FC05A1">
          <w:pPr>
            <w:pStyle w:val="TOC3"/>
            <w:tabs>
              <w:tab w:val="right" w:leader="dot" w:pos="9350"/>
            </w:tabs>
            <w:rPr>
              <w:rFonts w:eastAsiaTheme="minorEastAsia"/>
              <w:noProof/>
            </w:rPr>
          </w:pPr>
          <w:hyperlink w:anchor="_Toc242325277" w:history="1">
            <w:r w:rsidRPr="00756B62">
              <w:rPr>
                <w:rStyle w:val="Hyperlink"/>
                <w:rFonts w:ascii="Traditional Arabic" w:hAnsi="Traditional Arabic" w:cs="Traditional Arabic"/>
                <w:b/>
                <w:bCs/>
                <w:noProof/>
                <w:rtl/>
              </w:rPr>
              <w:t>الاعتبارات المتعلقة بإعداد أدوات الدراسة</w:t>
            </w:r>
            <w:r>
              <w:rPr>
                <w:noProof/>
                <w:webHidden/>
              </w:rPr>
              <w:tab/>
            </w:r>
            <w:r>
              <w:rPr>
                <w:noProof/>
                <w:webHidden/>
              </w:rPr>
              <w:fldChar w:fldCharType="begin"/>
            </w:r>
            <w:r>
              <w:rPr>
                <w:noProof/>
                <w:webHidden/>
              </w:rPr>
              <w:instrText xml:space="preserve"> PAGEREF _Toc242325277 \h </w:instrText>
            </w:r>
            <w:r>
              <w:rPr>
                <w:noProof/>
                <w:webHidden/>
              </w:rPr>
            </w:r>
            <w:r>
              <w:rPr>
                <w:noProof/>
                <w:webHidden/>
              </w:rPr>
              <w:fldChar w:fldCharType="separate"/>
            </w:r>
            <w:r>
              <w:rPr>
                <w:noProof/>
                <w:webHidden/>
              </w:rPr>
              <w:t>109</w:t>
            </w:r>
            <w:r>
              <w:rPr>
                <w:noProof/>
                <w:webHidden/>
              </w:rPr>
              <w:fldChar w:fldCharType="end"/>
            </w:r>
          </w:hyperlink>
        </w:p>
        <w:p w14:paraId="06556F32" w14:textId="33A1F6B4" w:rsidR="00FC05A1" w:rsidRDefault="00FC05A1" w:rsidP="00FC05A1">
          <w:pPr>
            <w:pStyle w:val="TOC2"/>
            <w:tabs>
              <w:tab w:val="right" w:leader="dot" w:pos="9350"/>
            </w:tabs>
            <w:rPr>
              <w:rFonts w:eastAsiaTheme="minorEastAsia"/>
              <w:noProof/>
            </w:rPr>
          </w:pPr>
          <w:hyperlink w:anchor="_Toc242325278" w:history="1">
            <w:r w:rsidRPr="00756B62">
              <w:rPr>
                <w:rStyle w:val="Hyperlink"/>
                <w:rFonts w:ascii="Traditional Arabic" w:hAnsi="Traditional Arabic" w:cs="Traditional Arabic"/>
                <w:b/>
                <w:bCs/>
                <w:noProof/>
                <w:rtl/>
              </w:rPr>
              <w:t>تحديد متغيرات الدراسة</w:t>
            </w:r>
            <w:r>
              <w:rPr>
                <w:noProof/>
                <w:webHidden/>
              </w:rPr>
              <w:tab/>
            </w:r>
            <w:r>
              <w:rPr>
                <w:noProof/>
                <w:webHidden/>
              </w:rPr>
              <w:fldChar w:fldCharType="begin"/>
            </w:r>
            <w:r>
              <w:rPr>
                <w:noProof/>
                <w:webHidden/>
              </w:rPr>
              <w:instrText xml:space="preserve"> PAGEREF _Toc242325278 \h </w:instrText>
            </w:r>
            <w:r>
              <w:rPr>
                <w:noProof/>
                <w:webHidden/>
              </w:rPr>
            </w:r>
            <w:r>
              <w:rPr>
                <w:noProof/>
                <w:webHidden/>
              </w:rPr>
              <w:fldChar w:fldCharType="separate"/>
            </w:r>
            <w:r>
              <w:rPr>
                <w:noProof/>
                <w:webHidden/>
              </w:rPr>
              <w:t>109</w:t>
            </w:r>
            <w:r>
              <w:rPr>
                <w:noProof/>
                <w:webHidden/>
              </w:rPr>
              <w:fldChar w:fldCharType="end"/>
            </w:r>
          </w:hyperlink>
        </w:p>
        <w:p w14:paraId="16978278" w14:textId="1AD5B684" w:rsidR="00FC05A1" w:rsidRDefault="00FC05A1" w:rsidP="00FC05A1">
          <w:pPr>
            <w:pStyle w:val="TOC3"/>
            <w:tabs>
              <w:tab w:val="right" w:leader="dot" w:pos="9350"/>
            </w:tabs>
            <w:rPr>
              <w:rFonts w:eastAsiaTheme="minorEastAsia"/>
              <w:noProof/>
            </w:rPr>
          </w:pPr>
          <w:hyperlink w:anchor="_Toc242325279" w:history="1">
            <w:r w:rsidRPr="00756B62">
              <w:rPr>
                <w:rStyle w:val="Hyperlink"/>
                <w:rFonts w:ascii="Traditional Arabic" w:hAnsi="Traditional Arabic" w:cs="Traditional Arabic"/>
                <w:b/>
                <w:bCs/>
                <w:noProof/>
                <w:rtl/>
              </w:rPr>
              <w:t>أولًا: المتغير المستقل: الحوكمة الفعالة</w:t>
            </w:r>
            <w:r>
              <w:rPr>
                <w:noProof/>
                <w:webHidden/>
              </w:rPr>
              <w:tab/>
            </w:r>
            <w:r>
              <w:rPr>
                <w:noProof/>
                <w:webHidden/>
              </w:rPr>
              <w:fldChar w:fldCharType="begin"/>
            </w:r>
            <w:r>
              <w:rPr>
                <w:noProof/>
                <w:webHidden/>
              </w:rPr>
              <w:instrText xml:space="preserve"> PAGEREF _Toc242325279 \h </w:instrText>
            </w:r>
            <w:r>
              <w:rPr>
                <w:noProof/>
                <w:webHidden/>
              </w:rPr>
            </w:r>
            <w:r>
              <w:rPr>
                <w:noProof/>
                <w:webHidden/>
              </w:rPr>
              <w:fldChar w:fldCharType="separate"/>
            </w:r>
            <w:r>
              <w:rPr>
                <w:noProof/>
                <w:webHidden/>
              </w:rPr>
              <w:t>110</w:t>
            </w:r>
            <w:r>
              <w:rPr>
                <w:noProof/>
                <w:webHidden/>
              </w:rPr>
              <w:fldChar w:fldCharType="end"/>
            </w:r>
          </w:hyperlink>
        </w:p>
        <w:p w14:paraId="4D74FD00" w14:textId="740F6ED9" w:rsidR="00FC05A1" w:rsidRDefault="00FC05A1" w:rsidP="00FC05A1">
          <w:pPr>
            <w:pStyle w:val="TOC3"/>
            <w:tabs>
              <w:tab w:val="right" w:leader="dot" w:pos="9350"/>
            </w:tabs>
            <w:rPr>
              <w:rFonts w:eastAsiaTheme="minorEastAsia"/>
              <w:noProof/>
            </w:rPr>
          </w:pPr>
          <w:hyperlink w:anchor="_Toc242325280" w:history="1">
            <w:r w:rsidRPr="00756B62">
              <w:rPr>
                <w:rStyle w:val="Hyperlink"/>
                <w:rFonts w:ascii="Traditional Arabic" w:hAnsi="Traditional Arabic" w:cs="Traditional Arabic"/>
                <w:b/>
                <w:bCs/>
                <w:noProof/>
                <w:rtl/>
              </w:rPr>
              <w:t>ثانيًا: المتغيرات التابعة</w:t>
            </w:r>
            <w:r>
              <w:rPr>
                <w:noProof/>
                <w:webHidden/>
              </w:rPr>
              <w:tab/>
            </w:r>
            <w:r>
              <w:rPr>
                <w:noProof/>
                <w:webHidden/>
              </w:rPr>
              <w:fldChar w:fldCharType="begin"/>
            </w:r>
            <w:r>
              <w:rPr>
                <w:noProof/>
                <w:webHidden/>
              </w:rPr>
              <w:instrText xml:space="preserve"> PAGEREF _Toc242325280 \h </w:instrText>
            </w:r>
            <w:r>
              <w:rPr>
                <w:noProof/>
                <w:webHidden/>
              </w:rPr>
            </w:r>
            <w:r>
              <w:rPr>
                <w:noProof/>
                <w:webHidden/>
              </w:rPr>
              <w:fldChar w:fldCharType="separate"/>
            </w:r>
            <w:r>
              <w:rPr>
                <w:noProof/>
                <w:webHidden/>
              </w:rPr>
              <w:t>111</w:t>
            </w:r>
            <w:r>
              <w:rPr>
                <w:noProof/>
                <w:webHidden/>
              </w:rPr>
              <w:fldChar w:fldCharType="end"/>
            </w:r>
          </w:hyperlink>
        </w:p>
        <w:p w14:paraId="1C1AC6D0" w14:textId="4900514B" w:rsidR="00FC05A1" w:rsidRDefault="00FC05A1" w:rsidP="00FC05A1">
          <w:pPr>
            <w:pStyle w:val="TOC2"/>
            <w:tabs>
              <w:tab w:val="right" w:leader="dot" w:pos="9350"/>
            </w:tabs>
            <w:rPr>
              <w:rFonts w:eastAsiaTheme="minorEastAsia"/>
              <w:noProof/>
            </w:rPr>
          </w:pPr>
          <w:hyperlink w:anchor="_Toc242325281" w:history="1">
            <w:r w:rsidRPr="00756B62">
              <w:rPr>
                <w:rStyle w:val="Hyperlink"/>
                <w:rFonts w:ascii="Traditional Arabic" w:eastAsia="Times New Roman" w:hAnsi="Traditional Arabic" w:cs="Traditional Arabic"/>
                <w:b/>
                <w:bCs/>
                <w:noProof/>
                <w:rtl/>
              </w:rPr>
              <w:t>بناء أداة القياس</w:t>
            </w:r>
            <w:r>
              <w:rPr>
                <w:noProof/>
                <w:webHidden/>
              </w:rPr>
              <w:tab/>
            </w:r>
            <w:r>
              <w:rPr>
                <w:noProof/>
                <w:webHidden/>
              </w:rPr>
              <w:fldChar w:fldCharType="begin"/>
            </w:r>
            <w:r>
              <w:rPr>
                <w:noProof/>
                <w:webHidden/>
              </w:rPr>
              <w:instrText xml:space="preserve"> PAGEREF _Toc242325281 \h </w:instrText>
            </w:r>
            <w:r>
              <w:rPr>
                <w:noProof/>
                <w:webHidden/>
              </w:rPr>
            </w:r>
            <w:r>
              <w:rPr>
                <w:noProof/>
                <w:webHidden/>
              </w:rPr>
              <w:fldChar w:fldCharType="separate"/>
            </w:r>
            <w:r>
              <w:rPr>
                <w:noProof/>
                <w:webHidden/>
              </w:rPr>
              <w:t>112</w:t>
            </w:r>
            <w:r>
              <w:rPr>
                <w:noProof/>
                <w:webHidden/>
              </w:rPr>
              <w:fldChar w:fldCharType="end"/>
            </w:r>
          </w:hyperlink>
        </w:p>
        <w:p w14:paraId="4A49DCEC" w14:textId="1F9893BA" w:rsidR="00FC05A1" w:rsidRDefault="00FC05A1" w:rsidP="00FC05A1">
          <w:pPr>
            <w:pStyle w:val="TOC2"/>
            <w:tabs>
              <w:tab w:val="right" w:leader="dot" w:pos="9350"/>
            </w:tabs>
            <w:rPr>
              <w:rFonts w:eastAsiaTheme="minorEastAsia"/>
              <w:noProof/>
            </w:rPr>
          </w:pPr>
          <w:hyperlink w:anchor="_Toc242325282" w:history="1">
            <w:r w:rsidRPr="00756B62">
              <w:rPr>
                <w:rStyle w:val="Hyperlink"/>
                <w:rFonts w:ascii="Traditional Arabic" w:hAnsi="Traditional Arabic" w:cs="Traditional Arabic"/>
                <w:b/>
                <w:bCs/>
                <w:noProof/>
                <w:rtl/>
              </w:rPr>
              <w:t>تحديد إجراءات تنفيذ الدراسة</w:t>
            </w:r>
            <w:r>
              <w:rPr>
                <w:noProof/>
                <w:webHidden/>
              </w:rPr>
              <w:tab/>
            </w:r>
            <w:r>
              <w:rPr>
                <w:noProof/>
                <w:webHidden/>
              </w:rPr>
              <w:fldChar w:fldCharType="begin"/>
            </w:r>
            <w:r>
              <w:rPr>
                <w:noProof/>
                <w:webHidden/>
              </w:rPr>
              <w:instrText xml:space="preserve"> PAGEREF _Toc242325282 \h </w:instrText>
            </w:r>
            <w:r>
              <w:rPr>
                <w:noProof/>
                <w:webHidden/>
              </w:rPr>
            </w:r>
            <w:r>
              <w:rPr>
                <w:noProof/>
                <w:webHidden/>
              </w:rPr>
              <w:fldChar w:fldCharType="separate"/>
            </w:r>
            <w:r>
              <w:rPr>
                <w:noProof/>
                <w:webHidden/>
              </w:rPr>
              <w:t>113</w:t>
            </w:r>
            <w:r>
              <w:rPr>
                <w:noProof/>
                <w:webHidden/>
              </w:rPr>
              <w:fldChar w:fldCharType="end"/>
            </w:r>
          </w:hyperlink>
        </w:p>
        <w:p w14:paraId="0EAD2EE4" w14:textId="223F7499" w:rsidR="00FC05A1" w:rsidRDefault="00FC05A1" w:rsidP="00FC05A1">
          <w:pPr>
            <w:pStyle w:val="TOC3"/>
            <w:tabs>
              <w:tab w:val="right" w:leader="dot" w:pos="9350"/>
            </w:tabs>
            <w:rPr>
              <w:rFonts w:eastAsiaTheme="minorEastAsia"/>
              <w:noProof/>
            </w:rPr>
          </w:pPr>
          <w:hyperlink w:anchor="_Toc242325283" w:history="1">
            <w:r w:rsidRPr="00756B62">
              <w:rPr>
                <w:rStyle w:val="Hyperlink"/>
                <w:rFonts w:ascii="Traditional Arabic" w:hAnsi="Traditional Arabic" w:cs="Traditional Arabic"/>
                <w:b/>
                <w:bCs/>
                <w:noProof/>
                <w:rtl/>
              </w:rPr>
              <w:t>أ- تحديد مشكلة الدراسة وأهدافها وتساؤلاتها وفرضياتها</w:t>
            </w:r>
            <w:r>
              <w:rPr>
                <w:noProof/>
                <w:webHidden/>
              </w:rPr>
              <w:tab/>
            </w:r>
            <w:r>
              <w:rPr>
                <w:noProof/>
                <w:webHidden/>
              </w:rPr>
              <w:fldChar w:fldCharType="begin"/>
            </w:r>
            <w:r>
              <w:rPr>
                <w:noProof/>
                <w:webHidden/>
              </w:rPr>
              <w:instrText xml:space="preserve"> PAGEREF _Toc242325283 \h </w:instrText>
            </w:r>
            <w:r>
              <w:rPr>
                <w:noProof/>
                <w:webHidden/>
              </w:rPr>
            </w:r>
            <w:r>
              <w:rPr>
                <w:noProof/>
                <w:webHidden/>
              </w:rPr>
              <w:fldChar w:fldCharType="separate"/>
            </w:r>
            <w:r>
              <w:rPr>
                <w:noProof/>
                <w:webHidden/>
              </w:rPr>
              <w:t>113</w:t>
            </w:r>
            <w:r>
              <w:rPr>
                <w:noProof/>
                <w:webHidden/>
              </w:rPr>
              <w:fldChar w:fldCharType="end"/>
            </w:r>
          </w:hyperlink>
        </w:p>
        <w:p w14:paraId="24EC9C8C" w14:textId="0BDF561B" w:rsidR="00FC05A1" w:rsidRDefault="00FC05A1" w:rsidP="00FC05A1">
          <w:pPr>
            <w:pStyle w:val="TOC3"/>
            <w:tabs>
              <w:tab w:val="right" w:leader="dot" w:pos="9350"/>
            </w:tabs>
            <w:rPr>
              <w:rFonts w:eastAsiaTheme="minorEastAsia"/>
              <w:noProof/>
            </w:rPr>
          </w:pPr>
          <w:hyperlink w:anchor="_Toc242325284" w:history="1">
            <w:r w:rsidRPr="00756B62">
              <w:rPr>
                <w:rStyle w:val="Hyperlink"/>
                <w:rFonts w:ascii="Traditional Arabic" w:hAnsi="Traditional Arabic" w:cs="Traditional Arabic"/>
                <w:b/>
                <w:bCs/>
                <w:noProof/>
                <w:rtl/>
              </w:rPr>
              <w:t>ب- إعداد الإطار النظري والدراسات السابقة</w:t>
            </w:r>
            <w:r>
              <w:rPr>
                <w:noProof/>
                <w:webHidden/>
              </w:rPr>
              <w:tab/>
            </w:r>
            <w:r>
              <w:rPr>
                <w:noProof/>
                <w:webHidden/>
              </w:rPr>
              <w:fldChar w:fldCharType="begin"/>
            </w:r>
            <w:r>
              <w:rPr>
                <w:noProof/>
                <w:webHidden/>
              </w:rPr>
              <w:instrText xml:space="preserve"> PAGEREF _Toc242325284 \h </w:instrText>
            </w:r>
            <w:r>
              <w:rPr>
                <w:noProof/>
                <w:webHidden/>
              </w:rPr>
            </w:r>
            <w:r>
              <w:rPr>
                <w:noProof/>
                <w:webHidden/>
              </w:rPr>
              <w:fldChar w:fldCharType="separate"/>
            </w:r>
            <w:r>
              <w:rPr>
                <w:noProof/>
                <w:webHidden/>
              </w:rPr>
              <w:t>113</w:t>
            </w:r>
            <w:r>
              <w:rPr>
                <w:noProof/>
                <w:webHidden/>
              </w:rPr>
              <w:fldChar w:fldCharType="end"/>
            </w:r>
          </w:hyperlink>
        </w:p>
        <w:p w14:paraId="243E77C9" w14:textId="5010AAE5" w:rsidR="00FC05A1" w:rsidRDefault="00FC05A1" w:rsidP="00FC05A1">
          <w:pPr>
            <w:pStyle w:val="TOC3"/>
            <w:tabs>
              <w:tab w:val="right" w:leader="dot" w:pos="9350"/>
            </w:tabs>
            <w:rPr>
              <w:rFonts w:eastAsiaTheme="minorEastAsia"/>
              <w:noProof/>
            </w:rPr>
          </w:pPr>
          <w:hyperlink w:anchor="_Toc242325285" w:history="1">
            <w:r w:rsidRPr="00756B62">
              <w:rPr>
                <w:rStyle w:val="Hyperlink"/>
                <w:rFonts w:ascii="Traditional Arabic" w:hAnsi="Traditional Arabic" w:cs="Traditional Arabic"/>
                <w:b/>
                <w:bCs/>
                <w:noProof/>
                <w:rtl/>
              </w:rPr>
              <w:t>ج- تحديد المنهج ومجتمع الدراسة وعينتها</w:t>
            </w:r>
            <w:r>
              <w:rPr>
                <w:noProof/>
                <w:webHidden/>
              </w:rPr>
              <w:tab/>
            </w:r>
            <w:r>
              <w:rPr>
                <w:noProof/>
                <w:webHidden/>
              </w:rPr>
              <w:fldChar w:fldCharType="begin"/>
            </w:r>
            <w:r>
              <w:rPr>
                <w:noProof/>
                <w:webHidden/>
              </w:rPr>
              <w:instrText xml:space="preserve"> PAGEREF _Toc242325285 \h </w:instrText>
            </w:r>
            <w:r>
              <w:rPr>
                <w:noProof/>
                <w:webHidden/>
              </w:rPr>
            </w:r>
            <w:r>
              <w:rPr>
                <w:noProof/>
                <w:webHidden/>
              </w:rPr>
              <w:fldChar w:fldCharType="separate"/>
            </w:r>
            <w:r>
              <w:rPr>
                <w:noProof/>
                <w:webHidden/>
              </w:rPr>
              <w:t>114</w:t>
            </w:r>
            <w:r>
              <w:rPr>
                <w:noProof/>
                <w:webHidden/>
              </w:rPr>
              <w:fldChar w:fldCharType="end"/>
            </w:r>
          </w:hyperlink>
        </w:p>
        <w:p w14:paraId="0B861418" w14:textId="1437C57E" w:rsidR="00FC05A1" w:rsidRDefault="00FC05A1" w:rsidP="00FC05A1">
          <w:pPr>
            <w:pStyle w:val="TOC3"/>
            <w:tabs>
              <w:tab w:val="right" w:leader="dot" w:pos="9350"/>
            </w:tabs>
            <w:rPr>
              <w:rFonts w:eastAsiaTheme="minorEastAsia"/>
              <w:noProof/>
            </w:rPr>
          </w:pPr>
          <w:hyperlink w:anchor="_Toc242325286" w:history="1">
            <w:r w:rsidRPr="00756B62">
              <w:rPr>
                <w:rStyle w:val="Hyperlink"/>
                <w:rFonts w:ascii="Traditional Arabic" w:hAnsi="Traditional Arabic" w:cs="Traditional Arabic"/>
                <w:b/>
                <w:bCs/>
                <w:noProof/>
                <w:rtl/>
              </w:rPr>
              <w:t>د- إعداد أدوات جمع البيانات والتحقق من صلاحيتها</w:t>
            </w:r>
            <w:r>
              <w:rPr>
                <w:noProof/>
                <w:webHidden/>
              </w:rPr>
              <w:tab/>
            </w:r>
            <w:r>
              <w:rPr>
                <w:noProof/>
                <w:webHidden/>
              </w:rPr>
              <w:fldChar w:fldCharType="begin"/>
            </w:r>
            <w:r>
              <w:rPr>
                <w:noProof/>
                <w:webHidden/>
              </w:rPr>
              <w:instrText xml:space="preserve"> PAGEREF _Toc242325286 \h </w:instrText>
            </w:r>
            <w:r>
              <w:rPr>
                <w:noProof/>
                <w:webHidden/>
              </w:rPr>
            </w:r>
            <w:r>
              <w:rPr>
                <w:noProof/>
                <w:webHidden/>
              </w:rPr>
              <w:fldChar w:fldCharType="separate"/>
            </w:r>
            <w:r>
              <w:rPr>
                <w:noProof/>
                <w:webHidden/>
              </w:rPr>
              <w:t>114</w:t>
            </w:r>
            <w:r>
              <w:rPr>
                <w:noProof/>
                <w:webHidden/>
              </w:rPr>
              <w:fldChar w:fldCharType="end"/>
            </w:r>
          </w:hyperlink>
        </w:p>
        <w:p w14:paraId="31BD876E" w14:textId="71A8BD33" w:rsidR="00FC05A1" w:rsidRDefault="00FC05A1" w:rsidP="00FC05A1">
          <w:pPr>
            <w:pStyle w:val="TOC3"/>
            <w:tabs>
              <w:tab w:val="right" w:leader="dot" w:pos="9350"/>
            </w:tabs>
            <w:rPr>
              <w:rFonts w:eastAsiaTheme="minorEastAsia"/>
              <w:noProof/>
            </w:rPr>
          </w:pPr>
          <w:hyperlink w:anchor="_Toc242325287" w:history="1">
            <w:r w:rsidRPr="00756B62">
              <w:rPr>
                <w:rStyle w:val="Hyperlink"/>
                <w:rFonts w:ascii="Traditional Arabic" w:hAnsi="Traditional Arabic" w:cs="Traditional Arabic"/>
                <w:b/>
                <w:bCs/>
                <w:noProof/>
                <w:rtl/>
              </w:rPr>
              <w:t>هـ- تنفيذ الدراسة الميدانية</w:t>
            </w:r>
            <w:r>
              <w:rPr>
                <w:noProof/>
                <w:webHidden/>
              </w:rPr>
              <w:tab/>
            </w:r>
            <w:r>
              <w:rPr>
                <w:noProof/>
                <w:webHidden/>
              </w:rPr>
              <w:fldChar w:fldCharType="begin"/>
            </w:r>
            <w:r>
              <w:rPr>
                <w:noProof/>
                <w:webHidden/>
              </w:rPr>
              <w:instrText xml:space="preserve"> PAGEREF _Toc242325287 \h </w:instrText>
            </w:r>
            <w:r>
              <w:rPr>
                <w:noProof/>
                <w:webHidden/>
              </w:rPr>
            </w:r>
            <w:r>
              <w:rPr>
                <w:noProof/>
                <w:webHidden/>
              </w:rPr>
              <w:fldChar w:fldCharType="separate"/>
            </w:r>
            <w:r>
              <w:rPr>
                <w:noProof/>
                <w:webHidden/>
              </w:rPr>
              <w:t>114</w:t>
            </w:r>
            <w:r>
              <w:rPr>
                <w:noProof/>
                <w:webHidden/>
              </w:rPr>
              <w:fldChar w:fldCharType="end"/>
            </w:r>
          </w:hyperlink>
        </w:p>
        <w:p w14:paraId="4F014EF7" w14:textId="11288DDB" w:rsidR="00FC05A1" w:rsidRDefault="00FC05A1" w:rsidP="00FC05A1">
          <w:pPr>
            <w:pStyle w:val="TOC3"/>
            <w:tabs>
              <w:tab w:val="right" w:leader="dot" w:pos="9350"/>
            </w:tabs>
            <w:rPr>
              <w:rFonts w:eastAsiaTheme="minorEastAsia"/>
              <w:noProof/>
            </w:rPr>
          </w:pPr>
          <w:hyperlink w:anchor="_Toc242325288" w:history="1">
            <w:r w:rsidRPr="00756B62">
              <w:rPr>
                <w:rStyle w:val="Hyperlink"/>
                <w:rFonts w:ascii="Traditional Arabic" w:hAnsi="Traditional Arabic" w:cs="Traditional Arabic"/>
                <w:b/>
                <w:bCs/>
                <w:noProof/>
                <w:rtl/>
              </w:rPr>
              <w:t>و- معالجة البيانات وتحليلها</w:t>
            </w:r>
            <w:r>
              <w:rPr>
                <w:noProof/>
                <w:webHidden/>
              </w:rPr>
              <w:tab/>
            </w:r>
            <w:r>
              <w:rPr>
                <w:noProof/>
                <w:webHidden/>
              </w:rPr>
              <w:fldChar w:fldCharType="begin"/>
            </w:r>
            <w:r>
              <w:rPr>
                <w:noProof/>
                <w:webHidden/>
              </w:rPr>
              <w:instrText xml:space="preserve"> PAGEREF _Toc242325288 \h </w:instrText>
            </w:r>
            <w:r>
              <w:rPr>
                <w:noProof/>
                <w:webHidden/>
              </w:rPr>
            </w:r>
            <w:r>
              <w:rPr>
                <w:noProof/>
                <w:webHidden/>
              </w:rPr>
              <w:fldChar w:fldCharType="separate"/>
            </w:r>
            <w:r>
              <w:rPr>
                <w:noProof/>
                <w:webHidden/>
              </w:rPr>
              <w:t>114</w:t>
            </w:r>
            <w:r>
              <w:rPr>
                <w:noProof/>
                <w:webHidden/>
              </w:rPr>
              <w:fldChar w:fldCharType="end"/>
            </w:r>
          </w:hyperlink>
        </w:p>
        <w:p w14:paraId="003F48EE" w14:textId="52229569" w:rsidR="00FC05A1" w:rsidRDefault="00FC05A1" w:rsidP="00FC05A1">
          <w:pPr>
            <w:pStyle w:val="TOC3"/>
            <w:tabs>
              <w:tab w:val="right" w:leader="dot" w:pos="9350"/>
            </w:tabs>
            <w:rPr>
              <w:rFonts w:eastAsiaTheme="minorEastAsia"/>
              <w:noProof/>
            </w:rPr>
          </w:pPr>
          <w:hyperlink w:anchor="_Toc242325289" w:history="1">
            <w:r w:rsidRPr="00756B62">
              <w:rPr>
                <w:rStyle w:val="Hyperlink"/>
                <w:rFonts w:ascii="Traditional Arabic" w:hAnsi="Traditional Arabic" w:cs="Traditional Arabic"/>
                <w:b/>
                <w:bCs/>
                <w:noProof/>
                <w:rtl/>
              </w:rPr>
              <w:t>ز- تفسير النتائج ومناقشتها</w:t>
            </w:r>
            <w:r>
              <w:rPr>
                <w:noProof/>
                <w:webHidden/>
              </w:rPr>
              <w:tab/>
            </w:r>
            <w:r>
              <w:rPr>
                <w:noProof/>
                <w:webHidden/>
              </w:rPr>
              <w:fldChar w:fldCharType="begin"/>
            </w:r>
            <w:r>
              <w:rPr>
                <w:noProof/>
                <w:webHidden/>
              </w:rPr>
              <w:instrText xml:space="preserve"> PAGEREF _Toc242325289 \h </w:instrText>
            </w:r>
            <w:r>
              <w:rPr>
                <w:noProof/>
                <w:webHidden/>
              </w:rPr>
            </w:r>
            <w:r>
              <w:rPr>
                <w:noProof/>
                <w:webHidden/>
              </w:rPr>
              <w:fldChar w:fldCharType="separate"/>
            </w:r>
            <w:r>
              <w:rPr>
                <w:noProof/>
                <w:webHidden/>
              </w:rPr>
              <w:t>115</w:t>
            </w:r>
            <w:r>
              <w:rPr>
                <w:noProof/>
                <w:webHidden/>
              </w:rPr>
              <w:fldChar w:fldCharType="end"/>
            </w:r>
          </w:hyperlink>
        </w:p>
        <w:p w14:paraId="16DD74DB" w14:textId="20EC5B7C" w:rsidR="00FC05A1" w:rsidRDefault="00FC05A1" w:rsidP="00FC05A1">
          <w:pPr>
            <w:pStyle w:val="TOC3"/>
            <w:tabs>
              <w:tab w:val="right" w:leader="dot" w:pos="9350"/>
            </w:tabs>
            <w:rPr>
              <w:rFonts w:eastAsiaTheme="minorEastAsia"/>
              <w:noProof/>
            </w:rPr>
          </w:pPr>
          <w:hyperlink w:anchor="_Toc242325290" w:history="1">
            <w:r w:rsidRPr="00756B62">
              <w:rPr>
                <w:rStyle w:val="Hyperlink"/>
                <w:rFonts w:ascii="Traditional Arabic" w:hAnsi="Traditional Arabic" w:cs="Traditional Arabic"/>
                <w:b/>
                <w:bCs/>
                <w:noProof/>
                <w:rtl/>
              </w:rPr>
              <w:t>ح- صياغة الاستنتاجات والتوصيات</w:t>
            </w:r>
            <w:r>
              <w:rPr>
                <w:noProof/>
                <w:webHidden/>
              </w:rPr>
              <w:tab/>
            </w:r>
            <w:r>
              <w:rPr>
                <w:noProof/>
                <w:webHidden/>
              </w:rPr>
              <w:fldChar w:fldCharType="begin"/>
            </w:r>
            <w:r>
              <w:rPr>
                <w:noProof/>
                <w:webHidden/>
              </w:rPr>
              <w:instrText xml:space="preserve"> PAGEREF _Toc242325290 \h </w:instrText>
            </w:r>
            <w:r>
              <w:rPr>
                <w:noProof/>
                <w:webHidden/>
              </w:rPr>
            </w:r>
            <w:r>
              <w:rPr>
                <w:noProof/>
                <w:webHidden/>
              </w:rPr>
              <w:fldChar w:fldCharType="separate"/>
            </w:r>
            <w:r>
              <w:rPr>
                <w:noProof/>
                <w:webHidden/>
              </w:rPr>
              <w:t>115</w:t>
            </w:r>
            <w:r>
              <w:rPr>
                <w:noProof/>
                <w:webHidden/>
              </w:rPr>
              <w:fldChar w:fldCharType="end"/>
            </w:r>
          </w:hyperlink>
        </w:p>
        <w:p w14:paraId="48D8B759" w14:textId="4BB4E9EB" w:rsidR="00FC05A1" w:rsidRDefault="00FC05A1" w:rsidP="00FC05A1">
          <w:pPr>
            <w:pStyle w:val="TOC2"/>
            <w:tabs>
              <w:tab w:val="right" w:leader="dot" w:pos="9350"/>
            </w:tabs>
            <w:rPr>
              <w:rFonts w:eastAsiaTheme="minorEastAsia"/>
              <w:noProof/>
            </w:rPr>
          </w:pPr>
          <w:hyperlink w:anchor="_Toc242325291" w:history="1">
            <w:r w:rsidRPr="00756B62">
              <w:rPr>
                <w:rStyle w:val="Hyperlink"/>
                <w:rFonts w:ascii="Traditional Arabic" w:hAnsi="Traditional Arabic" w:cs="Traditional Arabic"/>
                <w:b/>
                <w:bCs/>
                <w:noProof/>
                <w:rtl/>
              </w:rPr>
              <w:t>تصميم الدراسة والمعالجة الإحصائية</w:t>
            </w:r>
            <w:r>
              <w:rPr>
                <w:noProof/>
                <w:webHidden/>
              </w:rPr>
              <w:tab/>
            </w:r>
            <w:r>
              <w:rPr>
                <w:noProof/>
                <w:webHidden/>
              </w:rPr>
              <w:fldChar w:fldCharType="begin"/>
            </w:r>
            <w:r>
              <w:rPr>
                <w:noProof/>
                <w:webHidden/>
              </w:rPr>
              <w:instrText xml:space="preserve"> PAGEREF _Toc242325291 \h </w:instrText>
            </w:r>
            <w:r>
              <w:rPr>
                <w:noProof/>
                <w:webHidden/>
              </w:rPr>
            </w:r>
            <w:r>
              <w:rPr>
                <w:noProof/>
                <w:webHidden/>
              </w:rPr>
              <w:fldChar w:fldCharType="separate"/>
            </w:r>
            <w:r>
              <w:rPr>
                <w:noProof/>
                <w:webHidden/>
              </w:rPr>
              <w:t>115</w:t>
            </w:r>
            <w:r>
              <w:rPr>
                <w:noProof/>
                <w:webHidden/>
              </w:rPr>
              <w:fldChar w:fldCharType="end"/>
            </w:r>
          </w:hyperlink>
        </w:p>
        <w:p w14:paraId="3CFEA59C" w14:textId="1BB6254A" w:rsidR="00FC05A1" w:rsidRDefault="00FC05A1" w:rsidP="00FC05A1">
          <w:pPr>
            <w:pStyle w:val="TOC2"/>
            <w:tabs>
              <w:tab w:val="right" w:leader="dot" w:pos="9350"/>
            </w:tabs>
            <w:rPr>
              <w:rFonts w:eastAsiaTheme="minorEastAsia"/>
              <w:noProof/>
            </w:rPr>
          </w:pPr>
          <w:hyperlink w:anchor="_Toc242325292" w:history="1">
            <w:r w:rsidRPr="00756B62">
              <w:rPr>
                <w:rStyle w:val="Hyperlink"/>
                <w:rFonts w:ascii="Traditional Arabic" w:hAnsi="Traditional Arabic" w:cs="Traditional Arabic"/>
                <w:b/>
                <w:bCs/>
                <w:noProof/>
                <w:rtl/>
              </w:rPr>
              <w:t>الصدق والثبات</w:t>
            </w:r>
            <w:r>
              <w:rPr>
                <w:noProof/>
                <w:webHidden/>
              </w:rPr>
              <w:tab/>
            </w:r>
            <w:r>
              <w:rPr>
                <w:noProof/>
                <w:webHidden/>
              </w:rPr>
              <w:fldChar w:fldCharType="begin"/>
            </w:r>
            <w:r>
              <w:rPr>
                <w:noProof/>
                <w:webHidden/>
              </w:rPr>
              <w:instrText xml:space="preserve"> PAGEREF _Toc242325292 \h </w:instrText>
            </w:r>
            <w:r>
              <w:rPr>
                <w:noProof/>
                <w:webHidden/>
              </w:rPr>
            </w:r>
            <w:r>
              <w:rPr>
                <w:noProof/>
                <w:webHidden/>
              </w:rPr>
              <w:fldChar w:fldCharType="separate"/>
            </w:r>
            <w:r>
              <w:rPr>
                <w:noProof/>
                <w:webHidden/>
              </w:rPr>
              <w:t>116</w:t>
            </w:r>
            <w:r>
              <w:rPr>
                <w:noProof/>
                <w:webHidden/>
              </w:rPr>
              <w:fldChar w:fldCharType="end"/>
            </w:r>
          </w:hyperlink>
        </w:p>
        <w:p w14:paraId="10241A48" w14:textId="51C6ADC6" w:rsidR="00FC05A1" w:rsidRDefault="00FC05A1" w:rsidP="00FC05A1">
          <w:pPr>
            <w:pStyle w:val="TOC3"/>
            <w:tabs>
              <w:tab w:val="right" w:leader="dot" w:pos="9350"/>
            </w:tabs>
            <w:rPr>
              <w:rFonts w:eastAsiaTheme="minorEastAsia"/>
              <w:noProof/>
            </w:rPr>
          </w:pPr>
          <w:hyperlink w:anchor="_Toc242325293" w:history="1">
            <w:r w:rsidRPr="00756B62">
              <w:rPr>
                <w:rStyle w:val="Hyperlink"/>
                <w:rFonts w:ascii="Traditional Arabic" w:hAnsi="Traditional Arabic" w:cs="Traditional Arabic"/>
                <w:b/>
                <w:bCs/>
                <w:noProof/>
                <w:rtl/>
              </w:rPr>
              <w:t>أ- صدق الاتساق الداخلي</w:t>
            </w:r>
            <w:r>
              <w:rPr>
                <w:noProof/>
                <w:webHidden/>
              </w:rPr>
              <w:tab/>
            </w:r>
            <w:r>
              <w:rPr>
                <w:noProof/>
                <w:webHidden/>
              </w:rPr>
              <w:fldChar w:fldCharType="begin"/>
            </w:r>
            <w:r>
              <w:rPr>
                <w:noProof/>
                <w:webHidden/>
              </w:rPr>
              <w:instrText xml:space="preserve"> PAGEREF _Toc242325293 \h </w:instrText>
            </w:r>
            <w:r>
              <w:rPr>
                <w:noProof/>
                <w:webHidden/>
              </w:rPr>
            </w:r>
            <w:r>
              <w:rPr>
                <w:noProof/>
                <w:webHidden/>
              </w:rPr>
              <w:fldChar w:fldCharType="separate"/>
            </w:r>
            <w:r>
              <w:rPr>
                <w:noProof/>
                <w:webHidden/>
              </w:rPr>
              <w:t>116</w:t>
            </w:r>
            <w:r>
              <w:rPr>
                <w:noProof/>
                <w:webHidden/>
              </w:rPr>
              <w:fldChar w:fldCharType="end"/>
            </w:r>
          </w:hyperlink>
        </w:p>
        <w:p w14:paraId="5410F001" w14:textId="61EEA77E" w:rsidR="00FC05A1" w:rsidRDefault="00FC05A1" w:rsidP="00FC05A1">
          <w:pPr>
            <w:pStyle w:val="TOC2"/>
            <w:tabs>
              <w:tab w:val="right" w:leader="dot" w:pos="9350"/>
            </w:tabs>
            <w:rPr>
              <w:rFonts w:eastAsiaTheme="minorEastAsia"/>
              <w:noProof/>
            </w:rPr>
          </w:pPr>
          <w:hyperlink w:anchor="_Toc242325294" w:history="1">
            <w:r w:rsidRPr="00756B62">
              <w:rPr>
                <w:rStyle w:val="Hyperlink"/>
                <w:rFonts w:ascii="Traditional Arabic" w:hAnsi="Traditional Arabic" w:cs="Traditional Arabic"/>
                <w:b/>
                <w:bCs/>
                <w:noProof/>
                <w:rtl/>
              </w:rPr>
              <w:t>خاتمة</w:t>
            </w:r>
            <w:r>
              <w:rPr>
                <w:noProof/>
                <w:webHidden/>
              </w:rPr>
              <w:tab/>
            </w:r>
            <w:r>
              <w:rPr>
                <w:noProof/>
                <w:webHidden/>
              </w:rPr>
              <w:fldChar w:fldCharType="begin"/>
            </w:r>
            <w:r>
              <w:rPr>
                <w:noProof/>
                <w:webHidden/>
              </w:rPr>
              <w:instrText xml:space="preserve"> PAGEREF _Toc242325294 \h </w:instrText>
            </w:r>
            <w:r>
              <w:rPr>
                <w:noProof/>
                <w:webHidden/>
              </w:rPr>
            </w:r>
            <w:r>
              <w:rPr>
                <w:noProof/>
                <w:webHidden/>
              </w:rPr>
              <w:fldChar w:fldCharType="separate"/>
            </w:r>
            <w:r>
              <w:rPr>
                <w:noProof/>
                <w:webHidden/>
              </w:rPr>
              <w:t>124</w:t>
            </w:r>
            <w:r>
              <w:rPr>
                <w:noProof/>
                <w:webHidden/>
              </w:rPr>
              <w:fldChar w:fldCharType="end"/>
            </w:r>
          </w:hyperlink>
        </w:p>
        <w:p w14:paraId="28D44AE1" w14:textId="426823B4" w:rsidR="00FC05A1" w:rsidRDefault="00FC05A1" w:rsidP="00FC05A1">
          <w:pPr>
            <w:pStyle w:val="TOC1"/>
            <w:rPr>
              <w:rFonts w:eastAsiaTheme="minorEastAsia"/>
              <w:noProof/>
            </w:rPr>
          </w:pPr>
          <w:hyperlink w:anchor="_Toc242325295" w:history="1">
            <w:r w:rsidRPr="00756B62">
              <w:rPr>
                <w:rStyle w:val="Hyperlink"/>
                <w:rFonts w:ascii="Traditional Arabic" w:hAnsi="Traditional Arabic" w:cs="Traditional Arabic"/>
                <w:noProof/>
                <w:rtl/>
              </w:rPr>
              <w:t>الفصل الرابع</w:t>
            </w:r>
            <w:r>
              <w:rPr>
                <w:noProof/>
                <w:webHidden/>
              </w:rPr>
              <w:tab/>
            </w:r>
            <w:r>
              <w:rPr>
                <w:noProof/>
                <w:webHidden/>
              </w:rPr>
              <w:fldChar w:fldCharType="begin"/>
            </w:r>
            <w:r>
              <w:rPr>
                <w:noProof/>
                <w:webHidden/>
              </w:rPr>
              <w:instrText xml:space="preserve"> PAGEREF _Toc242325295 \h </w:instrText>
            </w:r>
            <w:r>
              <w:rPr>
                <w:noProof/>
                <w:webHidden/>
              </w:rPr>
            </w:r>
            <w:r>
              <w:rPr>
                <w:noProof/>
                <w:webHidden/>
              </w:rPr>
              <w:fldChar w:fldCharType="separate"/>
            </w:r>
            <w:r>
              <w:rPr>
                <w:noProof/>
                <w:webHidden/>
              </w:rPr>
              <w:t>125</w:t>
            </w:r>
            <w:r>
              <w:rPr>
                <w:noProof/>
                <w:webHidden/>
              </w:rPr>
              <w:fldChar w:fldCharType="end"/>
            </w:r>
          </w:hyperlink>
        </w:p>
        <w:p w14:paraId="73495E85" w14:textId="2802909E" w:rsidR="00FC05A1" w:rsidRDefault="00FC05A1" w:rsidP="00FC05A1">
          <w:pPr>
            <w:pStyle w:val="TOC1"/>
            <w:rPr>
              <w:rFonts w:eastAsiaTheme="minorEastAsia"/>
              <w:noProof/>
            </w:rPr>
          </w:pPr>
          <w:hyperlink w:anchor="_Toc242325296" w:history="1">
            <w:r w:rsidRPr="00756B62">
              <w:rPr>
                <w:rStyle w:val="Hyperlink"/>
                <w:rFonts w:ascii="Traditional Arabic" w:hAnsi="Traditional Arabic" w:cs="Traditional Arabic"/>
                <w:noProof/>
                <w:rtl/>
              </w:rPr>
              <w:t>نتائج الدراسة واختبار الفروض</w:t>
            </w:r>
            <w:r>
              <w:rPr>
                <w:noProof/>
                <w:webHidden/>
              </w:rPr>
              <w:tab/>
            </w:r>
            <w:r>
              <w:rPr>
                <w:noProof/>
                <w:webHidden/>
              </w:rPr>
              <w:fldChar w:fldCharType="begin"/>
            </w:r>
            <w:r>
              <w:rPr>
                <w:noProof/>
                <w:webHidden/>
              </w:rPr>
              <w:instrText xml:space="preserve"> PAGEREF _Toc242325296 \h </w:instrText>
            </w:r>
            <w:r>
              <w:rPr>
                <w:noProof/>
                <w:webHidden/>
              </w:rPr>
            </w:r>
            <w:r>
              <w:rPr>
                <w:noProof/>
                <w:webHidden/>
              </w:rPr>
              <w:fldChar w:fldCharType="separate"/>
            </w:r>
            <w:r>
              <w:rPr>
                <w:noProof/>
                <w:webHidden/>
              </w:rPr>
              <w:t>125</w:t>
            </w:r>
            <w:r>
              <w:rPr>
                <w:noProof/>
                <w:webHidden/>
              </w:rPr>
              <w:fldChar w:fldCharType="end"/>
            </w:r>
          </w:hyperlink>
        </w:p>
        <w:p w14:paraId="60BC0AC7" w14:textId="07BBA179" w:rsidR="00FC05A1" w:rsidRDefault="00FC05A1" w:rsidP="00FC05A1">
          <w:pPr>
            <w:pStyle w:val="TOC2"/>
            <w:tabs>
              <w:tab w:val="right" w:leader="dot" w:pos="9350"/>
            </w:tabs>
            <w:rPr>
              <w:rFonts w:eastAsiaTheme="minorEastAsia"/>
              <w:noProof/>
            </w:rPr>
          </w:pPr>
          <w:hyperlink w:anchor="_Toc242325297" w:history="1">
            <w:r w:rsidRPr="00756B62">
              <w:rPr>
                <w:rStyle w:val="Hyperlink"/>
                <w:rFonts w:ascii="Traditional Arabic" w:hAnsi="Traditional Arabic" w:cs="Traditional Arabic"/>
                <w:noProof/>
                <w:rtl/>
              </w:rPr>
              <w:t>مقدمة</w:t>
            </w:r>
            <w:r>
              <w:rPr>
                <w:noProof/>
                <w:webHidden/>
              </w:rPr>
              <w:tab/>
            </w:r>
            <w:r>
              <w:rPr>
                <w:noProof/>
                <w:webHidden/>
              </w:rPr>
              <w:fldChar w:fldCharType="begin"/>
            </w:r>
            <w:r>
              <w:rPr>
                <w:noProof/>
                <w:webHidden/>
              </w:rPr>
              <w:instrText xml:space="preserve"> PAGEREF _Toc242325297 \h </w:instrText>
            </w:r>
            <w:r>
              <w:rPr>
                <w:noProof/>
                <w:webHidden/>
              </w:rPr>
            </w:r>
            <w:r>
              <w:rPr>
                <w:noProof/>
                <w:webHidden/>
              </w:rPr>
              <w:fldChar w:fldCharType="separate"/>
            </w:r>
            <w:r>
              <w:rPr>
                <w:noProof/>
                <w:webHidden/>
              </w:rPr>
              <w:t>126</w:t>
            </w:r>
            <w:r>
              <w:rPr>
                <w:noProof/>
                <w:webHidden/>
              </w:rPr>
              <w:fldChar w:fldCharType="end"/>
            </w:r>
          </w:hyperlink>
        </w:p>
        <w:p w14:paraId="28F654E1" w14:textId="57BEA99A" w:rsidR="00FC05A1" w:rsidRDefault="00FC05A1" w:rsidP="00FC05A1">
          <w:pPr>
            <w:pStyle w:val="TOC2"/>
            <w:tabs>
              <w:tab w:val="right" w:leader="dot" w:pos="9350"/>
            </w:tabs>
            <w:rPr>
              <w:rFonts w:eastAsiaTheme="minorEastAsia"/>
              <w:noProof/>
            </w:rPr>
          </w:pPr>
          <w:hyperlink w:anchor="_Toc242325298" w:history="1">
            <w:r w:rsidRPr="00756B62">
              <w:rPr>
                <w:rStyle w:val="Hyperlink"/>
                <w:rFonts w:ascii="Traditional Arabic" w:eastAsia="Times New Roman" w:hAnsi="Traditional Arabic" w:cs="Traditional Arabic"/>
                <w:noProof/>
                <w:rtl/>
              </w:rPr>
              <w:t>الإحصاء والتحليل الوصفي:</w:t>
            </w:r>
            <w:r>
              <w:rPr>
                <w:noProof/>
                <w:webHidden/>
              </w:rPr>
              <w:tab/>
            </w:r>
            <w:r>
              <w:rPr>
                <w:noProof/>
                <w:webHidden/>
              </w:rPr>
              <w:fldChar w:fldCharType="begin"/>
            </w:r>
            <w:r>
              <w:rPr>
                <w:noProof/>
                <w:webHidden/>
              </w:rPr>
              <w:instrText xml:space="preserve"> PAGEREF _Toc242325298 \h </w:instrText>
            </w:r>
            <w:r>
              <w:rPr>
                <w:noProof/>
                <w:webHidden/>
              </w:rPr>
            </w:r>
            <w:r>
              <w:rPr>
                <w:noProof/>
                <w:webHidden/>
              </w:rPr>
              <w:fldChar w:fldCharType="separate"/>
            </w:r>
            <w:r>
              <w:rPr>
                <w:noProof/>
                <w:webHidden/>
              </w:rPr>
              <w:t>127</w:t>
            </w:r>
            <w:r>
              <w:rPr>
                <w:noProof/>
                <w:webHidden/>
              </w:rPr>
              <w:fldChar w:fldCharType="end"/>
            </w:r>
          </w:hyperlink>
        </w:p>
        <w:p w14:paraId="0D22F463" w14:textId="40D145AB" w:rsidR="00FC05A1" w:rsidRDefault="00FC05A1" w:rsidP="00FC05A1">
          <w:pPr>
            <w:pStyle w:val="TOC3"/>
            <w:tabs>
              <w:tab w:val="right" w:leader="dot" w:pos="9350"/>
            </w:tabs>
            <w:rPr>
              <w:rFonts w:eastAsiaTheme="minorEastAsia"/>
              <w:noProof/>
            </w:rPr>
          </w:pPr>
          <w:hyperlink w:anchor="_Toc242325299" w:history="1">
            <w:r w:rsidRPr="00756B62">
              <w:rPr>
                <w:rStyle w:val="Hyperlink"/>
                <w:rFonts w:ascii="Traditional Arabic" w:hAnsi="Traditional Arabic" w:cs="Traditional Arabic"/>
                <w:noProof/>
                <w:rtl/>
                <w:lang w:bidi="ar-EG"/>
              </w:rPr>
              <w:t>أولاً: عرض نتائج الدراسة بالخصائص الديموغرافية لأفراد العينة.</w:t>
            </w:r>
            <w:r>
              <w:rPr>
                <w:noProof/>
                <w:webHidden/>
              </w:rPr>
              <w:tab/>
            </w:r>
            <w:r>
              <w:rPr>
                <w:noProof/>
                <w:webHidden/>
              </w:rPr>
              <w:fldChar w:fldCharType="begin"/>
            </w:r>
            <w:r>
              <w:rPr>
                <w:noProof/>
                <w:webHidden/>
              </w:rPr>
              <w:instrText xml:space="preserve"> PAGEREF _Toc242325299 \h </w:instrText>
            </w:r>
            <w:r>
              <w:rPr>
                <w:noProof/>
                <w:webHidden/>
              </w:rPr>
            </w:r>
            <w:r>
              <w:rPr>
                <w:noProof/>
                <w:webHidden/>
              </w:rPr>
              <w:fldChar w:fldCharType="separate"/>
            </w:r>
            <w:r>
              <w:rPr>
                <w:noProof/>
                <w:webHidden/>
              </w:rPr>
              <w:t>127</w:t>
            </w:r>
            <w:r>
              <w:rPr>
                <w:noProof/>
                <w:webHidden/>
              </w:rPr>
              <w:fldChar w:fldCharType="end"/>
            </w:r>
          </w:hyperlink>
        </w:p>
        <w:p w14:paraId="110639BB" w14:textId="24A65955" w:rsidR="00FC05A1" w:rsidRDefault="00FC05A1" w:rsidP="00FC05A1">
          <w:pPr>
            <w:pStyle w:val="TOC2"/>
            <w:tabs>
              <w:tab w:val="right" w:leader="dot" w:pos="9350"/>
            </w:tabs>
            <w:rPr>
              <w:rFonts w:eastAsiaTheme="minorEastAsia"/>
              <w:noProof/>
            </w:rPr>
          </w:pPr>
          <w:hyperlink w:anchor="_Toc242325300" w:history="1">
            <w:r w:rsidRPr="00756B62">
              <w:rPr>
                <w:rStyle w:val="Hyperlink"/>
                <w:rFonts w:ascii="Traditional Arabic" w:eastAsia="Times New Roman" w:hAnsi="Traditional Arabic" w:cs="Traditional Arabic"/>
                <w:noProof/>
                <w:rtl/>
              </w:rPr>
              <w:t>الدلالة على الفرضيات</w:t>
            </w:r>
            <w:r w:rsidRPr="00756B62">
              <w:rPr>
                <w:rStyle w:val="Hyperlink"/>
                <w:rFonts w:ascii="Traditional Arabic" w:eastAsia="Times New Roman" w:hAnsi="Traditional Arabic" w:cs="Traditional Arabic"/>
                <w:noProof/>
              </w:rPr>
              <w:t>:</w:t>
            </w:r>
            <w:r>
              <w:rPr>
                <w:noProof/>
                <w:webHidden/>
              </w:rPr>
              <w:tab/>
            </w:r>
            <w:r>
              <w:rPr>
                <w:noProof/>
                <w:webHidden/>
              </w:rPr>
              <w:fldChar w:fldCharType="begin"/>
            </w:r>
            <w:r>
              <w:rPr>
                <w:noProof/>
                <w:webHidden/>
              </w:rPr>
              <w:instrText xml:space="preserve"> PAGEREF _Toc242325300 \h </w:instrText>
            </w:r>
            <w:r>
              <w:rPr>
                <w:noProof/>
                <w:webHidden/>
              </w:rPr>
            </w:r>
            <w:r>
              <w:rPr>
                <w:noProof/>
                <w:webHidden/>
              </w:rPr>
              <w:fldChar w:fldCharType="separate"/>
            </w:r>
            <w:r>
              <w:rPr>
                <w:noProof/>
                <w:webHidden/>
              </w:rPr>
              <w:t>144</w:t>
            </w:r>
            <w:r>
              <w:rPr>
                <w:noProof/>
                <w:webHidden/>
              </w:rPr>
              <w:fldChar w:fldCharType="end"/>
            </w:r>
          </w:hyperlink>
        </w:p>
        <w:p w14:paraId="36E18484" w14:textId="1DF41B71" w:rsidR="00FC05A1" w:rsidRDefault="00FC05A1" w:rsidP="00FC05A1">
          <w:pPr>
            <w:pStyle w:val="TOC2"/>
            <w:tabs>
              <w:tab w:val="right" w:leader="dot" w:pos="9350"/>
            </w:tabs>
            <w:rPr>
              <w:rFonts w:eastAsiaTheme="minorEastAsia"/>
              <w:noProof/>
            </w:rPr>
          </w:pPr>
          <w:hyperlink w:anchor="_Toc242325301" w:history="1">
            <w:r w:rsidRPr="00756B62">
              <w:rPr>
                <w:rStyle w:val="Hyperlink"/>
                <w:rFonts w:ascii="Traditional Arabic" w:eastAsia="Times New Roman" w:hAnsi="Traditional Arabic" w:cs="Traditional Arabic"/>
                <w:noProof/>
                <w:rtl/>
              </w:rPr>
              <w:t>تلخيص نتائج الفصل:</w:t>
            </w:r>
            <w:r>
              <w:rPr>
                <w:noProof/>
                <w:webHidden/>
              </w:rPr>
              <w:tab/>
            </w:r>
            <w:r>
              <w:rPr>
                <w:noProof/>
                <w:webHidden/>
              </w:rPr>
              <w:fldChar w:fldCharType="begin"/>
            </w:r>
            <w:r>
              <w:rPr>
                <w:noProof/>
                <w:webHidden/>
              </w:rPr>
              <w:instrText xml:space="preserve"> PAGEREF _Toc242325301 \h </w:instrText>
            </w:r>
            <w:r>
              <w:rPr>
                <w:noProof/>
                <w:webHidden/>
              </w:rPr>
            </w:r>
            <w:r>
              <w:rPr>
                <w:noProof/>
                <w:webHidden/>
              </w:rPr>
              <w:fldChar w:fldCharType="separate"/>
            </w:r>
            <w:r>
              <w:rPr>
                <w:noProof/>
                <w:webHidden/>
              </w:rPr>
              <w:t>146</w:t>
            </w:r>
            <w:r>
              <w:rPr>
                <w:noProof/>
                <w:webHidden/>
              </w:rPr>
              <w:fldChar w:fldCharType="end"/>
            </w:r>
          </w:hyperlink>
        </w:p>
        <w:p w14:paraId="04A57DAB" w14:textId="270CA9E2" w:rsidR="00FC05A1" w:rsidRDefault="00FC05A1" w:rsidP="00FC05A1">
          <w:pPr>
            <w:pStyle w:val="TOC2"/>
            <w:tabs>
              <w:tab w:val="right" w:leader="dot" w:pos="9350"/>
            </w:tabs>
            <w:rPr>
              <w:rFonts w:eastAsiaTheme="minorEastAsia"/>
              <w:noProof/>
            </w:rPr>
          </w:pPr>
          <w:hyperlink w:anchor="_Toc242325302" w:history="1">
            <w:r w:rsidRPr="00756B62">
              <w:rPr>
                <w:rStyle w:val="Hyperlink"/>
                <w:rFonts w:ascii="Traditional Arabic" w:hAnsi="Traditional Arabic" w:cs="Traditional Arabic"/>
                <w:b/>
                <w:bCs/>
                <w:noProof/>
                <w:rtl/>
              </w:rPr>
              <w:t>خاتمة</w:t>
            </w:r>
            <w:r>
              <w:rPr>
                <w:noProof/>
                <w:webHidden/>
              </w:rPr>
              <w:tab/>
            </w:r>
            <w:r>
              <w:rPr>
                <w:noProof/>
                <w:webHidden/>
              </w:rPr>
              <w:fldChar w:fldCharType="begin"/>
            </w:r>
            <w:r>
              <w:rPr>
                <w:noProof/>
                <w:webHidden/>
              </w:rPr>
              <w:instrText xml:space="preserve"> PAGEREF _Toc242325302 \h </w:instrText>
            </w:r>
            <w:r>
              <w:rPr>
                <w:noProof/>
                <w:webHidden/>
              </w:rPr>
            </w:r>
            <w:r>
              <w:rPr>
                <w:noProof/>
                <w:webHidden/>
              </w:rPr>
              <w:fldChar w:fldCharType="separate"/>
            </w:r>
            <w:r>
              <w:rPr>
                <w:noProof/>
                <w:webHidden/>
              </w:rPr>
              <w:t>149</w:t>
            </w:r>
            <w:r>
              <w:rPr>
                <w:noProof/>
                <w:webHidden/>
              </w:rPr>
              <w:fldChar w:fldCharType="end"/>
            </w:r>
          </w:hyperlink>
        </w:p>
        <w:p w14:paraId="5BD2C80F" w14:textId="2632161B" w:rsidR="00FC05A1" w:rsidRDefault="00FC05A1" w:rsidP="00FC05A1">
          <w:pPr>
            <w:pStyle w:val="TOC1"/>
            <w:rPr>
              <w:rFonts w:eastAsiaTheme="minorEastAsia"/>
              <w:noProof/>
            </w:rPr>
          </w:pPr>
          <w:hyperlink w:anchor="_Toc242325303" w:history="1">
            <w:r w:rsidRPr="00756B62">
              <w:rPr>
                <w:rStyle w:val="Hyperlink"/>
                <w:rFonts w:ascii="Traditional Arabic" w:hAnsi="Traditional Arabic" w:cs="Traditional Arabic"/>
                <w:noProof/>
                <w:rtl/>
                <w:lang w:bidi="ar-EG"/>
              </w:rPr>
              <w:t>الفصل الخامس</w:t>
            </w:r>
            <w:r>
              <w:rPr>
                <w:noProof/>
                <w:webHidden/>
              </w:rPr>
              <w:tab/>
            </w:r>
            <w:r>
              <w:rPr>
                <w:noProof/>
                <w:webHidden/>
              </w:rPr>
              <w:fldChar w:fldCharType="begin"/>
            </w:r>
            <w:r>
              <w:rPr>
                <w:noProof/>
                <w:webHidden/>
              </w:rPr>
              <w:instrText xml:space="preserve"> PAGEREF _Toc242325303 \h </w:instrText>
            </w:r>
            <w:r>
              <w:rPr>
                <w:noProof/>
                <w:webHidden/>
              </w:rPr>
            </w:r>
            <w:r>
              <w:rPr>
                <w:noProof/>
                <w:webHidden/>
              </w:rPr>
              <w:fldChar w:fldCharType="separate"/>
            </w:r>
            <w:r>
              <w:rPr>
                <w:noProof/>
                <w:webHidden/>
              </w:rPr>
              <w:t>150</w:t>
            </w:r>
            <w:r>
              <w:rPr>
                <w:noProof/>
                <w:webHidden/>
              </w:rPr>
              <w:fldChar w:fldCharType="end"/>
            </w:r>
          </w:hyperlink>
        </w:p>
        <w:p w14:paraId="4051D778" w14:textId="57ADC9D9" w:rsidR="00FC05A1" w:rsidRDefault="00FC05A1" w:rsidP="00FC05A1">
          <w:pPr>
            <w:pStyle w:val="TOC1"/>
            <w:rPr>
              <w:rFonts w:eastAsiaTheme="minorEastAsia"/>
              <w:noProof/>
            </w:rPr>
          </w:pPr>
          <w:hyperlink w:anchor="_Toc242325304" w:history="1">
            <w:r w:rsidRPr="00756B62">
              <w:rPr>
                <w:rStyle w:val="Hyperlink"/>
                <w:rFonts w:ascii="Traditional Arabic" w:hAnsi="Traditional Arabic" w:cs="Traditional Arabic"/>
                <w:noProof/>
                <w:rtl/>
                <w:lang w:bidi="ar-EG"/>
              </w:rPr>
              <w:t>مناقشة النتائج والتوصيات والدراسات المستقبلية</w:t>
            </w:r>
            <w:r>
              <w:rPr>
                <w:noProof/>
                <w:webHidden/>
              </w:rPr>
              <w:tab/>
            </w:r>
            <w:r>
              <w:rPr>
                <w:noProof/>
                <w:webHidden/>
              </w:rPr>
              <w:fldChar w:fldCharType="begin"/>
            </w:r>
            <w:r>
              <w:rPr>
                <w:noProof/>
                <w:webHidden/>
              </w:rPr>
              <w:instrText xml:space="preserve"> PAGEREF _Toc242325304 \h </w:instrText>
            </w:r>
            <w:r>
              <w:rPr>
                <w:noProof/>
                <w:webHidden/>
              </w:rPr>
            </w:r>
            <w:r>
              <w:rPr>
                <w:noProof/>
                <w:webHidden/>
              </w:rPr>
              <w:fldChar w:fldCharType="separate"/>
            </w:r>
            <w:r>
              <w:rPr>
                <w:noProof/>
                <w:webHidden/>
              </w:rPr>
              <w:t>150</w:t>
            </w:r>
            <w:r>
              <w:rPr>
                <w:noProof/>
                <w:webHidden/>
              </w:rPr>
              <w:fldChar w:fldCharType="end"/>
            </w:r>
          </w:hyperlink>
        </w:p>
        <w:p w14:paraId="1EC3DF47" w14:textId="6E5DE35A" w:rsidR="00FC05A1" w:rsidRDefault="00FC05A1" w:rsidP="00FC05A1">
          <w:pPr>
            <w:pStyle w:val="TOC2"/>
            <w:tabs>
              <w:tab w:val="right" w:leader="dot" w:pos="9350"/>
            </w:tabs>
            <w:rPr>
              <w:rFonts w:eastAsiaTheme="minorEastAsia"/>
              <w:noProof/>
            </w:rPr>
          </w:pPr>
          <w:hyperlink w:anchor="_Toc242325305" w:history="1">
            <w:r w:rsidRPr="00756B62">
              <w:rPr>
                <w:rStyle w:val="Hyperlink"/>
                <w:rFonts w:ascii="Traditional Arabic" w:eastAsia="Times New Roman" w:hAnsi="Traditional Arabic" w:cs="Traditional Arabic"/>
                <w:noProof/>
                <w:rtl/>
              </w:rPr>
              <w:t>مقدمة</w:t>
            </w:r>
            <w:r w:rsidRPr="00756B62">
              <w:rPr>
                <w:rStyle w:val="Hyperlink"/>
                <w:rFonts w:ascii="Traditional Arabic" w:hAnsi="Traditional Arabic" w:cs="Traditional Arabic"/>
                <w:noProof/>
                <w:rtl/>
                <w:lang w:bidi="ar-EG"/>
              </w:rPr>
              <w:t>:</w:t>
            </w:r>
            <w:r>
              <w:rPr>
                <w:noProof/>
                <w:webHidden/>
              </w:rPr>
              <w:tab/>
            </w:r>
            <w:r>
              <w:rPr>
                <w:noProof/>
                <w:webHidden/>
              </w:rPr>
              <w:fldChar w:fldCharType="begin"/>
            </w:r>
            <w:r>
              <w:rPr>
                <w:noProof/>
                <w:webHidden/>
              </w:rPr>
              <w:instrText xml:space="preserve"> PAGEREF _Toc242325305 \h </w:instrText>
            </w:r>
            <w:r>
              <w:rPr>
                <w:noProof/>
                <w:webHidden/>
              </w:rPr>
            </w:r>
            <w:r>
              <w:rPr>
                <w:noProof/>
                <w:webHidden/>
              </w:rPr>
              <w:fldChar w:fldCharType="separate"/>
            </w:r>
            <w:r>
              <w:rPr>
                <w:noProof/>
                <w:webHidden/>
              </w:rPr>
              <w:t>151</w:t>
            </w:r>
            <w:r>
              <w:rPr>
                <w:noProof/>
                <w:webHidden/>
              </w:rPr>
              <w:fldChar w:fldCharType="end"/>
            </w:r>
          </w:hyperlink>
        </w:p>
        <w:p w14:paraId="5B59619C" w14:textId="63CA54DC" w:rsidR="00FC05A1" w:rsidRDefault="00FC05A1" w:rsidP="00FC05A1">
          <w:pPr>
            <w:pStyle w:val="TOC2"/>
            <w:tabs>
              <w:tab w:val="right" w:leader="dot" w:pos="9350"/>
            </w:tabs>
            <w:rPr>
              <w:rFonts w:eastAsiaTheme="minorEastAsia"/>
              <w:noProof/>
            </w:rPr>
          </w:pPr>
          <w:hyperlink w:anchor="_Toc242325306" w:history="1">
            <w:r w:rsidRPr="00756B62">
              <w:rPr>
                <w:rStyle w:val="Hyperlink"/>
                <w:rFonts w:ascii="Traditional Arabic" w:eastAsia="Times New Roman" w:hAnsi="Traditional Arabic" w:cs="Traditional Arabic"/>
                <w:noProof/>
                <w:rtl/>
              </w:rPr>
              <w:t>مناقشة عامة للنتائج:</w:t>
            </w:r>
            <w:r>
              <w:rPr>
                <w:noProof/>
                <w:webHidden/>
              </w:rPr>
              <w:tab/>
            </w:r>
            <w:r>
              <w:rPr>
                <w:noProof/>
                <w:webHidden/>
              </w:rPr>
              <w:fldChar w:fldCharType="begin"/>
            </w:r>
            <w:r>
              <w:rPr>
                <w:noProof/>
                <w:webHidden/>
              </w:rPr>
              <w:instrText xml:space="preserve"> PAGEREF _Toc242325306 \h </w:instrText>
            </w:r>
            <w:r>
              <w:rPr>
                <w:noProof/>
                <w:webHidden/>
              </w:rPr>
            </w:r>
            <w:r>
              <w:rPr>
                <w:noProof/>
                <w:webHidden/>
              </w:rPr>
              <w:fldChar w:fldCharType="separate"/>
            </w:r>
            <w:r>
              <w:rPr>
                <w:noProof/>
                <w:webHidden/>
              </w:rPr>
              <w:t>152</w:t>
            </w:r>
            <w:r>
              <w:rPr>
                <w:noProof/>
                <w:webHidden/>
              </w:rPr>
              <w:fldChar w:fldCharType="end"/>
            </w:r>
          </w:hyperlink>
        </w:p>
        <w:p w14:paraId="0F028E11" w14:textId="744A3196" w:rsidR="00FC05A1" w:rsidRDefault="00FC05A1" w:rsidP="00FC05A1">
          <w:pPr>
            <w:pStyle w:val="TOC3"/>
            <w:tabs>
              <w:tab w:val="right" w:leader="dot" w:pos="9350"/>
            </w:tabs>
            <w:rPr>
              <w:rFonts w:eastAsiaTheme="minorEastAsia"/>
              <w:noProof/>
            </w:rPr>
          </w:pPr>
          <w:hyperlink w:anchor="_Toc242325307" w:history="1">
            <w:r w:rsidRPr="00756B62">
              <w:rPr>
                <w:rStyle w:val="Hyperlink"/>
                <w:rFonts w:ascii="Traditional Arabic" w:hAnsi="Traditional Arabic" w:cs="Traditional Arabic"/>
                <w:noProof/>
                <w:rtl/>
              </w:rPr>
              <w:t>نتائج اختبار الثبات والصدق</w:t>
            </w:r>
            <w:r>
              <w:rPr>
                <w:noProof/>
                <w:webHidden/>
              </w:rPr>
              <w:tab/>
            </w:r>
            <w:r>
              <w:rPr>
                <w:noProof/>
                <w:webHidden/>
              </w:rPr>
              <w:fldChar w:fldCharType="begin"/>
            </w:r>
            <w:r>
              <w:rPr>
                <w:noProof/>
                <w:webHidden/>
              </w:rPr>
              <w:instrText xml:space="preserve"> PAGEREF _Toc242325307 \h </w:instrText>
            </w:r>
            <w:r>
              <w:rPr>
                <w:noProof/>
                <w:webHidden/>
              </w:rPr>
            </w:r>
            <w:r>
              <w:rPr>
                <w:noProof/>
                <w:webHidden/>
              </w:rPr>
              <w:fldChar w:fldCharType="separate"/>
            </w:r>
            <w:r>
              <w:rPr>
                <w:noProof/>
                <w:webHidden/>
              </w:rPr>
              <w:t>152</w:t>
            </w:r>
            <w:r>
              <w:rPr>
                <w:noProof/>
                <w:webHidden/>
              </w:rPr>
              <w:fldChar w:fldCharType="end"/>
            </w:r>
          </w:hyperlink>
        </w:p>
        <w:p w14:paraId="7010E755" w14:textId="2AF8F9B9" w:rsidR="00FC05A1" w:rsidRDefault="00FC05A1" w:rsidP="00FC05A1">
          <w:pPr>
            <w:pStyle w:val="TOC3"/>
            <w:tabs>
              <w:tab w:val="right" w:leader="dot" w:pos="9350"/>
            </w:tabs>
            <w:rPr>
              <w:rFonts w:eastAsiaTheme="minorEastAsia"/>
              <w:noProof/>
            </w:rPr>
          </w:pPr>
          <w:hyperlink w:anchor="_Toc242325308" w:history="1">
            <w:r w:rsidRPr="00756B62">
              <w:rPr>
                <w:rStyle w:val="Hyperlink"/>
                <w:rFonts w:ascii="Traditional Arabic" w:hAnsi="Traditional Arabic" w:cs="Traditional Arabic"/>
                <w:noProof/>
                <w:rtl/>
              </w:rPr>
              <w:t>نتائج اختبار فروض الدراسة:</w:t>
            </w:r>
            <w:r>
              <w:rPr>
                <w:noProof/>
                <w:webHidden/>
              </w:rPr>
              <w:tab/>
            </w:r>
            <w:r>
              <w:rPr>
                <w:noProof/>
                <w:webHidden/>
              </w:rPr>
              <w:fldChar w:fldCharType="begin"/>
            </w:r>
            <w:r>
              <w:rPr>
                <w:noProof/>
                <w:webHidden/>
              </w:rPr>
              <w:instrText xml:space="preserve"> PAGEREF _Toc242325308 \h </w:instrText>
            </w:r>
            <w:r>
              <w:rPr>
                <w:noProof/>
                <w:webHidden/>
              </w:rPr>
            </w:r>
            <w:r>
              <w:rPr>
                <w:noProof/>
                <w:webHidden/>
              </w:rPr>
              <w:fldChar w:fldCharType="separate"/>
            </w:r>
            <w:r>
              <w:rPr>
                <w:noProof/>
                <w:webHidden/>
              </w:rPr>
              <w:t>152</w:t>
            </w:r>
            <w:r>
              <w:rPr>
                <w:noProof/>
                <w:webHidden/>
              </w:rPr>
              <w:fldChar w:fldCharType="end"/>
            </w:r>
          </w:hyperlink>
        </w:p>
        <w:p w14:paraId="53879AD1" w14:textId="64CFC337" w:rsidR="00FC05A1" w:rsidRDefault="00FC05A1" w:rsidP="00FC05A1">
          <w:pPr>
            <w:pStyle w:val="TOC2"/>
            <w:tabs>
              <w:tab w:val="right" w:leader="dot" w:pos="9350"/>
            </w:tabs>
            <w:rPr>
              <w:rFonts w:eastAsiaTheme="minorEastAsia"/>
              <w:noProof/>
            </w:rPr>
          </w:pPr>
          <w:hyperlink w:anchor="_Toc242325309" w:history="1">
            <w:r w:rsidRPr="00756B62">
              <w:rPr>
                <w:rStyle w:val="Hyperlink"/>
                <w:rFonts w:ascii="Traditional Arabic" w:eastAsia="Times New Roman" w:hAnsi="Traditional Arabic" w:cs="Traditional Arabic"/>
                <w:noProof/>
                <w:rtl/>
              </w:rPr>
              <w:t>التوصيات العملية المبنية على النتائج:</w:t>
            </w:r>
            <w:r>
              <w:rPr>
                <w:noProof/>
                <w:webHidden/>
              </w:rPr>
              <w:tab/>
            </w:r>
            <w:r>
              <w:rPr>
                <w:noProof/>
                <w:webHidden/>
              </w:rPr>
              <w:fldChar w:fldCharType="begin"/>
            </w:r>
            <w:r>
              <w:rPr>
                <w:noProof/>
                <w:webHidden/>
              </w:rPr>
              <w:instrText xml:space="preserve"> PAGEREF _Toc242325309 \h </w:instrText>
            </w:r>
            <w:r>
              <w:rPr>
                <w:noProof/>
                <w:webHidden/>
              </w:rPr>
            </w:r>
            <w:r>
              <w:rPr>
                <w:noProof/>
                <w:webHidden/>
              </w:rPr>
              <w:fldChar w:fldCharType="separate"/>
            </w:r>
            <w:r>
              <w:rPr>
                <w:noProof/>
                <w:webHidden/>
              </w:rPr>
              <w:t>156</w:t>
            </w:r>
            <w:r>
              <w:rPr>
                <w:noProof/>
                <w:webHidden/>
              </w:rPr>
              <w:fldChar w:fldCharType="end"/>
            </w:r>
          </w:hyperlink>
        </w:p>
        <w:p w14:paraId="144B3658" w14:textId="568514A6" w:rsidR="00FC05A1" w:rsidRDefault="00FC05A1" w:rsidP="00FC05A1">
          <w:pPr>
            <w:pStyle w:val="TOC2"/>
            <w:tabs>
              <w:tab w:val="right" w:leader="dot" w:pos="9350"/>
            </w:tabs>
            <w:rPr>
              <w:rFonts w:eastAsiaTheme="minorEastAsia"/>
              <w:noProof/>
            </w:rPr>
          </w:pPr>
          <w:hyperlink w:anchor="_Toc242325310" w:history="1">
            <w:r w:rsidRPr="00756B62">
              <w:rPr>
                <w:rStyle w:val="Hyperlink"/>
                <w:rFonts w:ascii="Traditional Arabic" w:eastAsia="Times New Roman" w:hAnsi="Traditional Arabic" w:cs="Traditional Arabic"/>
                <w:noProof/>
                <w:rtl/>
              </w:rPr>
              <w:t>مقترحات مستقبلية:</w:t>
            </w:r>
            <w:r>
              <w:rPr>
                <w:noProof/>
                <w:webHidden/>
              </w:rPr>
              <w:tab/>
            </w:r>
            <w:r>
              <w:rPr>
                <w:noProof/>
                <w:webHidden/>
              </w:rPr>
              <w:fldChar w:fldCharType="begin"/>
            </w:r>
            <w:r>
              <w:rPr>
                <w:noProof/>
                <w:webHidden/>
              </w:rPr>
              <w:instrText xml:space="preserve"> PAGEREF _Toc242325310 \h </w:instrText>
            </w:r>
            <w:r>
              <w:rPr>
                <w:noProof/>
                <w:webHidden/>
              </w:rPr>
            </w:r>
            <w:r>
              <w:rPr>
                <w:noProof/>
                <w:webHidden/>
              </w:rPr>
              <w:fldChar w:fldCharType="separate"/>
            </w:r>
            <w:r>
              <w:rPr>
                <w:noProof/>
                <w:webHidden/>
              </w:rPr>
              <w:t>158</w:t>
            </w:r>
            <w:r>
              <w:rPr>
                <w:noProof/>
                <w:webHidden/>
              </w:rPr>
              <w:fldChar w:fldCharType="end"/>
            </w:r>
          </w:hyperlink>
        </w:p>
        <w:p w14:paraId="24708F75" w14:textId="6B72CF20" w:rsidR="00FC05A1" w:rsidRDefault="00FC05A1" w:rsidP="00FC05A1">
          <w:pPr>
            <w:pStyle w:val="TOC2"/>
            <w:tabs>
              <w:tab w:val="right" w:leader="dot" w:pos="9350"/>
            </w:tabs>
            <w:rPr>
              <w:rFonts w:eastAsiaTheme="minorEastAsia"/>
              <w:noProof/>
            </w:rPr>
          </w:pPr>
          <w:hyperlink w:anchor="_Toc242325311" w:history="1">
            <w:r w:rsidRPr="00756B62">
              <w:rPr>
                <w:rStyle w:val="Hyperlink"/>
                <w:rFonts w:ascii="Traditional Arabic" w:hAnsi="Traditional Arabic" w:cs="Traditional Arabic"/>
                <w:noProof/>
                <w:rtl/>
                <w:lang w:bidi="ar-EG"/>
              </w:rPr>
              <w:t>خاتمة</w:t>
            </w:r>
            <w:r>
              <w:rPr>
                <w:noProof/>
                <w:webHidden/>
              </w:rPr>
              <w:tab/>
            </w:r>
            <w:r>
              <w:rPr>
                <w:noProof/>
                <w:webHidden/>
              </w:rPr>
              <w:fldChar w:fldCharType="begin"/>
            </w:r>
            <w:r>
              <w:rPr>
                <w:noProof/>
                <w:webHidden/>
              </w:rPr>
              <w:instrText xml:space="preserve"> PAGEREF _Toc242325311 \h </w:instrText>
            </w:r>
            <w:r>
              <w:rPr>
                <w:noProof/>
                <w:webHidden/>
              </w:rPr>
            </w:r>
            <w:r>
              <w:rPr>
                <w:noProof/>
                <w:webHidden/>
              </w:rPr>
              <w:fldChar w:fldCharType="separate"/>
            </w:r>
            <w:r>
              <w:rPr>
                <w:noProof/>
                <w:webHidden/>
              </w:rPr>
              <w:t>160</w:t>
            </w:r>
            <w:r>
              <w:rPr>
                <w:noProof/>
                <w:webHidden/>
              </w:rPr>
              <w:fldChar w:fldCharType="end"/>
            </w:r>
          </w:hyperlink>
        </w:p>
        <w:p w14:paraId="0D3C4BE8" w14:textId="00EA798D" w:rsidR="00FC05A1" w:rsidRDefault="00FC05A1" w:rsidP="00FC05A1">
          <w:pPr>
            <w:pStyle w:val="TOC2"/>
            <w:tabs>
              <w:tab w:val="right" w:leader="dot" w:pos="9350"/>
            </w:tabs>
            <w:rPr>
              <w:rFonts w:eastAsiaTheme="minorEastAsia"/>
              <w:noProof/>
            </w:rPr>
          </w:pPr>
          <w:hyperlink w:anchor="_Toc242325312" w:history="1">
            <w:r w:rsidRPr="00756B62">
              <w:rPr>
                <w:rStyle w:val="Hyperlink"/>
                <w:rFonts w:ascii="Traditional Arabic" w:hAnsi="Traditional Arabic" w:cs="Traditional Arabic"/>
                <w:b/>
                <w:bCs/>
                <w:noProof/>
                <w:rtl/>
                <w:lang w:bidi="ar-EG"/>
              </w:rPr>
              <w:t>قائمة المراجع</w:t>
            </w:r>
            <w:r>
              <w:rPr>
                <w:noProof/>
                <w:webHidden/>
              </w:rPr>
              <w:tab/>
            </w:r>
            <w:r>
              <w:rPr>
                <w:noProof/>
                <w:webHidden/>
              </w:rPr>
              <w:fldChar w:fldCharType="begin"/>
            </w:r>
            <w:r>
              <w:rPr>
                <w:noProof/>
                <w:webHidden/>
              </w:rPr>
              <w:instrText xml:space="preserve"> PAGEREF _Toc242325312 \h </w:instrText>
            </w:r>
            <w:r>
              <w:rPr>
                <w:noProof/>
                <w:webHidden/>
              </w:rPr>
            </w:r>
            <w:r>
              <w:rPr>
                <w:noProof/>
                <w:webHidden/>
              </w:rPr>
              <w:fldChar w:fldCharType="separate"/>
            </w:r>
            <w:r>
              <w:rPr>
                <w:noProof/>
                <w:webHidden/>
              </w:rPr>
              <w:t>162</w:t>
            </w:r>
            <w:r>
              <w:rPr>
                <w:noProof/>
                <w:webHidden/>
              </w:rPr>
              <w:fldChar w:fldCharType="end"/>
            </w:r>
          </w:hyperlink>
        </w:p>
        <w:p w14:paraId="5D38B2EF" w14:textId="1A12C9CF" w:rsidR="00FC05A1" w:rsidRDefault="00FC05A1" w:rsidP="00FC05A1">
          <w:pPr>
            <w:pStyle w:val="TOC2"/>
            <w:tabs>
              <w:tab w:val="right" w:leader="dot" w:pos="9350"/>
            </w:tabs>
            <w:rPr>
              <w:rFonts w:eastAsiaTheme="minorEastAsia"/>
              <w:noProof/>
            </w:rPr>
          </w:pPr>
          <w:hyperlink w:anchor="_Toc242325313" w:history="1">
            <w:r w:rsidRPr="00756B62">
              <w:rPr>
                <w:rStyle w:val="Hyperlink"/>
                <w:rFonts w:ascii="Traditional Arabic" w:hAnsi="Traditional Arabic" w:cs="Traditional Arabic"/>
                <w:b/>
                <w:bCs/>
                <w:noProof/>
                <w:rtl/>
              </w:rPr>
              <w:t>أولًا: المراجع العربية</w:t>
            </w:r>
            <w:r>
              <w:rPr>
                <w:noProof/>
                <w:webHidden/>
              </w:rPr>
              <w:tab/>
            </w:r>
            <w:r>
              <w:rPr>
                <w:noProof/>
                <w:webHidden/>
              </w:rPr>
              <w:fldChar w:fldCharType="begin"/>
            </w:r>
            <w:r>
              <w:rPr>
                <w:noProof/>
                <w:webHidden/>
              </w:rPr>
              <w:instrText xml:space="preserve"> PAGEREF _Toc242325313 \h </w:instrText>
            </w:r>
            <w:r>
              <w:rPr>
                <w:noProof/>
                <w:webHidden/>
              </w:rPr>
            </w:r>
            <w:r>
              <w:rPr>
                <w:noProof/>
                <w:webHidden/>
              </w:rPr>
              <w:fldChar w:fldCharType="separate"/>
            </w:r>
            <w:r>
              <w:rPr>
                <w:noProof/>
                <w:webHidden/>
              </w:rPr>
              <w:t>162</w:t>
            </w:r>
            <w:r>
              <w:rPr>
                <w:noProof/>
                <w:webHidden/>
              </w:rPr>
              <w:fldChar w:fldCharType="end"/>
            </w:r>
          </w:hyperlink>
        </w:p>
        <w:p w14:paraId="633568BE" w14:textId="655EA3C6" w:rsidR="00FC05A1" w:rsidRDefault="00FC05A1" w:rsidP="00FC05A1">
          <w:pPr>
            <w:pStyle w:val="TOC1"/>
            <w:rPr>
              <w:rFonts w:eastAsiaTheme="minorEastAsia"/>
              <w:noProof/>
            </w:rPr>
          </w:pPr>
          <w:hyperlink w:anchor="_Toc242325314" w:history="1">
            <w:r w:rsidRPr="00756B62">
              <w:rPr>
                <w:rStyle w:val="Hyperlink"/>
                <w:rFonts w:ascii="Traditional Arabic" w:hAnsi="Traditional Arabic" w:cs="Traditional Arabic"/>
                <w:b/>
                <w:bCs/>
                <w:noProof/>
                <w:rtl/>
              </w:rPr>
              <w:t>ثانيًا: المراجع الأجنبية</w:t>
            </w:r>
            <w:r>
              <w:rPr>
                <w:noProof/>
                <w:webHidden/>
              </w:rPr>
              <w:tab/>
            </w:r>
            <w:r>
              <w:rPr>
                <w:noProof/>
                <w:webHidden/>
              </w:rPr>
              <w:fldChar w:fldCharType="begin"/>
            </w:r>
            <w:r>
              <w:rPr>
                <w:noProof/>
                <w:webHidden/>
              </w:rPr>
              <w:instrText xml:space="preserve"> PAGEREF _Toc242325314 \h </w:instrText>
            </w:r>
            <w:r>
              <w:rPr>
                <w:noProof/>
                <w:webHidden/>
              </w:rPr>
            </w:r>
            <w:r>
              <w:rPr>
                <w:noProof/>
                <w:webHidden/>
              </w:rPr>
              <w:fldChar w:fldCharType="separate"/>
            </w:r>
            <w:r>
              <w:rPr>
                <w:noProof/>
                <w:webHidden/>
              </w:rPr>
              <w:t>165</w:t>
            </w:r>
            <w:r>
              <w:rPr>
                <w:noProof/>
                <w:webHidden/>
              </w:rPr>
              <w:fldChar w:fldCharType="end"/>
            </w:r>
          </w:hyperlink>
        </w:p>
        <w:p w14:paraId="13002CC6" w14:textId="10C3943F" w:rsidR="00FC05A1" w:rsidRDefault="00FC05A1" w:rsidP="00FC05A1">
          <w:pPr>
            <w:pStyle w:val="TOC1"/>
            <w:rPr>
              <w:rFonts w:eastAsiaTheme="minorEastAsia"/>
              <w:noProof/>
            </w:rPr>
          </w:pPr>
          <w:hyperlink w:anchor="_Toc242325315" w:history="1">
            <w:r w:rsidRPr="00756B62">
              <w:rPr>
                <w:rStyle w:val="Hyperlink"/>
                <w:rFonts w:ascii="Traditional Arabic" w:hAnsi="Traditional Arabic" w:cs="Traditional Arabic"/>
                <w:b/>
                <w:bCs/>
                <w:noProof/>
                <w:rtl/>
              </w:rPr>
              <w:t>ثالثًا: المراجع التنظيمية والرسمية</w:t>
            </w:r>
            <w:r>
              <w:rPr>
                <w:noProof/>
                <w:webHidden/>
              </w:rPr>
              <w:tab/>
            </w:r>
            <w:r>
              <w:rPr>
                <w:noProof/>
                <w:webHidden/>
              </w:rPr>
              <w:fldChar w:fldCharType="begin"/>
            </w:r>
            <w:r>
              <w:rPr>
                <w:noProof/>
                <w:webHidden/>
              </w:rPr>
              <w:instrText xml:space="preserve"> PAGEREF _Toc242325315 \h </w:instrText>
            </w:r>
            <w:r>
              <w:rPr>
                <w:noProof/>
                <w:webHidden/>
              </w:rPr>
            </w:r>
            <w:r>
              <w:rPr>
                <w:noProof/>
                <w:webHidden/>
              </w:rPr>
              <w:fldChar w:fldCharType="separate"/>
            </w:r>
            <w:r>
              <w:rPr>
                <w:noProof/>
                <w:webHidden/>
              </w:rPr>
              <w:t>168</w:t>
            </w:r>
            <w:r>
              <w:rPr>
                <w:noProof/>
                <w:webHidden/>
              </w:rPr>
              <w:fldChar w:fldCharType="end"/>
            </w:r>
          </w:hyperlink>
        </w:p>
        <w:p w14:paraId="08C2630D" w14:textId="5BA8AE43" w:rsidR="00FC05A1" w:rsidRDefault="00FC05A1" w:rsidP="00FC05A1">
          <w:pPr>
            <w:pStyle w:val="TOC1"/>
            <w:rPr>
              <w:rFonts w:eastAsiaTheme="minorEastAsia"/>
              <w:noProof/>
            </w:rPr>
          </w:pPr>
          <w:hyperlink w:anchor="_Toc242325316" w:history="1">
            <w:r w:rsidRPr="00756B62">
              <w:rPr>
                <w:rStyle w:val="Hyperlink"/>
                <w:rFonts w:ascii="Traditional Arabic" w:eastAsia="Times New Roman" w:hAnsi="Traditional Arabic" w:cs="Traditional Arabic"/>
                <w:b/>
                <w:bCs/>
                <w:noProof/>
                <w:rtl/>
              </w:rPr>
              <w:t>الملاحق</w:t>
            </w:r>
            <w:r>
              <w:rPr>
                <w:noProof/>
                <w:webHidden/>
              </w:rPr>
              <w:tab/>
            </w:r>
            <w:r>
              <w:rPr>
                <w:noProof/>
                <w:webHidden/>
              </w:rPr>
              <w:fldChar w:fldCharType="begin"/>
            </w:r>
            <w:r>
              <w:rPr>
                <w:noProof/>
                <w:webHidden/>
              </w:rPr>
              <w:instrText xml:space="preserve"> PAGEREF _Toc242325316 \h </w:instrText>
            </w:r>
            <w:r>
              <w:rPr>
                <w:noProof/>
                <w:webHidden/>
              </w:rPr>
            </w:r>
            <w:r>
              <w:rPr>
                <w:noProof/>
                <w:webHidden/>
              </w:rPr>
              <w:fldChar w:fldCharType="separate"/>
            </w:r>
            <w:r>
              <w:rPr>
                <w:noProof/>
                <w:webHidden/>
              </w:rPr>
              <w:t>170</w:t>
            </w:r>
            <w:r>
              <w:rPr>
                <w:noProof/>
                <w:webHidden/>
              </w:rPr>
              <w:fldChar w:fldCharType="end"/>
            </w:r>
          </w:hyperlink>
        </w:p>
        <w:p w14:paraId="245EA944" w14:textId="18E7D437" w:rsidR="00FC05A1" w:rsidRDefault="00FC05A1" w:rsidP="00FC05A1">
          <w:pPr>
            <w:pStyle w:val="TOC2"/>
            <w:tabs>
              <w:tab w:val="right" w:leader="dot" w:pos="9350"/>
            </w:tabs>
            <w:rPr>
              <w:rFonts w:eastAsiaTheme="minorEastAsia"/>
              <w:noProof/>
            </w:rPr>
          </w:pPr>
          <w:hyperlink w:anchor="_Toc242325317" w:history="1">
            <w:r w:rsidRPr="00756B62">
              <w:rPr>
                <w:rStyle w:val="Hyperlink"/>
                <w:rFonts w:ascii="Traditional Arabic" w:hAnsi="Traditional Arabic" w:cs="Traditional Arabic"/>
                <w:b/>
                <w:bCs/>
                <w:noProof/>
                <w:rtl/>
              </w:rPr>
              <w:t>ملحق (أ): مفاهيم الدراسة</w:t>
            </w:r>
            <w:r>
              <w:rPr>
                <w:noProof/>
                <w:webHidden/>
              </w:rPr>
              <w:tab/>
            </w:r>
            <w:r>
              <w:rPr>
                <w:noProof/>
                <w:webHidden/>
              </w:rPr>
              <w:fldChar w:fldCharType="begin"/>
            </w:r>
            <w:r>
              <w:rPr>
                <w:noProof/>
                <w:webHidden/>
              </w:rPr>
              <w:instrText xml:space="preserve"> PAGEREF _Toc242325317 \h </w:instrText>
            </w:r>
            <w:r>
              <w:rPr>
                <w:noProof/>
                <w:webHidden/>
              </w:rPr>
            </w:r>
            <w:r>
              <w:rPr>
                <w:noProof/>
                <w:webHidden/>
              </w:rPr>
              <w:fldChar w:fldCharType="separate"/>
            </w:r>
            <w:r>
              <w:rPr>
                <w:noProof/>
                <w:webHidden/>
              </w:rPr>
              <w:t>170</w:t>
            </w:r>
            <w:r>
              <w:rPr>
                <w:noProof/>
                <w:webHidden/>
              </w:rPr>
              <w:fldChar w:fldCharType="end"/>
            </w:r>
          </w:hyperlink>
        </w:p>
        <w:p w14:paraId="5E904A60" w14:textId="281F44E7" w:rsidR="00FC05A1" w:rsidRDefault="00FC05A1" w:rsidP="00FC05A1">
          <w:pPr>
            <w:pStyle w:val="TOC3"/>
            <w:tabs>
              <w:tab w:val="right" w:leader="dot" w:pos="9350"/>
            </w:tabs>
            <w:rPr>
              <w:rFonts w:eastAsiaTheme="minorEastAsia"/>
              <w:noProof/>
            </w:rPr>
          </w:pPr>
          <w:hyperlink w:anchor="_Toc242325318" w:history="1">
            <w:r w:rsidRPr="00756B62">
              <w:rPr>
                <w:rStyle w:val="Hyperlink"/>
                <w:rFonts w:ascii="Traditional Arabic" w:hAnsi="Traditional Arabic" w:cs="Traditional Arabic"/>
                <w:b/>
                <w:bCs/>
                <w:noProof/>
                <w:rtl/>
              </w:rPr>
              <w:t>أولًا: الشركات الناشئة</w:t>
            </w:r>
            <w:r>
              <w:rPr>
                <w:noProof/>
                <w:webHidden/>
              </w:rPr>
              <w:tab/>
            </w:r>
            <w:r>
              <w:rPr>
                <w:noProof/>
                <w:webHidden/>
              </w:rPr>
              <w:fldChar w:fldCharType="begin"/>
            </w:r>
            <w:r>
              <w:rPr>
                <w:noProof/>
                <w:webHidden/>
              </w:rPr>
              <w:instrText xml:space="preserve"> PAGEREF _Toc242325318 \h </w:instrText>
            </w:r>
            <w:r>
              <w:rPr>
                <w:noProof/>
                <w:webHidden/>
              </w:rPr>
            </w:r>
            <w:r>
              <w:rPr>
                <w:noProof/>
                <w:webHidden/>
              </w:rPr>
              <w:fldChar w:fldCharType="separate"/>
            </w:r>
            <w:r>
              <w:rPr>
                <w:noProof/>
                <w:webHidden/>
              </w:rPr>
              <w:t>170</w:t>
            </w:r>
            <w:r>
              <w:rPr>
                <w:noProof/>
                <w:webHidden/>
              </w:rPr>
              <w:fldChar w:fldCharType="end"/>
            </w:r>
          </w:hyperlink>
        </w:p>
        <w:p w14:paraId="60823950" w14:textId="6C865DE2" w:rsidR="00FC05A1" w:rsidRDefault="00FC05A1" w:rsidP="00FC05A1">
          <w:pPr>
            <w:pStyle w:val="TOC3"/>
            <w:tabs>
              <w:tab w:val="right" w:leader="dot" w:pos="9350"/>
            </w:tabs>
            <w:rPr>
              <w:rFonts w:eastAsiaTheme="minorEastAsia"/>
              <w:noProof/>
            </w:rPr>
          </w:pPr>
          <w:hyperlink w:anchor="_Toc242325319" w:history="1">
            <w:r w:rsidRPr="00756B62">
              <w:rPr>
                <w:rStyle w:val="Hyperlink"/>
                <w:rFonts w:ascii="Traditional Arabic" w:hAnsi="Traditional Arabic" w:cs="Traditional Arabic"/>
                <w:b/>
                <w:bCs/>
                <w:noProof/>
                <w:rtl/>
              </w:rPr>
              <w:t>ثانيًا: الحوكمة وحوكمة الشركات</w:t>
            </w:r>
            <w:r>
              <w:rPr>
                <w:noProof/>
                <w:webHidden/>
              </w:rPr>
              <w:tab/>
            </w:r>
            <w:r>
              <w:rPr>
                <w:noProof/>
                <w:webHidden/>
              </w:rPr>
              <w:fldChar w:fldCharType="begin"/>
            </w:r>
            <w:r>
              <w:rPr>
                <w:noProof/>
                <w:webHidden/>
              </w:rPr>
              <w:instrText xml:space="preserve"> PAGEREF _Toc242325319 \h </w:instrText>
            </w:r>
            <w:r>
              <w:rPr>
                <w:noProof/>
                <w:webHidden/>
              </w:rPr>
            </w:r>
            <w:r>
              <w:rPr>
                <w:noProof/>
                <w:webHidden/>
              </w:rPr>
              <w:fldChar w:fldCharType="separate"/>
            </w:r>
            <w:r>
              <w:rPr>
                <w:noProof/>
                <w:webHidden/>
              </w:rPr>
              <w:t>171</w:t>
            </w:r>
            <w:r>
              <w:rPr>
                <w:noProof/>
                <w:webHidden/>
              </w:rPr>
              <w:fldChar w:fldCharType="end"/>
            </w:r>
          </w:hyperlink>
        </w:p>
        <w:p w14:paraId="7EDD963D" w14:textId="553F21B4" w:rsidR="00FC05A1" w:rsidRDefault="00FC05A1" w:rsidP="00FC05A1">
          <w:pPr>
            <w:pStyle w:val="TOC3"/>
            <w:tabs>
              <w:tab w:val="right" w:leader="dot" w:pos="9350"/>
            </w:tabs>
            <w:rPr>
              <w:rFonts w:eastAsiaTheme="minorEastAsia"/>
              <w:noProof/>
            </w:rPr>
          </w:pPr>
          <w:hyperlink w:anchor="_Toc242325320" w:history="1">
            <w:r w:rsidRPr="00756B62">
              <w:rPr>
                <w:rStyle w:val="Hyperlink"/>
                <w:rFonts w:ascii="Traditional Arabic" w:hAnsi="Traditional Arabic" w:cs="Traditional Arabic"/>
                <w:b/>
                <w:bCs/>
                <w:noProof/>
                <w:rtl/>
              </w:rPr>
              <w:t>ثالثًا: الأمن السيبراني</w:t>
            </w:r>
            <w:r>
              <w:rPr>
                <w:noProof/>
                <w:webHidden/>
              </w:rPr>
              <w:tab/>
            </w:r>
            <w:r>
              <w:rPr>
                <w:noProof/>
                <w:webHidden/>
              </w:rPr>
              <w:fldChar w:fldCharType="begin"/>
            </w:r>
            <w:r>
              <w:rPr>
                <w:noProof/>
                <w:webHidden/>
              </w:rPr>
              <w:instrText xml:space="preserve"> PAGEREF _Toc242325320 \h </w:instrText>
            </w:r>
            <w:r>
              <w:rPr>
                <w:noProof/>
                <w:webHidden/>
              </w:rPr>
            </w:r>
            <w:r>
              <w:rPr>
                <w:noProof/>
                <w:webHidden/>
              </w:rPr>
              <w:fldChar w:fldCharType="separate"/>
            </w:r>
            <w:r>
              <w:rPr>
                <w:noProof/>
                <w:webHidden/>
              </w:rPr>
              <w:t>173</w:t>
            </w:r>
            <w:r>
              <w:rPr>
                <w:noProof/>
                <w:webHidden/>
              </w:rPr>
              <w:fldChar w:fldCharType="end"/>
            </w:r>
          </w:hyperlink>
        </w:p>
        <w:p w14:paraId="01CC8670" w14:textId="09C1B70C" w:rsidR="00E4652C" w:rsidRPr="00545ABB" w:rsidRDefault="00E4652C" w:rsidP="00FC05A1">
          <w:pPr>
            <w:rPr>
              <w:rFonts w:ascii="Traditional Arabic" w:hAnsi="Traditional Arabic" w:cs="Traditional Arabic"/>
              <w:color w:val="000000" w:themeColor="text1"/>
            </w:rPr>
          </w:pPr>
          <w:r w:rsidRPr="00545ABB">
            <w:rPr>
              <w:rFonts w:ascii="Traditional Arabic" w:hAnsi="Traditional Arabic" w:cs="Traditional Arabic"/>
              <w:b/>
              <w:bCs/>
              <w:noProof/>
              <w:color w:val="000000" w:themeColor="text1"/>
              <w:sz w:val="28"/>
              <w:szCs w:val="28"/>
            </w:rPr>
            <w:fldChar w:fldCharType="end"/>
          </w:r>
        </w:p>
      </w:sdtContent>
    </w:sdt>
    <w:p w14:paraId="103C9764" w14:textId="6BEACA78" w:rsidR="00297008" w:rsidRPr="00545ABB" w:rsidRDefault="00297008" w:rsidP="00E4652C">
      <w:pPr>
        <w:spacing w:after="0" w:line="360" w:lineRule="auto"/>
        <w:rPr>
          <w:rFonts w:ascii="Traditional Arabic" w:hAnsi="Traditional Arabic" w:cs="Traditional Arabic"/>
          <w:b/>
          <w:bCs/>
          <w:color w:val="000000" w:themeColor="text1"/>
          <w:sz w:val="36"/>
          <w:szCs w:val="36"/>
          <w:rtl/>
        </w:rPr>
      </w:pPr>
    </w:p>
    <w:p w14:paraId="7A7E83A5" w14:textId="77777777" w:rsidR="008E0DE7" w:rsidRPr="00545ABB" w:rsidRDefault="008E0DE7" w:rsidP="00E4652C">
      <w:pPr>
        <w:spacing w:after="0" w:line="360" w:lineRule="auto"/>
        <w:rPr>
          <w:rFonts w:ascii="Traditional Arabic" w:hAnsi="Traditional Arabic" w:cs="Traditional Arabic"/>
          <w:b/>
          <w:bCs/>
          <w:color w:val="000000" w:themeColor="text1"/>
          <w:sz w:val="36"/>
          <w:szCs w:val="36"/>
          <w:rtl/>
        </w:rPr>
      </w:pPr>
    </w:p>
    <w:p w14:paraId="507016BF" w14:textId="77777777" w:rsidR="008E0DE7" w:rsidRPr="00545ABB" w:rsidRDefault="008E0DE7" w:rsidP="00E4652C">
      <w:pPr>
        <w:spacing w:after="0" w:line="360" w:lineRule="auto"/>
        <w:rPr>
          <w:rFonts w:ascii="Traditional Arabic" w:hAnsi="Traditional Arabic" w:cs="Traditional Arabic"/>
          <w:b/>
          <w:bCs/>
          <w:color w:val="000000" w:themeColor="text1"/>
          <w:sz w:val="36"/>
          <w:szCs w:val="36"/>
          <w:rtl/>
        </w:rPr>
      </w:pPr>
    </w:p>
    <w:p w14:paraId="047CC9C2" w14:textId="77777777" w:rsidR="008E0DE7" w:rsidRPr="00545ABB" w:rsidRDefault="008E0DE7" w:rsidP="00E4652C">
      <w:pPr>
        <w:spacing w:after="0" w:line="360" w:lineRule="auto"/>
        <w:rPr>
          <w:rFonts w:ascii="Traditional Arabic" w:hAnsi="Traditional Arabic" w:cs="Traditional Arabic"/>
          <w:b/>
          <w:bCs/>
          <w:color w:val="000000" w:themeColor="text1"/>
          <w:sz w:val="36"/>
          <w:szCs w:val="36"/>
          <w:rtl/>
        </w:rPr>
      </w:pPr>
    </w:p>
    <w:p w14:paraId="533D54F7" w14:textId="77777777" w:rsidR="008E0DE7" w:rsidRPr="00545ABB" w:rsidRDefault="008E0DE7" w:rsidP="00E4652C">
      <w:pPr>
        <w:spacing w:after="0" w:line="360" w:lineRule="auto"/>
        <w:rPr>
          <w:rFonts w:ascii="Traditional Arabic" w:hAnsi="Traditional Arabic" w:cs="Traditional Arabic"/>
          <w:b/>
          <w:bCs/>
          <w:color w:val="000000" w:themeColor="text1"/>
          <w:sz w:val="36"/>
          <w:szCs w:val="36"/>
          <w:rtl/>
        </w:rPr>
      </w:pPr>
    </w:p>
    <w:p w14:paraId="32BCCD71" w14:textId="5A884A70" w:rsidR="00034F5C" w:rsidRDefault="00034F5C" w:rsidP="00E4652C">
      <w:pPr>
        <w:spacing w:after="0" w:line="360" w:lineRule="auto"/>
        <w:rPr>
          <w:rFonts w:ascii="Traditional Arabic" w:hAnsi="Traditional Arabic" w:cs="Traditional Arabic"/>
          <w:b/>
          <w:bCs/>
          <w:color w:val="000000" w:themeColor="text1"/>
          <w:sz w:val="36"/>
          <w:szCs w:val="36"/>
          <w:rtl/>
        </w:rPr>
      </w:pPr>
    </w:p>
    <w:p w14:paraId="399C9E4D" w14:textId="77777777" w:rsidR="00034F5C" w:rsidRDefault="00034F5C">
      <w:pPr>
        <w:bidi w:val="0"/>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0AD8B6E7" w14:textId="77777777" w:rsidR="00034F5C" w:rsidRPr="00034F5C" w:rsidRDefault="00034F5C" w:rsidP="00034F5C">
      <w:pPr>
        <w:pStyle w:val="Heading2"/>
        <w:bidi/>
        <w:jc w:val="center"/>
        <w:rPr>
          <w:rFonts w:ascii="Traditional Arabic" w:hAnsi="Traditional Arabic" w:cs="Traditional Arabic"/>
          <w:b/>
          <w:bCs/>
          <w:color w:val="000000" w:themeColor="text1"/>
        </w:rPr>
      </w:pPr>
      <w:bookmarkStart w:id="3" w:name="_Toc242325176"/>
      <w:r w:rsidRPr="00034F5C">
        <w:rPr>
          <w:rFonts w:ascii="Traditional Arabic" w:hAnsi="Traditional Arabic" w:cs="Traditional Arabic"/>
          <w:b/>
          <w:bCs/>
          <w:color w:val="000000" w:themeColor="text1"/>
          <w:rtl/>
        </w:rPr>
        <w:lastRenderedPageBreak/>
        <w:t>قائمة الجداول</w:t>
      </w:r>
      <w:bookmarkEnd w:id="3"/>
    </w:p>
    <w:p w14:paraId="515354D3" w14:textId="5AC7A09B" w:rsidR="00851782" w:rsidRDefault="00851782" w:rsidP="00851782">
      <w:pPr>
        <w:pStyle w:val="Heading2"/>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154"/>
        <w:gridCol w:w="6769"/>
        <w:gridCol w:w="586"/>
      </w:tblGrid>
      <w:tr w:rsidR="00851782" w:rsidRPr="00851782" w14:paraId="3F10297E" w14:textId="77777777" w:rsidTr="007A1914">
        <w:trPr>
          <w:tblHeader/>
          <w:tblCellSpacing w:w="15" w:type="dxa"/>
          <w:jc w:val="center"/>
        </w:trPr>
        <w:tc>
          <w:tcPr>
            <w:tcW w:w="0" w:type="auto"/>
            <w:vAlign w:val="center"/>
            <w:hideMark/>
          </w:tcPr>
          <w:p w14:paraId="04EA081C" w14:textId="77777777" w:rsidR="00851782" w:rsidRPr="00851782" w:rsidRDefault="00851782" w:rsidP="00851782">
            <w:pPr>
              <w:jc w:val="cente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رقم الجدول</w:t>
            </w:r>
          </w:p>
        </w:tc>
        <w:tc>
          <w:tcPr>
            <w:tcW w:w="0" w:type="auto"/>
            <w:vAlign w:val="center"/>
            <w:hideMark/>
          </w:tcPr>
          <w:p w14:paraId="2145CB67" w14:textId="77777777" w:rsidR="00851782" w:rsidRPr="00851782" w:rsidRDefault="00851782" w:rsidP="00851782">
            <w:pPr>
              <w:jc w:val="cente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عنوان الجدول</w:t>
            </w:r>
          </w:p>
        </w:tc>
        <w:tc>
          <w:tcPr>
            <w:tcW w:w="0" w:type="auto"/>
            <w:vAlign w:val="center"/>
            <w:hideMark/>
          </w:tcPr>
          <w:p w14:paraId="0D98EEDC" w14:textId="77777777" w:rsidR="00851782" w:rsidRPr="00851782" w:rsidRDefault="00851782" w:rsidP="00851782">
            <w:pPr>
              <w:jc w:val="cente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الصفحة</w:t>
            </w:r>
          </w:p>
        </w:tc>
      </w:tr>
      <w:tr w:rsidR="00851782" w:rsidRPr="00851782" w14:paraId="558A78D2" w14:textId="77777777" w:rsidTr="007A1914">
        <w:trPr>
          <w:tblCellSpacing w:w="15" w:type="dxa"/>
          <w:jc w:val="center"/>
        </w:trPr>
        <w:tc>
          <w:tcPr>
            <w:tcW w:w="0" w:type="auto"/>
            <w:vAlign w:val="center"/>
            <w:hideMark/>
          </w:tcPr>
          <w:p w14:paraId="6A1489C2"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(2-1)</w:t>
            </w:r>
          </w:p>
        </w:tc>
        <w:tc>
          <w:tcPr>
            <w:tcW w:w="0" w:type="auto"/>
            <w:vAlign w:val="center"/>
            <w:hideMark/>
          </w:tcPr>
          <w:p w14:paraId="30F5C02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عناصر حوكمة شركات الأمن السيبراني</w:t>
            </w:r>
          </w:p>
        </w:tc>
        <w:tc>
          <w:tcPr>
            <w:tcW w:w="0" w:type="auto"/>
            <w:vAlign w:val="center"/>
            <w:hideMark/>
          </w:tcPr>
          <w:p w14:paraId="5ED9687D"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55</w:t>
            </w:r>
          </w:p>
        </w:tc>
      </w:tr>
      <w:tr w:rsidR="00851782" w:rsidRPr="00851782" w14:paraId="7104C7BC" w14:textId="77777777" w:rsidTr="007A1914">
        <w:trPr>
          <w:tblCellSpacing w:w="15" w:type="dxa"/>
          <w:jc w:val="center"/>
        </w:trPr>
        <w:tc>
          <w:tcPr>
            <w:tcW w:w="0" w:type="auto"/>
            <w:vAlign w:val="center"/>
            <w:hideMark/>
          </w:tcPr>
          <w:p w14:paraId="3C4A0255"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(2-2)</w:t>
            </w:r>
          </w:p>
        </w:tc>
        <w:tc>
          <w:tcPr>
            <w:tcW w:w="0" w:type="auto"/>
            <w:vAlign w:val="center"/>
            <w:hideMark/>
          </w:tcPr>
          <w:p w14:paraId="7E483BE2"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مراحل تصميم نظام الحوكمة وفق </w:t>
            </w:r>
            <w:r w:rsidRPr="00851782">
              <w:rPr>
                <w:rFonts w:ascii="Traditional Arabic" w:hAnsi="Traditional Arabic" w:cs="Traditional Arabic"/>
                <w:b/>
                <w:bCs/>
                <w:color w:val="000000" w:themeColor="text1"/>
                <w:sz w:val="24"/>
                <w:szCs w:val="24"/>
              </w:rPr>
              <w:t>COBIT 2019</w:t>
            </w:r>
          </w:p>
        </w:tc>
        <w:tc>
          <w:tcPr>
            <w:tcW w:w="0" w:type="auto"/>
            <w:vAlign w:val="center"/>
            <w:hideMark/>
          </w:tcPr>
          <w:p w14:paraId="342E5878"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70</w:t>
            </w:r>
          </w:p>
        </w:tc>
      </w:tr>
      <w:tr w:rsidR="00851782" w:rsidRPr="00851782" w14:paraId="0614930F" w14:textId="77777777" w:rsidTr="007A1914">
        <w:trPr>
          <w:tblCellSpacing w:w="15" w:type="dxa"/>
          <w:jc w:val="center"/>
        </w:trPr>
        <w:tc>
          <w:tcPr>
            <w:tcW w:w="0" w:type="auto"/>
            <w:vAlign w:val="center"/>
            <w:hideMark/>
          </w:tcPr>
          <w:p w14:paraId="5F6F76D3"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(2-3)</w:t>
            </w:r>
          </w:p>
        </w:tc>
        <w:tc>
          <w:tcPr>
            <w:tcW w:w="0" w:type="auto"/>
            <w:vAlign w:val="center"/>
            <w:hideMark/>
          </w:tcPr>
          <w:p w14:paraId="522E5C7C"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الوظائف الرئيسة لإطار </w:t>
            </w:r>
            <w:r w:rsidRPr="00851782">
              <w:rPr>
                <w:rFonts w:ascii="Traditional Arabic" w:hAnsi="Traditional Arabic" w:cs="Traditional Arabic"/>
                <w:b/>
                <w:bCs/>
                <w:color w:val="000000" w:themeColor="text1"/>
                <w:sz w:val="24"/>
                <w:szCs w:val="24"/>
              </w:rPr>
              <w:t>NIST Cybersecurity Framework (CSF) 2.0</w:t>
            </w:r>
          </w:p>
        </w:tc>
        <w:tc>
          <w:tcPr>
            <w:tcW w:w="0" w:type="auto"/>
            <w:vAlign w:val="center"/>
            <w:hideMark/>
          </w:tcPr>
          <w:p w14:paraId="579EE719"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73</w:t>
            </w:r>
          </w:p>
        </w:tc>
      </w:tr>
      <w:tr w:rsidR="00851782" w:rsidRPr="00851782" w14:paraId="2691E6E9" w14:textId="77777777" w:rsidTr="007A1914">
        <w:trPr>
          <w:tblCellSpacing w:w="15" w:type="dxa"/>
          <w:jc w:val="center"/>
        </w:trPr>
        <w:tc>
          <w:tcPr>
            <w:tcW w:w="0" w:type="auto"/>
            <w:vAlign w:val="center"/>
            <w:hideMark/>
          </w:tcPr>
          <w:p w14:paraId="5E5A6C48"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(2-4)</w:t>
            </w:r>
          </w:p>
        </w:tc>
        <w:tc>
          <w:tcPr>
            <w:tcW w:w="0" w:type="auto"/>
            <w:vAlign w:val="center"/>
            <w:hideMark/>
          </w:tcPr>
          <w:p w14:paraId="4DF8EB16"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أبعاد الحوكمة الفعالة المعتمدة في الدراسة</w:t>
            </w:r>
          </w:p>
        </w:tc>
        <w:tc>
          <w:tcPr>
            <w:tcW w:w="0" w:type="auto"/>
            <w:vAlign w:val="center"/>
            <w:hideMark/>
          </w:tcPr>
          <w:p w14:paraId="615F782B"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113</w:t>
            </w:r>
          </w:p>
        </w:tc>
      </w:tr>
      <w:tr w:rsidR="00851782" w:rsidRPr="00851782" w14:paraId="3A9A2F02" w14:textId="77777777" w:rsidTr="007A1914">
        <w:trPr>
          <w:tblCellSpacing w:w="15" w:type="dxa"/>
          <w:jc w:val="center"/>
        </w:trPr>
        <w:tc>
          <w:tcPr>
            <w:tcW w:w="0" w:type="auto"/>
            <w:vAlign w:val="center"/>
            <w:hideMark/>
          </w:tcPr>
          <w:p w14:paraId="4654319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(2-5)</w:t>
            </w:r>
          </w:p>
        </w:tc>
        <w:tc>
          <w:tcPr>
            <w:tcW w:w="0" w:type="auto"/>
            <w:vAlign w:val="center"/>
            <w:hideMark/>
          </w:tcPr>
          <w:p w14:paraId="26FF497F"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أبعاد الاستدامة المؤسسية المعتمدة في الدراسة</w:t>
            </w:r>
          </w:p>
        </w:tc>
        <w:tc>
          <w:tcPr>
            <w:tcW w:w="0" w:type="auto"/>
            <w:vAlign w:val="center"/>
            <w:hideMark/>
          </w:tcPr>
          <w:p w14:paraId="2AB3463C"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114</w:t>
            </w:r>
          </w:p>
        </w:tc>
      </w:tr>
      <w:tr w:rsidR="00851782" w:rsidRPr="00851782" w14:paraId="066DAC57" w14:textId="77777777" w:rsidTr="007A1914">
        <w:trPr>
          <w:tblCellSpacing w:w="15" w:type="dxa"/>
          <w:jc w:val="center"/>
        </w:trPr>
        <w:tc>
          <w:tcPr>
            <w:tcW w:w="0" w:type="auto"/>
            <w:vAlign w:val="center"/>
            <w:hideMark/>
          </w:tcPr>
          <w:p w14:paraId="480A36F1"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(2-6)</w:t>
            </w:r>
          </w:p>
        </w:tc>
        <w:tc>
          <w:tcPr>
            <w:tcW w:w="0" w:type="auto"/>
            <w:vAlign w:val="center"/>
            <w:hideMark/>
          </w:tcPr>
          <w:p w14:paraId="4AEAA5E0"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أبعاد النجاح المؤسسي المعتمدة في الدراسة</w:t>
            </w:r>
          </w:p>
        </w:tc>
        <w:tc>
          <w:tcPr>
            <w:tcW w:w="0" w:type="auto"/>
            <w:vAlign w:val="center"/>
            <w:hideMark/>
          </w:tcPr>
          <w:p w14:paraId="26EA528D"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115</w:t>
            </w:r>
          </w:p>
        </w:tc>
      </w:tr>
      <w:tr w:rsidR="00851782" w:rsidRPr="00851782" w14:paraId="28E600FE" w14:textId="77777777" w:rsidTr="007A1914">
        <w:trPr>
          <w:tblCellSpacing w:w="15" w:type="dxa"/>
          <w:jc w:val="center"/>
        </w:trPr>
        <w:tc>
          <w:tcPr>
            <w:tcW w:w="0" w:type="auto"/>
            <w:vAlign w:val="center"/>
            <w:hideMark/>
          </w:tcPr>
          <w:p w14:paraId="3879332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(3-1)</w:t>
            </w:r>
          </w:p>
        </w:tc>
        <w:tc>
          <w:tcPr>
            <w:tcW w:w="0" w:type="auto"/>
            <w:vAlign w:val="center"/>
            <w:hideMark/>
          </w:tcPr>
          <w:p w14:paraId="1CAC9685"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الاتساق الداخلي بين أبعاد استبانة شركات الأمن السيبراني الناشئة والدرجة الكلية للأداة</w:t>
            </w:r>
          </w:p>
        </w:tc>
        <w:tc>
          <w:tcPr>
            <w:tcW w:w="0" w:type="auto"/>
            <w:vAlign w:val="center"/>
            <w:hideMark/>
          </w:tcPr>
          <w:p w14:paraId="24173200"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132</w:t>
            </w:r>
          </w:p>
        </w:tc>
      </w:tr>
      <w:tr w:rsidR="00851782" w:rsidRPr="00851782" w14:paraId="2228FA5B" w14:textId="77777777" w:rsidTr="007A1914">
        <w:trPr>
          <w:tblCellSpacing w:w="15" w:type="dxa"/>
          <w:jc w:val="center"/>
        </w:trPr>
        <w:tc>
          <w:tcPr>
            <w:tcW w:w="0" w:type="auto"/>
            <w:vAlign w:val="center"/>
            <w:hideMark/>
          </w:tcPr>
          <w:p w14:paraId="1AC0E5B2"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(3-2)</w:t>
            </w:r>
          </w:p>
        </w:tc>
        <w:tc>
          <w:tcPr>
            <w:tcW w:w="0" w:type="auto"/>
            <w:vAlign w:val="center"/>
            <w:hideMark/>
          </w:tcPr>
          <w:p w14:paraId="753893D6"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ثبات استبانة شركات الأمن السيبراني الناشئة باستخدام معامل كرونباخ ألفا</w:t>
            </w:r>
          </w:p>
        </w:tc>
        <w:tc>
          <w:tcPr>
            <w:tcW w:w="0" w:type="auto"/>
            <w:vAlign w:val="center"/>
            <w:hideMark/>
          </w:tcPr>
          <w:p w14:paraId="168C5F19"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136</w:t>
            </w:r>
          </w:p>
        </w:tc>
      </w:tr>
      <w:tr w:rsidR="00851782" w:rsidRPr="00851782" w14:paraId="08272910" w14:textId="77777777" w:rsidTr="007A1914">
        <w:trPr>
          <w:tblCellSpacing w:w="15" w:type="dxa"/>
          <w:jc w:val="center"/>
        </w:trPr>
        <w:tc>
          <w:tcPr>
            <w:tcW w:w="0" w:type="auto"/>
            <w:vAlign w:val="center"/>
            <w:hideMark/>
          </w:tcPr>
          <w:p w14:paraId="19193859"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w:t>
            </w:r>
          </w:p>
        </w:tc>
        <w:tc>
          <w:tcPr>
            <w:tcW w:w="0" w:type="auto"/>
            <w:vAlign w:val="center"/>
            <w:hideMark/>
          </w:tcPr>
          <w:p w14:paraId="7793662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توزيع عينة الدراسة وفقًا للجنس</w:t>
            </w:r>
          </w:p>
        </w:tc>
        <w:tc>
          <w:tcPr>
            <w:tcW w:w="0" w:type="auto"/>
            <w:vAlign w:val="center"/>
            <w:hideMark/>
          </w:tcPr>
          <w:p w14:paraId="6CC2CC5E"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144</w:t>
            </w:r>
          </w:p>
        </w:tc>
      </w:tr>
      <w:tr w:rsidR="00851782" w:rsidRPr="00851782" w14:paraId="433A9E9F" w14:textId="77777777" w:rsidTr="007A1914">
        <w:trPr>
          <w:tblCellSpacing w:w="15" w:type="dxa"/>
          <w:jc w:val="center"/>
        </w:trPr>
        <w:tc>
          <w:tcPr>
            <w:tcW w:w="0" w:type="auto"/>
            <w:vAlign w:val="center"/>
            <w:hideMark/>
          </w:tcPr>
          <w:p w14:paraId="615F087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(4-2)</w:t>
            </w:r>
          </w:p>
        </w:tc>
        <w:tc>
          <w:tcPr>
            <w:tcW w:w="0" w:type="auto"/>
            <w:vAlign w:val="center"/>
            <w:hideMark/>
          </w:tcPr>
          <w:p w14:paraId="15D51CF8"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توزيع عينة الدراسة وفقًا للعمر</w:t>
            </w:r>
          </w:p>
        </w:tc>
        <w:tc>
          <w:tcPr>
            <w:tcW w:w="0" w:type="auto"/>
            <w:vAlign w:val="center"/>
            <w:hideMark/>
          </w:tcPr>
          <w:p w14:paraId="2BC5181B"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144</w:t>
            </w:r>
          </w:p>
        </w:tc>
      </w:tr>
      <w:tr w:rsidR="00851782" w:rsidRPr="00851782" w14:paraId="0687BD06" w14:textId="77777777" w:rsidTr="007A1914">
        <w:trPr>
          <w:tblCellSpacing w:w="15" w:type="dxa"/>
          <w:jc w:val="center"/>
        </w:trPr>
        <w:tc>
          <w:tcPr>
            <w:tcW w:w="0" w:type="auto"/>
            <w:vAlign w:val="center"/>
            <w:hideMark/>
          </w:tcPr>
          <w:p w14:paraId="3AE4194C"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(4-3)</w:t>
            </w:r>
          </w:p>
        </w:tc>
        <w:tc>
          <w:tcPr>
            <w:tcW w:w="0" w:type="auto"/>
            <w:vAlign w:val="center"/>
            <w:hideMark/>
          </w:tcPr>
          <w:p w14:paraId="5BAB42C9"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توزيع عينة الدراسة وفقًا للمؤهل العلمي</w:t>
            </w:r>
          </w:p>
        </w:tc>
        <w:tc>
          <w:tcPr>
            <w:tcW w:w="0" w:type="auto"/>
            <w:vAlign w:val="center"/>
            <w:hideMark/>
          </w:tcPr>
          <w:p w14:paraId="542E127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145</w:t>
            </w:r>
          </w:p>
        </w:tc>
      </w:tr>
      <w:tr w:rsidR="00851782" w:rsidRPr="00851782" w14:paraId="5059A532" w14:textId="77777777" w:rsidTr="007A1914">
        <w:trPr>
          <w:tblCellSpacing w:w="15" w:type="dxa"/>
          <w:jc w:val="center"/>
        </w:trPr>
        <w:tc>
          <w:tcPr>
            <w:tcW w:w="0" w:type="auto"/>
            <w:vAlign w:val="center"/>
            <w:hideMark/>
          </w:tcPr>
          <w:p w14:paraId="206B3578"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(4-4)</w:t>
            </w:r>
          </w:p>
        </w:tc>
        <w:tc>
          <w:tcPr>
            <w:tcW w:w="0" w:type="auto"/>
            <w:vAlign w:val="center"/>
            <w:hideMark/>
          </w:tcPr>
          <w:p w14:paraId="4BEF0F7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توزيع عينة الدراسة وفقًا لسنوات الخبرة</w:t>
            </w:r>
          </w:p>
        </w:tc>
        <w:tc>
          <w:tcPr>
            <w:tcW w:w="0" w:type="auto"/>
            <w:vAlign w:val="center"/>
            <w:hideMark/>
          </w:tcPr>
          <w:p w14:paraId="2D311E06"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145</w:t>
            </w:r>
          </w:p>
        </w:tc>
      </w:tr>
      <w:tr w:rsidR="00851782" w:rsidRPr="00851782" w14:paraId="3D879AB9" w14:textId="77777777" w:rsidTr="007A1914">
        <w:trPr>
          <w:tblCellSpacing w:w="15" w:type="dxa"/>
          <w:jc w:val="center"/>
        </w:trPr>
        <w:tc>
          <w:tcPr>
            <w:tcW w:w="0" w:type="auto"/>
            <w:vAlign w:val="center"/>
            <w:hideMark/>
          </w:tcPr>
          <w:p w14:paraId="1A2340E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(4-5)</w:t>
            </w:r>
          </w:p>
        </w:tc>
        <w:tc>
          <w:tcPr>
            <w:tcW w:w="0" w:type="auto"/>
            <w:vAlign w:val="center"/>
            <w:hideMark/>
          </w:tcPr>
          <w:p w14:paraId="557E0B00"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الشفافية والإفصاح</w:t>
            </w:r>
          </w:p>
        </w:tc>
        <w:tc>
          <w:tcPr>
            <w:tcW w:w="0" w:type="auto"/>
            <w:vAlign w:val="center"/>
            <w:hideMark/>
          </w:tcPr>
          <w:p w14:paraId="5F78EF7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146</w:t>
            </w:r>
          </w:p>
        </w:tc>
      </w:tr>
      <w:tr w:rsidR="00851782" w:rsidRPr="00851782" w14:paraId="613F85CA" w14:textId="77777777" w:rsidTr="007A1914">
        <w:trPr>
          <w:tblCellSpacing w:w="15" w:type="dxa"/>
          <w:jc w:val="center"/>
        </w:trPr>
        <w:tc>
          <w:tcPr>
            <w:tcW w:w="0" w:type="auto"/>
            <w:vAlign w:val="center"/>
            <w:hideMark/>
          </w:tcPr>
          <w:p w14:paraId="164773A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(4-6)</w:t>
            </w:r>
          </w:p>
        </w:tc>
        <w:tc>
          <w:tcPr>
            <w:tcW w:w="0" w:type="auto"/>
            <w:vAlign w:val="center"/>
            <w:hideMark/>
          </w:tcPr>
          <w:p w14:paraId="4E2D0D09"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المساءلة والمسؤولية</w:t>
            </w:r>
          </w:p>
        </w:tc>
        <w:tc>
          <w:tcPr>
            <w:tcW w:w="0" w:type="auto"/>
            <w:vAlign w:val="center"/>
            <w:hideMark/>
          </w:tcPr>
          <w:p w14:paraId="3159E8A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147</w:t>
            </w:r>
          </w:p>
        </w:tc>
      </w:tr>
      <w:tr w:rsidR="00851782" w:rsidRPr="00851782" w14:paraId="2BA8153B" w14:textId="77777777" w:rsidTr="007A1914">
        <w:trPr>
          <w:tblCellSpacing w:w="15" w:type="dxa"/>
          <w:jc w:val="center"/>
        </w:trPr>
        <w:tc>
          <w:tcPr>
            <w:tcW w:w="0" w:type="auto"/>
            <w:vAlign w:val="center"/>
            <w:hideMark/>
          </w:tcPr>
          <w:p w14:paraId="5CFC93E3"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(4-7)</w:t>
            </w:r>
          </w:p>
        </w:tc>
        <w:tc>
          <w:tcPr>
            <w:tcW w:w="0" w:type="auto"/>
            <w:vAlign w:val="center"/>
            <w:hideMark/>
          </w:tcPr>
          <w:p w14:paraId="60C24ED1"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المشاركة في اتخاذ القرار</w:t>
            </w:r>
          </w:p>
        </w:tc>
        <w:tc>
          <w:tcPr>
            <w:tcW w:w="0" w:type="auto"/>
            <w:vAlign w:val="center"/>
            <w:hideMark/>
          </w:tcPr>
          <w:p w14:paraId="1956A296"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149</w:t>
            </w:r>
          </w:p>
        </w:tc>
      </w:tr>
      <w:tr w:rsidR="00851782" w:rsidRPr="00851782" w14:paraId="2FEC807B" w14:textId="77777777" w:rsidTr="007A1914">
        <w:trPr>
          <w:tblCellSpacing w:w="15" w:type="dxa"/>
          <w:jc w:val="center"/>
        </w:trPr>
        <w:tc>
          <w:tcPr>
            <w:tcW w:w="0" w:type="auto"/>
            <w:vAlign w:val="center"/>
            <w:hideMark/>
          </w:tcPr>
          <w:p w14:paraId="6A434FDF"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(4-8)</w:t>
            </w:r>
          </w:p>
        </w:tc>
        <w:tc>
          <w:tcPr>
            <w:tcW w:w="0" w:type="auto"/>
            <w:vAlign w:val="center"/>
            <w:hideMark/>
          </w:tcPr>
          <w:p w14:paraId="335C1D3E"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إدارة المخاطر والالتزام</w:t>
            </w:r>
          </w:p>
        </w:tc>
        <w:tc>
          <w:tcPr>
            <w:tcW w:w="0" w:type="auto"/>
            <w:vAlign w:val="center"/>
            <w:hideMark/>
          </w:tcPr>
          <w:p w14:paraId="6FDA9755"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150</w:t>
            </w:r>
          </w:p>
        </w:tc>
      </w:tr>
      <w:tr w:rsidR="00851782" w:rsidRPr="00851782" w14:paraId="4EE3E99C" w14:textId="77777777" w:rsidTr="007A1914">
        <w:trPr>
          <w:tblCellSpacing w:w="15" w:type="dxa"/>
          <w:jc w:val="center"/>
        </w:trPr>
        <w:tc>
          <w:tcPr>
            <w:tcW w:w="0" w:type="auto"/>
            <w:vAlign w:val="center"/>
            <w:hideMark/>
          </w:tcPr>
          <w:p w14:paraId="1F09B80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lastRenderedPageBreak/>
              <w:t xml:space="preserve">جدول </w:t>
            </w:r>
            <w:r w:rsidRPr="00851782">
              <w:rPr>
                <w:rFonts w:ascii="Traditional Arabic" w:hAnsi="Traditional Arabic" w:cs="Traditional Arabic"/>
                <w:b/>
                <w:bCs/>
                <w:color w:val="000000" w:themeColor="text1"/>
                <w:sz w:val="24"/>
                <w:szCs w:val="24"/>
              </w:rPr>
              <w:t>(4-9)</w:t>
            </w:r>
          </w:p>
        </w:tc>
        <w:tc>
          <w:tcPr>
            <w:tcW w:w="0" w:type="auto"/>
            <w:vAlign w:val="center"/>
            <w:hideMark/>
          </w:tcPr>
          <w:p w14:paraId="52E62ACD"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الكفاءة في استخدام الموارد</w:t>
            </w:r>
          </w:p>
        </w:tc>
        <w:tc>
          <w:tcPr>
            <w:tcW w:w="0" w:type="auto"/>
            <w:vAlign w:val="center"/>
            <w:hideMark/>
          </w:tcPr>
          <w:p w14:paraId="6304EC23"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152</w:t>
            </w:r>
          </w:p>
        </w:tc>
      </w:tr>
      <w:tr w:rsidR="00851782" w:rsidRPr="00851782" w14:paraId="22265F51" w14:textId="77777777" w:rsidTr="007A1914">
        <w:trPr>
          <w:tblCellSpacing w:w="15" w:type="dxa"/>
          <w:jc w:val="center"/>
        </w:trPr>
        <w:tc>
          <w:tcPr>
            <w:tcW w:w="0" w:type="auto"/>
            <w:vAlign w:val="center"/>
            <w:hideMark/>
          </w:tcPr>
          <w:p w14:paraId="1885D8EC"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(4-10)</w:t>
            </w:r>
          </w:p>
        </w:tc>
        <w:tc>
          <w:tcPr>
            <w:tcW w:w="0" w:type="auto"/>
            <w:vAlign w:val="center"/>
            <w:hideMark/>
          </w:tcPr>
          <w:p w14:paraId="61DF81A4"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البعد الاقتصادي للاستدامة المؤسسية</w:t>
            </w:r>
          </w:p>
        </w:tc>
        <w:tc>
          <w:tcPr>
            <w:tcW w:w="0" w:type="auto"/>
            <w:vAlign w:val="center"/>
            <w:hideMark/>
          </w:tcPr>
          <w:p w14:paraId="567D5B5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153</w:t>
            </w:r>
          </w:p>
        </w:tc>
      </w:tr>
      <w:tr w:rsidR="00851782" w:rsidRPr="00851782" w14:paraId="1C017EEC" w14:textId="77777777" w:rsidTr="007A1914">
        <w:trPr>
          <w:tblCellSpacing w:w="15" w:type="dxa"/>
          <w:jc w:val="center"/>
        </w:trPr>
        <w:tc>
          <w:tcPr>
            <w:tcW w:w="0" w:type="auto"/>
            <w:vAlign w:val="center"/>
            <w:hideMark/>
          </w:tcPr>
          <w:p w14:paraId="3523752D"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(4-11)</w:t>
            </w:r>
          </w:p>
        </w:tc>
        <w:tc>
          <w:tcPr>
            <w:tcW w:w="0" w:type="auto"/>
            <w:vAlign w:val="center"/>
            <w:hideMark/>
          </w:tcPr>
          <w:p w14:paraId="2C531584"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البعد الاجتماعي للاستدامة المؤسسية</w:t>
            </w:r>
          </w:p>
        </w:tc>
        <w:tc>
          <w:tcPr>
            <w:tcW w:w="0" w:type="auto"/>
            <w:vAlign w:val="center"/>
            <w:hideMark/>
          </w:tcPr>
          <w:p w14:paraId="0A6D3E73"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154</w:t>
            </w:r>
          </w:p>
        </w:tc>
      </w:tr>
      <w:tr w:rsidR="00851782" w:rsidRPr="00851782" w14:paraId="4B5EC1D4" w14:textId="77777777" w:rsidTr="007A1914">
        <w:trPr>
          <w:tblCellSpacing w:w="15" w:type="dxa"/>
          <w:jc w:val="center"/>
        </w:trPr>
        <w:tc>
          <w:tcPr>
            <w:tcW w:w="0" w:type="auto"/>
            <w:vAlign w:val="center"/>
            <w:hideMark/>
          </w:tcPr>
          <w:p w14:paraId="006EDF9B"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(4-12)</w:t>
            </w:r>
          </w:p>
        </w:tc>
        <w:tc>
          <w:tcPr>
            <w:tcW w:w="0" w:type="auto"/>
            <w:vAlign w:val="center"/>
            <w:hideMark/>
          </w:tcPr>
          <w:p w14:paraId="3884F5CE"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البعد التقني للاستدامة المؤسسية</w:t>
            </w:r>
          </w:p>
        </w:tc>
        <w:tc>
          <w:tcPr>
            <w:tcW w:w="0" w:type="auto"/>
            <w:vAlign w:val="center"/>
            <w:hideMark/>
          </w:tcPr>
          <w:p w14:paraId="5FD6B80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156</w:t>
            </w:r>
          </w:p>
        </w:tc>
      </w:tr>
      <w:tr w:rsidR="00851782" w:rsidRPr="00851782" w14:paraId="256DDDAE" w14:textId="77777777" w:rsidTr="007A1914">
        <w:trPr>
          <w:tblCellSpacing w:w="15" w:type="dxa"/>
          <w:jc w:val="center"/>
        </w:trPr>
        <w:tc>
          <w:tcPr>
            <w:tcW w:w="0" w:type="auto"/>
            <w:vAlign w:val="center"/>
            <w:hideMark/>
          </w:tcPr>
          <w:p w14:paraId="0D3EC154"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(4-13)</w:t>
            </w:r>
          </w:p>
        </w:tc>
        <w:tc>
          <w:tcPr>
            <w:tcW w:w="0" w:type="auto"/>
            <w:vAlign w:val="center"/>
            <w:hideMark/>
          </w:tcPr>
          <w:p w14:paraId="3B8B68CA"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جودة الأداء الإداري والتقني</w:t>
            </w:r>
          </w:p>
        </w:tc>
        <w:tc>
          <w:tcPr>
            <w:tcW w:w="0" w:type="auto"/>
            <w:vAlign w:val="center"/>
            <w:hideMark/>
          </w:tcPr>
          <w:p w14:paraId="6E3FECD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157</w:t>
            </w:r>
          </w:p>
        </w:tc>
      </w:tr>
      <w:tr w:rsidR="00851782" w:rsidRPr="00851782" w14:paraId="3752E1F7" w14:textId="77777777" w:rsidTr="007A1914">
        <w:trPr>
          <w:tblCellSpacing w:w="15" w:type="dxa"/>
          <w:jc w:val="center"/>
        </w:trPr>
        <w:tc>
          <w:tcPr>
            <w:tcW w:w="0" w:type="auto"/>
            <w:vAlign w:val="center"/>
            <w:hideMark/>
          </w:tcPr>
          <w:p w14:paraId="02DE3382"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(4-14)</w:t>
            </w:r>
          </w:p>
        </w:tc>
        <w:tc>
          <w:tcPr>
            <w:tcW w:w="0" w:type="auto"/>
            <w:vAlign w:val="center"/>
            <w:hideMark/>
          </w:tcPr>
          <w:p w14:paraId="216AA6CB"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الكفاءة التشغيلية</w:t>
            </w:r>
          </w:p>
        </w:tc>
        <w:tc>
          <w:tcPr>
            <w:tcW w:w="0" w:type="auto"/>
            <w:vAlign w:val="center"/>
            <w:hideMark/>
          </w:tcPr>
          <w:p w14:paraId="138D85CE"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158</w:t>
            </w:r>
          </w:p>
        </w:tc>
      </w:tr>
      <w:tr w:rsidR="00851782" w:rsidRPr="00851782" w14:paraId="3F26055F" w14:textId="77777777" w:rsidTr="007A1914">
        <w:trPr>
          <w:tblCellSpacing w:w="15" w:type="dxa"/>
          <w:jc w:val="center"/>
        </w:trPr>
        <w:tc>
          <w:tcPr>
            <w:tcW w:w="0" w:type="auto"/>
            <w:vAlign w:val="center"/>
            <w:hideMark/>
          </w:tcPr>
          <w:p w14:paraId="01B38811"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(4-15)</w:t>
            </w:r>
          </w:p>
        </w:tc>
        <w:tc>
          <w:tcPr>
            <w:tcW w:w="0" w:type="auto"/>
            <w:vAlign w:val="center"/>
            <w:hideMark/>
          </w:tcPr>
          <w:p w14:paraId="5F77A4A7"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الابتكار والتكيف</w:t>
            </w:r>
          </w:p>
        </w:tc>
        <w:tc>
          <w:tcPr>
            <w:tcW w:w="0" w:type="auto"/>
            <w:vAlign w:val="center"/>
            <w:hideMark/>
          </w:tcPr>
          <w:p w14:paraId="0BF48885"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160</w:t>
            </w:r>
          </w:p>
        </w:tc>
      </w:tr>
      <w:tr w:rsidR="00851782" w:rsidRPr="00851782" w14:paraId="1C2157A9" w14:textId="77777777" w:rsidTr="007A1914">
        <w:trPr>
          <w:tblCellSpacing w:w="15" w:type="dxa"/>
          <w:jc w:val="center"/>
        </w:trPr>
        <w:tc>
          <w:tcPr>
            <w:tcW w:w="0" w:type="auto"/>
            <w:vAlign w:val="center"/>
            <w:hideMark/>
          </w:tcPr>
          <w:p w14:paraId="30A8EA0D"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(4-16)</w:t>
            </w:r>
          </w:p>
        </w:tc>
        <w:tc>
          <w:tcPr>
            <w:tcW w:w="0" w:type="auto"/>
            <w:vAlign w:val="center"/>
            <w:hideMark/>
          </w:tcPr>
          <w:p w14:paraId="5B27B4B6"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نتائج بُعد رضا العملاء والنمو المؤسسي</w:t>
            </w:r>
          </w:p>
        </w:tc>
        <w:tc>
          <w:tcPr>
            <w:tcW w:w="0" w:type="auto"/>
            <w:vAlign w:val="center"/>
            <w:hideMark/>
          </w:tcPr>
          <w:p w14:paraId="1D4C889B"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161</w:t>
            </w:r>
          </w:p>
        </w:tc>
      </w:tr>
      <w:tr w:rsidR="00851782" w:rsidRPr="00851782" w14:paraId="1C643F06" w14:textId="77777777" w:rsidTr="007A1914">
        <w:trPr>
          <w:tblCellSpacing w:w="15" w:type="dxa"/>
          <w:jc w:val="center"/>
        </w:trPr>
        <w:tc>
          <w:tcPr>
            <w:tcW w:w="0" w:type="auto"/>
            <w:vAlign w:val="center"/>
            <w:hideMark/>
          </w:tcPr>
          <w:p w14:paraId="462CAE75"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(4-17)</w:t>
            </w:r>
          </w:p>
        </w:tc>
        <w:tc>
          <w:tcPr>
            <w:tcW w:w="0" w:type="auto"/>
            <w:vAlign w:val="center"/>
            <w:hideMark/>
          </w:tcPr>
          <w:p w14:paraId="3B2DA3F5"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العلاقة بين الحوكمة الفعالة وكل من الاستدامة المؤسسية والنجاح المؤسسي باستخدام معامل ارتباط بيرسون</w:t>
            </w:r>
          </w:p>
        </w:tc>
        <w:tc>
          <w:tcPr>
            <w:tcW w:w="0" w:type="auto"/>
            <w:vAlign w:val="center"/>
            <w:hideMark/>
          </w:tcPr>
          <w:p w14:paraId="60F7C598"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163</w:t>
            </w:r>
          </w:p>
        </w:tc>
      </w:tr>
      <w:tr w:rsidR="00851782" w:rsidRPr="00851782" w14:paraId="4A56C0C8" w14:textId="77777777" w:rsidTr="007A1914">
        <w:trPr>
          <w:tblCellSpacing w:w="15" w:type="dxa"/>
          <w:jc w:val="center"/>
        </w:trPr>
        <w:tc>
          <w:tcPr>
            <w:tcW w:w="0" w:type="auto"/>
            <w:vAlign w:val="center"/>
            <w:hideMark/>
          </w:tcPr>
          <w:p w14:paraId="4CD284BF"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 xml:space="preserve">جدول </w:t>
            </w:r>
            <w:r w:rsidRPr="00851782">
              <w:rPr>
                <w:rFonts w:ascii="Traditional Arabic" w:hAnsi="Traditional Arabic" w:cs="Traditional Arabic"/>
                <w:b/>
                <w:bCs/>
                <w:color w:val="000000" w:themeColor="text1"/>
                <w:sz w:val="24"/>
                <w:szCs w:val="24"/>
              </w:rPr>
              <w:t>(5-1)</w:t>
            </w:r>
          </w:p>
        </w:tc>
        <w:tc>
          <w:tcPr>
            <w:tcW w:w="0" w:type="auto"/>
            <w:vAlign w:val="center"/>
            <w:hideMark/>
          </w:tcPr>
          <w:p w14:paraId="433B7CBC"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Fonts w:ascii="Traditional Arabic" w:hAnsi="Traditional Arabic" w:cs="Traditional Arabic"/>
                <w:b/>
                <w:bCs/>
                <w:color w:val="000000" w:themeColor="text1"/>
                <w:sz w:val="24"/>
                <w:szCs w:val="24"/>
                <w:rtl/>
              </w:rPr>
              <w:t>خطة العمل</w:t>
            </w:r>
            <w:r w:rsidRPr="00851782">
              <w:rPr>
                <w:rFonts w:ascii="Traditional Arabic" w:hAnsi="Traditional Arabic" w:cs="Traditional Arabic"/>
                <w:b/>
                <w:bCs/>
                <w:color w:val="000000" w:themeColor="text1"/>
                <w:sz w:val="24"/>
                <w:szCs w:val="24"/>
              </w:rPr>
              <w:t xml:space="preserve"> (Action Plan) </w:t>
            </w:r>
            <w:r w:rsidRPr="00851782">
              <w:rPr>
                <w:rFonts w:ascii="Traditional Arabic" w:hAnsi="Traditional Arabic" w:cs="Traditional Arabic"/>
                <w:b/>
                <w:bCs/>
                <w:color w:val="000000" w:themeColor="text1"/>
                <w:sz w:val="24"/>
                <w:szCs w:val="24"/>
                <w:rtl/>
              </w:rPr>
              <w:t>لتنفيذ التوصيات المقترحة</w:t>
            </w:r>
          </w:p>
        </w:tc>
        <w:tc>
          <w:tcPr>
            <w:tcW w:w="0" w:type="auto"/>
            <w:vAlign w:val="center"/>
            <w:hideMark/>
          </w:tcPr>
          <w:p w14:paraId="5C2D20F8" w14:textId="77777777" w:rsidR="00851782" w:rsidRPr="00851782" w:rsidRDefault="00851782" w:rsidP="00851782">
            <w:pPr>
              <w:rPr>
                <w:rFonts w:ascii="Traditional Arabic" w:hAnsi="Traditional Arabic" w:cs="Traditional Arabic"/>
                <w:b/>
                <w:bCs/>
                <w:color w:val="000000" w:themeColor="text1"/>
                <w:sz w:val="24"/>
                <w:szCs w:val="24"/>
              </w:rPr>
            </w:pPr>
            <w:r w:rsidRPr="00851782">
              <w:rPr>
                <w:rStyle w:val="Strong"/>
                <w:rFonts w:ascii="Traditional Arabic" w:hAnsi="Traditional Arabic" w:cs="Traditional Arabic"/>
                <w:color w:val="000000" w:themeColor="text1"/>
                <w:sz w:val="24"/>
                <w:szCs w:val="24"/>
              </w:rPr>
              <w:t>177</w:t>
            </w:r>
          </w:p>
        </w:tc>
      </w:tr>
    </w:tbl>
    <w:p w14:paraId="7D2E87B4" w14:textId="14BBADF5" w:rsidR="00851782" w:rsidRDefault="00851782" w:rsidP="00851782">
      <w:pPr>
        <w:bidi w:val="0"/>
      </w:pPr>
    </w:p>
    <w:p w14:paraId="7A204DB2" w14:textId="6AC78D31" w:rsidR="00034F5C" w:rsidRDefault="00034F5C" w:rsidP="00034F5C">
      <w:pPr>
        <w:rPr>
          <w:rFonts w:ascii="Traditional Arabic" w:hAnsi="Traditional Arabic" w:cs="Traditional Arabic"/>
          <w:b/>
          <w:bCs/>
          <w:color w:val="000000" w:themeColor="text1"/>
          <w:sz w:val="24"/>
          <w:szCs w:val="24"/>
          <w:rtl/>
        </w:rPr>
      </w:pPr>
    </w:p>
    <w:p w14:paraId="78A5CB0C" w14:textId="3C1C04D1" w:rsidR="00034F5C" w:rsidRPr="00034F5C" w:rsidRDefault="00034F5C" w:rsidP="00034F5C">
      <w:pPr>
        <w:bidi w:val="0"/>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br w:type="page"/>
      </w:r>
    </w:p>
    <w:p w14:paraId="4451A1AC" w14:textId="77777777" w:rsidR="00034F5C" w:rsidRPr="00034F5C" w:rsidRDefault="00034F5C" w:rsidP="00034F5C">
      <w:pPr>
        <w:pStyle w:val="Heading1"/>
        <w:bidi/>
        <w:jc w:val="center"/>
        <w:rPr>
          <w:rFonts w:ascii="Traditional Arabic" w:hAnsi="Traditional Arabic" w:cs="Traditional Arabic"/>
          <w:b/>
          <w:bCs/>
          <w:color w:val="000000" w:themeColor="text1"/>
          <w:sz w:val="32"/>
          <w:szCs w:val="32"/>
        </w:rPr>
      </w:pPr>
      <w:bookmarkStart w:id="4" w:name="_Toc242325177"/>
      <w:r w:rsidRPr="00034F5C">
        <w:rPr>
          <w:rFonts w:ascii="Traditional Arabic" w:hAnsi="Traditional Arabic" w:cs="Traditional Arabic"/>
          <w:b/>
          <w:bCs/>
          <w:color w:val="000000" w:themeColor="text1"/>
          <w:sz w:val="32"/>
          <w:szCs w:val="32"/>
          <w:rtl/>
        </w:rPr>
        <w:lastRenderedPageBreak/>
        <w:t>قائمة الأشكال</w:t>
      </w:r>
      <w:bookmarkEnd w:id="4"/>
    </w:p>
    <w:p w14:paraId="72E69E4B" w14:textId="6FE11FDB" w:rsidR="00D91A6E" w:rsidRPr="00D91A6E" w:rsidRDefault="00D91A6E" w:rsidP="00D91A6E">
      <w:pPr>
        <w:pStyle w:val="Heading2"/>
        <w:bidi/>
        <w:rPr>
          <w:rFonts w:ascii="Traditional Arabic" w:hAnsi="Traditional Arabic" w:cs="Traditional Arabic"/>
          <w:b/>
          <w:bCs/>
          <w:color w:val="000000" w:themeColor="text1"/>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01"/>
        <w:gridCol w:w="5735"/>
        <w:gridCol w:w="543"/>
      </w:tblGrid>
      <w:tr w:rsidR="00D91A6E" w:rsidRPr="00D91A6E" w14:paraId="09F20630" w14:textId="77777777" w:rsidTr="00D91A6E">
        <w:trPr>
          <w:tblHeader/>
          <w:tblCellSpacing w:w="15" w:type="dxa"/>
          <w:jc w:val="center"/>
        </w:trPr>
        <w:tc>
          <w:tcPr>
            <w:tcW w:w="0" w:type="auto"/>
            <w:vAlign w:val="center"/>
            <w:hideMark/>
          </w:tcPr>
          <w:p w14:paraId="14539477" w14:textId="77777777" w:rsidR="00D91A6E" w:rsidRPr="00D91A6E" w:rsidRDefault="00D91A6E" w:rsidP="00D91A6E">
            <w:pPr>
              <w:jc w:val="cente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رقم الشكل</w:t>
            </w:r>
          </w:p>
        </w:tc>
        <w:tc>
          <w:tcPr>
            <w:tcW w:w="0" w:type="auto"/>
            <w:vAlign w:val="center"/>
            <w:hideMark/>
          </w:tcPr>
          <w:p w14:paraId="65735E63" w14:textId="77777777" w:rsidR="00D91A6E" w:rsidRPr="00D91A6E" w:rsidRDefault="00D91A6E" w:rsidP="00D91A6E">
            <w:pPr>
              <w:jc w:val="cente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عنوان الشكل</w:t>
            </w:r>
          </w:p>
        </w:tc>
        <w:tc>
          <w:tcPr>
            <w:tcW w:w="0" w:type="auto"/>
            <w:vAlign w:val="center"/>
            <w:hideMark/>
          </w:tcPr>
          <w:p w14:paraId="15F8EEE8" w14:textId="77777777" w:rsidR="00D91A6E" w:rsidRPr="00D91A6E" w:rsidRDefault="00D91A6E" w:rsidP="00D91A6E">
            <w:pPr>
              <w:jc w:val="cente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الصفحة</w:t>
            </w:r>
          </w:p>
        </w:tc>
      </w:tr>
      <w:tr w:rsidR="00D91A6E" w:rsidRPr="00D91A6E" w14:paraId="4F92BA5F" w14:textId="77777777" w:rsidTr="00D91A6E">
        <w:trPr>
          <w:tblCellSpacing w:w="15" w:type="dxa"/>
          <w:jc w:val="center"/>
        </w:trPr>
        <w:tc>
          <w:tcPr>
            <w:tcW w:w="0" w:type="auto"/>
            <w:vAlign w:val="center"/>
            <w:hideMark/>
          </w:tcPr>
          <w:p w14:paraId="24E412FD"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(1-1)</w:t>
            </w:r>
          </w:p>
        </w:tc>
        <w:tc>
          <w:tcPr>
            <w:tcW w:w="0" w:type="auto"/>
            <w:vAlign w:val="center"/>
            <w:hideMark/>
          </w:tcPr>
          <w:p w14:paraId="5CB94C8D"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مؤشرات حجم سوق الأمن السيبراني وإسهامه في الناتج المحلي الإجمالي في المملكة العربية السعودية</w:t>
            </w:r>
          </w:p>
        </w:tc>
        <w:tc>
          <w:tcPr>
            <w:tcW w:w="0" w:type="auto"/>
            <w:vAlign w:val="center"/>
            <w:hideMark/>
          </w:tcPr>
          <w:p w14:paraId="4BBA927E"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21</w:t>
            </w:r>
          </w:p>
        </w:tc>
      </w:tr>
      <w:tr w:rsidR="00D91A6E" w:rsidRPr="00D91A6E" w14:paraId="7C8B9D85" w14:textId="77777777" w:rsidTr="00D91A6E">
        <w:trPr>
          <w:tblCellSpacing w:w="15" w:type="dxa"/>
          <w:jc w:val="center"/>
        </w:trPr>
        <w:tc>
          <w:tcPr>
            <w:tcW w:w="0" w:type="auto"/>
            <w:vAlign w:val="center"/>
            <w:hideMark/>
          </w:tcPr>
          <w:p w14:paraId="4B04BD1B"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(1-2)</w:t>
            </w:r>
          </w:p>
        </w:tc>
        <w:tc>
          <w:tcPr>
            <w:tcW w:w="0" w:type="auto"/>
            <w:vAlign w:val="center"/>
            <w:hideMark/>
          </w:tcPr>
          <w:p w14:paraId="0FD7928C"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مؤشرات نمو المدفوعات الإلكترونية في المملكة العربية السعودية</w:t>
            </w:r>
          </w:p>
        </w:tc>
        <w:tc>
          <w:tcPr>
            <w:tcW w:w="0" w:type="auto"/>
            <w:vAlign w:val="center"/>
            <w:hideMark/>
          </w:tcPr>
          <w:p w14:paraId="5C1DC140"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23</w:t>
            </w:r>
          </w:p>
        </w:tc>
      </w:tr>
      <w:tr w:rsidR="00D91A6E" w:rsidRPr="00D91A6E" w14:paraId="403BDE7D" w14:textId="77777777" w:rsidTr="00D91A6E">
        <w:trPr>
          <w:tblCellSpacing w:w="15" w:type="dxa"/>
          <w:jc w:val="center"/>
        </w:trPr>
        <w:tc>
          <w:tcPr>
            <w:tcW w:w="0" w:type="auto"/>
            <w:vAlign w:val="center"/>
            <w:hideMark/>
          </w:tcPr>
          <w:p w14:paraId="1326FF64"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(1-3)</w:t>
            </w:r>
          </w:p>
        </w:tc>
        <w:tc>
          <w:tcPr>
            <w:tcW w:w="0" w:type="auto"/>
            <w:vAlign w:val="center"/>
            <w:hideMark/>
          </w:tcPr>
          <w:p w14:paraId="5A204D68"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نموذج الدراسة</w:t>
            </w:r>
          </w:p>
        </w:tc>
        <w:tc>
          <w:tcPr>
            <w:tcW w:w="0" w:type="auto"/>
            <w:vAlign w:val="center"/>
            <w:hideMark/>
          </w:tcPr>
          <w:p w14:paraId="244683D2"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29</w:t>
            </w:r>
          </w:p>
        </w:tc>
      </w:tr>
      <w:tr w:rsidR="00D91A6E" w:rsidRPr="00D91A6E" w14:paraId="4B72733E" w14:textId="77777777" w:rsidTr="00D91A6E">
        <w:trPr>
          <w:tblCellSpacing w:w="15" w:type="dxa"/>
          <w:jc w:val="center"/>
        </w:trPr>
        <w:tc>
          <w:tcPr>
            <w:tcW w:w="0" w:type="auto"/>
            <w:vAlign w:val="center"/>
            <w:hideMark/>
          </w:tcPr>
          <w:p w14:paraId="53D33B06"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(2-1)</w:t>
            </w:r>
          </w:p>
        </w:tc>
        <w:tc>
          <w:tcPr>
            <w:tcW w:w="0" w:type="auto"/>
            <w:vAlign w:val="center"/>
            <w:hideMark/>
          </w:tcPr>
          <w:p w14:paraId="698C384F"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إطار حوكمة الأمن السيبراني الهرمي </w:t>
            </w:r>
            <w:r w:rsidRPr="00D91A6E">
              <w:rPr>
                <w:rFonts w:ascii="Traditional Arabic" w:hAnsi="Traditional Arabic" w:cs="Traditional Arabic"/>
                <w:b/>
                <w:bCs/>
                <w:color w:val="000000" w:themeColor="text1"/>
              </w:rPr>
              <w:t>(HCGF)</w:t>
            </w:r>
          </w:p>
        </w:tc>
        <w:tc>
          <w:tcPr>
            <w:tcW w:w="0" w:type="auto"/>
            <w:vAlign w:val="center"/>
            <w:hideMark/>
          </w:tcPr>
          <w:p w14:paraId="43591474"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49</w:t>
            </w:r>
          </w:p>
        </w:tc>
      </w:tr>
      <w:tr w:rsidR="00D91A6E" w:rsidRPr="00D91A6E" w14:paraId="685DCE59" w14:textId="77777777" w:rsidTr="00D91A6E">
        <w:trPr>
          <w:tblCellSpacing w:w="15" w:type="dxa"/>
          <w:jc w:val="center"/>
        </w:trPr>
        <w:tc>
          <w:tcPr>
            <w:tcW w:w="0" w:type="auto"/>
            <w:vAlign w:val="center"/>
            <w:hideMark/>
          </w:tcPr>
          <w:p w14:paraId="00BBE7D8"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(2-2)</w:t>
            </w:r>
          </w:p>
        </w:tc>
        <w:tc>
          <w:tcPr>
            <w:tcW w:w="0" w:type="auto"/>
            <w:vAlign w:val="center"/>
            <w:hideMark/>
          </w:tcPr>
          <w:p w14:paraId="43BA0689"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العلاقة بين حوكمة الشركات ومبادئ الحوكمة ورأس المال البشري وأداء الشركات</w:t>
            </w:r>
          </w:p>
        </w:tc>
        <w:tc>
          <w:tcPr>
            <w:tcW w:w="0" w:type="auto"/>
            <w:vAlign w:val="center"/>
            <w:hideMark/>
          </w:tcPr>
          <w:p w14:paraId="52999108"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65</w:t>
            </w:r>
          </w:p>
        </w:tc>
      </w:tr>
      <w:tr w:rsidR="00D91A6E" w:rsidRPr="00D91A6E" w14:paraId="28BC271B" w14:textId="77777777" w:rsidTr="00D91A6E">
        <w:trPr>
          <w:tblCellSpacing w:w="15" w:type="dxa"/>
          <w:jc w:val="center"/>
        </w:trPr>
        <w:tc>
          <w:tcPr>
            <w:tcW w:w="0" w:type="auto"/>
            <w:vAlign w:val="center"/>
            <w:hideMark/>
          </w:tcPr>
          <w:p w14:paraId="71C2227E"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(2-3)</w:t>
            </w:r>
          </w:p>
        </w:tc>
        <w:tc>
          <w:tcPr>
            <w:tcW w:w="0" w:type="auto"/>
            <w:vAlign w:val="center"/>
            <w:hideMark/>
          </w:tcPr>
          <w:p w14:paraId="3FB226C5"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تصميم وسير عمل نظام الحوكمة وفق </w:t>
            </w:r>
            <w:r w:rsidRPr="00D91A6E">
              <w:rPr>
                <w:rFonts w:ascii="Traditional Arabic" w:hAnsi="Traditional Arabic" w:cs="Traditional Arabic"/>
                <w:b/>
                <w:bCs/>
                <w:color w:val="000000" w:themeColor="text1"/>
              </w:rPr>
              <w:t>COBIT 2019</w:t>
            </w:r>
          </w:p>
        </w:tc>
        <w:tc>
          <w:tcPr>
            <w:tcW w:w="0" w:type="auto"/>
            <w:vAlign w:val="center"/>
            <w:hideMark/>
          </w:tcPr>
          <w:p w14:paraId="30863C18"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71</w:t>
            </w:r>
          </w:p>
        </w:tc>
      </w:tr>
      <w:tr w:rsidR="00D91A6E" w:rsidRPr="00D91A6E" w14:paraId="05E79807" w14:textId="77777777" w:rsidTr="00D91A6E">
        <w:trPr>
          <w:tblCellSpacing w:w="15" w:type="dxa"/>
          <w:jc w:val="center"/>
        </w:trPr>
        <w:tc>
          <w:tcPr>
            <w:tcW w:w="0" w:type="auto"/>
            <w:vAlign w:val="center"/>
            <w:hideMark/>
          </w:tcPr>
          <w:p w14:paraId="55350E19"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(2-4)</w:t>
            </w:r>
          </w:p>
        </w:tc>
        <w:tc>
          <w:tcPr>
            <w:tcW w:w="0" w:type="auto"/>
            <w:vAlign w:val="center"/>
            <w:hideMark/>
          </w:tcPr>
          <w:p w14:paraId="6F6AC65F"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مكونات نظام الحوكمة</w:t>
            </w:r>
          </w:p>
        </w:tc>
        <w:tc>
          <w:tcPr>
            <w:tcW w:w="0" w:type="auto"/>
            <w:vAlign w:val="center"/>
            <w:hideMark/>
          </w:tcPr>
          <w:p w14:paraId="6E491CED"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85</w:t>
            </w:r>
          </w:p>
        </w:tc>
      </w:tr>
      <w:tr w:rsidR="00D91A6E" w:rsidRPr="00D91A6E" w14:paraId="3245F549" w14:textId="77777777" w:rsidTr="00D91A6E">
        <w:trPr>
          <w:tblCellSpacing w:w="15" w:type="dxa"/>
          <w:jc w:val="center"/>
        </w:trPr>
        <w:tc>
          <w:tcPr>
            <w:tcW w:w="0" w:type="auto"/>
            <w:vAlign w:val="center"/>
            <w:hideMark/>
          </w:tcPr>
          <w:p w14:paraId="20BFF5A0"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(2-5)</w:t>
            </w:r>
          </w:p>
        </w:tc>
        <w:tc>
          <w:tcPr>
            <w:tcW w:w="0" w:type="auto"/>
            <w:vAlign w:val="center"/>
            <w:hideMark/>
          </w:tcPr>
          <w:p w14:paraId="7F3EADA0"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محددات الحوكمة</w:t>
            </w:r>
          </w:p>
        </w:tc>
        <w:tc>
          <w:tcPr>
            <w:tcW w:w="0" w:type="auto"/>
            <w:vAlign w:val="center"/>
            <w:hideMark/>
          </w:tcPr>
          <w:p w14:paraId="2297BD4D"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88</w:t>
            </w:r>
          </w:p>
        </w:tc>
      </w:tr>
      <w:tr w:rsidR="00D91A6E" w:rsidRPr="00D91A6E" w14:paraId="3B644AA5" w14:textId="77777777" w:rsidTr="00D91A6E">
        <w:trPr>
          <w:tblCellSpacing w:w="15" w:type="dxa"/>
          <w:jc w:val="center"/>
        </w:trPr>
        <w:tc>
          <w:tcPr>
            <w:tcW w:w="0" w:type="auto"/>
            <w:vAlign w:val="center"/>
            <w:hideMark/>
          </w:tcPr>
          <w:p w14:paraId="40DFC1D8"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 xml:space="preserve">شكل </w:t>
            </w:r>
            <w:r w:rsidRPr="00D91A6E">
              <w:rPr>
                <w:rFonts w:ascii="Traditional Arabic" w:hAnsi="Traditional Arabic" w:cs="Traditional Arabic"/>
                <w:b/>
                <w:bCs/>
                <w:color w:val="000000" w:themeColor="text1"/>
              </w:rPr>
              <w:t>(2-6)</w:t>
            </w:r>
          </w:p>
        </w:tc>
        <w:tc>
          <w:tcPr>
            <w:tcW w:w="0" w:type="auto"/>
            <w:vAlign w:val="center"/>
            <w:hideMark/>
          </w:tcPr>
          <w:p w14:paraId="631C4A84" w14:textId="77777777" w:rsidR="00D91A6E" w:rsidRPr="00D91A6E" w:rsidRDefault="00D91A6E" w:rsidP="00D91A6E">
            <w:pPr>
              <w:rPr>
                <w:rFonts w:ascii="Traditional Arabic" w:hAnsi="Traditional Arabic" w:cs="Traditional Arabic"/>
                <w:b/>
                <w:bCs/>
                <w:color w:val="000000" w:themeColor="text1"/>
              </w:rPr>
            </w:pPr>
            <w:r w:rsidRPr="00D91A6E">
              <w:rPr>
                <w:rFonts w:ascii="Traditional Arabic" w:hAnsi="Traditional Arabic" w:cs="Traditional Arabic"/>
                <w:b/>
                <w:bCs/>
                <w:color w:val="000000" w:themeColor="text1"/>
                <w:rtl/>
              </w:rPr>
              <w:t>استراتيجية</w:t>
            </w:r>
            <w:r w:rsidRPr="00D91A6E">
              <w:rPr>
                <w:rFonts w:ascii="Traditional Arabic" w:hAnsi="Traditional Arabic" w:cs="Traditional Arabic"/>
                <w:b/>
                <w:bCs/>
                <w:color w:val="000000" w:themeColor="text1"/>
              </w:rPr>
              <w:t xml:space="preserve"> GROW </w:t>
            </w:r>
            <w:r w:rsidRPr="00D91A6E">
              <w:rPr>
                <w:rFonts w:ascii="Traditional Arabic" w:hAnsi="Traditional Arabic" w:cs="Traditional Arabic"/>
                <w:b/>
                <w:bCs/>
                <w:color w:val="000000" w:themeColor="text1"/>
                <w:rtl/>
              </w:rPr>
              <w:t>الخاصة بحوكمة الاستدامة</w:t>
            </w:r>
          </w:p>
        </w:tc>
        <w:tc>
          <w:tcPr>
            <w:tcW w:w="0" w:type="auto"/>
            <w:vAlign w:val="center"/>
            <w:hideMark/>
          </w:tcPr>
          <w:p w14:paraId="4F639BFE" w14:textId="77777777" w:rsidR="00D91A6E" w:rsidRPr="00D91A6E" w:rsidRDefault="00D91A6E" w:rsidP="00D91A6E">
            <w:pPr>
              <w:rPr>
                <w:rFonts w:ascii="Traditional Arabic" w:hAnsi="Traditional Arabic" w:cs="Traditional Arabic"/>
                <w:b/>
                <w:bCs/>
                <w:color w:val="000000" w:themeColor="text1"/>
              </w:rPr>
            </w:pPr>
            <w:r w:rsidRPr="00D91A6E">
              <w:rPr>
                <w:rStyle w:val="Strong"/>
                <w:rFonts w:ascii="Traditional Arabic" w:hAnsi="Traditional Arabic" w:cs="Traditional Arabic"/>
                <w:color w:val="000000" w:themeColor="text1"/>
              </w:rPr>
              <w:t>93</w:t>
            </w:r>
          </w:p>
        </w:tc>
      </w:tr>
    </w:tbl>
    <w:p w14:paraId="6FAF980E" w14:textId="37E583B5" w:rsidR="00D91A6E" w:rsidRPr="00D91A6E" w:rsidRDefault="00D91A6E" w:rsidP="00D91A6E">
      <w:pPr>
        <w:pStyle w:val="Heading3"/>
        <w:bidi/>
        <w:rPr>
          <w:rFonts w:ascii="Traditional Arabic" w:hAnsi="Traditional Arabic" w:cs="Traditional Arabic"/>
          <w:b/>
          <w:bCs/>
          <w:color w:val="000000" w:themeColor="text1"/>
        </w:rPr>
      </w:pPr>
    </w:p>
    <w:p w14:paraId="78DD3D5E" w14:textId="376B7B6B" w:rsidR="00034F5C" w:rsidRPr="00034F5C" w:rsidRDefault="00034F5C" w:rsidP="00E4652C">
      <w:pPr>
        <w:spacing w:after="0" w:line="360" w:lineRule="auto"/>
        <w:rPr>
          <w:rFonts w:ascii="Traditional Arabic" w:hAnsi="Traditional Arabic" w:cs="Traditional Arabic"/>
          <w:b/>
          <w:bCs/>
          <w:color w:val="000000" w:themeColor="text1"/>
          <w:sz w:val="36"/>
          <w:szCs w:val="36"/>
          <w:rtl/>
        </w:rPr>
      </w:pPr>
    </w:p>
    <w:p w14:paraId="694C83DC" w14:textId="36549E12" w:rsidR="008E0DE7" w:rsidRPr="00545ABB" w:rsidRDefault="00034F5C" w:rsidP="00034F5C">
      <w:pPr>
        <w:bidi w:val="0"/>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41B22391" w14:textId="0B0D7664" w:rsidR="0028000F" w:rsidRPr="00545ABB" w:rsidRDefault="0028000F" w:rsidP="00E4652C">
      <w:pPr>
        <w:pStyle w:val="Heading1"/>
        <w:bidi/>
        <w:jc w:val="center"/>
        <w:rPr>
          <w:rFonts w:ascii="Traditional Arabic" w:eastAsia="Calibri" w:hAnsi="Traditional Arabic" w:cs="Traditional Arabic"/>
          <w:b/>
          <w:bCs/>
          <w:color w:val="000000" w:themeColor="text1"/>
          <w:sz w:val="32"/>
          <w:szCs w:val="32"/>
          <w:rtl/>
          <w:lang w:bidi="ar-EG"/>
        </w:rPr>
      </w:pPr>
      <w:bookmarkStart w:id="5" w:name="_Hlk233225800"/>
      <w:bookmarkStart w:id="6" w:name="_Toc242325178"/>
      <w:r w:rsidRPr="00545ABB">
        <w:rPr>
          <w:rFonts w:ascii="Traditional Arabic" w:eastAsia="Calibri" w:hAnsi="Traditional Arabic" w:cs="Traditional Arabic"/>
          <w:b/>
          <w:bCs/>
          <w:color w:val="000000" w:themeColor="text1"/>
          <w:sz w:val="32"/>
          <w:szCs w:val="32"/>
          <w:rtl/>
          <w:lang w:bidi="ar-EG"/>
        </w:rPr>
        <w:lastRenderedPageBreak/>
        <w:t>الفصـــل الأول</w:t>
      </w:r>
      <w:bookmarkEnd w:id="6"/>
    </w:p>
    <w:p w14:paraId="50ACFDFC" w14:textId="1753593F" w:rsidR="0028000F" w:rsidRPr="00545ABB" w:rsidRDefault="008E0DE7" w:rsidP="00E4652C">
      <w:pPr>
        <w:pStyle w:val="Heading1"/>
        <w:bidi/>
        <w:jc w:val="center"/>
        <w:rPr>
          <w:rFonts w:ascii="Traditional Arabic" w:eastAsia="Calibri" w:hAnsi="Traditional Arabic" w:cs="Traditional Arabic"/>
          <w:b/>
          <w:bCs/>
          <w:color w:val="000000" w:themeColor="text1"/>
          <w:sz w:val="28"/>
          <w:szCs w:val="28"/>
          <w:rtl/>
          <w:lang w:bidi="ar-EG"/>
        </w:rPr>
      </w:pPr>
      <w:bookmarkStart w:id="7" w:name="_Toc242325179"/>
      <w:r w:rsidRPr="00545ABB">
        <w:rPr>
          <w:rFonts w:ascii="Traditional Arabic" w:eastAsia="Calibri" w:hAnsi="Traditional Arabic" w:cs="Traditional Arabic" w:hint="cs"/>
          <w:b/>
          <w:bCs/>
          <w:color w:val="000000" w:themeColor="text1"/>
          <w:sz w:val="28"/>
          <w:szCs w:val="28"/>
          <w:rtl/>
          <w:lang w:bidi="ar-EG"/>
        </w:rPr>
        <w:t xml:space="preserve">المقدمة </w:t>
      </w:r>
      <w:r w:rsidR="003A28FC" w:rsidRPr="00545ABB">
        <w:rPr>
          <w:rFonts w:ascii="Traditional Arabic" w:eastAsia="Calibri" w:hAnsi="Traditional Arabic" w:cs="Traditional Arabic"/>
          <w:b/>
          <w:bCs/>
          <w:color w:val="000000" w:themeColor="text1"/>
          <w:sz w:val="28"/>
          <w:szCs w:val="28"/>
          <w:rtl/>
          <w:lang w:bidi="ar-EG"/>
        </w:rPr>
        <w:t>الإطار العام للدراسة</w:t>
      </w:r>
      <w:bookmarkEnd w:id="7"/>
    </w:p>
    <w:p w14:paraId="179880FE" w14:textId="77777777" w:rsidR="00806E78" w:rsidRPr="00545ABB" w:rsidRDefault="00806E78"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مقدمة.</w:t>
      </w:r>
    </w:p>
    <w:p w14:paraId="50995EF3" w14:textId="166F457C" w:rsidR="0028000F" w:rsidRPr="00545ABB" w:rsidRDefault="0028000F"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مشكلة الدراسة.</w:t>
      </w:r>
    </w:p>
    <w:p w14:paraId="1C6A7A39" w14:textId="6411B590" w:rsidR="0034711C" w:rsidRPr="00545ABB" w:rsidRDefault="00AB53B8"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أهمية</w:t>
      </w:r>
      <w:r w:rsidR="0034711C" w:rsidRPr="00545ABB">
        <w:rPr>
          <w:rFonts w:ascii="Traditional Arabic" w:eastAsia="Calibri" w:hAnsi="Traditional Arabic" w:cs="Traditional Arabic"/>
          <w:b/>
          <w:bCs/>
          <w:color w:val="000000" w:themeColor="text1"/>
          <w:sz w:val="28"/>
          <w:szCs w:val="28"/>
          <w:rtl/>
          <w:lang w:bidi="ar-EG"/>
        </w:rPr>
        <w:t xml:space="preserve"> الدراسة. </w:t>
      </w:r>
    </w:p>
    <w:p w14:paraId="0C2F3B4A" w14:textId="39B0CD16" w:rsidR="0034711C" w:rsidRPr="00545ABB" w:rsidRDefault="0034711C"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 xml:space="preserve">أهداف الدراسة. </w:t>
      </w:r>
    </w:p>
    <w:p w14:paraId="0E48DD9D" w14:textId="65F604FC" w:rsidR="0034711C" w:rsidRPr="00545ABB" w:rsidRDefault="0034711C"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فروض الدراسة.</w:t>
      </w:r>
    </w:p>
    <w:p w14:paraId="26DC5F7A" w14:textId="7EF3B1B9" w:rsidR="00AD6635" w:rsidRPr="00545ABB" w:rsidRDefault="008B236D"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نموذج الدراسة</w:t>
      </w:r>
      <w:r w:rsidR="005A3671" w:rsidRPr="00545ABB">
        <w:rPr>
          <w:rFonts w:ascii="Traditional Arabic" w:eastAsia="Calibri" w:hAnsi="Traditional Arabic" w:cs="Traditional Arabic"/>
          <w:b/>
          <w:bCs/>
          <w:color w:val="000000" w:themeColor="text1"/>
          <w:sz w:val="28"/>
          <w:szCs w:val="28"/>
          <w:rtl/>
          <w:lang w:bidi="ar-EG"/>
        </w:rPr>
        <w:t xml:space="preserve">. </w:t>
      </w:r>
    </w:p>
    <w:p w14:paraId="567F5322" w14:textId="5800A0E9" w:rsidR="0034711C" w:rsidRPr="00545ABB" w:rsidRDefault="0034711C"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 xml:space="preserve">أبعاد تطبيق الدراسة. </w:t>
      </w:r>
    </w:p>
    <w:p w14:paraId="1E1EEDF2" w14:textId="0377223C" w:rsidR="003A28FC" w:rsidRPr="00545ABB" w:rsidRDefault="0034711C"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الإجراءات المنهجية للدراسة.</w:t>
      </w:r>
    </w:p>
    <w:p w14:paraId="335B5FB1" w14:textId="4EDFC45B" w:rsidR="00AB53B8" w:rsidRPr="00545ABB" w:rsidRDefault="00AB53B8"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هيكلية الدراسة.</w:t>
      </w:r>
    </w:p>
    <w:p w14:paraId="408CAE5D" w14:textId="54D6BE33" w:rsidR="00AB53B8" w:rsidRPr="00545ABB" w:rsidRDefault="00AB53B8" w:rsidP="00D95153">
      <w:pPr>
        <w:pStyle w:val="ListParagraph"/>
        <w:numPr>
          <w:ilvl w:val="0"/>
          <w:numId w:val="22"/>
        </w:numPr>
        <w:bidi/>
        <w:spacing w:after="0" w:line="360" w:lineRule="auto"/>
        <w:jc w:val="both"/>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خاتمة</w:t>
      </w:r>
    </w:p>
    <w:p w14:paraId="09AC49C2" w14:textId="77777777" w:rsidR="003A28FC" w:rsidRPr="00545ABB" w:rsidRDefault="003A28FC" w:rsidP="00022590">
      <w:pPr>
        <w:spacing w:after="0" w:line="360" w:lineRule="auto"/>
        <w:jc w:val="both"/>
        <w:rPr>
          <w:rFonts w:ascii="Traditional Arabic" w:eastAsia="Calibri" w:hAnsi="Traditional Arabic" w:cs="Traditional Arabic"/>
          <w:color w:val="000000" w:themeColor="text1"/>
          <w:sz w:val="32"/>
          <w:szCs w:val="32"/>
          <w:rtl/>
          <w:lang w:bidi="ar-EG"/>
        </w:rPr>
      </w:pPr>
    </w:p>
    <w:bookmarkEnd w:id="5"/>
    <w:p w14:paraId="74FF9A2C" w14:textId="77777777" w:rsidR="00B9340F" w:rsidRPr="00545ABB" w:rsidRDefault="00B9340F" w:rsidP="00022590">
      <w:pPr>
        <w:spacing w:before="240" w:after="0" w:line="360" w:lineRule="auto"/>
        <w:rPr>
          <w:rFonts w:ascii="Traditional Arabic" w:eastAsia="Calibri" w:hAnsi="Traditional Arabic" w:cs="Traditional Arabic"/>
          <w:b/>
          <w:bCs/>
          <w:color w:val="000000" w:themeColor="text1"/>
          <w:sz w:val="32"/>
          <w:szCs w:val="32"/>
          <w:u w:val="single"/>
          <w:rtl/>
          <w:lang w:bidi="ar-EG"/>
        </w:rPr>
      </w:pPr>
    </w:p>
    <w:p w14:paraId="0CCA7091" w14:textId="77777777" w:rsidR="007B4F65" w:rsidRPr="00545ABB" w:rsidRDefault="007B4F65" w:rsidP="00022590">
      <w:pPr>
        <w:spacing w:before="240" w:after="0" w:line="360" w:lineRule="auto"/>
        <w:rPr>
          <w:rFonts w:ascii="Traditional Arabic" w:eastAsia="Calibri" w:hAnsi="Traditional Arabic" w:cs="Traditional Arabic"/>
          <w:b/>
          <w:bCs/>
          <w:color w:val="000000" w:themeColor="text1"/>
          <w:sz w:val="32"/>
          <w:szCs w:val="32"/>
          <w:u w:val="single"/>
          <w:rtl/>
          <w:lang w:bidi="ar-EG"/>
        </w:rPr>
      </w:pPr>
    </w:p>
    <w:p w14:paraId="20A1E5D4" w14:textId="6DB5AC3F" w:rsidR="00AD6635" w:rsidRPr="00545ABB" w:rsidRDefault="0034711C" w:rsidP="00E4652C">
      <w:pPr>
        <w:pStyle w:val="Heading2"/>
        <w:bidi/>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color w:val="000000" w:themeColor="text1"/>
          <w:sz w:val="28"/>
          <w:szCs w:val="28"/>
          <w:rtl/>
          <w:lang w:bidi="ar-EG"/>
        </w:rPr>
        <w:br w:type="page"/>
      </w:r>
      <w:bookmarkStart w:id="8" w:name="_Toc242325180"/>
      <w:r w:rsidR="004139A2" w:rsidRPr="00545ABB">
        <w:rPr>
          <w:rFonts w:ascii="Traditional Arabic" w:eastAsia="Calibri" w:hAnsi="Traditional Arabic" w:cs="Traditional Arabic"/>
          <w:b/>
          <w:bCs/>
          <w:color w:val="000000" w:themeColor="text1"/>
          <w:sz w:val="28"/>
          <w:szCs w:val="28"/>
          <w:rtl/>
          <w:lang w:bidi="ar-EG"/>
        </w:rPr>
        <w:lastRenderedPageBreak/>
        <w:t>مقدمة:</w:t>
      </w:r>
      <w:bookmarkEnd w:id="8"/>
    </w:p>
    <w:p w14:paraId="7EF04883" w14:textId="77777777" w:rsidR="0081179A" w:rsidRPr="00545ABB" w:rsidRDefault="0081179A" w:rsidP="00022590">
      <w:pPr>
        <w:spacing w:after="0" w:line="360" w:lineRule="auto"/>
        <w:ind w:firstLine="566"/>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شهد العالم خلال العقود الأخيرة تطورًا رقميًا متسارعًا شمل مختلف القطاعات الاقتصادية والإدارية والخدمية، وأدى إلى توسع الاعتماد على الأنظمة الرقمية والبيانات والشبكات في إدارة الأعمال وتقديم الخدمات. وقد صاحب هذا التحول تزايد ملحوظ في التهديدات والمخاطر السيبرانية، مما جعل الأمن السيبراني أحد المرتكزات الأساسية لحماية الأصول الرقمية، وضمان استمرارية الأعمال، وتعزيز الثقة في البيئة الرقمية. وفي هذا السياق، برزت شركات الأمن السيبراني الناشئة بوصفها أحد الفاعلين الرئيسيين في تطوير الحلول المبتكرة، ودعم التحول الرقمي، وتلبية الاحتياجات المتزايدة للمؤسسات في مواجهة التهديدات السيبرانية</w:t>
      </w:r>
      <w:r w:rsidRPr="00545ABB">
        <w:rPr>
          <w:rFonts w:ascii="Traditional Arabic" w:eastAsia="Calibri" w:hAnsi="Traditional Arabic" w:cs="Traditional Arabic"/>
          <w:b/>
          <w:bCs/>
          <w:color w:val="000000" w:themeColor="text1"/>
          <w:sz w:val="24"/>
          <w:szCs w:val="24"/>
          <w:lang w:bidi="ar-EG"/>
        </w:rPr>
        <w:t>.</w:t>
      </w:r>
    </w:p>
    <w:p w14:paraId="15B507E5" w14:textId="61687228" w:rsidR="00B03DCA" w:rsidRPr="00545ABB" w:rsidRDefault="00B03DCA" w:rsidP="00022590">
      <w:pPr>
        <w:spacing w:after="0" w:line="360" w:lineRule="auto"/>
        <w:ind w:firstLine="566"/>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أصبحت حوكمة الشركات "</w:t>
      </w:r>
      <w:r w:rsidR="00A113B2" w:rsidRPr="00545ABB">
        <w:rPr>
          <w:rFonts w:ascii="Traditional Arabic" w:eastAsia="Calibri" w:hAnsi="Traditional Arabic" w:cs="Traditional Arabic"/>
          <w:b/>
          <w:bCs/>
          <w:color w:val="000000" w:themeColor="text1"/>
          <w:sz w:val="24"/>
          <w:szCs w:val="24"/>
          <w:lang w:bidi="ar-EG"/>
        </w:rPr>
        <w:t>"</w:t>
      </w:r>
      <w:r w:rsidRPr="00545ABB">
        <w:rPr>
          <w:rFonts w:ascii="Traditional Arabic" w:eastAsia="Calibri" w:hAnsi="Traditional Arabic" w:cs="Traditional Arabic"/>
          <w:b/>
          <w:bCs/>
          <w:color w:val="000000" w:themeColor="text1"/>
          <w:sz w:val="24"/>
          <w:szCs w:val="24"/>
          <w:lang w:bidi="ar-EG"/>
        </w:rPr>
        <w:t>Corporate Governance</w:t>
      </w:r>
      <w:r w:rsidRPr="00545ABB">
        <w:rPr>
          <w:rFonts w:ascii="Traditional Arabic" w:eastAsia="Calibri" w:hAnsi="Traditional Arabic" w:cs="Traditional Arabic"/>
          <w:b/>
          <w:bCs/>
          <w:color w:val="000000" w:themeColor="text1"/>
          <w:sz w:val="24"/>
          <w:szCs w:val="24"/>
          <w:rtl/>
          <w:lang w:bidi="ar-EG"/>
        </w:rPr>
        <w:t xml:space="preserve"> </w:t>
      </w:r>
      <w:r w:rsidR="002D0B4A" w:rsidRPr="00545ABB">
        <w:rPr>
          <w:rFonts w:ascii="Traditional Arabic" w:eastAsia="Calibri" w:hAnsi="Traditional Arabic" w:cs="Traditional Arabic"/>
          <w:b/>
          <w:bCs/>
          <w:color w:val="000000" w:themeColor="text1"/>
          <w:sz w:val="24"/>
          <w:szCs w:val="24"/>
          <w:rtl/>
          <w:lang w:bidi="ar-EG"/>
        </w:rPr>
        <w:t xml:space="preserve">خلال العقد الأخير </w:t>
      </w:r>
      <w:r w:rsidRPr="00545ABB">
        <w:rPr>
          <w:rFonts w:ascii="Traditional Arabic" w:eastAsia="Calibri" w:hAnsi="Traditional Arabic" w:cs="Traditional Arabic"/>
          <w:b/>
          <w:bCs/>
          <w:color w:val="000000" w:themeColor="text1"/>
          <w:sz w:val="24"/>
          <w:szCs w:val="24"/>
          <w:rtl/>
          <w:lang w:bidi="ar-EG"/>
        </w:rPr>
        <w:t>من</w:t>
      </w:r>
      <w:r w:rsidR="00A113B2" w:rsidRPr="00545ABB">
        <w:rPr>
          <w:rFonts w:ascii="Traditional Arabic" w:eastAsia="Calibri" w:hAnsi="Traditional Arabic" w:cs="Traditional Arabic"/>
          <w:b/>
          <w:bCs/>
          <w:color w:val="000000" w:themeColor="text1"/>
          <w:sz w:val="24"/>
          <w:szCs w:val="24"/>
          <w:rtl/>
          <w:lang w:bidi="ar-EG"/>
        </w:rPr>
        <w:t xml:space="preserve"> </w:t>
      </w:r>
      <w:r w:rsidRPr="00545ABB">
        <w:rPr>
          <w:rFonts w:ascii="Traditional Arabic" w:eastAsia="Calibri" w:hAnsi="Traditional Arabic" w:cs="Traditional Arabic"/>
          <w:b/>
          <w:bCs/>
          <w:color w:val="000000" w:themeColor="text1"/>
          <w:sz w:val="24"/>
          <w:szCs w:val="24"/>
          <w:rtl/>
          <w:lang w:bidi="ar-EG"/>
        </w:rPr>
        <w:t xml:space="preserve">الموضوعات الهامة على مستوى المؤسسات والمنظمات الإقليمية والدولية وذلك نتيجة سلسلة من الأزمات المالية وحالات الإفلاس والانهيار لبعض الشركات وخاصة </w:t>
      </w:r>
      <w:r w:rsidR="009F2550" w:rsidRPr="00545ABB">
        <w:rPr>
          <w:rFonts w:ascii="Traditional Arabic" w:eastAsia="Calibri" w:hAnsi="Traditional Arabic" w:cs="Traditional Arabic"/>
          <w:b/>
          <w:bCs/>
          <w:color w:val="000000" w:themeColor="text1"/>
          <w:sz w:val="24"/>
          <w:szCs w:val="24"/>
          <w:rtl/>
          <w:lang w:bidi="ar-EG"/>
        </w:rPr>
        <w:t>الناشئة</w:t>
      </w:r>
      <w:r w:rsidRPr="00545ABB">
        <w:rPr>
          <w:rFonts w:ascii="Traditional Arabic" w:eastAsia="Calibri" w:hAnsi="Traditional Arabic" w:cs="Traditional Arabic"/>
          <w:b/>
          <w:bCs/>
          <w:color w:val="000000" w:themeColor="text1"/>
          <w:sz w:val="24"/>
          <w:szCs w:val="24"/>
          <w:rtl/>
          <w:lang w:bidi="ar-EG"/>
        </w:rPr>
        <w:t xml:space="preserve"> منها على سبيل المثال بنك (</w:t>
      </w:r>
      <w:r w:rsidRPr="00545ABB">
        <w:rPr>
          <w:rFonts w:ascii="Traditional Arabic" w:eastAsia="Calibri" w:hAnsi="Traditional Arabic" w:cs="Traditional Arabic"/>
          <w:b/>
          <w:bCs/>
          <w:color w:val="000000" w:themeColor="text1"/>
          <w:sz w:val="24"/>
          <w:szCs w:val="24"/>
          <w:lang w:bidi="ar-EG"/>
        </w:rPr>
        <w:t>Baring</w:t>
      </w:r>
      <w:r w:rsidRPr="00545ABB">
        <w:rPr>
          <w:rFonts w:ascii="Traditional Arabic" w:eastAsia="Calibri" w:hAnsi="Traditional Arabic" w:cs="Traditional Arabic"/>
          <w:b/>
          <w:bCs/>
          <w:color w:val="000000" w:themeColor="text1"/>
          <w:sz w:val="24"/>
          <w:szCs w:val="24"/>
          <w:rtl/>
          <w:lang w:bidi="ar-EG"/>
        </w:rPr>
        <w:t>) البريطاني وشركة (</w:t>
      </w:r>
      <w:r w:rsidRPr="00545ABB">
        <w:rPr>
          <w:rFonts w:ascii="Traditional Arabic" w:eastAsia="Calibri" w:hAnsi="Traditional Arabic" w:cs="Traditional Arabic"/>
          <w:b/>
          <w:bCs/>
          <w:color w:val="000000" w:themeColor="text1"/>
          <w:sz w:val="24"/>
          <w:szCs w:val="24"/>
          <w:lang w:bidi="ar-EG"/>
        </w:rPr>
        <w:t>Paramalat</w:t>
      </w:r>
      <w:r w:rsidRPr="00545ABB">
        <w:rPr>
          <w:rFonts w:ascii="Traditional Arabic" w:eastAsia="Calibri" w:hAnsi="Traditional Arabic" w:cs="Traditional Arabic"/>
          <w:b/>
          <w:bCs/>
          <w:color w:val="000000" w:themeColor="text1"/>
          <w:sz w:val="24"/>
          <w:szCs w:val="24"/>
          <w:rtl/>
          <w:lang w:bidi="ar-EG"/>
        </w:rPr>
        <w:t xml:space="preserve">) الإيطالية وغيرها. وترجع </w:t>
      </w:r>
      <w:r w:rsidR="002D0B4A" w:rsidRPr="00545ABB">
        <w:rPr>
          <w:rFonts w:ascii="Traditional Arabic" w:eastAsia="Calibri" w:hAnsi="Traditional Arabic" w:cs="Traditional Arabic"/>
          <w:b/>
          <w:bCs/>
          <w:color w:val="000000" w:themeColor="text1"/>
          <w:sz w:val="24"/>
          <w:szCs w:val="24"/>
          <w:rtl/>
          <w:lang w:bidi="ar-EG"/>
        </w:rPr>
        <w:t xml:space="preserve">نتيجة </w:t>
      </w:r>
      <w:r w:rsidRPr="00545ABB">
        <w:rPr>
          <w:rFonts w:ascii="Traditional Arabic" w:eastAsia="Calibri" w:hAnsi="Traditional Arabic" w:cs="Traditional Arabic"/>
          <w:b/>
          <w:bCs/>
          <w:color w:val="000000" w:themeColor="text1"/>
          <w:sz w:val="24"/>
          <w:szCs w:val="24"/>
          <w:rtl/>
          <w:lang w:bidi="ar-EG"/>
        </w:rPr>
        <w:t xml:space="preserve">هذه الانهيارات في معظمها إلى ضعف المساءلة والأنظمة الرقابية، بالإضافة إلى عدم الاهتمام بمفاهيم الإفصاح والشفافية بجانب عدم إظهار المعلومات المحاسبية لحقيقة الأوضاع المالية للشركة مما نتج عنه تفاقم مشكلة الوكالة أو ما </w:t>
      </w:r>
      <w:r w:rsidR="003E05A9" w:rsidRPr="00545ABB">
        <w:rPr>
          <w:rFonts w:ascii="Traditional Arabic" w:eastAsia="Calibri" w:hAnsi="Traditional Arabic" w:cs="Traditional Arabic"/>
          <w:b/>
          <w:bCs/>
          <w:color w:val="000000" w:themeColor="text1"/>
          <w:sz w:val="24"/>
          <w:szCs w:val="24"/>
          <w:rtl/>
          <w:lang w:bidi="ar-EG"/>
        </w:rPr>
        <w:t xml:space="preserve">يعرف </w:t>
      </w:r>
      <w:r w:rsidR="003E05A9" w:rsidRPr="00545ABB">
        <w:rPr>
          <w:rFonts w:ascii="Traditional Arabic" w:eastAsia="Calibri" w:hAnsi="Traditional Arabic" w:cs="Traditional Arabic"/>
          <w:b/>
          <w:bCs/>
          <w:color w:val="000000" w:themeColor="text1"/>
          <w:sz w:val="24"/>
          <w:szCs w:val="24"/>
          <w:lang w:bidi="ar-EG"/>
        </w:rPr>
        <w:t>agency problem</w:t>
      </w:r>
      <w:r w:rsidR="003E05A9" w:rsidRPr="00545ABB">
        <w:rPr>
          <w:rFonts w:ascii="Traditional Arabic" w:eastAsia="Calibri" w:hAnsi="Traditional Arabic" w:cs="Traditional Arabic"/>
          <w:b/>
          <w:bCs/>
          <w:color w:val="000000" w:themeColor="text1"/>
          <w:sz w:val="24"/>
          <w:szCs w:val="24"/>
          <w:rtl/>
          <w:lang w:bidi="ar-EG"/>
        </w:rPr>
        <w:t>.</w:t>
      </w:r>
      <w:r w:rsidR="00CA4C7F" w:rsidRPr="00545ABB">
        <w:rPr>
          <w:rFonts w:ascii="Traditional Arabic" w:eastAsia="Calibri" w:hAnsi="Traditional Arabic" w:cs="Traditional Arabic"/>
          <w:b/>
          <w:bCs/>
          <w:color w:val="000000" w:themeColor="text1"/>
          <w:sz w:val="24"/>
          <w:szCs w:val="24"/>
          <w:rtl/>
          <w:lang w:bidi="ar-EG"/>
        </w:rPr>
        <w:t xml:space="preserve"> </w:t>
      </w:r>
      <w:r w:rsidRPr="00545ABB">
        <w:rPr>
          <w:rFonts w:ascii="Traditional Arabic" w:eastAsia="Calibri" w:hAnsi="Traditional Arabic" w:cs="Traditional Arabic"/>
          <w:b/>
          <w:bCs/>
          <w:color w:val="000000" w:themeColor="text1"/>
          <w:sz w:val="24"/>
          <w:szCs w:val="24"/>
          <w:lang w:bidi="ar-EG"/>
        </w:rPr>
        <w:t>(Haniffa and Hudaib, 2006</w:t>
      </w:r>
      <w:r w:rsidR="00D8067A" w:rsidRPr="00545ABB">
        <w:rPr>
          <w:rFonts w:ascii="Traditional Arabic" w:eastAsia="Calibri" w:hAnsi="Traditional Arabic" w:cs="Traditional Arabic"/>
          <w:b/>
          <w:bCs/>
          <w:color w:val="000000" w:themeColor="text1"/>
          <w:sz w:val="24"/>
          <w:szCs w:val="24"/>
          <w:lang w:bidi="ar-EG"/>
        </w:rPr>
        <w:t>,</w:t>
      </w:r>
      <w:r w:rsidR="00D8067A" w:rsidRPr="00545ABB">
        <w:rPr>
          <w:rFonts w:ascii="Traditional Arabic" w:eastAsia="Times New Roman" w:hAnsi="Traditional Arabic" w:cs="Traditional Arabic"/>
          <w:b/>
          <w:bCs/>
          <w:color w:val="000000" w:themeColor="text1"/>
          <w:sz w:val="24"/>
          <w:szCs w:val="24"/>
        </w:rPr>
        <w:t xml:space="preserve"> </w:t>
      </w:r>
      <w:r w:rsidR="00FE6C7C" w:rsidRPr="00545ABB">
        <w:rPr>
          <w:rFonts w:ascii="Traditional Arabic" w:eastAsia="Times New Roman" w:hAnsi="Traditional Arabic" w:cs="Traditional Arabic"/>
          <w:b/>
          <w:bCs/>
          <w:color w:val="000000" w:themeColor="text1"/>
          <w:sz w:val="24"/>
          <w:szCs w:val="24"/>
        </w:rPr>
        <w:t>1034</w:t>
      </w:r>
      <w:r w:rsidR="00FE6C7C" w:rsidRPr="00545ABB">
        <w:rPr>
          <w:rFonts w:ascii="Traditional Arabic" w:eastAsia="Calibri" w:hAnsi="Traditional Arabic" w:cs="Traditional Arabic"/>
          <w:b/>
          <w:bCs/>
          <w:color w:val="000000" w:themeColor="text1"/>
          <w:sz w:val="24"/>
          <w:szCs w:val="24"/>
          <w:lang w:bidi="ar-EG"/>
        </w:rPr>
        <w:t>;</w:t>
      </w:r>
      <w:r w:rsidR="003E05A9" w:rsidRPr="00545ABB">
        <w:rPr>
          <w:rFonts w:ascii="Traditional Arabic" w:eastAsia="Calibri" w:hAnsi="Traditional Arabic" w:cs="Traditional Arabic"/>
          <w:b/>
          <w:bCs/>
          <w:color w:val="000000" w:themeColor="text1"/>
          <w:sz w:val="24"/>
          <w:szCs w:val="24"/>
          <w:lang w:bidi="ar-EG"/>
        </w:rPr>
        <w:t xml:space="preserve"> Ntim et al, 2012</w:t>
      </w:r>
      <w:r w:rsidR="009A04B7" w:rsidRPr="00545ABB">
        <w:rPr>
          <w:rFonts w:ascii="Traditional Arabic" w:eastAsia="Calibri" w:hAnsi="Traditional Arabic" w:cs="Traditional Arabic"/>
          <w:b/>
          <w:bCs/>
          <w:color w:val="000000" w:themeColor="text1"/>
          <w:sz w:val="24"/>
          <w:szCs w:val="24"/>
          <w:lang w:bidi="ar-EG"/>
        </w:rPr>
        <w:t>a</w:t>
      </w:r>
      <w:r w:rsidR="008258BE" w:rsidRPr="00545ABB">
        <w:rPr>
          <w:rFonts w:ascii="Traditional Arabic" w:eastAsia="Calibri" w:hAnsi="Traditional Arabic" w:cs="Traditional Arabic"/>
          <w:b/>
          <w:bCs/>
          <w:color w:val="000000" w:themeColor="text1"/>
          <w:sz w:val="24"/>
          <w:szCs w:val="24"/>
          <w:lang w:bidi="ar-EG"/>
        </w:rPr>
        <w:t>, 144</w:t>
      </w:r>
      <w:r w:rsidR="003E05A9" w:rsidRPr="00545ABB">
        <w:rPr>
          <w:rFonts w:ascii="Traditional Arabic" w:eastAsia="Calibri" w:hAnsi="Traditional Arabic" w:cs="Traditional Arabic"/>
          <w:b/>
          <w:bCs/>
          <w:color w:val="000000" w:themeColor="text1"/>
          <w:sz w:val="24"/>
          <w:szCs w:val="24"/>
          <w:lang w:bidi="ar-EG"/>
        </w:rPr>
        <w:t>)</w:t>
      </w:r>
      <w:r w:rsidR="00CA4C7F" w:rsidRPr="00545ABB">
        <w:rPr>
          <w:rFonts w:ascii="Traditional Arabic" w:eastAsia="Calibri" w:hAnsi="Traditional Arabic" w:cs="Traditional Arabic"/>
          <w:b/>
          <w:bCs/>
          <w:color w:val="000000" w:themeColor="text1"/>
          <w:sz w:val="24"/>
          <w:szCs w:val="24"/>
          <w:rtl/>
          <w:lang w:bidi="ar-EG"/>
        </w:rPr>
        <w:t xml:space="preserve">. </w:t>
      </w:r>
      <w:r w:rsidRPr="00545ABB">
        <w:rPr>
          <w:rFonts w:ascii="Traditional Arabic" w:eastAsia="Calibri" w:hAnsi="Traditional Arabic" w:cs="Traditional Arabic"/>
          <w:b/>
          <w:bCs/>
          <w:color w:val="000000" w:themeColor="text1"/>
          <w:sz w:val="24"/>
          <w:szCs w:val="24"/>
          <w:rtl/>
          <w:lang w:bidi="ar-EG"/>
        </w:rPr>
        <w:t xml:space="preserve">وقد سبب انهيار الكثير من </w:t>
      </w:r>
      <w:r w:rsidR="002D0B4A" w:rsidRPr="00545ABB">
        <w:rPr>
          <w:rFonts w:ascii="Traditional Arabic" w:eastAsia="Calibri" w:hAnsi="Traditional Arabic" w:cs="Traditional Arabic"/>
          <w:b/>
          <w:bCs/>
          <w:color w:val="000000" w:themeColor="text1"/>
          <w:sz w:val="24"/>
          <w:szCs w:val="24"/>
          <w:rtl/>
          <w:lang w:bidi="ar-EG"/>
        </w:rPr>
        <w:t>الشركات</w:t>
      </w:r>
      <w:r w:rsidRPr="00545ABB">
        <w:rPr>
          <w:rFonts w:ascii="Traditional Arabic" w:eastAsia="Calibri" w:hAnsi="Traditional Arabic" w:cs="Traditional Arabic"/>
          <w:b/>
          <w:bCs/>
          <w:color w:val="000000" w:themeColor="text1"/>
          <w:sz w:val="24"/>
          <w:szCs w:val="24"/>
          <w:rtl/>
          <w:lang w:bidi="ar-EG"/>
        </w:rPr>
        <w:t xml:space="preserve"> إلى ضياع حقوق أصحاب المصالح وبصفه خاصة المستثمرين الحاليين، كما أدى إلى فقد ثقة المستثمرين المرتقبين في المعلومات المحاسبية التي تحويها التقارير والقوائم المالية لهذه </w:t>
      </w:r>
      <w:r w:rsidR="00AB7872" w:rsidRPr="00545ABB">
        <w:rPr>
          <w:rFonts w:ascii="Traditional Arabic" w:eastAsia="Calibri" w:hAnsi="Traditional Arabic" w:cs="Traditional Arabic"/>
          <w:b/>
          <w:bCs/>
          <w:color w:val="000000" w:themeColor="text1"/>
          <w:sz w:val="24"/>
          <w:szCs w:val="24"/>
          <w:rtl/>
          <w:lang w:bidi="ar-EG"/>
        </w:rPr>
        <w:t xml:space="preserve">الوحدات </w:t>
      </w:r>
      <w:r w:rsidR="00A4441B" w:rsidRPr="00545ABB">
        <w:rPr>
          <w:rFonts w:ascii="Traditional Arabic" w:eastAsia="Times New Roman" w:hAnsi="Traditional Arabic" w:cs="Traditional Arabic"/>
          <w:b/>
          <w:bCs/>
          <w:color w:val="000000" w:themeColor="text1"/>
          <w:sz w:val="24"/>
          <w:szCs w:val="24"/>
        </w:rPr>
        <w:t>724)</w:t>
      </w:r>
      <w:r w:rsidR="00A4441B" w:rsidRPr="00545ABB">
        <w:rPr>
          <w:rFonts w:ascii="Traditional Arabic" w:eastAsia="Calibri" w:hAnsi="Traditional Arabic" w:cs="Traditional Arabic"/>
          <w:b/>
          <w:bCs/>
          <w:color w:val="000000" w:themeColor="text1"/>
          <w:sz w:val="24"/>
          <w:szCs w:val="24"/>
          <w:rtl/>
          <w:lang w:bidi="ar-EG"/>
        </w:rPr>
        <w:t xml:space="preserve"> </w:t>
      </w:r>
      <w:r w:rsidRPr="00545ABB">
        <w:rPr>
          <w:rFonts w:ascii="Traditional Arabic" w:eastAsia="Calibri" w:hAnsi="Traditional Arabic" w:cs="Traditional Arabic"/>
          <w:b/>
          <w:bCs/>
          <w:color w:val="000000" w:themeColor="text1"/>
          <w:sz w:val="24"/>
          <w:szCs w:val="24"/>
          <w:lang w:bidi="ar-EG"/>
        </w:rPr>
        <w:t>Liew</w:t>
      </w:r>
      <w:r w:rsidR="00A4441B" w:rsidRPr="00545ABB">
        <w:rPr>
          <w:rFonts w:ascii="Traditional Arabic" w:eastAsia="Calibri" w:hAnsi="Traditional Arabic" w:cs="Traditional Arabic"/>
          <w:b/>
          <w:bCs/>
          <w:color w:val="000000" w:themeColor="text1"/>
          <w:sz w:val="24"/>
          <w:szCs w:val="24"/>
          <w:lang w:bidi="ar-EG"/>
        </w:rPr>
        <w:t>, 2007,</w:t>
      </w:r>
      <w:r w:rsidRPr="00545ABB">
        <w:rPr>
          <w:rFonts w:ascii="Traditional Arabic" w:eastAsia="Calibri" w:hAnsi="Traditional Arabic" w:cs="Traditional Arabic"/>
          <w:b/>
          <w:bCs/>
          <w:color w:val="000000" w:themeColor="text1"/>
          <w:sz w:val="24"/>
          <w:szCs w:val="24"/>
          <w:rtl/>
          <w:lang w:bidi="ar-EG"/>
        </w:rPr>
        <w:t>).</w:t>
      </w:r>
    </w:p>
    <w:p w14:paraId="5CFC98F5" w14:textId="6539F642" w:rsidR="00655991" w:rsidRPr="00545ABB" w:rsidRDefault="00655991" w:rsidP="00022590">
      <w:pPr>
        <w:spacing w:after="0" w:line="360" w:lineRule="auto"/>
        <w:ind w:firstLine="566"/>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 xml:space="preserve">على الرغم من هذا الاهتمام المتزايد، تواجه شركات الأمن السيبراني الناشئة تحديات عدة </w:t>
      </w:r>
      <w:r w:rsidR="00D95FC1" w:rsidRPr="00545ABB">
        <w:rPr>
          <w:rFonts w:ascii="Traditional Arabic" w:eastAsia="Calibri" w:hAnsi="Traditional Arabic" w:cs="Traditional Arabic"/>
          <w:b/>
          <w:bCs/>
          <w:color w:val="000000" w:themeColor="text1"/>
          <w:sz w:val="24"/>
          <w:szCs w:val="24"/>
          <w:rtl/>
          <w:lang w:bidi="ar-EG"/>
        </w:rPr>
        <w:t>متمثلة</w:t>
      </w:r>
      <w:r w:rsidRPr="00545ABB">
        <w:rPr>
          <w:rFonts w:ascii="Traditional Arabic" w:eastAsia="Calibri" w:hAnsi="Traditional Arabic" w:cs="Traditional Arabic"/>
          <w:b/>
          <w:bCs/>
          <w:color w:val="000000" w:themeColor="text1"/>
          <w:sz w:val="24"/>
          <w:szCs w:val="24"/>
          <w:rtl/>
          <w:lang w:bidi="ar-EG"/>
        </w:rPr>
        <w:t xml:space="preserve"> </w:t>
      </w:r>
      <w:r w:rsidR="00D95FC1" w:rsidRPr="00545ABB">
        <w:rPr>
          <w:rFonts w:ascii="Traditional Arabic" w:eastAsia="Calibri" w:hAnsi="Traditional Arabic" w:cs="Traditional Arabic"/>
          <w:b/>
          <w:bCs/>
          <w:color w:val="000000" w:themeColor="text1"/>
          <w:sz w:val="24"/>
          <w:szCs w:val="24"/>
          <w:rtl/>
          <w:lang w:bidi="ar-EG"/>
        </w:rPr>
        <w:t>في</w:t>
      </w:r>
      <w:r w:rsidRPr="00545ABB">
        <w:rPr>
          <w:rFonts w:ascii="Traditional Arabic" w:eastAsia="Calibri" w:hAnsi="Traditional Arabic" w:cs="Traditional Arabic"/>
          <w:b/>
          <w:bCs/>
          <w:color w:val="000000" w:themeColor="text1"/>
          <w:sz w:val="24"/>
          <w:szCs w:val="24"/>
          <w:rtl/>
          <w:lang w:bidi="ar-EG"/>
        </w:rPr>
        <w:t xml:space="preserve"> التغيرات التقنية السريعة، ونقص الموارد المالية، والتعقيدات التنظيمية والقانونية. وتبرز أهمية هذه الدراسة في تحليل تلك التحديات والعوامل المؤثرة على استدامة هذه الشركات، مع التركيز على استيعاب النتائج المستخلصة من الدراسات السابقة في هذا المجال، مثل الدراسات المتعلقة بالأطر التنظيمية لتراخيص مراكز عمليات الأمن السيبراني المُدَارة، ودراسات الأمن السيبراني كدرع وطني لحماية المصالح الحيوية، ودراسة حالة الأمن السيبراني في </w:t>
      </w:r>
      <w:r w:rsidR="00AB7872" w:rsidRPr="00545ABB">
        <w:rPr>
          <w:rFonts w:ascii="Traditional Arabic" w:eastAsia="Calibri" w:hAnsi="Traditional Arabic" w:cs="Traditional Arabic"/>
          <w:b/>
          <w:bCs/>
          <w:color w:val="000000" w:themeColor="text1"/>
          <w:sz w:val="24"/>
          <w:szCs w:val="24"/>
          <w:rtl/>
          <w:lang w:bidi="ar-EG"/>
        </w:rPr>
        <w:t>المملكة،</w:t>
      </w:r>
      <w:r w:rsidRPr="00545ABB">
        <w:rPr>
          <w:rFonts w:ascii="Traditional Arabic" w:eastAsia="Calibri" w:hAnsi="Traditional Arabic" w:cs="Traditional Arabic"/>
          <w:b/>
          <w:bCs/>
          <w:color w:val="000000" w:themeColor="text1"/>
          <w:sz w:val="24"/>
          <w:szCs w:val="24"/>
          <w:rtl/>
          <w:lang w:bidi="ar-EG"/>
        </w:rPr>
        <w:t xml:space="preserve"> إضافة إلى الدراسات التي تناولت دور حوكمة الشركات في </w:t>
      </w:r>
      <w:r w:rsidR="00D95FC1" w:rsidRPr="00545ABB">
        <w:rPr>
          <w:rFonts w:ascii="Traditional Arabic" w:eastAsia="Calibri" w:hAnsi="Traditional Arabic" w:cs="Traditional Arabic"/>
          <w:b/>
          <w:bCs/>
          <w:color w:val="000000" w:themeColor="text1"/>
          <w:sz w:val="24"/>
          <w:szCs w:val="24"/>
          <w:rtl/>
          <w:lang w:bidi="ar-EG"/>
        </w:rPr>
        <w:t xml:space="preserve">نجاح </w:t>
      </w:r>
      <w:r w:rsidRPr="00545ABB">
        <w:rPr>
          <w:rFonts w:ascii="Traditional Arabic" w:eastAsia="Calibri" w:hAnsi="Traditional Arabic" w:cs="Traditional Arabic"/>
          <w:b/>
          <w:bCs/>
          <w:color w:val="000000" w:themeColor="text1"/>
          <w:sz w:val="24"/>
          <w:szCs w:val="24"/>
          <w:rtl/>
          <w:lang w:bidi="ar-EG"/>
        </w:rPr>
        <w:t>استدامة الشركات الناشئة في السعودية.</w:t>
      </w:r>
      <w:r w:rsidR="003653E9" w:rsidRPr="00545ABB">
        <w:rPr>
          <w:rFonts w:ascii="Traditional Arabic" w:eastAsia="Calibri" w:hAnsi="Traditional Arabic" w:cs="Traditional Arabic"/>
          <w:b/>
          <w:bCs/>
          <w:color w:val="000000" w:themeColor="text1"/>
          <w:sz w:val="24"/>
          <w:szCs w:val="24"/>
          <w:rtl/>
          <w:lang w:bidi="ar-EG"/>
        </w:rPr>
        <w:t xml:space="preserve">   </w:t>
      </w:r>
      <w:r w:rsidR="003653E9" w:rsidRPr="00545ABB">
        <w:rPr>
          <w:rFonts w:ascii="Traditional Arabic" w:eastAsia="Times New Roman" w:hAnsi="Traditional Arabic" w:cs="Traditional Arabic"/>
          <w:b/>
          <w:bCs/>
          <w:color w:val="000000" w:themeColor="text1"/>
          <w:sz w:val="24"/>
          <w:szCs w:val="24"/>
        </w:rPr>
        <w:t xml:space="preserve"> (Al-Shehri</w:t>
      </w:r>
      <w:r w:rsidR="003653E9" w:rsidRPr="00545ABB">
        <w:rPr>
          <w:rFonts w:ascii="Traditional Arabic" w:eastAsia="Calibri" w:hAnsi="Traditional Arabic" w:cs="Traditional Arabic"/>
          <w:b/>
          <w:bCs/>
          <w:color w:val="000000" w:themeColor="text1"/>
          <w:sz w:val="24"/>
          <w:szCs w:val="24"/>
          <w:lang w:bidi="ar-EG"/>
        </w:rPr>
        <w:t xml:space="preserve"> et, al,</w:t>
      </w:r>
      <w:r w:rsidR="003653E9" w:rsidRPr="00545ABB">
        <w:rPr>
          <w:rFonts w:ascii="Traditional Arabic" w:eastAsia="Times New Roman" w:hAnsi="Traditional Arabic" w:cs="Traditional Arabic"/>
          <w:b/>
          <w:bCs/>
          <w:color w:val="000000" w:themeColor="text1"/>
          <w:sz w:val="24"/>
          <w:szCs w:val="24"/>
        </w:rPr>
        <w:t xml:space="preserve"> 2019)</w:t>
      </w:r>
    </w:p>
    <w:p w14:paraId="743B58DC" w14:textId="79DFCE79" w:rsidR="00AB7872" w:rsidRPr="00545ABB" w:rsidRDefault="00534874" w:rsidP="00022590">
      <w:pPr>
        <w:spacing w:after="0" w:line="360" w:lineRule="auto"/>
        <w:ind w:firstLine="566"/>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وتلتزم</w:t>
      </w:r>
      <w:r w:rsidR="00655991" w:rsidRPr="00545ABB">
        <w:rPr>
          <w:rFonts w:ascii="Traditional Arabic" w:eastAsia="Calibri" w:hAnsi="Traditional Arabic" w:cs="Traditional Arabic"/>
          <w:b/>
          <w:bCs/>
          <w:color w:val="000000" w:themeColor="text1"/>
          <w:sz w:val="24"/>
          <w:szCs w:val="24"/>
          <w:rtl/>
          <w:lang w:bidi="ar-EG"/>
        </w:rPr>
        <w:t xml:space="preserve"> شركات الأمن السيبراني الناشئة </w:t>
      </w:r>
      <w:r w:rsidR="0010712D" w:rsidRPr="00545ABB">
        <w:rPr>
          <w:rFonts w:ascii="Traditional Arabic" w:eastAsia="Calibri" w:hAnsi="Traditional Arabic" w:cs="Traditional Arabic"/>
          <w:b/>
          <w:bCs/>
          <w:color w:val="000000" w:themeColor="text1"/>
          <w:sz w:val="24"/>
          <w:szCs w:val="24"/>
          <w:rtl/>
          <w:lang w:bidi="ar-EG"/>
        </w:rPr>
        <w:t xml:space="preserve">بإجراءات حوكمة الشركات الفعالة التي تعمل من خلال المواءمة بسلاسة مع متطلبات الأطر التنظيمية في المملكة العربية السعودية بالرياض، وتعزيز الشفافية والمساءلة. والأشراف </w:t>
      </w:r>
      <w:r w:rsidR="00AB7872" w:rsidRPr="00545ABB">
        <w:rPr>
          <w:rFonts w:ascii="Traditional Arabic" w:eastAsia="Calibri" w:hAnsi="Traditional Arabic" w:cs="Traditional Arabic"/>
          <w:b/>
          <w:bCs/>
          <w:color w:val="000000" w:themeColor="text1"/>
          <w:sz w:val="24"/>
          <w:szCs w:val="24"/>
          <w:rtl/>
          <w:lang w:bidi="ar-EG"/>
        </w:rPr>
        <w:t>على</w:t>
      </w:r>
      <w:r w:rsidR="0010712D" w:rsidRPr="00545ABB">
        <w:rPr>
          <w:rFonts w:ascii="Traditional Arabic" w:eastAsia="Calibri" w:hAnsi="Traditional Arabic" w:cs="Traditional Arabic"/>
          <w:b/>
          <w:bCs/>
          <w:color w:val="000000" w:themeColor="text1"/>
          <w:sz w:val="24"/>
          <w:szCs w:val="24"/>
          <w:rtl/>
          <w:lang w:bidi="ar-EG"/>
        </w:rPr>
        <w:t xml:space="preserve"> إطار الحوكمة بما يتماشى مع التطلعات المحددة في رؤية </w:t>
      </w:r>
      <w:r w:rsidR="00AB7872" w:rsidRPr="00545ABB">
        <w:rPr>
          <w:rFonts w:ascii="Traditional Arabic" w:eastAsia="Calibri" w:hAnsi="Traditional Arabic" w:cs="Traditional Arabic"/>
          <w:b/>
          <w:bCs/>
          <w:color w:val="000000" w:themeColor="text1"/>
          <w:sz w:val="24"/>
          <w:szCs w:val="24"/>
          <w:rtl/>
          <w:lang w:bidi="ar-EG"/>
        </w:rPr>
        <w:t>ال سعودية2030، الفعالة</w:t>
      </w:r>
      <w:r w:rsidR="0010712D" w:rsidRPr="00545ABB">
        <w:rPr>
          <w:rFonts w:ascii="Traditional Arabic" w:eastAsia="Calibri" w:hAnsi="Traditional Arabic" w:cs="Traditional Arabic"/>
          <w:b/>
          <w:bCs/>
          <w:color w:val="000000" w:themeColor="text1"/>
          <w:sz w:val="24"/>
          <w:szCs w:val="24"/>
          <w:rtl/>
          <w:lang w:bidi="ar-EG"/>
        </w:rPr>
        <w:t>،</w:t>
      </w:r>
      <w:r w:rsidR="00352581" w:rsidRPr="00545ABB">
        <w:rPr>
          <w:rFonts w:ascii="Traditional Arabic" w:eastAsia="Calibri" w:hAnsi="Traditional Arabic" w:cs="Traditional Arabic"/>
          <w:b/>
          <w:bCs/>
          <w:color w:val="000000" w:themeColor="text1"/>
          <w:sz w:val="24"/>
          <w:szCs w:val="24"/>
          <w:rtl/>
          <w:lang w:bidi="ar-EG"/>
        </w:rPr>
        <w:t xml:space="preserve"> ولا تنحصر </w:t>
      </w:r>
      <w:r w:rsidR="00E3293D" w:rsidRPr="00545ABB">
        <w:rPr>
          <w:rFonts w:ascii="Traditional Arabic" w:eastAsia="Calibri" w:hAnsi="Traditional Arabic" w:cs="Traditional Arabic"/>
          <w:b/>
          <w:bCs/>
          <w:color w:val="000000" w:themeColor="text1"/>
          <w:sz w:val="24"/>
          <w:szCs w:val="24"/>
          <w:rtl/>
          <w:lang w:bidi="ar-EG"/>
        </w:rPr>
        <w:t xml:space="preserve">هذه الجهود المتفانية </w:t>
      </w:r>
      <w:r w:rsidR="00AB7872" w:rsidRPr="00545ABB">
        <w:rPr>
          <w:rFonts w:ascii="Traditional Arabic" w:eastAsia="Calibri" w:hAnsi="Traditional Arabic" w:cs="Traditional Arabic"/>
          <w:b/>
          <w:bCs/>
          <w:color w:val="000000" w:themeColor="text1"/>
          <w:sz w:val="24"/>
          <w:szCs w:val="24"/>
          <w:rtl/>
          <w:lang w:bidi="ar-EG"/>
        </w:rPr>
        <w:t>على</w:t>
      </w:r>
      <w:r w:rsidR="00E3293D" w:rsidRPr="00545ABB">
        <w:rPr>
          <w:rFonts w:ascii="Traditional Arabic" w:eastAsia="Calibri" w:hAnsi="Traditional Arabic" w:cs="Traditional Arabic"/>
          <w:b/>
          <w:bCs/>
          <w:color w:val="000000" w:themeColor="text1"/>
          <w:sz w:val="24"/>
          <w:szCs w:val="24"/>
          <w:rtl/>
          <w:lang w:bidi="ar-EG"/>
        </w:rPr>
        <w:t xml:space="preserve"> استدامة نموذج الأعمال فحسب، بل تعزيز أيضاً </w:t>
      </w:r>
      <w:r w:rsidR="00AB7872" w:rsidRPr="00545ABB">
        <w:rPr>
          <w:rFonts w:ascii="Traditional Arabic" w:eastAsia="Calibri" w:hAnsi="Traditional Arabic" w:cs="Traditional Arabic"/>
          <w:b/>
          <w:bCs/>
          <w:color w:val="000000" w:themeColor="text1"/>
          <w:sz w:val="24"/>
          <w:szCs w:val="24"/>
          <w:rtl/>
          <w:lang w:bidi="ar-EG"/>
        </w:rPr>
        <w:t>على</w:t>
      </w:r>
      <w:r w:rsidR="00E3293D" w:rsidRPr="00545ABB">
        <w:rPr>
          <w:rFonts w:ascii="Traditional Arabic" w:eastAsia="Calibri" w:hAnsi="Traditional Arabic" w:cs="Traditional Arabic"/>
          <w:b/>
          <w:bCs/>
          <w:color w:val="000000" w:themeColor="text1"/>
          <w:sz w:val="24"/>
          <w:szCs w:val="24"/>
          <w:rtl/>
          <w:lang w:bidi="ar-EG"/>
        </w:rPr>
        <w:t xml:space="preserve"> الالتزام باستراتيجية النمو الخاصة بشركات الأمن السيبراني الناشئة</w:t>
      </w:r>
      <w:r w:rsidR="001E4C76" w:rsidRPr="00545ABB">
        <w:rPr>
          <w:rFonts w:ascii="Traditional Arabic" w:eastAsia="Calibri" w:hAnsi="Traditional Arabic" w:cs="Traditional Arabic"/>
          <w:b/>
          <w:bCs/>
          <w:color w:val="000000" w:themeColor="text1"/>
          <w:sz w:val="24"/>
          <w:szCs w:val="24"/>
          <w:rtl/>
          <w:lang w:bidi="ar-EG"/>
        </w:rPr>
        <w:t>. (تقرير الاستدامة، 2023، 21)</w:t>
      </w:r>
    </w:p>
    <w:p w14:paraId="3FE2E394" w14:textId="787897BE" w:rsidR="002C70FF" w:rsidRPr="00545ABB" w:rsidRDefault="002C70FF" w:rsidP="00E4652C">
      <w:pPr>
        <w:pStyle w:val="Heading2"/>
        <w:bidi/>
        <w:rPr>
          <w:rFonts w:ascii="Traditional Arabic" w:eastAsia="Calibri" w:hAnsi="Traditional Arabic" w:cs="Traditional Arabic"/>
          <w:b/>
          <w:bCs/>
          <w:color w:val="000000" w:themeColor="text1"/>
          <w:sz w:val="28"/>
          <w:szCs w:val="28"/>
          <w:rtl/>
          <w:lang w:bidi="ar-EG"/>
        </w:rPr>
      </w:pPr>
      <w:bookmarkStart w:id="9" w:name="_Toc242325181"/>
      <w:r w:rsidRPr="00545ABB">
        <w:rPr>
          <w:rFonts w:ascii="Traditional Arabic" w:eastAsia="Calibri" w:hAnsi="Traditional Arabic" w:cs="Traditional Arabic"/>
          <w:b/>
          <w:bCs/>
          <w:color w:val="000000" w:themeColor="text1"/>
          <w:sz w:val="28"/>
          <w:szCs w:val="28"/>
          <w:rtl/>
          <w:lang w:bidi="ar-EG"/>
        </w:rPr>
        <w:lastRenderedPageBreak/>
        <w:t>مشكلة الدراسة</w:t>
      </w:r>
      <w:bookmarkEnd w:id="9"/>
    </w:p>
    <w:p w14:paraId="78791613"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شهدت بيئة الأعمال خلال السنوات الأخيرة تحولات متسارعة نتيجة التطورات التكنولوجية والتحول الرقمي، وأصبح الاعتماد على التقنيات الرقمية والبيانات والأنظمة الإلكترونية عنصرًا أساسيًا في ممارسة الأنشطة الاقتصادية والإدارية وتقديم الخدمات. وقد صاحب هذا التحول تزايد أهمية الأمن السيبراني باعتباره أحد المكونات الأساسية لحماية المعلومات والأنظمة والبيانات، والمحافظة على استمرارية الأعمال، ومواجهة المخاطر والتهديدات السيبرانية المتنامية</w:t>
      </w:r>
      <w:r w:rsidRPr="00545ABB">
        <w:rPr>
          <w:rFonts w:ascii="Traditional Arabic" w:eastAsia="Times New Roman" w:hAnsi="Traditional Arabic" w:cs="Traditional Arabic"/>
          <w:b/>
          <w:bCs/>
          <w:color w:val="000000" w:themeColor="text1"/>
          <w:sz w:val="24"/>
          <w:szCs w:val="24"/>
        </w:rPr>
        <w:t>.</w:t>
      </w:r>
    </w:p>
    <w:p w14:paraId="5850C07A"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وفي ظل هذه التحولات، برزت الشركات الناشئة باعتبارها أحد المحركات المهمة للابتكار والنمو الاقتصادي، ولا سيما الشركات العاملة في المجالات التقنية والرقمية. وتتميز هذه الشركات بطبيعة خاصة تتسم بسرعة النمو، ومحدودية الموارد، والحاجة إلى التمويل والاستثمار، وارتفاع مستوى المخاطر، والاعتماد على الابتكار والتكنولوجيا، فضلًا عن حاجتها إلى بناء الثقة مع العملاء والمستثمرين وأصحاب المصلحة. ومن ثم، فإن قدرتها على الاستمرار والنمو وتحقيق النجاح المؤسسي ترتبط بدرجة كبيرة بمدى كفاءة ممارساتها الإدارية والتنظيمية وقدرتها على التعامل مع المخاطر المختلفة</w:t>
      </w:r>
      <w:r w:rsidRPr="00545ABB">
        <w:rPr>
          <w:rFonts w:ascii="Traditional Arabic" w:eastAsia="Times New Roman" w:hAnsi="Traditional Arabic" w:cs="Traditional Arabic"/>
          <w:b/>
          <w:bCs/>
          <w:color w:val="000000" w:themeColor="text1"/>
          <w:sz w:val="24"/>
          <w:szCs w:val="24"/>
        </w:rPr>
        <w:t>.</w:t>
      </w:r>
    </w:p>
    <w:p w14:paraId="5CB9802B" w14:textId="400C13EA" w:rsidR="00F37CAD" w:rsidRPr="00732B5F" w:rsidRDefault="00732B5F" w:rsidP="00732B5F">
      <w:pPr>
        <w:spacing w:before="240" w:after="0" w:line="360" w:lineRule="auto"/>
        <w:jc w:val="both"/>
        <w:rPr>
          <w:rFonts w:ascii="Traditional Arabic" w:eastAsia="Times New Roman" w:hAnsi="Traditional Arabic" w:cs="Traditional Arabic"/>
          <w:b/>
          <w:bCs/>
          <w:color w:val="000000" w:themeColor="text1"/>
          <w:sz w:val="24"/>
          <w:szCs w:val="24"/>
          <w:rtl/>
        </w:rPr>
      </w:pPr>
      <w:r w:rsidRPr="00732B5F">
        <w:rPr>
          <w:rFonts w:ascii="Traditional Arabic" w:eastAsia="Times New Roman" w:hAnsi="Traditional Arabic" w:cs="Traditional Arabic"/>
          <w:b/>
          <w:bCs/>
          <w:color w:val="000000" w:themeColor="text1"/>
          <w:sz w:val="24"/>
          <w:szCs w:val="24"/>
          <w:rtl/>
        </w:rPr>
        <w:t xml:space="preserve">وقد شهد قطاع الأمن السيبراني في المملكة العربية السعودية نموًا ملحوظًا خلال السنوات الأخيرة، بما يعكس تنامي أهمية هذا القطاع في دعم الاقتصاد الرقمي وتعزيز القدرة التنافسية للمملكة. ووفقًا لتقرير الهيئة الوطنية للأمن السيبراني حول المؤشرات الاقتصادية الرئيسة لقطاع الأمن السيبراني لعام 2025، بلغ حجم سوق الأمن السيبراني في المملكة نحو (15.2) مليار ريال سعودي، ممثلًا إجمالي الإنفاق على منتجات وخدمات الأمن السيبراني خلال عام 2024، محققًا نموًا بنسبة (14%) مقارنة بعام 2023. كما بلغ إسهام القطاع في الناتج المحلي الإجمالي نحو (18.5) مليار ريال، وهو ما يعكس الأهمية الاقتصادية المتزايدة لقطاع الأمن السيبراني في المملكة (الهيئة الوطنية للأمن السيبراني، </w:t>
      </w:r>
      <w:r w:rsidRPr="00732B5F">
        <w:rPr>
          <w:rFonts w:ascii="Traditional Arabic" w:eastAsia="Times New Roman" w:hAnsi="Traditional Arabic" w:cs="Traditional Arabic"/>
          <w:b/>
          <w:bCs/>
          <w:color w:val="000000" w:themeColor="text1"/>
          <w:sz w:val="24"/>
          <w:szCs w:val="24"/>
        </w:rPr>
        <w:t>2025).</w:t>
      </w:r>
    </w:p>
    <w:p w14:paraId="2A64D4B2" w14:textId="77777777" w:rsidR="00732B5F" w:rsidRPr="00545ABB" w:rsidRDefault="00732B5F" w:rsidP="00CA7C35">
      <w:pPr>
        <w:spacing w:after="0" w:line="360" w:lineRule="auto"/>
        <w:ind w:firstLine="566"/>
        <w:jc w:val="both"/>
        <w:rPr>
          <w:rFonts w:ascii="Traditional Arabic" w:eastAsia="Calibri" w:hAnsi="Traditional Arabic" w:cs="Traditional Arabic"/>
          <w:b/>
          <w:bCs/>
          <w:color w:val="000000" w:themeColor="text1"/>
          <w:sz w:val="24"/>
          <w:szCs w:val="24"/>
          <w:rtl/>
          <w:lang w:bidi="ar-EG"/>
        </w:rPr>
      </w:pPr>
    </w:p>
    <w:p w14:paraId="6D5790EB" w14:textId="0F63EA87" w:rsidR="00CA7C35" w:rsidRPr="00545ABB" w:rsidRDefault="009E1399" w:rsidP="002908C4">
      <w:pPr>
        <w:spacing w:after="0" w:line="360" w:lineRule="auto"/>
        <w:ind w:firstLine="4"/>
        <w:jc w:val="center"/>
        <w:rPr>
          <w:rFonts w:ascii="Traditional Arabic" w:eastAsia="Calibri" w:hAnsi="Traditional Arabic" w:cs="Traditional Arabic"/>
          <w:b/>
          <w:bCs/>
          <w:color w:val="000000" w:themeColor="text1"/>
          <w:sz w:val="24"/>
          <w:szCs w:val="24"/>
          <w:rtl/>
          <w:lang w:bidi="ar-EG"/>
        </w:rPr>
      </w:pPr>
      <w:r w:rsidRPr="009E1399">
        <w:rPr>
          <w:rFonts w:ascii="Traditional Arabic" w:eastAsia="Calibri" w:hAnsi="Traditional Arabic" w:cs="Traditional Arabic"/>
          <w:b/>
          <w:bCs/>
          <w:noProof/>
          <w:color w:val="000000" w:themeColor="text1"/>
          <w:sz w:val="24"/>
          <w:szCs w:val="24"/>
          <w:rtl/>
        </w:rPr>
        <w:lastRenderedPageBreak/>
        <w:drawing>
          <wp:inline distT="0" distB="0" distL="0" distR="0" wp14:anchorId="56959B35" wp14:editId="7B06AE62">
            <wp:extent cx="5943600" cy="4457700"/>
            <wp:effectExtent l="0" t="0" r="0" b="0"/>
            <wp:docPr id="17" name="Picture 17" descr="C:\Users\PC\Downloads\مؤشرات الأمن السيبراني في السعودي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Users\PC\Downloads\مؤشرات الأمن السيبراني في السعودية.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7BB91A13" w14:textId="27F56D6F" w:rsidR="009E1399" w:rsidRDefault="009E1399" w:rsidP="00714EFF">
      <w:pPr>
        <w:spacing w:before="240" w:after="0" w:line="360" w:lineRule="auto"/>
        <w:jc w:val="both"/>
        <w:rPr>
          <w:rtl/>
        </w:rPr>
      </w:pPr>
      <w:r>
        <w:rPr>
          <w:rtl/>
        </w:rPr>
        <w:t>شكل (1-1): مؤشرات حجم سوق الأمن السيبراني وإسهامه في الناتج المحلي الإجمالي في المملكة العربية السعودية</w:t>
      </w:r>
    </w:p>
    <w:p w14:paraId="0D73FF23" w14:textId="6EC16B83" w:rsidR="009E1399" w:rsidRDefault="009E1399" w:rsidP="00714EFF">
      <w:pPr>
        <w:spacing w:before="240" w:after="0" w:line="360" w:lineRule="auto"/>
        <w:jc w:val="both"/>
        <w:rPr>
          <w:rtl/>
        </w:rPr>
      </w:pPr>
      <w:r>
        <w:rPr>
          <w:rtl/>
        </w:rPr>
        <w:t xml:space="preserve">المصدر: الهيئة الوطنية للأمن السيبراني، تقرير المؤشرات الاقتصادية الرئيسة لقطاع الأمن السيبراني في المملكة </w:t>
      </w:r>
      <w:r>
        <w:t>2025.</w:t>
      </w:r>
    </w:p>
    <w:p w14:paraId="0D466A9E" w14:textId="77777777" w:rsidR="002908C4" w:rsidRDefault="002908C4" w:rsidP="00714EFF">
      <w:pPr>
        <w:spacing w:before="240" w:after="0" w:line="360" w:lineRule="auto"/>
        <w:jc w:val="both"/>
        <w:rPr>
          <w:rtl/>
        </w:rPr>
      </w:pPr>
    </w:p>
    <w:p w14:paraId="6B4E0781" w14:textId="69870433" w:rsidR="00714EFF" w:rsidRPr="006F2A72" w:rsidRDefault="00714EFF" w:rsidP="006F2A72">
      <w:pPr>
        <w:spacing w:before="240" w:after="0" w:line="360" w:lineRule="auto"/>
        <w:jc w:val="both"/>
        <w:rPr>
          <w:rFonts w:ascii="Traditional Arabic" w:eastAsia="Times New Roman" w:hAnsi="Traditional Arabic" w:cs="Traditional Arabic"/>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ويمثل هذا التطور في بيئة الشركات الناشئة أحد العوامل التي تزيد من أهمية دراسة الممارسات الإدارية والتنظيمية التي تساعد هذه الشركات على الاستمرار وتحقيق أهدافها، وبصفة خاصة الشركات العاملة في مجال الأمن السيبراني، التي تؤدي دورًا متزايدًا في دعم التحول </w:t>
      </w:r>
      <w:r w:rsidR="00AA429A" w:rsidRPr="00545ABB">
        <w:rPr>
          <w:rFonts w:ascii="Traditional Arabic" w:eastAsia="Times New Roman" w:hAnsi="Traditional Arabic" w:cs="Traditional Arabic" w:hint="cs"/>
          <w:b/>
          <w:bCs/>
          <w:color w:val="000000" w:themeColor="text1"/>
          <w:sz w:val="24"/>
          <w:szCs w:val="24"/>
          <w:rtl/>
        </w:rPr>
        <w:t>الرقمي</w:t>
      </w:r>
      <w:r w:rsidR="00AA429A" w:rsidRPr="00545ABB">
        <w:rPr>
          <w:rFonts w:ascii="Traditional Arabic" w:eastAsia="Times New Roman" w:hAnsi="Traditional Arabic" w:cs="Traditional Arabic" w:hint="eastAsia"/>
          <w:b/>
          <w:bCs/>
          <w:color w:val="000000" w:themeColor="text1"/>
          <w:sz w:val="24"/>
          <w:szCs w:val="24"/>
          <w:rtl/>
        </w:rPr>
        <w:t>،</w:t>
      </w:r>
      <w:r w:rsidRPr="00545ABB">
        <w:rPr>
          <w:rFonts w:ascii="Traditional Arabic" w:eastAsia="Times New Roman" w:hAnsi="Traditional Arabic" w:cs="Traditional Arabic"/>
          <w:b/>
          <w:bCs/>
          <w:color w:val="000000" w:themeColor="text1"/>
          <w:sz w:val="24"/>
          <w:szCs w:val="24"/>
          <w:rtl/>
        </w:rPr>
        <w:t xml:space="preserve"> </w:t>
      </w:r>
      <w:r w:rsidR="00606EBB" w:rsidRPr="00545ABB">
        <w:rPr>
          <w:rFonts w:ascii="Traditional Arabic" w:eastAsia="Times New Roman" w:hAnsi="Traditional Arabic" w:cs="Traditional Arabic" w:hint="cs"/>
          <w:b/>
          <w:bCs/>
          <w:color w:val="000000" w:themeColor="text1"/>
          <w:sz w:val="24"/>
          <w:szCs w:val="24"/>
          <w:rtl/>
        </w:rPr>
        <w:t xml:space="preserve">وحماية الأنظمة </w:t>
      </w:r>
      <w:r w:rsidR="00606EBB" w:rsidRPr="00545ABB">
        <w:rPr>
          <w:rFonts w:ascii="Traditional Arabic" w:eastAsia="Times New Roman" w:hAnsi="Traditional Arabic" w:cs="Traditional Arabic" w:hint="eastAsia"/>
          <w:b/>
          <w:bCs/>
          <w:color w:val="000000" w:themeColor="text1"/>
          <w:sz w:val="24"/>
          <w:szCs w:val="24"/>
          <w:rtl/>
        </w:rPr>
        <w:t>،</w:t>
      </w:r>
      <w:r w:rsidR="009A78AE" w:rsidRPr="00545ABB">
        <w:rPr>
          <w:rFonts w:ascii="Traditional Arabic" w:eastAsia="Times New Roman" w:hAnsi="Traditional Arabic" w:cs="Traditional Arabic" w:hint="cs"/>
          <w:b/>
          <w:bCs/>
          <w:color w:val="000000" w:themeColor="text1"/>
          <w:sz w:val="24"/>
          <w:szCs w:val="24"/>
          <w:rtl/>
        </w:rPr>
        <w:t>والمعلومات</w:t>
      </w:r>
      <w:r w:rsidR="009A78AE" w:rsidRPr="00545ABB">
        <w:rPr>
          <w:rFonts w:ascii="Traditional Arabic" w:eastAsia="Times New Roman" w:hAnsi="Traditional Arabic" w:cs="Traditional Arabic" w:hint="eastAsia"/>
          <w:b/>
          <w:bCs/>
          <w:color w:val="000000" w:themeColor="text1"/>
          <w:sz w:val="24"/>
          <w:szCs w:val="24"/>
          <w:rtl/>
        </w:rPr>
        <w:t>،</w:t>
      </w:r>
      <w:r w:rsidRPr="00545ABB">
        <w:rPr>
          <w:rFonts w:ascii="Traditional Arabic" w:eastAsia="Times New Roman" w:hAnsi="Traditional Arabic" w:cs="Traditional Arabic"/>
          <w:b/>
          <w:bCs/>
          <w:color w:val="000000" w:themeColor="text1"/>
          <w:sz w:val="24"/>
          <w:szCs w:val="24"/>
          <w:rtl/>
        </w:rPr>
        <w:t xml:space="preserve"> والبيانات</w:t>
      </w:r>
      <w:r w:rsidRPr="00545ABB">
        <w:rPr>
          <w:rFonts w:ascii="Traditional Arabic" w:eastAsia="Times New Roman" w:hAnsi="Traditional Arabic" w:cs="Traditional Arabic"/>
          <w:b/>
          <w:bCs/>
          <w:color w:val="000000" w:themeColor="text1"/>
          <w:sz w:val="24"/>
          <w:szCs w:val="24"/>
        </w:rPr>
        <w:t>.</w:t>
      </w:r>
    </w:p>
    <w:p w14:paraId="345AEBEC" w14:textId="403EDEF1" w:rsidR="006F2A72" w:rsidRPr="006F2A72" w:rsidRDefault="006F2A72" w:rsidP="006F2A72">
      <w:pPr>
        <w:pStyle w:val="NormalWeb"/>
        <w:bidi/>
        <w:spacing w:line="360" w:lineRule="auto"/>
        <w:rPr>
          <w:rFonts w:ascii="Traditional Arabic" w:hAnsi="Traditional Arabic" w:cs="Traditional Arabic"/>
          <w:b/>
          <w:bCs/>
          <w:color w:val="000000" w:themeColor="text1"/>
        </w:rPr>
      </w:pPr>
      <w:r>
        <w:rPr>
          <w:rFonts w:ascii="Traditional Arabic" w:hAnsi="Traditional Arabic" w:cs="Traditional Arabic" w:hint="cs"/>
          <w:b/>
          <w:bCs/>
          <w:color w:val="000000" w:themeColor="text1"/>
          <w:rtl/>
        </w:rPr>
        <w:t xml:space="preserve">كما </w:t>
      </w:r>
      <w:r w:rsidRPr="006F2A72">
        <w:rPr>
          <w:rFonts w:ascii="Traditional Arabic" w:hAnsi="Traditional Arabic" w:cs="Traditional Arabic"/>
          <w:b/>
          <w:bCs/>
          <w:color w:val="000000" w:themeColor="text1"/>
          <w:rtl/>
        </w:rPr>
        <w:t>شهدت المملكة العربية السعودية توسعًا متسارعًا في استخدام التقنيات والخدمات الرقمية، بالتوازي مع التطور الكبير في منظومة المدفوعات الإلكترونية والتجارة الرقمية. ويعكس هذا التحول تنامي الاعتماد على البنية التحتية والتطبيقات والمنصات الرقمية في الأنشطة الاقتصادية والخدمية، الأمر الذي يزيد في الوقت ذاته من أهمية حماية الأنظمة والبيانات والمعاملات الرقمية وتعزيز الثقة في البيئة الرقمية</w:t>
      </w:r>
      <w:r w:rsidRPr="006F2A72">
        <w:rPr>
          <w:rFonts w:ascii="Traditional Arabic" w:hAnsi="Traditional Arabic" w:cs="Traditional Arabic"/>
          <w:b/>
          <w:bCs/>
          <w:color w:val="000000" w:themeColor="text1"/>
        </w:rPr>
        <w:t>.</w:t>
      </w:r>
    </w:p>
    <w:p w14:paraId="1F19942E" w14:textId="5E17FE64" w:rsidR="006F2A72" w:rsidRPr="006F2A72" w:rsidRDefault="006F2A72" w:rsidP="006F2A72">
      <w:pPr>
        <w:pStyle w:val="NormalWeb"/>
        <w:bidi/>
        <w:spacing w:line="360" w:lineRule="auto"/>
        <w:rPr>
          <w:rFonts w:ascii="Traditional Arabic" w:hAnsi="Traditional Arabic" w:cs="Traditional Arabic"/>
          <w:b/>
          <w:bCs/>
          <w:color w:val="000000" w:themeColor="text1"/>
        </w:rPr>
      </w:pPr>
      <w:r w:rsidRPr="006F2A72">
        <w:rPr>
          <w:rFonts w:ascii="Traditional Arabic" w:hAnsi="Traditional Arabic" w:cs="Traditional Arabic"/>
          <w:b/>
          <w:bCs/>
          <w:color w:val="000000" w:themeColor="text1"/>
          <w:rtl/>
        </w:rPr>
        <w:lastRenderedPageBreak/>
        <w:t xml:space="preserve">وتشير بيانات البنك المركزي السعودي إلى استمرار النمو في تبني وسائل الدفع الإلكترونية في المملكة؛ إذ بلغت حصة المدفوعات الإلكترونية نحو </w:t>
      </w:r>
      <w:r w:rsidRPr="006F2A72">
        <w:rPr>
          <w:rStyle w:val="Strong"/>
          <w:rFonts w:ascii="Traditional Arabic" w:hAnsi="Traditional Arabic" w:cs="Traditional Arabic"/>
          <w:color w:val="000000" w:themeColor="text1"/>
        </w:rPr>
        <w:t xml:space="preserve">(85%) </w:t>
      </w:r>
      <w:r w:rsidRPr="006F2A72">
        <w:rPr>
          <w:rStyle w:val="Strong"/>
          <w:rFonts w:ascii="Traditional Arabic" w:hAnsi="Traditional Arabic" w:cs="Traditional Arabic"/>
          <w:color w:val="000000" w:themeColor="text1"/>
          <w:rtl/>
        </w:rPr>
        <w:t xml:space="preserve">من إجمالي عمليات الدفع للأفراد خلال عام </w:t>
      </w:r>
      <w:r w:rsidRPr="006F2A72">
        <w:rPr>
          <w:rStyle w:val="Strong"/>
          <w:rFonts w:ascii="Traditional Arabic" w:hAnsi="Traditional Arabic" w:cs="Traditional Arabic"/>
          <w:color w:val="000000" w:themeColor="text1"/>
        </w:rPr>
        <w:t>2025</w:t>
      </w:r>
      <w:r w:rsidRPr="006F2A72">
        <w:rPr>
          <w:rFonts w:ascii="Traditional Arabic" w:hAnsi="Traditional Arabic" w:cs="Traditional Arabic"/>
          <w:b/>
          <w:bCs/>
          <w:color w:val="000000" w:themeColor="text1"/>
          <w:rtl/>
        </w:rPr>
        <w:t xml:space="preserve">، مقارنة بنحو </w:t>
      </w:r>
      <w:r w:rsidRPr="006F2A72">
        <w:rPr>
          <w:rStyle w:val="Strong"/>
          <w:rFonts w:ascii="Traditional Arabic" w:hAnsi="Traditional Arabic" w:cs="Traditional Arabic"/>
          <w:color w:val="000000" w:themeColor="text1"/>
        </w:rPr>
        <w:t xml:space="preserve">(79%) </w:t>
      </w:r>
      <w:r w:rsidRPr="006F2A72">
        <w:rPr>
          <w:rStyle w:val="Strong"/>
          <w:rFonts w:ascii="Traditional Arabic" w:hAnsi="Traditional Arabic" w:cs="Traditional Arabic"/>
          <w:color w:val="000000" w:themeColor="text1"/>
          <w:rtl/>
        </w:rPr>
        <w:t xml:space="preserve">في عام </w:t>
      </w:r>
      <w:r w:rsidRPr="006F2A72">
        <w:rPr>
          <w:rStyle w:val="Strong"/>
          <w:rFonts w:ascii="Traditional Arabic" w:hAnsi="Traditional Arabic" w:cs="Traditional Arabic"/>
          <w:color w:val="000000" w:themeColor="text1"/>
        </w:rPr>
        <w:t>2024</w:t>
      </w:r>
      <w:r w:rsidRPr="006F2A72">
        <w:rPr>
          <w:rFonts w:ascii="Traditional Arabic" w:hAnsi="Traditional Arabic" w:cs="Traditional Arabic"/>
          <w:b/>
          <w:bCs/>
          <w:color w:val="000000" w:themeColor="text1"/>
        </w:rPr>
        <w:t xml:space="preserve">. </w:t>
      </w:r>
      <w:r w:rsidRPr="006F2A72">
        <w:rPr>
          <w:rFonts w:ascii="Traditional Arabic" w:hAnsi="Traditional Arabic" w:cs="Traditional Arabic"/>
          <w:b/>
          <w:bCs/>
          <w:color w:val="000000" w:themeColor="text1"/>
          <w:rtl/>
        </w:rPr>
        <w:t xml:space="preserve">كما بلغ عدد عمليات الدفع الإلكترونية المنفذة من خلال أنظمة المدفوعات الوطنية نحو </w:t>
      </w:r>
      <w:r w:rsidRPr="006F2A72">
        <w:rPr>
          <w:rStyle w:val="Strong"/>
          <w:rFonts w:ascii="Traditional Arabic" w:hAnsi="Traditional Arabic" w:cs="Traditional Arabic"/>
          <w:color w:val="000000" w:themeColor="text1"/>
        </w:rPr>
        <w:t xml:space="preserve">(14.6) </w:t>
      </w:r>
      <w:r w:rsidRPr="006F2A72">
        <w:rPr>
          <w:rStyle w:val="Strong"/>
          <w:rFonts w:ascii="Traditional Arabic" w:hAnsi="Traditional Arabic" w:cs="Traditional Arabic"/>
          <w:color w:val="000000" w:themeColor="text1"/>
          <w:rtl/>
        </w:rPr>
        <w:t xml:space="preserve">مليار عملية خلال عام </w:t>
      </w:r>
      <w:r w:rsidRPr="006F2A72">
        <w:rPr>
          <w:rStyle w:val="Strong"/>
          <w:rFonts w:ascii="Traditional Arabic" w:hAnsi="Traditional Arabic" w:cs="Traditional Arabic"/>
          <w:color w:val="000000" w:themeColor="text1"/>
        </w:rPr>
        <w:t>2025</w:t>
      </w:r>
      <w:r w:rsidRPr="006F2A72">
        <w:rPr>
          <w:rFonts w:ascii="Traditional Arabic" w:hAnsi="Traditional Arabic" w:cs="Traditional Arabic"/>
          <w:b/>
          <w:bCs/>
          <w:color w:val="000000" w:themeColor="text1"/>
          <w:rtl/>
        </w:rPr>
        <w:t xml:space="preserve">، مقارنة بنحو </w:t>
      </w:r>
      <w:r w:rsidRPr="006F2A72">
        <w:rPr>
          <w:rStyle w:val="Strong"/>
          <w:rFonts w:ascii="Traditional Arabic" w:hAnsi="Traditional Arabic" w:cs="Traditional Arabic"/>
          <w:color w:val="000000" w:themeColor="text1"/>
        </w:rPr>
        <w:t xml:space="preserve">(12.6) </w:t>
      </w:r>
      <w:r w:rsidRPr="006F2A72">
        <w:rPr>
          <w:rStyle w:val="Strong"/>
          <w:rFonts w:ascii="Traditional Arabic" w:hAnsi="Traditional Arabic" w:cs="Traditional Arabic"/>
          <w:color w:val="000000" w:themeColor="text1"/>
          <w:rtl/>
        </w:rPr>
        <w:t xml:space="preserve">مليار عملية خلال عام </w:t>
      </w:r>
      <w:r w:rsidRPr="006F2A72">
        <w:rPr>
          <w:rStyle w:val="Strong"/>
          <w:rFonts w:ascii="Traditional Arabic" w:hAnsi="Traditional Arabic" w:cs="Traditional Arabic"/>
          <w:color w:val="000000" w:themeColor="text1"/>
        </w:rPr>
        <w:t>2024</w:t>
      </w:r>
      <w:r w:rsidRPr="006F2A72">
        <w:rPr>
          <w:rFonts w:ascii="Traditional Arabic" w:hAnsi="Traditional Arabic" w:cs="Traditional Arabic"/>
          <w:b/>
          <w:bCs/>
          <w:color w:val="000000" w:themeColor="text1"/>
          <w:rtl/>
        </w:rPr>
        <w:t xml:space="preserve">، بما يعكس استمرار التحول نحو مجتمع واقتصاد أكثر اعتمادًا على الخدمات والمعاملات الرقمية (البنك المركزي السعودي، </w:t>
      </w:r>
      <w:r w:rsidRPr="006F2A72">
        <w:rPr>
          <w:rFonts w:ascii="Traditional Arabic" w:hAnsi="Traditional Arabic" w:cs="Traditional Arabic"/>
          <w:b/>
          <w:bCs/>
          <w:color w:val="000000" w:themeColor="text1"/>
        </w:rPr>
        <w:t>2026</w:t>
      </w:r>
      <w:r>
        <w:rPr>
          <w:rFonts w:ascii="Traditional Arabic" w:hAnsi="Traditional Arabic" w:cs="Traditional Arabic" w:hint="cs"/>
          <w:b/>
          <w:bCs/>
          <w:color w:val="000000" w:themeColor="text1"/>
          <w:rtl/>
        </w:rPr>
        <w:t>)</w:t>
      </w:r>
      <w:r w:rsidRPr="006F2A72">
        <w:rPr>
          <w:rFonts w:ascii="Traditional Arabic" w:hAnsi="Traditional Arabic" w:cs="Traditional Arabic"/>
          <w:b/>
          <w:bCs/>
          <w:color w:val="000000" w:themeColor="text1"/>
        </w:rPr>
        <w:t xml:space="preserve">. </w:t>
      </w:r>
    </w:p>
    <w:p w14:paraId="33565B37" w14:textId="77777777" w:rsidR="006F2A72" w:rsidRPr="006F2A72" w:rsidRDefault="006F2A72" w:rsidP="006F2A72">
      <w:pPr>
        <w:pStyle w:val="NormalWeb"/>
        <w:bidi/>
        <w:spacing w:line="360" w:lineRule="auto"/>
        <w:rPr>
          <w:rFonts w:ascii="Traditional Arabic" w:hAnsi="Traditional Arabic" w:cs="Traditional Arabic"/>
          <w:b/>
          <w:bCs/>
          <w:color w:val="000000" w:themeColor="text1"/>
        </w:rPr>
      </w:pPr>
      <w:r w:rsidRPr="006F2A72">
        <w:rPr>
          <w:rFonts w:ascii="Traditional Arabic" w:hAnsi="Traditional Arabic" w:cs="Traditional Arabic"/>
          <w:b/>
          <w:bCs/>
          <w:color w:val="000000" w:themeColor="text1"/>
          <w:rtl/>
        </w:rPr>
        <w:t xml:space="preserve">ويبين الشكل </w:t>
      </w:r>
      <w:r w:rsidRPr="006F2A72">
        <w:rPr>
          <w:rStyle w:val="Strong"/>
          <w:rFonts w:ascii="Traditional Arabic" w:hAnsi="Traditional Arabic" w:cs="Traditional Arabic"/>
          <w:color w:val="000000" w:themeColor="text1"/>
        </w:rPr>
        <w:t>(1-2)</w:t>
      </w:r>
      <w:r w:rsidRPr="006F2A72">
        <w:rPr>
          <w:rFonts w:ascii="Traditional Arabic" w:hAnsi="Traditional Arabic" w:cs="Traditional Arabic"/>
          <w:b/>
          <w:bCs/>
          <w:color w:val="000000" w:themeColor="text1"/>
        </w:rPr>
        <w:t xml:space="preserve"> </w:t>
      </w:r>
      <w:r w:rsidRPr="006F2A72">
        <w:rPr>
          <w:rFonts w:ascii="Traditional Arabic" w:hAnsi="Traditional Arabic" w:cs="Traditional Arabic"/>
          <w:b/>
          <w:bCs/>
          <w:color w:val="000000" w:themeColor="text1"/>
          <w:rtl/>
        </w:rPr>
        <w:t>جانبًا من تطور استخدام المدفوعات الإلكترونية في المملكة العربية السعودية، بما يعكس اتساع نطاق النشاط الرقمي وارتفاع الاعتماد على الخدمات الإلكترونية، وهو ما يرتبط بصورة مباشرة بتنامي الحاجة إلى تعزيز الأمن السيبراني وحماية البيانات والأنظمة والبنى التحتية الرقمية</w:t>
      </w:r>
      <w:r w:rsidRPr="006F2A72">
        <w:rPr>
          <w:rFonts w:ascii="Traditional Arabic" w:hAnsi="Traditional Arabic" w:cs="Traditional Arabic"/>
          <w:b/>
          <w:bCs/>
          <w:color w:val="000000" w:themeColor="text1"/>
        </w:rPr>
        <w:t>.</w:t>
      </w:r>
    </w:p>
    <w:p w14:paraId="64078AD4" w14:textId="77777777" w:rsidR="006F2A72" w:rsidRDefault="006F2A72" w:rsidP="006F2A72">
      <w:pPr>
        <w:pStyle w:val="NormalWeb"/>
        <w:bidi/>
        <w:spacing w:line="360" w:lineRule="auto"/>
        <w:rPr>
          <w:rStyle w:val="Strong"/>
          <w:rFonts w:ascii="Traditional Arabic" w:hAnsi="Traditional Arabic" w:cs="Traditional Arabic"/>
          <w:color w:val="000000" w:themeColor="text1"/>
          <w:rtl/>
        </w:rPr>
      </w:pPr>
      <w:r w:rsidRPr="006F2A72">
        <w:rPr>
          <w:rFonts w:ascii="Traditional Arabic" w:eastAsiaTheme="majorEastAsia" w:hAnsi="Traditional Arabic" w:cs="Traditional Arabic"/>
          <w:b/>
          <w:bCs/>
          <w:noProof/>
          <w:color w:val="000000" w:themeColor="text1"/>
          <w:kern w:val="2"/>
          <w:rtl/>
          <w14:ligatures w14:val="standardContextual"/>
        </w:rPr>
        <w:drawing>
          <wp:inline distT="0" distB="0" distL="0" distR="0" wp14:anchorId="29B38A20" wp14:editId="307F0AAE">
            <wp:extent cx="5346700" cy="4010025"/>
            <wp:effectExtent l="0" t="0" r="6350" b="9525"/>
            <wp:docPr id="18" name="Picture 18" descr="C:\Users\PC\Desktop\PHD\updated\الرسالة النهائية\مؤشرات نمو المدفوعات الإلكترونية بالسعودي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Users\PC\Desktop\PHD\updated\الرسالة النهائية\مؤشرات نمو المدفوعات الإلكترونية بالسعودية.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49127" cy="4011845"/>
                    </a:xfrm>
                    <a:prstGeom prst="rect">
                      <a:avLst/>
                    </a:prstGeom>
                    <a:noFill/>
                    <a:ln>
                      <a:noFill/>
                    </a:ln>
                  </pic:spPr>
                </pic:pic>
              </a:graphicData>
            </a:graphic>
          </wp:inline>
        </w:drawing>
      </w:r>
    </w:p>
    <w:p w14:paraId="3DF30CED" w14:textId="0BDBACA5" w:rsidR="006F2A72" w:rsidRPr="006F2A72" w:rsidRDefault="006F2A72" w:rsidP="006F2A72">
      <w:pPr>
        <w:pStyle w:val="NormalWeb"/>
        <w:bidi/>
        <w:spacing w:line="360" w:lineRule="auto"/>
        <w:rPr>
          <w:rStyle w:val="Strong"/>
          <w:rFonts w:ascii="Traditional Arabic" w:hAnsi="Traditional Arabic" w:cs="Traditional Arabic"/>
          <w:color w:val="000000" w:themeColor="text1"/>
          <w:rtl/>
        </w:rPr>
      </w:pPr>
      <w:r w:rsidRPr="006F2A72">
        <w:rPr>
          <w:rStyle w:val="Strong"/>
          <w:rFonts w:ascii="Traditional Arabic" w:hAnsi="Traditional Arabic" w:cs="Traditional Arabic"/>
          <w:color w:val="000000" w:themeColor="text1"/>
          <w:rtl/>
        </w:rPr>
        <w:t>شكل (1-2): مؤشرات نمو المدفوعات الإلكترونية في المملكة العربية السعودية</w:t>
      </w:r>
    </w:p>
    <w:p w14:paraId="10C1F217" w14:textId="51838786" w:rsidR="006F2A72" w:rsidRPr="006F2A72" w:rsidRDefault="006F2A72" w:rsidP="006F2A72">
      <w:pPr>
        <w:pStyle w:val="NormalWeb"/>
        <w:bidi/>
        <w:spacing w:line="360" w:lineRule="auto"/>
        <w:rPr>
          <w:rFonts w:ascii="Traditional Arabic" w:hAnsi="Traditional Arabic" w:cs="Traditional Arabic"/>
          <w:b/>
          <w:bCs/>
          <w:color w:val="000000" w:themeColor="text1"/>
        </w:rPr>
      </w:pPr>
      <w:r w:rsidRPr="006F2A72">
        <w:rPr>
          <w:rStyle w:val="Strong"/>
          <w:rFonts w:ascii="Traditional Arabic" w:hAnsi="Traditional Arabic" w:cs="Traditional Arabic"/>
          <w:color w:val="000000" w:themeColor="text1"/>
          <w:rtl/>
        </w:rPr>
        <w:t>المصدر: إعداد الباحث بالاعتماد على بيانات البنك المركزي السعودي</w:t>
      </w:r>
      <w:r w:rsidRPr="006F2A72">
        <w:rPr>
          <w:rStyle w:val="Strong"/>
          <w:rFonts w:ascii="Traditional Arabic" w:hAnsi="Traditional Arabic" w:cs="Traditional Arabic"/>
          <w:color w:val="000000" w:themeColor="text1"/>
        </w:rPr>
        <w:t xml:space="preserve"> (SAMA)</w:t>
      </w:r>
      <w:r w:rsidRPr="006F2A72">
        <w:rPr>
          <w:rStyle w:val="Strong"/>
          <w:rFonts w:ascii="Traditional Arabic" w:hAnsi="Traditional Arabic" w:cs="Traditional Arabic"/>
          <w:color w:val="000000" w:themeColor="text1"/>
          <w:rtl/>
        </w:rPr>
        <w:t xml:space="preserve">، مؤشرات المدفوعات الإلكترونية لعام </w:t>
      </w:r>
      <w:r w:rsidRPr="006F2A72">
        <w:rPr>
          <w:rStyle w:val="Strong"/>
          <w:rFonts w:ascii="Traditional Arabic" w:hAnsi="Traditional Arabic" w:cs="Traditional Arabic"/>
          <w:color w:val="000000" w:themeColor="text1"/>
        </w:rPr>
        <w:t>2025.</w:t>
      </w:r>
    </w:p>
    <w:p w14:paraId="3F0B46ED" w14:textId="77777777" w:rsidR="006F2A72" w:rsidRPr="006F2A72" w:rsidRDefault="006F2A72" w:rsidP="006F2A72">
      <w:pPr>
        <w:pStyle w:val="NormalWeb"/>
        <w:bidi/>
        <w:spacing w:line="360" w:lineRule="auto"/>
        <w:rPr>
          <w:rFonts w:ascii="Traditional Arabic" w:hAnsi="Traditional Arabic" w:cs="Traditional Arabic"/>
          <w:b/>
          <w:bCs/>
          <w:color w:val="000000" w:themeColor="text1"/>
        </w:rPr>
      </w:pPr>
      <w:r w:rsidRPr="006F2A72">
        <w:rPr>
          <w:rStyle w:val="Strong"/>
          <w:rFonts w:ascii="Traditional Arabic" w:hAnsi="Traditional Arabic" w:cs="Traditional Arabic"/>
          <w:color w:val="000000" w:themeColor="text1"/>
          <w:rtl/>
        </w:rPr>
        <w:lastRenderedPageBreak/>
        <w:t>ويعكس هذا النمو في المعاملات والمدفوعات الرقمية اتساع البيئة الرقمية في المملكة، وما يصاحب ذلك من زيادة في حجم البيانات والتطبيقات والأنظمة والخدمات الإلكترونية التي تحتاج إلى الحماية. ومن ثم، تتزايد أهمية قطاع الأمن السيبراني والشركات العاملة فيه، وبصفة خاصة شركات الأمن السيبراني الناشئة التي تؤدي دورًا مهمًا في تطوير الحلول والخدمات السيبرانية وتقديم التقنيات والاستشارات اللازمة لمواجهة المخاطر والتهديدات الرقمية</w:t>
      </w:r>
      <w:r w:rsidRPr="006F2A72">
        <w:rPr>
          <w:rStyle w:val="Strong"/>
          <w:rFonts w:ascii="Traditional Arabic" w:hAnsi="Traditional Arabic" w:cs="Traditional Arabic"/>
          <w:color w:val="000000" w:themeColor="text1"/>
        </w:rPr>
        <w:t>.</w:t>
      </w:r>
    </w:p>
    <w:p w14:paraId="5755F2FD" w14:textId="35A7D1DD" w:rsidR="006F2A72" w:rsidRPr="006F2A72" w:rsidRDefault="006F2A72" w:rsidP="006F2A72">
      <w:pPr>
        <w:pStyle w:val="NormalWeb"/>
        <w:bidi/>
        <w:spacing w:line="360" w:lineRule="auto"/>
        <w:rPr>
          <w:rFonts w:ascii="Traditional Arabic" w:hAnsi="Traditional Arabic" w:cs="Traditional Arabic"/>
          <w:b/>
          <w:bCs/>
          <w:color w:val="000000" w:themeColor="text1"/>
          <w:rtl/>
        </w:rPr>
      </w:pPr>
      <w:r w:rsidRPr="006F2A72">
        <w:rPr>
          <w:rStyle w:val="Strong"/>
          <w:rFonts w:ascii="Traditional Arabic" w:hAnsi="Traditional Arabic" w:cs="Traditional Arabic"/>
          <w:color w:val="000000" w:themeColor="text1"/>
          <w:rtl/>
        </w:rPr>
        <w:t>وفي الوقت نفسه، تفرض طبيعة نشاط هذه الشركات تحديات إضافية تتعلق بسرعة التغير التقني، والالتزام بالمتطلبات التنظيمية، وإدارة المخاطر، واستقطاب الكفاءات المتخصصة، والمحافظة على ثقة العملاء وأصحاب المصلحة، إلى جانب تحديات النمو والتمويل والمنافسة. وهو ما يعزز أهمية تبني ممارسات حوكمة فعالة تساعد هذه الشركات على تحقيق التوازن بين الابتكار والنمو من جهة، والرقابة وإدارة المخاطر والاستدامة المؤسسية من جهة أخرى</w:t>
      </w:r>
      <w:r w:rsidRPr="006F2A72">
        <w:rPr>
          <w:rStyle w:val="Strong"/>
          <w:rFonts w:ascii="Traditional Arabic" w:hAnsi="Traditional Arabic" w:cs="Traditional Arabic"/>
          <w:color w:val="000000" w:themeColor="text1"/>
        </w:rPr>
        <w:t>.</w:t>
      </w:r>
    </w:p>
    <w:p w14:paraId="3116634A" w14:textId="498390C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وفي هذا السياق، تبرز الحوكمة الفعالة باعتبارها أحد المداخل المهمة التي يمكن أن تساعد الشركات الناشئة على تنظيم أعمالها وتحسين عمليات اتخاذ القرار وتحديد المسؤوليات والصلاحيات وتعزيز الشفافية والمساءلة والرقابة وإدارة المخاطر. وقد أشارت الأدبيات التي اعتمدت عليها الدراسة إلى أهمية ممارسات الحوكمة في الحد من الممارسات الإدارية غير الملائمة وتعزيز حماية أصحاب المصلحة، وهو ما تناولته دراسة </w:t>
      </w:r>
      <w:r w:rsidR="00CA7C35" w:rsidRPr="00545ABB">
        <w:rPr>
          <w:rFonts w:ascii="Traditional Arabic" w:eastAsia="Times New Roman" w:hAnsi="Traditional Arabic" w:cs="Traditional Arabic"/>
          <w:b/>
          <w:bCs/>
          <w:color w:val="000000" w:themeColor="text1"/>
          <w:sz w:val="24"/>
          <w:szCs w:val="24"/>
        </w:rPr>
        <w:t>(</w:t>
      </w:r>
      <w:r w:rsidRPr="00545ABB">
        <w:rPr>
          <w:rFonts w:ascii="Traditional Arabic" w:eastAsia="Times New Roman" w:hAnsi="Traditional Arabic" w:cs="Traditional Arabic"/>
          <w:b/>
          <w:bCs/>
          <w:color w:val="000000" w:themeColor="text1"/>
          <w:sz w:val="24"/>
          <w:szCs w:val="24"/>
        </w:rPr>
        <w:t xml:space="preserve">Jiang et al 2008) </w:t>
      </w:r>
      <w:r w:rsidR="00CA7C35" w:rsidRPr="00545ABB">
        <w:rPr>
          <w:rFonts w:ascii="Traditional Arabic" w:eastAsia="Times New Roman" w:hAnsi="Traditional Arabic" w:cs="Traditional Arabic"/>
          <w:b/>
          <w:bCs/>
          <w:color w:val="000000" w:themeColor="text1"/>
          <w:sz w:val="24"/>
          <w:szCs w:val="24"/>
        </w:rPr>
        <w:t xml:space="preserve"> </w:t>
      </w:r>
      <w:r w:rsidR="00CA7C35" w:rsidRPr="00545ABB">
        <w:rPr>
          <w:rFonts w:ascii="Traditional Arabic" w:eastAsia="Times New Roman" w:hAnsi="Traditional Arabic" w:cs="Traditional Arabic"/>
          <w:b/>
          <w:bCs/>
          <w:color w:val="000000" w:themeColor="text1"/>
          <w:sz w:val="24"/>
          <w:szCs w:val="24"/>
          <w:rtl/>
          <w:lang w:bidi="ar-EG"/>
        </w:rPr>
        <w:t xml:space="preserve"> </w:t>
      </w:r>
      <w:r w:rsidRPr="00545ABB">
        <w:rPr>
          <w:rFonts w:ascii="Traditional Arabic" w:eastAsia="Times New Roman" w:hAnsi="Traditional Arabic" w:cs="Traditional Arabic"/>
          <w:b/>
          <w:bCs/>
          <w:color w:val="000000" w:themeColor="text1"/>
          <w:sz w:val="24"/>
          <w:szCs w:val="24"/>
          <w:rtl/>
        </w:rPr>
        <w:t>في بحث العلاقة بين حوكمة الشركات وتركيز الملكية والإفصاح ونظم الرقابة الداخلية</w:t>
      </w:r>
      <w:r w:rsidRPr="00545ABB">
        <w:rPr>
          <w:rFonts w:ascii="Traditional Arabic" w:eastAsia="Times New Roman" w:hAnsi="Traditional Arabic" w:cs="Traditional Arabic"/>
          <w:b/>
          <w:bCs/>
          <w:color w:val="000000" w:themeColor="text1"/>
          <w:sz w:val="24"/>
          <w:szCs w:val="24"/>
        </w:rPr>
        <w:t xml:space="preserve">. </w:t>
      </w:r>
    </w:p>
    <w:p w14:paraId="42EBC9E7" w14:textId="7E51A7E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كما أن حوكمة الأمن السيبراني لا تقتصر على الجانب الفني المرتبط بحماية الأنظمة والمعلومات، وإنما تمتد إلى الجوانب الإدارية والتنظيمية والاستراتيجية، من خلال وضع السياسات وتحديد المسؤوليات والصلاحيات وإدارة المخاطر والرقابة وضمان توافق ممارسات الأمن السيبراني مع أهداف المؤسسة واستراتيجيتها. وفي هذا الصدد، أكدت </w:t>
      </w:r>
      <w:r w:rsidR="0081179A" w:rsidRPr="00545ABB">
        <w:rPr>
          <w:rFonts w:ascii="Traditional Arabic" w:eastAsia="Times New Roman" w:hAnsi="Traditional Arabic" w:cs="Traditional Arabic"/>
          <w:b/>
          <w:bCs/>
          <w:color w:val="000000" w:themeColor="text1"/>
          <w:sz w:val="24"/>
          <w:szCs w:val="24"/>
        </w:rPr>
        <w:t>Nigro, 2020</w:t>
      </w:r>
      <w:r w:rsidR="00CA7C35" w:rsidRPr="00545ABB">
        <w:rPr>
          <w:rFonts w:ascii="Traditional Arabic" w:eastAsia="Times New Roman" w:hAnsi="Traditional Arabic" w:cs="Traditional Arabic"/>
          <w:b/>
          <w:bCs/>
          <w:color w:val="000000" w:themeColor="text1"/>
          <w:sz w:val="24"/>
          <w:szCs w:val="24"/>
        </w:rPr>
        <w:t>)</w:t>
      </w:r>
      <w:r w:rsidR="00CA7C35" w:rsidRPr="00545ABB">
        <w:rPr>
          <w:rFonts w:ascii="Traditional Arabic" w:eastAsia="Times New Roman" w:hAnsi="Traditional Arabic" w:cs="Traditional Arabic"/>
          <w:b/>
          <w:bCs/>
          <w:color w:val="000000" w:themeColor="text1"/>
          <w:sz w:val="24"/>
          <w:szCs w:val="24"/>
          <w:rtl/>
        </w:rPr>
        <w:t xml:space="preserve"> </w:t>
      </w:r>
      <w:r w:rsidRPr="00545ABB">
        <w:rPr>
          <w:rFonts w:ascii="Traditional Arabic" w:eastAsia="Times New Roman" w:hAnsi="Traditional Arabic" w:cs="Traditional Arabic"/>
          <w:b/>
          <w:bCs/>
          <w:color w:val="000000" w:themeColor="text1"/>
          <w:sz w:val="24"/>
          <w:szCs w:val="24"/>
        </w:rPr>
        <w:t xml:space="preserve"> </w:t>
      </w:r>
      <w:r w:rsidR="00CA7C35" w:rsidRPr="00545ABB">
        <w:rPr>
          <w:rFonts w:ascii="Traditional Arabic" w:eastAsia="Times New Roman" w:hAnsi="Traditional Arabic" w:cs="Traditional Arabic"/>
          <w:b/>
          <w:bCs/>
          <w:color w:val="000000" w:themeColor="text1"/>
          <w:sz w:val="24"/>
          <w:szCs w:val="24"/>
        </w:rPr>
        <w:t>(</w:t>
      </w:r>
      <w:r w:rsidRPr="00545ABB">
        <w:rPr>
          <w:rFonts w:ascii="Traditional Arabic" w:eastAsia="Times New Roman" w:hAnsi="Traditional Arabic" w:cs="Traditional Arabic"/>
          <w:b/>
          <w:bCs/>
          <w:color w:val="000000" w:themeColor="text1"/>
          <w:sz w:val="24"/>
          <w:szCs w:val="24"/>
          <w:rtl/>
        </w:rPr>
        <w:t>أهمية التزام الإدارة العليا بالأمن السيبراني باعتباره أولوية مؤسسية، وضرورة أن تعكس السياسات والإجراءات هذا التوجه بما يضمن مواءمة حوكمة الأمن السيبراني مع أهداف واستراتيجية المؤسسة</w:t>
      </w:r>
      <w:r w:rsidRPr="00545ABB">
        <w:rPr>
          <w:rFonts w:ascii="Traditional Arabic" w:eastAsia="Times New Roman" w:hAnsi="Traditional Arabic" w:cs="Traditional Arabic"/>
          <w:b/>
          <w:bCs/>
          <w:color w:val="000000" w:themeColor="text1"/>
          <w:sz w:val="24"/>
          <w:szCs w:val="24"/>
        </w:rPr>
        <w:t xml:space="preserve">. </w:t>
      </w:r>
    </w:p>
    <w:p w14:paraId="6AAD6959"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وتزداد أهمية الحوكمة بالنسبة إلى شركات الأمن السيبراني الناشئة بالنظر إلى دورها في بناء الثقة مع العملاء والأطراف الخارجية، وحماية المعلومات والبيانات، وتقليل المخاطر التي قد تؤثر في سمعة الشركة واستمرارية عملياتها. كما يمكن للممارسات الحوكمية الفعالة أن تساعد هذه الشركات على تحسين الرقابة وإدارة المخاطر وتعزيز الثقة في تعاملاتها مع أصحاب المصلحة، وهي جوانب تناولتها الدراسة الحالية ضمن أبعاد الحوكمة وعلاقتها بجذب الاستثمار وبناء الثقة</w:t>
      </w:r>
      <w:r w:rsidRPr="00545ABB">
        <w:rPr>
          <w:rFonts w:ascii="Traditional Arabic" w:eastAsia="Times New Roman" w:hAnsi="Traditional Arabic" w:cs="Traditional Arabic"/>
          <w:b/>
          <w:bCs/>
          <w:color w:val="000000" w:themeColor="text1"/>
          <w:sz w:val="24"/>
          <w:szCs w:val="24"/>
        </w:rPr>
        <w:t xml:space="preserve">. </w:t>
      </w:r>
    </w:p>
    <w:p w14:paraId="19AF71A5" w14:textId="7ED13B7E"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lastRenderedPageBreak/>
        <w:t>وفي المملكة العربية السعودية، اكتسبت الحوكمة أهمية متزايدة في ظل التوجهات الاستراتيجية للمملكة، ولا سيما رؤية السعودية 2030 التي أكدت أهمية رفع كفاءة الأداء وتعزيز الشفافية والمساءلة وتحديد المسؤوليات وتحسين البيئة المؤسسية. وقد تناولت الدراسة الحالية ارتباط الحوكمة بمستهدفات رؤية المملكة 2030، وأشارت إلى تضمين الرؤية لمبادئ الشفافية والإفصاح والمساءلة وتعزيز حوكمة العمل</w:t>
      </w:r>
      <w:r w:rsidR="00CA7C35" w:rsidRPr="00545ABB">
        <w:rPr>
          <w:rFonts w:ascii="Traditional Arabic" w:eastAsia="Times New Roman" w:hAnsi="Traditional Arabic" w:cs="Traditional Arabic"/>
          <w:b/>
          <w:bCs/>
          <w:color w:val="000000" w:themeColor="text1"/>
          <w:sz w:val="24"/>
          <w:szCs w:val="24"/>
          <w:rtl/>
        </w:rPr>
        <w:t>(</w:t>
      </w:r>
      <w:r w:rsidRPr="00545ABB">
        <w:rPr>
          <w:rFonts w:ascii="Traditional Arabic" w:eastAsia="Times New Roman" w:hAnsi="Traditional Arabic" w:cs="Traditional Arabic"/>
          <w:b/>
          <w:bCs/>
          <w:color w:val="000000" w:themeColor="text1"/>
          <w:sz w:val="24"/>
          <w:szCs w:val="24"/>
          <w:rtl/>
        </w:rPr>
        <w:t>رؤية المملكة العربية السعودية 2030، 2016</w:t>
      </w:r>
      <w:r w:rsidR="00CA7C35" w:rsidRPr="00545ABB">
        <w:rPr>
          <w:rFonts w:ascii="Traditional Arabic" w:eastAsia="Times New Roman" w:hAnsi="Traditional Arabic" w:cs="Traditional Arabic"/>
          <w:b/>
          <w:bCs/>
          <w:color w:val="000000" w:themeColor="text1"/>
          <w:sz w:val="24"/>
          <w:szCs w:val="24"/>
          <w:rtl/>
        </w:rPr>
        <w:t>).</w:t>
      </w:r>
      <w:r w:rsidRPr="00545ABB">
        <w:rPr>
          <w:rFonts w:ascii="Traditional Arabic" w:eastAsia="Times New Roman" w:hAnsi="Traditional Arabic" w:cs="Traditional Arabic"/>
          <w:b/>
          <w:bCs/>
          <w:color w:val="000000" w:themeColor="text1"/>
          <w:sz w:val="24"/>
          <w:szCs w:val="24"/>
        </w:rPr>
        <w:t xml:space="preserve"> </w:t>
      </w:r>
    </w:p>
    <w:p w14:paraId="7AA79982"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وعلى الرغم من تزايد الاهتمام بالحوكمة والأمن السيبراني وتطور البيئة التنظيمية في المملكة، فإن شركات الأمن السيبراني الناشئة تواجه حاجة مستمرة إلى تطوير ممارسات حوكمة تتناسب مع طبيعة نشاطها ومرحلة نموها، وتساعدها على تحقيق التوازن بين متطلبات الابتكار وسرعة النمو من جهة، ومتطلبات الرقابة وإدارة المخاطر وحماية المعلومات والامتثال من جهة أخرى</w:t>
      </w:r>
      <w:r w:rsidRPr="00545ABB">
        <w:rPr>
          <w:rFonts w:ascii="Traditional Arabic" w:eastAsia="Times New Roman" w:hAnsi="Traditional Arabic" w:cs="Traditional Arabic"/>
          <w:b/>
          <w:bCs/>
          <w:color w:val="000000" w:themeColor="text1"/>
          <w:sz w:val="24"/>
          <w:szCs w:val="24"/>
        </w:rPr>
        <w:t>.</w:t>
      </w:r>
    </w:p>
    <w:p w14:paraId="0AB916E0"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وتتمثل إحدى جوانب المشكلة البحثية في الحاجة إلى الانتقال من مجرد تبني مبادئ الحوكمة والأطر التنظيمية إلى اختبار أثر الحوكمة الفعالة بصورة كمية على النتائج المؤسسية للشركات الناشئة العاملة في مجال الأمن السيبراني</w:t>
      </w:r>
      <w:r w:rsidRPr="00545ABB">
        <w:rPr>
          <w:rFonts w:ascii="Traditional Arabic" w:eastAsia="Times New Roman" w:hAnsi="Traditional Arabic" w:cs="Traditional Arabic"/>
          <w:b/>
          <w:bCs/>
          <w:color w:val="000000" w:themeColor="text1"/>
          <w:sz w:val="24"/>
          <w:szCs w:val="24"/>
        </w:rPr>
        <w:t xml:space="preserve">. </w:t>
      </w:r>
      <w:r w:rsidRPr="00545ABB">
        <w:rPr>
          <w:rFonts w:ascii="Traditional Arabic" w:eastAsia="Times New Roman" w:hAnsi="Traditional Arabic" w:cs="Traditional Arabic"/>
          <w:b/>
          <w:bCs/>
          <w:color w:val="000000" w:themeColor="text1"/>
          <w:sz w:val="24"/>
          <w:szCs w:val="24"/>
          <w:rtl/>
        </w:rPr>
        <w:t>فمع أهمية الحوكمة في تعزيز التنظيم والرقابة وإدارة المخاطر، تظل الحاجة قائمة إلى تحديد مدى انعكاس فاعلية هذه الممارسات على قدرة الشركات على الاستمرار وتحقيق الاستدامة والنجاح المؤسسي في البيئة السعودية</w:t>
      </w:r>
      <w:r w:rsidRPr="00545ABB">
        <w:rPr>
          <w:rFonts w:ascii="Traditional Arabic" w:eastAsia="Times New Roman" w:hAnsi="Traditional Arabic" w:cs="Traditional Arabic"/>
          <w:b/>
          <w:bCs/>
          <w:color w:val="000000" w:themeColor="text1"/>
          <w:sz w:val="24"/>
          <w:szCs w:val="24"/>
        </w:rPr>
        <w:t>.</w:t>
      </w:r>
    </w:p>
    <w:p w14:paraId="79AF5295"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وتتأكد هذه الحاجة في ضوء التصميم البحثي للدراسة الحالية، الذي حدد الحوكمة الفعالة متغيرًا مستقلًا، والاستدامة والنجاح المؤسسي متغيرين تابعين، بهدف تحليل العلاقة والأثر بينها اعتمادًا على البيانات الميدانية والأساليب الإحصائية المناسبة</w:t>
      </w:r>
      <w:r w:rsidRPr="00545ABB">
        <w:rPr>
          <w:rFonts w:ascii="Traditional Arabic" w:eastAsia="Times New Roman" w:hAnsi="Traditional Arabic" w:cs="Traditional Arabic"/>
          <w:b/>
          <w:bCs/>
          <w:color w:val="000000" w:themeColor="text1"/>
          <w:sz w:val="24"/>
          <w:szCs w:val="24"/>
        </w:rPr>
        <w:t xml:space="preserve">. </w:t>
      </w:r>
    </w:p>
    <w:p w14:paraId="56001BB5"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وعليه، تتمثل المشكلة البحثية في وجود حاجة علمية وتطبيقية إلى التعرف على مدى فاعلية ممارسات الحوكمة في شركات الأمن السيبراني الناشئة في المملكة العربية السعودية، والكشف عن أثرها في دعم استدامة هذه الشركات ونجاحها المؤسسي، بما يساعد على فهم الدور الذي يمكن أن تؤديه الحوكمة الفعالة في تعزيز قدرتها على مواجهة المخاطر، وتحسين الأداء، وبناء الثقة، والاستمرار والنمو في بيئة رقمية سريعة التغير</w:t>
      </w:r>
      <w:r w:rsidRPr="00545ABB">
        <w:rPr>
          <w:rFonts w:ascii="Traditional Arabic" w:eastAsia="Times New Roman" w:hAnsi="Traditional Arabic" w:cs="Traditional Arabic"/>
          <w:b/>
          <w:bCs/>
          <w:color w:val="000000" w:themeColor="text1"/>
          <w:sz w:val="24"/>
          <w:szCs w:val="24"/>
        </w:rPr>
        <w:t>.</w:t>
      </w:r>
    </w:p>
    <w:p w14:paraId="5D33D913"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وبناءً على ما سبق، تتحدد مشكلة الدراسة في التساؤل الرئيس الآتي</w:t>
      </w:r>
      <w:r w:rsidRPr="00545ABB">
        <w:rPr>
          <w:rFonts w:ascii="Traditional Arabic" w:eastAsia="Times New Roman" w:hAnsi="Traditional Arabic" w:cs="Traditional Arabic"/>
          <w:b/>
          <w:bCs/>
          <w:color w:val="000000" w:themeColor="text1"/>
          <w:sz w:val="24"/>
          <w:szCs w:val="24"/>
        </w:rPr>
        <w:t>:</w:t>
      </w:r>
    </w:p>
    <w:p w14:paraId="291BA471" w14:textId="77777777" w:rsidR="00714EFF" w:rsidRPr="00545ABB" w:rsidRDefault="00714EFF" w:rsidP="00714EFF">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إلى أي مدى تؤثر الحوكمة الفعالة في استدامة ونجاح شركات الأمن السيبراني الناشئة في المملكة العربية السعودية؟</w:t>
      </w:r>
    </w:p>
    <w:p w14:paraId="5C0D881F" w14:textId="77777777" w:rsidR="003A619B" w:rsidRPr="00545ABB" w:rsidRDefault="003A619B" w:rsidP="00022590">
      <w:pPr>
        <w:spacing w:before="100" w:beforeAutospacing="1" w:after="0" w:line="360" w:lineRule="auto"/>
        <w:jc w:val="both"/>
        <w:rPr>
          <w:rFonts w:ascii="Traditional Arabic" w:eastAsia="Times New Roman" w:hAnsi="Traditional Arabic" w:cs="Traditional Arabic"/>
          <w:b/>
          <w:bCs/>
          <w:color w:val="000000" w:themeColor="text1"/>
          <w:sz w:val="24"/>
          <w:szCs w:val="24"/>
          <w:u w:val="single"/>
        </w:rPr>
      </w:pPr>
      <w:r w:rsidRPr="00545ABB">
        <w:rPr>
          <w:rFonts w:ascii="Traditional Arabic" w:eastAsia="Times New Roman" w:hAnsi="Traditional Arabic" w:cs="Traditional Arabic"/>
          <w:b/>
          <w:bCs/>
          <w:color w:val="000000" w:themeColor="text1"/>
          <w:sz w:val="24"/>
          <w:szCs w:val="24"/>
          <w:u w:val="single"/>
          <w:rtl/>
        </w:rPr>
        <w:t xml:space="preserve">ويتفرع عن هذا التساؤل الرئيسي </w:t>
      </w:r>
      <w:r w:rsidR="000C2A68" w:rsidRPr="00545ABB">
        <w:rPr>
          <w:rFonts w:ascii="Traditional Arabic" w:eastAsia="Times New Roman" w:hAnsi="Traditional Arabic" w:cs="Traditional Arabic"/>
          <w:b/>
          <w:bCs/>
          <w:color w:val="000000" w:themeColor="text1"/>
          <w:sz w:val="24"/>
          <w:szCs w:val="24"/>
          <w:u w:val="single"/>
          <w:rtl/>
        </w:rPr>
        <w:t>مجموعة من التساؤلات الفرعية</w:t>
      </w:r>
      <w:r w:rsidRPr="00545ABB">
        <w:rPr>
          <w:rFonts w:ascii="Traditional Arabic" w:eastAsia="Times New Roman" w:hAnsi="Traditional Arabic" w:cs="Traditional Arabic"/>
          <w:b/>
          <w:bCs/>
          <w:color w:val="000000" w:themeColor="text1"/>
          <w:sz w:val="24"/>
          <w:szCs w:val="24"/>
          <w:u w:val="single"/>
          <w:rtl/>
        </w:rPr>
        <w:t xml:space="preserve"> وهي</w:t>
      </w:r>
      <w:r w:rsidRPr="00545ABB">
        <w:rPr>
          <w:rFonts w:ascii="Traditional Arabic" w:eastAsia="Times New Roman" w:hAnsi="Traditional Arabic" w:cs="Traditional Arabic"/>
          <w:b/>
          <w:bCs/>
          <w:color w:val="000000" w:themeColor="text1"/>
          <w:sz w:val="24"/>
          <w:szCs w:val="24"/>
          <w:u w:val="single"/>
        </w:rPr>
        <w:t>:</w:t>
      </w:r>
    </w:p>
    <w:p w14:paraId="0E2BF531" w14:textId="77777777" w:rsidR="003A619B" w:rsidRPr="00545ABB" w:rsidRDefault="00DF7B70" w:rsidP="00D95153">
      <w:pPr>
        <w:numPr>
          <w:ilvl w:val="0"/>
          <w:numId w:val="2"/>
        </w:numPr>
        <w:spacing w:before="100" w:beforeAutospacing="1"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كيف تستفيد حوكمة </w:t>
      </w:r>
      <w:r w:rsidR="003A619B" w:rsidRPr="00545ABB">
        <w:rPr>
          <w:rFonts w:ascii="Traditional Arabic" w:eastAsia="Times New Roman" w:hAnsi="Traditional Arabic" w:cs="Traditional Arabic"/>
          <w:b/>
          <w:bCs/>
          <w:color w:val="000000" w:themeColor="text1"/>
          <w:sz w:val="24"/>
          <w:szCs w:val="24"/>
          <w:rtl/>
        </w:rPr>
        <w:t xml:space="preserve">شركات </w:t>
      </w:r>
      <w:r w:rsidRPr="00545ABB">
        <w:rPr>
          <w:rFonts w:ascii="Traditional Arabic" w:eastAsia="Times New Roman" w:hAnsi="Traditional Arabic" w:cs="Traditional Arabic"/>
          <w:b/>
          <w:bCs/>
          <w:color w:val="000000" w:themeColor="text1"/>
          <w:sz w:val="24"/>
          <w:szCs w:val="24"/>
          <w:rtl/>
        </w:rPr>
        <w:t xml:space="preserve">الأمن السيبراني </w:t>
      </w:r>
      <w:r w:rsidR="003A619B" w:rsidRPr="00545ABB">
        <w:rPr>
          <w:rFonts w:ascii="Traditional Arabic" w:eastAsia="Times New Roman" w:hAnsi="Traditional Arabic" w:cs="Traditional Arabic"/>
          <w:b/>
          <w:bCs/>
          <w:color w:val="000000" w:themeColor="text1"/>
          <w:sz w:val="24"/>
          <w:szCs w:val="24"/>
          <w:rtl/>
        </w:rPr>
        <w:t>الناشئة في قطاع من التحولات التكنولوجية الحالية في تطوير حلول أمنية مبتكرة؟</w:t>
      </w:r>
    </w:p>
    <w:p w14:paraId="476A09CE" w14:textId="77777777" w:rsidR="003A619B" w:rsidRPr="00545ABB" w:rsidRDefault="003A619B" w:rsidP="00D95153">
      <w:pPr>
        <w:numPr>
          <w:ilvl w:val="0"/>
          <w:numId w:val="2"/>
        </w:numPr>
        <w:spacing w:before="100" w:beforeAutospacing="1"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ما مدى تأثير الحوكمة الفعالة على نجاح واستدامة الشركات الناشئة في مجال الأمن السيبراني؟</w:t>
      </w:r>
    </w:p>
    <w:p w14:paraId="4A06F5BB" w14:textId="77777777" w:rsidR="003A619B" w:rsidRPr="00545ABB" w:rsidRDefault="003A619B" w:rsidP="00D95153">
      <w:pPr>
        <w:numPr>
          <w:ilvl w:val="0"/>
          <w:numId w:val="2"/>
        </w:numPr>
        <w:spacing w:before="100" w:beforeAutospacing="1"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lastRenderedPageBreak/>
        <w:t xml:space="preserve">كيف يسهم تطوير </w:t>
      </w:r>
      <w:r w:rsidR="00DF7B70" w:rsidRPr="00545ABB">
        <w:rPr>
          <w:rFonts w:ascii="Traditional Arabic" w:eastAsia="Times New Roman" w:hAnsi="Traditional Arabic" w:cs="Traditional Arabic"/>
          <w:b/>
          <w:bCs/>
          <w:color w:val="000000" w:themeColor="text1"/>
          <w:sz w:val="24"/>
          <w:szCs w:val="24"/>
          <w:rtl/>
        </w:rPr>
        <w:t>الحوكمة</w:t>
      </w:r>
      <w:r w:rsidRPr="00545ABB">
        <w:rPr>
          <w:rFonts w:ascii="Traditional Arabic" w:eastAsia="Times New Roman" w:hAnsi="Traditional Arabic" w:cs="Traditional Arabic"/>
          <w:b/>
          <w:bCs/>
          <w:color w:val="000000" w:themeColor="text1"/>
          <w:sz w:val="24"/>
          <w:szCs w:val="24"/>
          <w:rtl/>
        </w:rPr>
        <w:t xml:space="preserve"> لشركات </w:t>
      </w:r>
      <w:r w:rsidR="00DF7B70" w:rsidRPr="00545ABB">
        <w:rPr>
          <w:rFonts w:ascii="Traditional Arabic" w:eastAsia="Times New Roman" w:hAnsi="Traditional Arabic" w:cs="Traditional Arabic"/>
          <w:b/>
          <w:bCs/>
          <w:color w:val="000000" w:themeColor="text1"/>
          <w:sz w:val="24"/>
          <w:szCs w:val="24"/>
          <w:rtl/>
        </w:rPr>
        <w:t xml:space="preserve">الأمن السيبراني </w:t>
      </w:r>
      <w:r w:rsidRPr="00545ABB">
        <w:rPr>
          <w:rFonts w:ascii="Traditional Arabic" w:eastAsia="Times New Roman" w:hAnsi="Traditional Arabic" w:cs="Traditional Arabic"/>
          <w:b/>
          <w:bCs/>
          <w:color w:val="000000" w:themeColor="text1"/>
          <w:sz w:val="24"/>
          <w:szCs w:val="24"/>
          <w:rtl/>
        </w:rPr>
        <w:t>الناشئة في تعزيز النمو الاقتصادي ورفع الناتج المحلي للمملكة؟</w:t>
      </w:r>
    </w:p>
    <w:p w14:paraId="080DF53B" w14:textId="77777777" w:rsidR="003A619B" w:rsidRPr="00545ABB" w:rsidRDefault="003A619B" w:rsidP="00D95153">
      <w:pPr>
        <w:numPr>
          <w:ilvl w:val="0"/>
          <w:numId w:val="2"/>
        </w:numPr>
        <w:spacing w:before="100" w:beforeAutospacing="1"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ما الدور </w:t>
      </w:r>
      <w:r w:rsidR="00DF7B70" w:rsidRPr="00545ABB">
        <w:rPr>
          <w:rFonts w:ascii="Traditional Arabic" w:eastAsia="Times New Roman" w:hAnsi="Traditional Arabic" w:cs="Traditional Arabic"/>
          <w:b/>
          <w:bCs/>
          <w:color w:val="000000" w:themeColor="text1"/>
          <w:sz w:val="24"/>
          <w:szCs w:val="24"/>
          <w:rtl/>
        </w:rPr>
        <w:t>تطوير حوكمة</w:t>
      </w:r>
      <w:r w:rsidRPr="00545ABB">
        <w:rPr>
          <w:rFonts w:ascii="Traditional Arabic" w:eastAsia="Times New Roman" w:hAnsi="Traditional Arabic" w:cs="Traditional Arabic"/>
          <w:b/>
          <w:bCs/>
          <w:color w:val="000000" w:themeColor="text1"/>
          <w:sz w:val="24"/>
          <w:szCs w:val="24"/>
          <w:rtl/>
        </w:rPr>
        <w:t xml:space="preserve"> شركات </w:t>
      </w:r>
      <w:r w:rsidR="00DF7B70" w:rsidRPr="00545ABB">
        <w:rPr>
          <w:rFonts w:ascii="Traditional Arabic" w:eastAsia="Times New Roman" w:hAnsi="Traditional Arabic" w:cs="Traditional Arabic"/>
          <w:b/>
          <w:bCs/>
          <w:color w:val="000000" w:themeColor="text1"/>
          <w:sz w:val="24"/>
          <w:szCs w:val="24"/>
          <w:rtl/>
        </w:rPr>
        <w:t xml:space="preserve">الأمن السيبراني </w:t>
      </w:r>
      <w:r w:rsidRPr="00545ABB">
        <w:rPr>
          <w:rFonts w:ascii="Traditional Arabic" w:eastAsia="Times New Roman" w:hAnsi="Traditional Arabic" w:cs="Traditional Arabic"/>
          <w:b/>
          <w:bCs/>
          <w:color w:val="000000" w:themeColor="text1"/>
          <w:sz w:val="24"/>
          <w:szCs w:val="24"/>
          <w:rtl/>
        </w:rPr>
        <w:t>النا</w:t>
      </w:r>
      <w:r w:rsidR="00DF7B70" w:rsidRPr="00545ABB">
        <w:rPr>
          <w:rFonts w:ascii="Traditional Arabic" w:eastAsia="Times New Roman" w:hAnsi="Traditional Arabic" w:cs="Traditional Arabic"/>
          <w:b/>
          <w:bCs/>
          <w:color w:val="000000" w:themeColor="text1"/>
          <w:sz w:val="24"/>
          <w:szCs w:val="24"/>
          <w:rtl/>
        </w:rPr>
        <w:t>شئة في تحقيق أهداف رؤية المملكة 2030؟</w:t>
      </w:r>
    </w:p>
    <w:p w14:paraId="2094B6E8" w14:textId="3C1F604B" w:rsidR="009252B2" w:rsidRPr="00545ABB" w:rsidRDefault="003A619B" w:rsidP="00D95153">
      <w:pPr>
        <w:numPr>
          <w:ilvl w:val="0"/>
          <w:numId w:val="2"/>
        </w:numPr>
        <w:spacing w:before="100" w:beforeAutospacing="1"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إلى أي مدى يمكن أن تساهم السياسات والإجراءات الداعمة في تعزيز دور </w:t>
      </w:r>
      <w:r w:rsidR="00DF7B70" w:rsidRPr="00545ABB">
        <w:rPr>
          <w:rFonts w:ascii="Traditional Arabic" w:eastAsia="Times New Roman" w:hAnsi="Traditional Arabic" w:cs="Traditional Arabic"/>
          <w:b/>
          <w:bCs/>
          <w:color w:val="000000" w:themeColor="text1"/>
          <w:sz w:val="24"/>
          <w:szCs w:val="24"/>
          <w:rtl/>
        </w:rPr>
        <w:t xml:space="preserve">حوكمة </w:t>
      </w:r>
      <w:r w:rsidRPr="00545ABB">
        <w:rPr>
          <w:rFonts w:ascii="Traditional Arabic" w:eastAsia="Times New Roman" w:hAnsi="Traditional Arabic" w:cs="Traditional Arabic"/>
          <w:b/>
          <w:bCs/>
          <w:color w:val="000000" w:themeColor="text1"/>
          <w:sz w:val="24"/>
          <w:szCs w:val="24"/>
          <w:rtl/>
        </w:rPr>
        <w:t xml:space="preserve">شركات </w:t>
      </w:r>
      <w:r w:rsidR="00DF7B70" w:rsidRPr="00545ABB">
        <w:rPr>
          <w:rFonts w:ascii="Traditional Arabic" w:eastAsia="Times New Roman" w:hAnsi="Traditional Arabic" w:cs="Traditional Arabic"/>
          <w:b/>
          <w:bCs/>
          <w:color w:val="000000" w:themeColor="text1"/>
          <w:sz w:val="24"/>
          <w:szCs w:val="24"/>
          <w:rtl/>
        </w:rPr>
        <w:t xml:space="preserve">الأمن السيبراني </w:t>
      </w:r>
      <w:r w:rsidRPr="00545ABB">
        <w:rPr>
          <w:rFonts w:ascii="Traditional Arabic" w:eastAsia="Times New Roman" w:hAnsi="Traditional Arabic" w:cs="Traditional Arabic"/>
          <w:b/>
          <w:bCs/>
          <w:color w:val="000000" w:themeColor="text1"/>
          <w:sz w:val="24"/>
          <w:szCs w:val="24"/>
          <w:rtl/>
        </w:rPr>
        <w:t>الناشئة</w:t>
      </w:r>
      <w:r w:rsidR="00DF7B70" w:rsidRPr="00545ABB">
        <w:rPr>
          <w:rFonts w:ascii="Traditional Arabic" w:eastAsia="Times New Roman" w:hAnsi="Traditional Arabic" w:cs="Traditional Arabic"/>
          <w:b/>
          <w:bCs/>
          <w:color w:val="000000" w:themeColor="text1"/>
          <w:sz w:val="24"/>
          <w:szCs w:val="24"/>
          <w:rtl/>
        </w:rPr>
        <w:t xml:space="preserve"> في تحقيق مستهدفات رؤية المملكة 2030</w:t>
      </w:r>
      <w:r w:rsidRPr="00545ABB">
        <w:rPr>
          <w:rFonts w:ascii="Traditional Arabic" w:eastAsia="Times New Roman" w:hAnsi="Traditional Arabic" w:cs="Traditional Arabic"/>
          <w:b/>
          <w:bCs/>
          <w:color w:val="000000" w:themeColor="text1"/>
          <w:sz w:val="24"/>
          <w:szCs w:val="24"/>
          <w:rtl/>
        </w:rPr>
        <w:t>؟</w:t>
      </w:r>
    </w:p>
    <w:p w14:paraId="23CE73B9" w14:textId="3F2C4A1F" w:rsidR="000135AB" w:rsidRPr="00545ABB" w:rsidRDefault="000135AB" w:rsidP="00E4652C">
      <w:pPr>
        <w:pStyle w:val="Heading2"/>
        <w:bidi/>
        <w:rPr>
          <w:rFonts w:ascii="Traditional Arabic" w:eastAsia="Calibri" w:hAnsi="Traditional Arabic" w:cs="Traditional Arabic"/>
          <w:b/>
          <w:bCs/>
          <w:color w:val="000000" w:themeColor="text1"/>
          <w:sz w:val="28"/>
          <w:szCs w:val="28"/>
          <w:rtl/>
          <w:lang w:bidi="ar-EG"/>
        </w:rPr>
      </w:pPr>
      <w:bookmarkStart w:id="10" w:name="_Toc242325182"/>
      <w:r w:rsidRPr="00545ABB">
        <w:rPr>
          <w:rFonts w:ascii="Traditional Arabic" w:eastAsia="Calibri" w:hAnsi="Traditional Arabic" w:cs="Traditional Arabic"/>
          <w:b/>
          <w:bCs/>
          <w:color w:val="000000" w:themeColor="text1"/>
          <w:sz w:val="28"/>
          <w:szCs w:val="28"/>
          <w:rtl/>
          <w:lang w:bidi="ar-EG"/>
        </w:rPr>
        <w:t>أهمية الدراسة</w:t>
      </w:r>
      <w:bookmarkEnd w:id="10"/>
    </w:p>
    <w:p w14:paraId="423A36FB" w14:textId="77777777" w:rsidR="000135AB" w:rsidRPr="00545ABB" w:rsidRDefault="000135AB" w:rsidP="00022590">
      <w:pPr>
        <w:spacing w:before="100" w:beforeAutospacing="1" w:after="0" w:line="360" w:lineRule="auto"/>
        <w:ind w:firstLine="360"/>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تبرز أهمية هذه الدراسة في تقديم تحليل شامل ومتكامل لوضع استراتيجيات فعالة لتحقيق استدامة شركات الأمن السيبراني الناشئة، بما يضمن قدرتها على مواجهة التحديات الراهنة والمستقبلية. تأتي أهمية هذه الدراسة من عدة جوانب</w:t>
      </w:r>
      <w:r w:rsidRPr="00545ABB">
        <w:rPr>
          <w:rFonts w:ascii="Traditional Arabic" w:eastAsia="Times New Roman" w:hAnsi="Traditional Arabic" w:cs="Traditional Arabic"/>
          <w:b/>
          <w:bCs/>
          <w:color w:val="000000" w:themeColor="text1"/>
          <w:sz w:val="24"/>
          <w:szCs w:val="24"/>
        </w:rPr>
        <w:t>:</w:t>
      </w:r>
    </w:p>
    <w:p w14:paraId="4E5C0C8E" w14:textId="77777777" w:rsidR="000135AB" w:rsidRPr="00545ABB" w:rsidRDefault="000135AB" w:rsidP="00D95153">
      <w:pPr>
        <w:numPr>
          <w:ilvl w:val="0"/>
          <w:numId w:val="1"/>
        </w:numPr>
        <w:spacing w:before="100" w:beforeAutospacing="1" w:after="0" w:line="360" w:lineRule="auto"/>
        <w:jc w:val="both"/>
        <w:rPr>
          <w:rFonts w:ascii="Traditional Arabic" w:eastAsia="Times New Roman" w:hAnsi="Traditional Arabic" w:cs="Traditional Arabic"/>
          <w:color w:val="000000" w:themeColor="text1"/>
          <w:sz w:val="28"/>
          <w:szCs w:val="28"/>
        </w:rPr>
      </w:pPr>
      <w:r w:rsidRPr="00545ABB">
        <w:rPr>
          <w:rFonts w:ascii="Traditional Arabic" w:eastAsia="Times New Roman" w:hAnsi="Traditional Arabic" w:cs="Traditional Arabic"/>
          <w:b/>
          <w:bCs/>
          <w:color w:val="000000" w:themeColor="text1"/>
          <w:sz w:val="28"/>
          <w:szCs w:val="28"/>
          <w:rtl/>
        </w:rPr>
        <w:t>إثراء الأدبيات العلمية</w:t>
      </w:r>
      <w:r w:rsidRPr="00545ABB">
        <w:rPr>
          <w:rFonts w:ascii="Traditional Arabic" w:eastAsia="Times New Roman" w:hAnsi="Traditional Arabic" w:cs="Traditional Arabic"/>
          <w:b/>
          <w:bCs/>
          <w:color w:val="000000" w:themeColor="text1"/>
          <w:sz w:val="28"/>
          <w:szCs w:val="28"/>
        </w:rPr>
        <w:t>:</w:t>
      </w:r>
      <w:r w:rsidRPr="00545ABB">
        <w:rPr>
          <w:rFonts w:ascii="Traditional Arabic" w:eastAsia="Times New Roman" w:hAnsi="Traditional Arabic" w:cs="Traditional Arabic"/>
          <w:color w:val="000000" w:themeColor="text1"/>
          <w:sz w:val="28"/>
          <w:szCs w:val="28"/>
          <w:rtl/>
        </w:rPr>
        <w:t xml:space="preserve"> </w:t>
      </w:r>
    </w:p>
    <w:p w14:paraId="3C5A8777" w14:textId="12B97F6D" w:rsidR="000135AB" w:rsidRPr="00545ABB" w:rsidRDefault="000135AB" w:rsidP="00022590">
      <w:pPr>
        <w:spacing w:before="100" w:beforeAutospacing="1" w:after="0" w:line="360" w:lineRule="auto"/>
        <w:ind w:left="360" w:firstLine="360"/>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تسهم الدراسة في سد الفجوة المعرفية حول تطبيق مبادئ الحوكمة في شركات الأمن السيبراني الناشئة، مما يفتح آفاقاً بحثية جديدة في هذا المجال المتطور</w:t>
      </w:r>
      <w:r w:rsidRPr="00545ABB">
        <w:rPr>
          <w:rFonts w:ascii="Traditional Arabic" w:eastAsia="Times New Roman" w:hAnsi="Traditional Arabic" w:cs="Traditional Arabic"/>
          <w:b/>
          <w:bCs/>
          <w:color w:val="000000" w:themeColor="text1"/>
          <w:sz w:val="24"/>
          <w:szCs w:val="24"/>
        </w:rPr>
        <w:t>.</w:t>
      </w:r>
      <w:r w:rsidRPr="00545ABB">
        <w:rPr>
          <w:rFonts w:ascii="Traditional Arabic" w:eastAsia="Times New Roman" w:hAnsi="Traditional Arabic" w:cs="Traditional Arabic"/>
          <w:b/>
          <w:bCs/>
          <w:color w:val="000000" w:themeColor="text1"/>
          <w:sz w:val="24"/>
          <w:szCs w:val="24"/>
          <w:rtl/>
        </w:rPr>
        <w:t xml:space="preserve"> كما أنها أخذت بُعد </w:t>
      </w:r>
      <w:r w:rsidR="008F1884" w:rsidRPr="00545ABB">
        <w:rPr>
          <w:rFonts w:ascii="Traditional Arabic" w:eastAsia="Times New Roman" w:hAnsi="Traditional Arabic" w:cs="Traditional Arabic"/>
          <w:b/>
          <w:bCs/>
          <w:color w:val="000000" w:themeColor="text1"/>
          <w:sz w:val="24"/>
          <w:szCs w:val="24"/>
          <w:rtl/>
        </w:rPr>
        <w:t>أكبر</w:t>
      </w:r>
      <w:r w:rsidRPr="00545ABB">
        <w:rPr>
          <w:rFonts w:ascii="Traditional Arabic" w:eastAsia="Times New Roman" w:hAnsi="Traditional Arabic" w:cs="Traditional Arabic"/>
          <w:b/>
          <w:bCs/>
          <w:color w:val="000000" w:themeColor="text1"/>
          <w:sz w:val="24"/>
          <w:szCs w:val="24"/>
          <w:rtl/>
        </w:rPr>
        <w:t xml:space="preserve"> من خلال اهتمام مختلف الكتاب والباحثين في المجالات المحاسبية والاقتصادية والإدارية والقانونية وغيرها، وأصبحت مجالاً خصبا للبحث والدراسة خصوصا في الشركات الناشئة وخاصةً في الدول العربية التي تعاني من نقص في الدراسات التطبيقية في هذا المجال </w:t>
      </w:r>
      <w:r w:rsidRPr="00545ABB">
        <w:rPr>
          <w:rFonts w:ascii="Traditional Arabic" w:eastAsia="Times New Roman" w:hAnsi="Traditional Arabic" w:cs="Traditional Arabic"/>
          <w:b/>
          <w:bCs/>
          <w:color w:val="000000" w:themeColor="text1"/>
          <w:sz w:val="24"/>
          <w:szCs w:val="24"/>
          <w:rtl/>
          <w:lang w:bidi="ar-EG"/>
        </w:rPr>
        <w:t xml:space="preserve">  </w:t>
      </w:r>
      <w:r w:rsidRPr="00545ABB">
        <w:rPr>
          <w:rFonts w:ascii="Traditional Arabic" w:eastAsia="Times New Roman" w:hAnsi="Traditional Arabic" w:cs="Traditional Arabic"/>
          <w:b/>
          <w:bCs/>
          <w:color w:val="000000" w:themeColor="text1"/>
          <w:sz w:val="24"/>
          <w:szCs w:val="24"/>
        </w:rPr>
        <w:t>Gonzalez and Garcia-Mcca, 2013, 22)</w:t>
      </w:r>
      <w:r w:rsidRPr="00545ABB">
        <w:rPr>
          <w:rFonts w:ascii="Traditional Arabic" w:eastAsia="Times New Roman" w:hAnsi="Traditional Arabic" w:cs="Traditional Arabic"/>
          <w:b/>
          <w:bCs/>
          <w:color w:val="000000" w:themeColor="text1"/>
          <w:sz w:val="24"/>
          <w:szCs w:val="24"/>
          <w:rtl/>
        </w:rPr>
        <w:t>)</w:t>
      </w:r>
    </w:p>
    <w:p w14:paraId="780BBEF0" w14:textId="77777777" w:rsidR="000135AB" w:rsidRPr="00545ABB" w:rsidRDefault="000135AB" w:rsidP="00D95153">
      <w:pPr>
        <w:numPr>
          <w:ilvl w:val="0"/>
          <w:numId w:val="1"/>
        </w:numPr>
        <w:spacing w:before="100" w:beforeAutospacing="1" w:after="0" w:line="360" w:lineRule="auto"/>
        <w:jc w:val="both"/>
        <w:rPr>
          <w:rFonts w:ascii="Traditional Arabic" w:eastAsia="Times New Roman" w:hAnsi="Traditional Arabic" w:cs="Traditional Arabic"/>
          <w:color w:val="000000" w:themeColor="text1"/>
          <w:sz w:val="28"/>
          <w:szCs w:val="28"/>
        </w:rPr>
      </w:pPr>
      <w:r w:rsidRPr="00545ABB">
        <w:rPr>
          <w:rFonts w:ascii="Traditional Arabic" w:eastAsia="Times New Roman" w:hAnsi="Traditional Arabic" w:cs="Traditional Arabic"/>
          <w:b/>
          <w:bCs/>
          <w:color w:val="000000" w:themeColor="text1"/>
          <w:sz w:val="28"/>
          <w:szCs w:val="28"/>
          <w:rtl/>
        </w:rPr>
        <w:t>دعم السياسات الوطنية</w:t>
      </w:r>
      <w:r w:rsidRPr="00545ABB">
        <w:rPr>
          <w:rFonts w:ascii="Traditional Arabic" w:eastAsia="Times New Roman" w:hAnsi="Traditional Arabic" w:cs="Traditional Arabic"/>
          <w:b/>
          <w:bCs/>
          <w:color w:val="000000" w:themeColor="text1"/>
          <w:sz w:val="28"/>
          <w:szCs w:val="28"/>
        </w:rPr>
        <w:t>:</w:t>
      </w:r>
    </w:p>
    <w:p w14:paraId="6CB7D1F9" w14:textId="68E0913D" w:rsidR="000135AB" w:rsidRPr="00545ABB" w:rsidRDefault="000135AB" w:rsidP="00022590">
      <w:pPr>
        <w:spacing w:before="100" w:beforeAutospacing="1" w:after="0" w:line="360" w:lineRule="auto"/>
        <w:ind w:left="360" w:firstLine="360"/>
        <w:jc w:val="both"/>
        <w:rPr>
          <w:rFonts w:ascii="Traditional Arabic"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يقدم البحث إطاراً يمكن أن يُستخدم من قبل الجهات التنظيمية وصناع القرار لتعزيز استراتيجيات الحوكمة بما يتوافق مع أهداف رؤية المملكة 2030، خاصة في مجال الأمن </w:t>
      </w:r>
      <w:r w:rsidR="008F1884" w:rsidRPr="00545ABB">
        <w:rPr>
          <w:rFonts w:ascii="Traditional Arabic" w:eastAsia="Times New Roman" w:hAnsi="Traditional Arabic" w:cs="Traditional Arabic"/>
          <w:b/>
          <w:bCs/>
          <w:color w:val="000000" w:themeColor="text1"/>
          <w:sz w:val="24"/>
          <w:szCs w:val="24"/>
          <w:rtl/>
        </w:rPr>
        <w:t>السيبراني</w:t>
      </w:r>
      <w:r w:rsidR="008F1884" w:rsidRPr="00545ABB">
        <w:rPr>
          <w:rFonts w:ascii="Traditional Arabic" w:eastAsia="Times New Roman" w:hAnsi="Traditional Arabic" w:cs="Traditional Arabic"/>
          <w:b/>
          <w:bCs/>
          <w:color w:val="000000" w:themeColor="text1"/>
          <w:sz w:val="24"/>
          <w:szCs w:val="24"/>
        </w:rPr>
        <w:t>.</w:t>
      </w:r>
      <w:r w:rsidR="008F1884" w:rsidRPr="00545ABB">
        <w:rPr>
          <w:rFonts w:ascii="Traditional Arabic" w:hAnsi="Traditional Arabic" w:cs="Traditional Arabic"/>
          <w:b/>
          <w:bCs/>
          <w:color w:val="000000" w:themeColor="text1"/>
          <w:sz w:val="24"/>
          <w:szCs w:val="24"/>
          <w:rtl/>
        </w:rPr>
        <w:t xml:space="preserve"> </w:t>
      </w:r>
      <w:r w:rsidRPr="00545ABB">
        <w:rPr>
          <w:rFonts w:ascii="Traditional Arabic" w:eastAsia="Times New Roman" w:hAnsi="Traditional Arabic" w:cs="Traditional Arabic"/>
          <w:b/>
          <w:bCs/>
          <w:color w:val="000000" w:themeColor="text1"/>
          <w:sz w:val="24"/>
          <w:szCs w:val="24"/>
          <w:rtl/>
        </w:rPr>
        <w:t>(وزارة الاتصالات وتقنية المعلومات، 2021)</w:t>
      </w:r>
    </w:p>
    <w:p w14:paraId="62FF2B13" w14:textId="77777777" w:rsidR="000135AB" w:rsidRPr="00545ABB" w:rsidRDefault="000135AB" w:rsidP="00D95153">
      <w:pPr>
        <w:numPr>
          <w:ilvl w:val="0"/>
          <w:numId w:val="1"/>
        </w:numPr>
        <w:spacing w:before="100" w:beforeAutospacing="1" w:after="0" w:line="360" w:lineRule="auto"/>
        <w:jc w:val="both"/>
        <w:rPr>
          <w:rFonts w:ascii="Traditional Arabic" w:eastAsia="Times New Roman" w:hAnsi="Traditional Arabic" w:cs="Traditional Arabic"/>
          <w:color w:val="000000" w:themeColor="text1"/>
          <w:sz w:val="28"/>
          <w:szCs w:val="28"/>
        </w:rPr>
      </w:pPr>
      <w:r w:rsidRPr="00545ABB">
        <w:rPr>
          <w:rFonts w:ascii="Traditional Arabic" w:eastAsia="Times New Roman" w:hAnsi="Traditional Arabic" w:cs="Traditional Arabic"/>
          <w:b/>
          <w:bCs/>
          <w:color w:val="000000" w:themeColor="text1"/>
          <w:sz w:val="28"/>
          <w:szCs w:val="28"/>
          <w:rtl/>
        </w:rPr>
        <w:t>تحسين الأداء المؤسسي</w:t>
      </w:r>
      <w:r w:rsidRPr="00545ABB">
        <w:rPr>
          <w:rFonts w:ascii="Traditional Arabic" w:eastAsia="Times New Roman" w:hAnsi="Traditional Arabic" w:cs="Traditional Arabic"/>
          <w:b/>
          <w:bCs/>
          <w:color w:val="000000" w:themeColor="text1"/>
          <w:sz w:val="28"/>
          <w:szCs w:val="28"/>
        </w:rPr>
        <w:t>:</w:t>
      </w:r>
    </w:p>
    <w:p w14:paraId="72246E36" w14:textId="77777777" w:rsidR="000135AB" w:rsidRPr="00545ABB" w:rsidRDefault="000135AB" w:rsidP="00022590">
      <w:pPr>
        <w:spacing w:before="100" w:beforeAutospacing="1" w:after="0" w:line="360" w:lineRule="auto"/>
        <w:ind w:left="360" w:firstLine="360"/>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من خلال تحديد العوامل المؤثرة في استدامة ونجاح هذه الشركات، تُسهم الدراسة في وضع توصيات عملية لتحسين الأداء وإدارة المخاطر في ظل بيئة متغيرة باستمرار</w:t>
      </w:r>
      <w:r w:rsidRPr="00545ABB">
        <w:rPr>
          <w:rFonts w:ascii="Traditional Arabic" w:eastAsia="Times New Roman" w:hAnsi="Traditional Arabic" w:cs="Traditional Arabic"/>
          <w:b/>
          <w:bCs/>
          <w:color w:val="000000" w:themeColor="text1"/>
          <w:sz w:val="24"/>
          <w:szCs w:val="24"/>
        </w:rPr>
        <w:t>.</w:t>
      </w:r>
    </w:p>
    <w:p w14:paraId="7AA5068C" w14:textId="77777777" w:rsidR="000135AB" w:rsidRPr="00545ABB" w:rsidRDefault="000135AB" w:rsidP="00022590">
      <w:pPr>
        <w:spacing w:after="0" w:line="360" w:lineRule="auto"/>
        <w:ind w:firstLine="360"/>
        <w:jc w:val="both"/>
        <w:rPr>
          <w:rFonts w:ascii="Traditional Arabic" w:eastAsia="Calibri" w:hAnsi="Traditional Arabic" w:cs="Traditional Arabic"/>
          <w:b/>
          <w:bCs/>
          <w:color w:val="000000" w:themeColor="text1"/>
          <w:sz w:val="24"/>
          <w:szCs w:val="24"/>
          <w:u w:val="single"/>
          <w:rtl/>
          <w:lang w:bidi="ar-EG"/>
        </w:rPr>
      </w:pPr>
      <w:r w:rsidRPr="00545ABB">
        <w:rPr>
          <w:rFonts w:ascii="Traditional Arabic" w:eastAsia="Times New Roman" w:hAnsi="Traditional Arabic" w:cs="Traditional Arabic"/>
          <w:b/>
          <w:bCs/>
          <w:color w:val="000000" w:themeColor="text1"/>
          <w:sz w:val="24"/>
          <w:szCs w:val="24"/>
          <w:rtl/>
        </w:rPr>
        <w:lastRenderedPageBreak/>
        <w:t>ويتضمن ذلك وجود هياكل ونظم قانونية وتشريعية ثابتة وعادلة، تعتمد المحاسبة والشفافية في عمل كل الإدارات وتحقيق التعاون المثمر والانسجام بين الحكومة ومنظمات المجتمع المدني والقطاع الخاص بهدف تحقيق المصلحة العامة.</w:t>
      </w:r>
    </w:p>
    <w:p w14:paraId="27F92FA8" w14:textId="6AAA2080" w:rsidR="000135AB" w:rsidRPr="00545ABB" w:rsidRDefault="000135AB" w:rsidP="00E4652C">
      <w:pPr>
        <w:pStyle w:val="Heading2"/>
        <w:bidi/>
        <w:rPr>
          <w:rFonts w:ascii="Traditional Arabic" w:eastAsia="Calibri" w:hAnsi="Traditional Arabic" w:cs="Traditional Arabic"/>
          <w:b/>
          <w:bCs/>
          <w:color w:val="000000" w:themeColor="text1"/>
          <w:sz w:val="28"/>
          <w:szCs w:val="28"/>
          <w:rtl/>
          <w:lang w:bidi="ar-EG"/>
        </w:rPr>
      </w:pPr>
      <w:bookmarkStart w:id="11" w:name="_Toc242325183"/>
      <w:r w:rsidRPr="00545ABB">
        <w:rPr>
          <w:rFonts w:ascii="Traditional Arabic" w:eastAsia="Calibri" w:hAnsi="Traditional Arabic" w:cs="Traditional Arabic"/>
          <w:b/>
          <w:bCs/>
          <w:color w:val="000000" w:themeColor="text1"/>
          <w:sz w:val="28"/>
          <w:szCs w:val="28"/>
          <w:rtl/>
          <w:lang w:bidi="ar-EG"/>
        </w:rPr>
        <w:t>أهداف الدراسة</w:t>
      </w:r>
      <w:bookmarkEnd w:id="11"/>
      <w:r w:rsidR="00E4652C" w:rsidRPr="00545ABB">
        <w:rPr>
          <w:rFonts w:ascii="Traditional Arabic" w:eastAsia="Calibri" w:hAnsi="Traditional Arabic" w:cs="Traditional Arabic"/>
          <w:b/>
          <w:bCs/>
          <w:color w:val="000000" w:themeColor="text1"/>
          <w:sz w:val="28"/>
          <w:szCs w:val="28"/>
          <w:rtl/>
          <w:lang w:bidi="ar-EG"/>
        </w:rPr>
        <w:t xml:space="preserve"> </w:t>
      </w:r>
    </w:p>
    <w:p w14:paraId="1DA6112E" w14:textId="77777777" w:rsidR="000135AB" w:rsidRPr="00545ABB" w:rsidRDefault="000135AB" w:rsidP="00022590">
      <w:pPr>
        <w:spacing w:after="0" w:line="360" w:lineRule="auto"/>
        <w:ind w:firstLine="720"/>
        <w:jc w:val="both"/>
        <w:rPr>
          <w:rFonts w:ascii="Traditional Arabic" w:eastAsia="Calibri" w:hAnsi="Traditional Arabic" w:cs="Traditional Arabic"/>
          <w:b/>
          <w:bCs/>
          <w:color w:val="000000" w:themeColor="text1"/>
          <w:sz w:val="24"/>
          <w:szCs w:val="24"/>
        </w:rPr>
      </w:pPr>
      <w:r w:rsidRPr="00545ABB">
        <w:rPr>
          <w:rFonts w:ascii="Traditional Arabic" w:eastAsia="Calibri" w:hAnsi="Traditional Arabic" w:cs="Traditional Arabic"/>
          <w:b/>
          <w:bCs/>
          <w:color w:val="000000" w:themeColor="text1"/>
          <w:sz w:val="24"/>
          <w:szCs w:val="24"/>
          <w:rtl/>
        </w:rPr>
        <w:t>تهدف هذه الدراسة إلى تحليل دور الحوكمة الفعالة في ضمان استدامة ونجاح شركات الأمن السيبراني الناشئة في المملكة العربية السعودية، وذلك من خلال تحقيق مجموعة من الأهداف الفرعية التي تستند إلى التساؤلات البحثية، وهي:</w:t>
      </w:r>
    </w:p>
    <w:p w14:paraId="06EDE0B0" w14:textId="77777777" w:rsidR="000135AB" w:rsidRPr="00545ABB" w:rsidRDefault="000135AB" w:rsidP="00022590">
      <w:pPr>
        <w:spacing w:after="0" w:line="360" w:lineRule="auto"/>
        <w:jc w:val="both"/>
        <w:rPr>
          <w:rFonts w:ascii="Traditional Arabic" w:eastAsia="Calibri" w:hAnsi="Traditional Arabic" w:cs="Traditional Arabic"/>
          <w:b/>
          <w:bCs/>
          <w:color w:val="000000" w:themeColor="text1"/>
          <w:sz w:val="24"/>
          <w:szCs w:val="24"/>
        </w:rPr>
      </w:pPr>
      <w:r w:rsidRPr="00545ABB">
        <w:rPr>
          <w:rFonts w:ascii="Traditional Arabic" w:eastAsia="Calibri" w:hAnsi="Traditional Arabic" w:cs="Traditional Arabic"/>
          <w:b/>
          <w:bCs/>
          <w:color w:val="000000" w:themeColor="text1"/>
          <w:sz w:val="24"/>
          <w:szCs w:val="24"/>
          <w:rtl/>
        </w:rPr>
        <w:t>1- تحليل مدي استفادة شركات الأمن السيبراني الناشئة من التحولات التكنولوجية الحالية في تطوير حلول أمنية مبتكرة.</w:t>
      </w:r>
    </w:p>
    <w:p w14:paraId="6ED184A5" w14:textId="6EB759C2" w:rsidR="000135AB" w:rsidRPr="00545ABB" w:rsidRDefault="000135AB" w:rsidP="00022590">
      <w:pPr>
        <w:spacing w:after="0" w:line="360" w:lineRule="auto"/>
        <w:jc w:val="both"/>
        <w:rPr>
          <w:rFonts w:ascii="Traditional Arabic" w:eastAsia="Calibri" w:hAnsi="Traditional Arabic" w:cs="Traditional Arabic"/>
          <w:b/>
          <w:bCs/>
          <w:color w:val="000000" w:themeColor="text1"/>
          <w:sz w:val="24"/>
          <w:szCs w:val="24"/>
        </w:rPr>
      </w:pPr>
      <w:r w:rsidRPr="00545ABB">
        <w:rPr>
          <w:rFonts w:ascii="Traditional Arabic" w:eastAsia="Calibri" w:hAnsi="Traditional Arabic" w:cs="Traditional Arabic"/>
          <w:b/>
          <w:bCs/>
          <w:color w:val="000000" w:themeColor="text1"/>
          <w:sz w:val="24"/>
          <w:szCs w:val="24"/>
          <w:rtl/>
        </w:rPr>
        <w:t>2- دراسة أثر الحوكمة الفعالة على نجاح واستدامة الشركات الأمن السيبراني الناشئة، ومدى مساهمتها في تحسين الأداء المؤسسي لهذه الشركات.</w:t>
      </w:r>
    </w:p>
    <w:p w14:paraId="76DA9D6F" w14:textId="77777777" w:rsidR="000135AB" w:rsidRPr="00545ABB" w:rsidRDefault="000135AB" w:rsidP="00022590">
      <w:pPr>
        <w:spacing w:after="0" w:line="360" w:lineRule="auto"/>
        <w:jc w:val="both"/>
        <w:rPr>
          <w:rFonts w:ascii="Traditional Arabic" w:eastAsia="Calibri" w:hAnsi="Traditional Arabic" w:cs="Traditional Arabic"/>
          <w:b/>
          <w:bCs/>
          <w:color w:val="000000" w:themeColor="text1"/>
          <w:sz w:val="24"/>
          <w:szCs w:val="24"/>
        </w:rPr>
      </w:pPr>
      <w:r w:rsidRPr="00545ABB">
        <w:rPr>
          <w:rFonts w:ascii="Traditional Arabic" w:eastAsia="Calibri" w:hAnsi="Traditional Arabic" w:cs="Traditional Arabic"/>
          <w:b/>
          <w:bCs/>
          <w:color w:val="000000" w:themeColor="text1"/>
          <w:sz w:val="24"/>
          <w:szCs w:val="24"/>
          <w:rtl/>
        </w:rPr>
        <w:t>3- تقييم مدي تطوير دور الشركات الأمن السيبراني الناشئة في وتأثير ذلك على النمو الاقتصادي الوطني، ورفع الناتج المحلي للملكة العربية السعودية.</w:t>
      </w:r>
    </w:p>
    <w:p w14:paraId="3BD68FF4" w14:textId="77777777" w:rsidR="000135AB" w:rsidRPr="00545ABB" w:rsidRDefault="000135AB" w:rsidP="00022590">
      <w:pPr>
        <w:spacing w:after="0" w:line="360" w:lineRule="auto"/>
        <w:jc w:val="both"/>
        <w:rPr>
          <w:rFonts w:ascii="Traditional Arabic" w:eastAsia="Calibri" w:hAnsi="Traditional Arabic" w:cs="Traditional Arabic"/>
          <w:b/>
          <w:bCs/>
          <w:color w:val="000000" w:themeColor="text1"/>
          <w:sz w:val="24"/>
          <w:szCs w:val="24"/>
        </w:rPr>
      </w:pPr>
      <w:r w:rsidRPr="00545ABB">
        <w:rPr>
          <w:rFonts w:ascii="Traditional Arabic" w:eastAsia="Calibri" w:hAnsi="Traditional Arabic" w:cs="Traditional Arabic"/>
          <w:b/>
          <w:bCs/>
          <w:color w:val="000000" w:themeColor="text1"/>
          <w:sz w:val="24"/>
          <w:szCs w:val="24"/>
          <w:rtl/>
        </w:rPr>
        <w:t>4- دور الشركات الأمن السيبراني الناشئة في تحقيق مستهدفات رؤية المملكة 2030 وتعزيز التنافسية الرقمية على المستوى الوطني والدولي.</w:t>
      </w:r>
    </w:p>
    <w:p w14:paraId="315D5B62" w14:textId="77777777" w:rsidR="000135AB" w:rsidRPr="00545ABB" w:rsidRDefault="000135AB" w:rsidP="00022590">
      <w:pPr>
        <w:spacing w:after="0" w:line="360" w:lineRule="auto"/>
        <w:jc w:val="both"/>
        <w:rPr>
          <w:rFonts w:ascii="Traditional Arabic" w:eastAsia="Calibri" w:hAnsi="Traditional Arabic" w:cs="Traditional Arabic"/>
          <w:b/>
          <w:bCs/>
          <w:color w:val="000000" w:themeColor="text1"/>
          <w:sz w:val="24"/>
          <w:szCs w:val="24"/>
        </w:rPr>
      </w:pPr>
      <w:r w:rsidRPr="00545ABB">
        <w:rPr>
          <w:rFonts w:ascii="Traditional Arabic" w:eastAsia="Calibri" w:hAnsi="Traditional Arabic" w:cs="Traditional Arabic"/>
          <w:b/>
          <w:bCs/>
          <w:color w:val="000000" w:themeColor="text1"/>
          <w:sz w:val="24"/>
          <w:szCs w:val="24"/>
          <w:rtl/>
        </w:rPr>
        <w:t>5- تحليل تأثير السياسات والإجراءات الداعمة على تعزيز دور شركات الأمن السيبراني الناشئة في تحقيق مستهدفات رؤية 2030.</w:t>
      </w:r>
    </w:p>
    <w:p w14:paraId="65878CF9" w14:textId="54A19FA8" w:rsidR="000135AB" w:rsidRPr="00545ABB" w:rsidRDefault="000135AB" w:rsidP="00E4652C">
      <w:pPr>
        <w:pStyle w:val="Heading2"/>
        <w:bidi/>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 xml:space="preserve"> </w:t>
      </w:r>
      <w:bookmarkStart w:id="12" w:name="_Toc242325184"/>
      <w:r w:rsidRPr="00545ABB">
        <w:rPr>
          <w:rFonts w:ascii="Traditional Arabic" w:eastAsia="Calibri" w:hAnsi="Traditional Arabic" w:cs="Traditional Arabic"/>
          <w:b/>
          <w:bCs/>
          <w:color w:val="000000" w:themeColor="text1"/>
          <w:sz w:val="28"/>
          <w:szCs w:val="28"/>
          <w:rtl/>
          <w:lang w:bidi="ar-EG"/>
        </w:rPr>
        <w:t>فروض الدراسة</w:t>
      </w:r>
      <w:bookmarkEnd w:id="12"/>
    </w:p>
    <w:p w14:paraId="1C382C83" w14:textId="34D1F4E7" w:rsidR="000135AB" w:rsidRPr="00545ABB" w:rsidRDefault="000135AB" w:rsidP="00022590">
      <w:pPr>
        <w:spacing w:after="0" w:line="360" w:lineRule="auto"/>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8"/>
          <w:szCs w:val="28"/>
          <w:rtl/>
          <w:lang w:bidi="ar-EG"/>
        </w:rPr>
        <w:t xml:space="preserve">بناءً </w:t>
      </w:r>
      <w:r w:rsidR="009252B2" w:rsidRPr="00545ABB">
        <w:rPr>
          <w:rFonts w:ascii="Traditional Arabic" w:eastAsia="Calibri" w:hAnsi="Traditional Arabic" w:cs="Traditional Arabic"/>
          <w:b/>
          <w:bCs/>
          <w:color w:val="000000" w:themeColor="text1"/>
          <w:sz w:val="28"/>
          <w:szCs w:val="28"/>
          <w:rtl/>
          <w:lang w:bidi="ar-EG"/>
        </w:rPr>
        <w:t>على</w:t>
      </w:r>
      <w:r w:rsidRPr="00545ABB">
        <w:rPr>
          <w:rFonts w:ascii="Traditional Arabic" w:eastAsia="Calibri" w:hAnsi="Traditional Arabic" w:cs="Traditional Arabic"/>
          <w:b/>
          <w:bCs/>
          <w:color w:val="000000" w:themeColor="text1"/>
          <w:sz w:val="28"/>
          <w:szCs w:val="28"/>
          <w:rtl/>
          <w:lang w:bidi="ar-EG"/>
        </w:rPr>
        <w:t xml:space="preserve"> التساؤلات البحثية، تتحدد فروض الدراسة في التالي:</w:t>
      </w:r>
    </w:p>
    <w:p w14:paraId="32106154" w14:textId="77777777" w:rsidR="000135AB" w:rsidRPr="00545ABB" w:rsidRDefault="000135AB" w:rsidP="00D95153">
      <w:pPr>
        <w:pStyle w:val="ListParagraph"/>
        <w:numPr>
          <w:ilvl w:val="0"/>
          <w:numId w:val="17"/>
        </w:numPr>
        <w:bidi/>
        <w:spacing w:after="0" w:line="360" w:lineRule="auto"/>
        <w:jc w:val="both"/>
        <w:rPr>
          <w:rFonts w:ascii="Traditional Arabic" w:eastAsia="Calibri" w:hAnsi="Traditional Arabic" w:cs="Traditional Arabic"/>
          <w:b/>
          <w:bCs/>
          <w:color w:val="000000" w:themeColor="text1"/>
          <w:sz w:val="24"/>
          <w:szCs w:val="24"/>
          <w:rtl/>
        </w:rPr>
      </w:pPr>
      <w:r w:rsidRPr="00545ABB">
        <w:rPr>
          <w:rFonts w:ascii="Traditional Arabic" w:eastAsia="Calibri" w:hAnsi="Traditional Arabic" w:cs="Traditional Arabic"/>
          <w:b/>
          <w:bCs/>
          <w:color w:val="000000" w:themeColor="text1"/>
          <w:sz w:val="28"/>
          <w:szCs w:val="28"/>
          <w:rtl/>
        </w:rPr>
        <w:t>الفرض الأول:</w:t>
      </w:r>
      <w:r w:rsidRPr="00545ABB">
        <w:rPr>
          <w:rFonts w:ascii="Traditional Arabic" w:eastAsia="Calibri" w:hAnsi="Traditional Arabic" w:cs="Traditional Arabic"/>
          <w:b/>
          <w:bCs/>
          <w:color w:val="000000" w:themeColor="text1"/>
          <w:sz w:val="24"/>
          <w:szCs w:val="24"/>
          <w:rtl/>
        </w:rPr>
        <w:t xml:space="preserve"> هناك أثر ذو دلالة إحصائية بين التحولات التكنولوجية الحالية ودور الحوكمة الفعالة واستدامة شركات الأمن السيبراني الناشئة.</w:t>
      </w:r>
    </w:p>
    <w:p w14:paraId="39728EC9" w14:textId="77777777" w:rsidR="000135AB" w:rsidRPr="00545ABB" w:rsidRDefault="000135AB" w:rsidP="00D95153">
      <w:pPr>
        <w:pStyle w:val="ListParagraph"/>
        <w:numPr>
          <w:ilvl w:val="0"/>
          <w:numId w:val="17"/>
        </w:numPr>
        <w:bidi/>
        <w:spacing w:after="0" w:line="360" w:lineRule="auto"/>
        <w:jc w:val="both"/>
        <w:rPr>
          <w:rFonts w:ascii="Traditional Arabic" w:eastAsia="Calibri" w:hAnsi="Traditional Arabic" w:cs="Traditional Arabic"/>
          <w:b/>
          <w:bCs/>
          <w:color w:val="000000" w:themeColor="text1"/>
          <w:sz w:val="24"/>
          <w:szCs w:val="24"/>
          <w:rtl/>
        </w:rPr>
      </w:pPr>
      <w:r w:rsidRPr="00545ABB">
        <w:rPr>
          <w:rFonts w:ascii="Traditional Arabic" w:eastAsia="Calibri" w:hAnsi="Traditional Arabic" w:cs="Traditional Arabic"/>
          <w:b/>
          <w:bCs/>
          <w:color w:val="000000" w:themeColor="text1"/>
          <w:sz w:val="28"/>
          <w:szCs w:val="28"/>
          <w:rtl/>
        </w:rPr>
        <w:t>الفرض الثاني:</w:t>
      </w:r>
      <w:r w:rsidRPr="00545ABB">
        <w:rPr>
          <w:rFonts w:ascii="Traditional Arabic" w:eastAsia="Calibri" w:hAnsi="Traditional Arabic" w:cs="Traditional Arabic"/>
          <w:b/>
          <w:bCs/>
          <w:color w:val="000000" w:themeColor="text1"/>
          <w:sz w:val="24"/>
          <w:szCs w:val="24"/>
          <w:rtl/>
        </w:rPr>
        <w:t xml:space="preserve"> هناك أثر ذو دلالة إحصائية بين الحوكمة الفعالة وتعزيز نجاح شركات الأمن السيبراني الناشئة واستدامتها.</w:t>
      </w:r>
    </w:p>
    <w:p w14:paraId="7ADC827E" w14:textId="77777777" w:rsidR="000135AB" w:rsidRPr="00545ABB" w:rsidRDefault="000135AB" w:rsidP="00D95153">
      <w:pPr>
        <w:pStyle w:val="ListParagraph"/>
        <w:numPr>
          <w:ilvl w:val="0"/>
          <w:numId w:val="17"/>
        </w:numPr>
        <w:bidi/>
        <w:spacing w:after="0" w:line="360" w:lineRule="auto"/>
        <w:jc w:val="both"/>
        <w:rPr>
          <w:rFonts w:ascii="Traditional Arabic" w:eastAsia="Calibri" w:hAnsi="Traditional Arabic" w:cs="Traditional Arabic"/>
          <w:b/>
          <w:bCs/>
          <w:color w:val="000000" w:themeColor="text1"/>
          <w:sz w:val="24"/>
          <w:szCs w:val="24"/>
          <w:rtl/>
        </w:rPr>
      </w:pPr>
      <w:r w:rsidRPr="00545ABB">
        <w:rPr>
          <w:rFonts w:ascii="Traditional Arabic" w:eastAsia="Calibri" w:hAnsi="Traditional Arabic" w:cs="Traditional Arabic"/>
          <w:b/>
          <w:bCs/>
          <w:color w:val="000000" w:themeColor="text1"/>
          <w:sz w:val="28"/>
          <w:szCs w:val="28"/>
          <w:rtl/>
        </w:rPr>
        <w:t>الفرض الثالث:</w:t>
      </w:r>
      <w:r w:rsidRPr="00545ABB">
        <w:rPr>
          <w:rFonts w:ascii="Traditional Arabic" w:eastAsia="Calibri" w:hAnsi="Traditional Arabic" w:cs="Traditional Arabic"/>
          <w:b/>
          <w:bCs/>
          <w:color w:val="000000" w:themeColor="text1"/>
          <w:sz w:val="24"/>
          <w:szCs w:val="24"/>
          <w:rtl/>
        </w:rPr>
        <w:t xml:space="preserve"> هناك أثر ذو دلالة إحصائية بين الحوكمة الفعالة واستدامة شركات الأمن السيبراني الناشئة ونمو الاقتصاد الوطني لرفع الناتج المحلي.</w:t>
      </w:r>
    </w:p>
    <w:p w14:paraId="788714EE" w14:textId="77777777" w:rsidR="000135AB" w:rsidRPr="00545ABB" w:rsidRDefault="000135AB" w:rsidP="00D95153">
      <w:pPr>
        <w:pStyle w:val="ListParagraph"/>
        <w:numPr>
          <w:ilvl w:val="0"/>
          <w:numId w:val="17"/>
        </w:numPr>
        <w:bidi/>
        <w:spacing w:after="0" w:line="360" w:lineRule="auto"/>
        <w:jc w:val="both"/>
        <w:rPr>
          <w:rFonts w:ascii="Traditional Arabic" w:eastAsia="Calibri" w:hAnsi="Traditional Arabic" w:cs="Traditional Arabic"/>
          <w:b/>
          <w:bCs/>
          <w:color w:val="000000" w:themeColor="text1"/>
          <w:sz w:val="24"/>
          <w:szCs w:val="24"/>
          <w:rtl/>
        </w:rPr>
      </w:pPr>
      <w:r w:rsidRPr="00545ABB">
        <w:rPr>
          <w:rFonts w:ascii="Traditional Arabic" w:eastAsia="Calibri" w:hAnsi="Traditional Arabic" w:cs="Traditional Arabic"/>
          <w:b/>
          <w:bCs/>
          <w:color w:val="000000" w:themeColor="text1"/>
          <w:sz w:val="28"/>
          <w:szCs w:val="28"/>
          <w:rtl/>
        </w:rPr>
        <w:t>الفرض الرابع:</w:t>
      </w:r>
      <w:r w:rsidRPr="00545ABB">
        <w:rPr>
          <w:rFonts w:ascii="Traditional Arabic" w:eastAsia="Calibri" w:hAnsi="Traditional Arabic" w:cs="Traditional Arabic"/>
          <w:b/>
          <w:bCs/>
          <w:color w:val="000000" w:themeColor="text1"/>
          <w:sz w:val="24"/>
          <w:szCs w:val="24"/>
          <w:rtl/>
        </w:rPr>
        <w:t xml:space="preserve"> هناك أثر ذو دلالة إحصائية بين دعم حوكمة شركات الأمن السيبراني الناشئة وتعزيز دورها في تحقيق أهداف رؤية المملكة 2030.</w:t>
      </w:r>
    </w:p>
    <w:p w14:paraId="5CA51951" w14:textId="7B3F1462" w:rsidR="00290E02" w:rsidRPr="00545ABB" w:rsidRDefault="000135AB" w:rsidP="00D95153">
      <w:pPr>
        <w:pStyle w:val="ListParagraph"/>
        <w:numPr>
          <w:ilvl w:val="0"/>
          <w:numId w:val="17"/>
        </w:numPr>
        <w:bidi/>
        <w:spacing w:after="0" w:line="360" w:lineRule="auto"/>
        <w:jc w:val="both"/>
        <w:rPr>
          <w:rFonts w:ascii="Traditional Arabic" w:eastAsia="Calibri" w:hAnsi="Traditional Arabic" w:cs="Traditional Arabic"/>
          <w:b/>
          <w:bCs/>
          <w:color w:val="000000" w:themeColor="text1"/>
          <w:sz w:val="24"/>
          <w:szCs w:val="24"/>
          <w:u w:val="single"/>
        </w:rPr>
      </w:pPr>
      <w:r w:rsidRPr="00545ABB">
        <w:rPr>
          <w:rFonts w:ascii="Traditional Arabic" w:eastAsia="Calibri" w:hAnsi="Traditional Arabic" w:cs="Traditional Arabic"/>
          <w:b/>
          <w:bCs/>
          <w:color w:val="000000" w:themeColor="text1"/>
          <w:sz w:val="28"/>
          <w:szCs w:val="28"/>
          <w:rtl/>
        </w:rPr>
        <w:t>الفرض الخامس:</w:t>
      </w:r>
      <w:r w:rsidRPr="00545ABB">
        <w:rPr>
          <w:rFonts w:ascii="Traditional Arabic" w:eastAsia="Calibri" w:hAnsi="Traditional Arabic" w:cs="Traditional Arabic"/>
          <w:b/>
          <w:bCs/>
          <w:color w:val="000000" w:themeColor="text1"/>
          <w:sz w:val="24"/>
          <w:szCs w:val="24"/>
          <w:rtl/>
        </w:rPr>
        <w:t xml:space="preserve"> هناك أثر ذو دلالة إحصائية بين وجود سياسات وإجراءات مشجعة وتعزيز دور حوكمة شركات الأمن السيبراني الناشئة في تحقيق أهداف رؤية المملكة 2030.</w:t>
      </w:r>
    </w:p>
    <w:p w14:paraId="5B468202" w14:textId="6DDB9075" w:rsidR="00830A0A" w:rsidRPr="00545ABB" w:rsidRDefault="008B236D" w:rsidP="00E4652C">
      <w:pPr>
        <w:pStyle w:val="Heading2"/>
        <w:bidi/>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lastRenderedPageBreak/>
        <w:t xml:space="preserve"> </w:t>
      </w:r>
      <w:bookmarkStart w:id="13" w:name="_Toc242325185"/>
      <w:r w:rsidRPr="00545ABB">
        <w:rPr>
          <w:rFonts w:ascii="Traditional Arabic" w:eastAsia="Calibri" w:hAnsi="Traditional Arabic" w:cs="Traditional Arabic"/>
          <w:b/>
          <w:bCs/>
          <w:color w:val="000000" w:themeColor="text1"/>
          <w:sz w:val="28"/>
          <w:szCs w:val="28"/>
          <w:rtl/>
          <w:lang w:bidi="ar-EG"/>
        </w:rPr>
        <w:t>نموذج الدراسة:</w:t>
      </w:r>
      <w:bookmarkEnd w:id="13"/>
    </w:p>
    <w:p w14:paraId="335A4354" w14:textId="3452D28D" w:rsidR="00AA2A35" w:rsidRPr="00545ABB" w:rsidRDefault="00B40045" w:rsidP="00AA2A35">
      <w:pPr>
        <w:spacing w:after="0" w:line="360" w:lineRule="auto"/>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استنادًا إلى ما تم استعراضه من الأدبيات النظرية في مجال حوكمة الشركات، بما في ذلك نظرية الوكالة، ونظرية أصحاب المصلحة، ومبادئ الحوكمة الرشيدة، وإلى ما تناولته الدراسات السابقة من علاقة بين الحوكمة والاستدامة المؤسسية (</w:t>
      </w:r>
      <w:r w:rsidRPr="00545ABB">
        <w:rPr>
          <w:rFonts w:ascii="Traditional Arabic" w:eastAsia="Calibri" w:hAnsi="Traditional Arabic" w:cs="Traditional Arabic"/>
          <w:b/>
          <w:bCs/>
          <w:color w:val="000000" w:themeColor="text1"/>
          <w:sz w:val="24"/>
          <w:szCs w:val="24"/>
          <w:lang w:bidi="ar-EG"/>
        </w:rPr>
        <w:t>Alqahtani, 2022</w:t>
      </w:r>
      <w:r w:rsidRPr="00545ABB">
        <w:rPr>
          <w:rFonts w:ascii="Traditional Arabic" w:eastAsia="Calibri" w:hAnsi="Traditional Arabic" w:cs="Traditional Arabic"/>
          <w:b/>
          <w:bCs/>
          <w:color w:val="000000" w:themeColor="text1"/>
          <w:sz w:val="24"/>
          <w:szCs w:val="24"/>
          <w:rtl/>
          <w:lang w:bidi="ar-EG"/>
        </w:rPr>
        <w:t>؛ عطا، 2018؛ بوشامي وآخرون، 2022)، وبين الحوكمة ونجاح الشركات الناشئة (أحسن وآخرون، 2023؛ بوساحة وآخرون، 2020)، تم بناء النموذج المفاهيمي للدراسة الحالية بوصفه الإطار التحليلي الذي يوضح العلاقات المفترضة بين متغيرات الدراسة، والتي تم اختبارها إحصائيًا في الجانب التطبيقي للدراسة.</w:t>
      </w:r>
    </w:p>
    <w:p w14:paraId="2C78DDCB" w14:textId="77777777" w:rsidR="00AA2A35" w:rsidRPr="00545ABB" w:rsidRDefault="00AA2A35" w:rsidP="00AA2A35">
      <w:pPr>
        <w:spacing w:after="0" w:line="360" w:lineRule="auto"/>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يتكون النموذج من متغير مستقل واحد هو "الحوكمة الفعالة"، ويتضمن خمسة أبعاد رئيسية تمثل مكوناته الجوهرية، وهي: الشفافية والإفصاح، المساءلة والمسؤولية، المشاركة في اتخاذ القرار، إدارة المخاطر والالتزام، والكفاءة في استخدام الموارد. وقد تم اختيار هذه الأبعاد بناءً على ما ورد في أدبيات الحوكمة (بوشامي وآخرون، 2022؛ أبو النصر، 2015) لكونها الأكثر ارتباطاً بسياق الشركات الناشئة، ولما لها من دور محوري في تعزيز الأداء المؤسسي وتحقيق الاستدامة.</w:t>
      </w:r>
    </w:p>
    <w:p w14:paraId="6B92EB6B" w14:textId="3F0557B4" w:rsidR="00AA2A35" w:rsidRPr="00545ABB" w:rsidRDefault="00AA2A35" w:rsidP="00B40045">
      <w:pPr>
        <w:spacing w:after="0" w:line="360" w:lineRule="auto"/>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في المقابل، يشتمل النموذج على متغيرين تابعين؛ الأول: الاستدامة المؤسسية، ويُقاس من خلال ثلاثة أبعاد رئيسية: البعد الاقتصادي، والبعد الاجتماعي، والبعد التقني، تماشياً مع نموذج الاستدامة الثلاثي الأبعاد (</w:t>
      </w:r>
      <w:r w:rsidRPr="00545ABB">
        <w:rPr>
          <w:rFonts w:ascii="Traditional Arabic" w:eastAsia="Calibri" w:hAnsi="Traditional Arabic" w:cs="Traditional Arabic"/>
          <w:b/>
          <w:bCs/>
          <w:color w:val="000000" w:themeColor="text1"/>
          <w:sz w:val="24"/>
          <w:szCs w:val="24"/>
          <w:lang w:bidi="ar-EG"/>
        </w:rPr>
        <w:t>Triple Bottom Line</w:t>
      </w:r>
      <w:r w:rsidRPr="00545ABB">
        <w:rPr>
          <w:rFonts w:ascii="Traditional Arabic" w:eastAsia="Calibri" w:hAnsi="Traditional Arabic" w:cs="Traditional Arabic"/>
          <w:b/>
          <w:bCs/>
          <w:color w:val="000000" w:themeColor="text1"/>
          <w:sz w:val="24"/>
          <w:szCs w:val="24"/>
          <w:rtl/>
          <w:lang w:bidi="ar-EG"/>
        </w:rPr>
        <w:t>) الذي يؤكد أن استدامة المنظمات لا تقتصر على الأداء المالي فحسب، بل تمتد لتشمل الأبعاد الاجتماعية والبيئية والتقنية (</w:t>
      </w:r>
      <w:r w:rsidRPr="00545ABB">
        <w:rPr>
          <w:rFonts w:ascii="Traditional Arabic" w:eastAsia="Calibri" w:hAnsi="Traditional Arabic" w:cs="Traditional Arabic"/>
          <w:b/>
          <w:bCs/>
          <w:color w:val="000000" w:themeColor="text1"/>
          <w:sz w:val="24"/>
          <w:szCs w:val="24"/>
          <w:lang w:bidi="ar-EG"/>
        </w:rPr>
        <w:t>de Villiers et al., 2022</w:t>
      </w:r>
      <w:r w:rsidRPr="00545ABB">
        <w:rPr>
          <w:rFonts w:ascii="Traditional Arabic" w:eastAsia="Calibri" w:hAnsi="Traditional Arabic" w:cs="Traditional Arabic"/>
          <w:b/>
          <w:bCs/>
          <w:color w:val="000000" w:themeColor="text1"/>
          <w:sz w:val="24"/>
          <w:szCs w:val="24"/>
          <w:rtl/>
          <w:lang w:bidi="ar-EG"/>
        </w:rPr>
        <w:t xml:space="preserve">؛ </w:t>
      </w:r>
      <w:r w:rsidRPr="00545ABB">
        <w:rPr>
          <w:rFonts w:ascii="Traditional Arabic" w:eastAsia="Calibri" w:hAnsi="Traditional Arabic" w:cs="Traditional Arabic"/>
          <w:b/>
          <w:bCs/>
          <w:color w:val="000000" w:themeColor="text1"/>
          <w:sz w:val="24"/>
          <w:szCs w:val="24"/>
          <w:lang w:bidi="ar-EG"/>
        </w:rPr>
        <w:t>Montiel &amp; Delgado</w:t>
      </w:r>
      <w:r w:rsidRPr="00545ABB">
        <w:rPr>
          <w:rFonts w:ascii="Times New Roman" w:eastAsia="Calibri" w:hAnsi="Times New Roman" w:cs="Times New Roman"/>
          <w:b/>
          <w:bCs/>
          <w:color w:val="000000" w:themeColor="text1"/>
          <w:sz w:val="24"/>
          <w:szCs w:val="24"/>
          <w:lang w:bidi="ar-EG"/>
        </w:rPr>
        <w:t>‐</w:t>
      </w:r>
      <w:r w:rsidRPr="00545ABB">
        <w:rPr>
          <w:rFonts w:ascii="Traditional Arabic" w:eastAsia="Calibri" w:hAnsi="Traditional Arabic" w:cs="Traditional Arabic"/>
          <w:b/>
          <w:bCs/>
          <w:color w:val="000000" w:themeColor="text1"/>
          <w:sz w:val="24"/>
          <w:szCs w:val="24"/>
          <w:lang w:bidi="ar-EG"/>
        </w:rPr>
        <w:t>Ceballos</w:t>
      </w:r>
      <w:r w:rsidRPr="00545ABB">
        <w:rPr>
          <w:rFonts w:ascii="Traditional Arabic" w:eastAsia="Calibri" w:hAnsi="Traditional Arabic" w:cs="Traditional Arabic"/>
          <w:b/>
          <w:bCs/>
          <w:color w:val="000000" w:themeColor="text1"/>
          <w:sz w:val="24"/>
          <w:szCs w:val="24"/>
          <w:rtl/>
          <w:lang w:bidi="ar-EG"/>
        </w:rPr>
        <w:t xml:space="preserve">، </w:t>
      </w:r>
      <w:r w:rsidR="00B40045" w:rsidRPr="00545ABB">
        <w:rPr>
          <w:color w:val="000000" w:themeColor="text1"/>
        </w:rPr>
        <w:t>2014</w:t>
      </w:r>
      <w:r w:rsidRPr="00545ABB">
        <w:rPr>
          <w:rFonts w:ascii="Traditional Arabic" w:eastAsia="Calibri" w:hAnsi="Traditional Arabic" w:cs="Traditional Arabic"/>
          <w:b/>
          <w:bCs/>
          <w:color w:val="000000" w:themeColor="text1"/>
          <w:sz w:val="24"/>
          <w:szCs w:val="24"/>
          <w:rtl/>
          <w:lang w:bidi="ar-EG"/>
        </w:rPr>
        <w:t xml:space="preserve">). أما المتغير التابع الثاني: النجاح المؤسسي، فيتكون من أربعة أبعاد: جودة الأداء الإداري والتقني، الكفاءة التشغيلية، الابتكار والتكيف، ورضا العملاء والنمو المؤسسي، </w:t>
      </w:r>
      <w:r w:rsidR="00C36614" w:rsidRPr="00545ABB">
        <w:rPr>
          <w:rFonts w:ascii="Traditional Arabic" w:eastAsia="Calibri" w:hAnsi="Traditional Arabic" w:cs="Traditional Arabic"/>
          <w:b/>
          <w:bCs/>
          <w:color w:val="000000" w:themeColor="text1"/>
          <w:sz w:val="24"/>
          <w:szCs w:val="24"/>
          <w:rtl/>
          <w:lang w:bidi="ar-EG"/>
        </w:rPr>
        <w:t>وقد تم تحديد هذه الأبعاد في ضوء الإطار النظري والدراسات السابقة ذات الصلة بالأداء المؤسسي والابتكار والتكيف وجودة الخدمات في البيئات الرقمية، بما يتلاءم مع طبيعة شركات الأمن السيبراني الناشئة محل الدراسة</w:t>
      </w:r>
      <w:r w:rsidR="00C36614" w:rsidRPr="00545ABB">
        <w:rPr>
          <w:rFonts w:ascii="Traditional Arabic" w:eastAsia="Calibri" w:hAnsi="Traditional Arabic" w:cs="Traditional Arabic"/>
          <w:b/>
          <w:bCs/>
          <w:color w:val="000000" w:themeColor="text1"/>
          <w:sz w:val="24"/>
          <w:szCs w:val="24"/>
          <w:lang w:bidi="ar-EG"/>
        </w:rPr>
        <w:t>.</w:t>
      </w:r>
    </w:p>
    <w:p w14:paraId="02844400" w14:textId="5927E727" w:rsidR="00AA2A35" w:rsidRPr="00545ABB" w:rsidRDefault="00AA2A35" w:rsidP="004F56B3">
      <w:pPr>
        <w:spacing w:after="0" w:line="360" w:lineRule="auto"/>
        <w:jc w:val="both"/>
        <w:rPr>
          <w:rFonts w:ascii="Traditional Arabic" w:eastAsia="Calibri" w:hAnsi="Traditional Arabic" w:cs="Traditional Arabic"/>
          <w:b/>
          <w:bCs/>
          <w:color w:val="000000" w:themeColor="text1"/>
          <w:sz w:val="24"/>
          <w:szCs w:val="24"/>
          <w:rtl/>
          <w:lang w:bidi="ar-EG"/>
        </w:rPr>
      </w:pPr>
      <w:r w:rsidRPr="00545ABB">
        <w:rPr>
          <w:rFonts w:ascii="Traditional Arabic" w:eastAsia="Calibri" w:hAnsi="Traditional Arabic" w:cs="Traditional Arabic"/>
          <w:b/>
          <w:bCs/>
          <w:color w:val="000000" w:themeColor="text1"/>
          <w:sz w:val="24"/>
          <w:szCs w:val="24"/>
          <w:rtl/>
          <w:lang w:bidi="ar-EG"/>
        </w:rPr>
        <w:t xml:space="preserve">وتمثل الأسهم في النموذج اتجاه التأثير المفترض، حيث يفترض أن الحوكمة الفعالة تؤثر إيجاباً في كل من الاستدامة المؤسسية والنجاح المؤسسي، وذلك في سياق شركات الأمن السيبراني الناشئة في المملكة العربية السعودية، </w:t>
      </w:r>
      <w:r w:rsidR="004F56B3" w:rsidRPr="00545ABB">
        <w:rPr>
          <w:rFonts w:ascii="Traditional Arabic" w:eastAsia="Calibri" w:hAnsi="Traditional Arabic" w:cs="Traditional Arabic"/>
          <w:b/>
          <w:bCs/>
          <w:color w:val="000000" w:themeColor="text1"/>
          <w:sz w:val="24"/>
          <w:szCs w:val="24"/>
          <w:rtl/>
          <w:lang w:bidi="ar-EG"/>
        </w:rPr>
        <w:t>وهو ما يعكس جوهر العلاقات التي تناولتها فرضيات الدراسة وتم اختبارها في الفصل الخاص بعرض النتائج وتحليلها</w:t>
      </w:r>
      <w:r w:rsidR="004F56B3" w:rsidRPr="00545ABB">
        <w:rPr>
          <w:rFonts w:ascii="Traditional Arabic" w:eastAsia="Calibri" w:hAnsi="Traditional Arabic" w:cs="Traditional Arabic"/>
          <w:b/>
          <w:bCs/>
          <w:color w:val="000000" w:themeColor="text1"/>
          <w:sz w:val="24"/>
          <w:szCs w:val="24"/>
          <w:lang w:bidi="ar-EG"/>
        </w:rPr>
        <w:t>.</w:t>
      </w:r>
    </w:p>
    <w:p w14:paraId="613C476C" w14:textId="67493029" w:rsidR="00AA2A35" w:rsidRPr="00545ABB" w:rsidRDefault="00903EC6" w:rsidP="00AA2A35">
      <w:pPr>
        <w:spacing w:after="0" w:line="360" w:lineRule="auto"/>
        <w:jc w:val="center"/>
        <w:rPr>
          <w:rFonts w:ascii="Traditional Arabic" w:eastAsia="Calibri" w:hAnsi="Traditional Arabic" w:cs="Traditional Arabic"/>
          <w:b/>
          <w:bCs/>
          <w:color w:val="000000" w:themeColor="text1"/>
          <w:sz w:val="24"/>
          <w:szCs w:val="24"/>
          <w:rtl/>
          <w:lang w:bidi="ar-EG"/>
        </w:rPr>
      </w:pPr>
      <w:r w:rsidRPr="00903EC6">
        <w:rPr>
          <w:rFonts w:ascii="Traditional Arabic" w:eastAsia="Calibri" w:hAnsi="Traditional Arabic" w:cs="Traditional Arabic"/>
          <w:b/>
          <w:bCs/>
          <w:color w:val="000000" w:themeColor="text1"/>
          <w:sz w:val="24"/>
          <w:szCs w:val="24"/>
          <w:rtl/>
          <w:lang w:bidi="ar-EG"/>
        </w:rPr>
        <w:t>شكل (1-3)</w:t>
      </w:r>
      <w:r w:rsidR="00AA2A35" w:rsidRPr="00545ABB">
        <w:rPr>
          <w:rFonts w:ascii="Traditional Arabic" w:eastAsia="Calibri" w:hAnsi="Traditional Arabic" w:cs="Traditional Arabic"/>
          <w:b/>
          <w:bCs/>
          <w:color w:val="000000" w:themeColor="text1"/>
          <w:sz w:val="24"/>
          <w:szCs w:val="24"/>
          <w:rtl/>
          <w:lang w:bidi="ar-EG"/>
        </w:rPr>
        <w:t xml:space="preserve"> نموذج الدراسة</w:t>
      </w:r>
    </w:p>
    <w:p w14:paraId="0BAF2BC2" w14:textId="6B0C29B9" w:rsidR="00AA2A35" w:rsidRPr="00545ABB" w:rsidRDefault="00AA2A35" w:rsidP="00D8380E">
      <w:pPr>
        <w:spacing w:after="0" w:line="360" w:lineRule="auto"/>
        <w:rPr>
          <w:rFonts w:ascii="Traditional Arabic" w:eastAsia="Calibri" w:hAnsi="Traditional Arabic" w:cs="Traditional Arabic"/>
          <w:b/>
          <w:bCs/>
          <w:color w:val="000000" w:themeColor="text1"/>
          <w:sz w:val="24"/>
          <w:szCs w:val="24"/>
          <w:highlight w:val="yellow"/>
          <w:u w:val="single"/>
          <w:rtl/>
          <w:lang w:bidi="ar-EG"/>
        </w:rPr>
      </w:pPr>
    </w:p>
    <w:p w14:paraId="191B9491" w14:textId="1C288F2F" w:rsidR="008B236D" w:rsidRPr="00545ABB" w:rsidRDefault="006663F5" w:rsidP="00D8380E">
      <w:pPr>
        <w:spacing w:after="0" w:line="360" w:lineRule="auto"/>
        <w:rPr>
          <w:rFonts w:ascii="Traditional Arabic" w:eastAsia="Calibri" w:hAnsi="Traditional Arabic" w:cs="Traditional Arabic"/>
          <w:b/>
          <w:bCs/>
          <w:color w:val="000000" w:themeColor="text1"/>
          <w:sz w:val="24"/>
          <w:szCs w:val="24"/>
          <w:highlight w:val="yellow"/>
          <w:rtl/>
        </w:rPr>
      </w:pPr>
      <w:r w:rsidRPr="00545ABB">
        <w:rPr>
          <w:rFonts w:ascii="Traditional Arabic" w:eastAsia="Calibri" w:hAnsi="Traditional Arabic" w:cs="Traditional Arabic"/>
          <w:b/>
          <w:bCs/>
          <w:noProof/>
          <w:color w:val="000000" w:themeColor="text1"/>
          <w:sz w:val="24"/>
          <w:szCs w:val="24"/>
          <w:rtl/>
        </w:rPr>
        <w:lastRenderedPageBreak/>
        <w:drawing>
          <wp:inline distT="0" distB="0" distL="0" distR="0" wp14:anchorId="625286D7" wp14:editId="69611715">
            <wp:extent cx="5943600" cy="2972917"/>
            <wp:effectExtent l="0" t="0" r="0" b="0"/>
            <wp:docPr id="13" name="Picture 13" descr="C:\Users\PC\Desktop\PHD\updated\الرسالة النهائية\نموذج الدراسة_ الحوكمة والنجاح المؤسس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Users\PC\Desktop\PHD\updated\الرسالة النهائية\نموذج الدراسة_ الحوكمة والنجاح المؤسسي.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972917"/>
                    </a:xfrm>
                    <a:prstGeom prst="rect">
                      <a:avLst/>
                    </a:prstGeom>
                    <a:noFill/>
                    <a:ln>
                      <a:noFill/>
                    </a:ln>
                  </pic:spPr>
                </pic:pic>
              </a:graphicData>
            </a:graphic>
          </wp:inline>
        </w:drawing>
      </w:r>
    </w:p>
    <w:p w14:paraId="267DF863" w14:textId="225FD19F" w:rsidR="00AA2A35" w:rsidRPr="00545ABB" w:rsidRDefault="00AA2A35" w:rsidP="00AA2A35">
      <w:pPr>
        <w:spacing w:after="0" w:line="360" w:lineRule="auto"/>
        <w:rPr>
          <w:rFonts w:ascii="Traditional Arabic" w:eastAsia="Calibri" w:hAnsi="Traditional Arabic" w:cs="Traditional Arabic"/>
          <w:b/>
          <w:bCs/>
          <w:color w:val="000000" w:themeColor="text1"/>
          <w:sz w:val="24"/>
          <w:szCs w:val="24"/>
          <w:rtl/>
        </w:rPr>
      </w:pPr>
      <w:r w:rsidRPr="00545ABB">
        <w:rPr>
          <w:rFonts w:ascii="Traditional Arabic" w:eastAsia="Calibri" w:hAnsi="Traditional Arabic" w:cs="Traditional Arabic"/>
          <w:b/>
          <w:bCs/>
          <w:color w:val="000000" w:themeColor="text1"/>
          <w:sz w:val="24"/>
          <w:szCs w:val="24"/>
          <w:rtl/>
        </w:rPr>
        <w:t>المصدر: إعداد الباحث استنادًا إلى الإطار النظري والدراسات السابقة</w:t>
      </w:r>
    </w:p>
    <w:p w14:paraId="1AE8785B" w14:textId="77777777" w:rsidR="00AA2A35" w:rsidRPr="00545ABB" w:rsidRDefault="00AA2A35" w:rsidP="00AA2A35">
      <w:pPr>
        <w:spacing w:after="0" w:line="360" w:lineRule="auto"/>
        <w:rPr>
          <w:rFonts w:ascii="Traditional Arabic" w:eastAsia="Calibri" w:hAnsi="Traditional Arabic" w:cs="Traditional Arabic"/>
          <w:color w:val="000000" w:themeColor="text1"/>
          <w:sz w:val="28"/>
          <w:szCs w:val="28"/>
          <w:rtl/>
        </w:rPr>
      </w:pPr>
    </w:p>
    <w:p w14:paraId="016741B4" w14:textId="4CE212E1" w:rsidR="00D543D6" w:rsidRPr="00545ABB" w:rsidRDefault="00D543D6" w:rsidP="00E4652C">
      <w:pPr>
        <w:pStyle w:val="Heading2"/>
        <w:bidi/>
        <w:rPr>
          <w:rFonts w:ascii="Traditional Arabic" w:eastAsia="Calibri" w:hAnsi="Traditional Arabic" w:cs="Traditional Arabic"/>
          <w:b/>
          <w:bCs/>
          <w:color w:val="000000" w:themeColor="text1"/>
          <w:sz w:val="28"/>
          <w:szCs w:val="28"/>
          <w:rtl/>
          <w:lang w:bidi="ar-EG"/>
        </w:rPr>
      </w:pPr>
      <w:bookmarkStart w:id="14" w:name="_Toc242325186"/>
      <w:r w:rsidRPr="00545ABB">
        <w:rPr>
          <w:rFonts w:ascii="Traditional Arabic" w:eastAsia="Calibri" w:hAnsi="Traditional Arabic" w:cs="Traditional Arabic"/>
          <w:b/>
          <w:bCs/>
          <w:color w:val="000000" w:themeColor="text1"/>
          <w:sz w:val="28"/>
          <w:szCs w:val="28"/>
          <w:rtl/>
          <w:lang w:bidi="ar-EG"/>
        </w:rPr>
        <w:t>أبعاد تطبيق الدراسة</w:t>
      </w:r>
      <w:bookmarkEnd w:id="14"/>
    </w:p>
    <w:p w14:paraId="7150430C" w14:textId="77777777" w:rsidR="00D543D6" w:rsidRPr="00545ABB" w:rsidRDefault="00D543D6" w:rsidP="00022590">
      <w:pPr>
        <w:spacing w:after="0" w:line="360" w:lineRule="auto"/>
        <w:rPr>
          <w:rFonts w:ascii="Traditional Arabic" w:eastAsia="Calibri" w:hAnsi="Traditional Arabic" w:cs="Traditional Arabic"/>
          <w:b/>
          <w:bCs/>
          <w:color w:val="000000" w:themeColor="text1"/>
          <w:sz w:val="24"/>
          <w:szCs w:val="24"/>
          <w:rtl/>
        </w:rPr>
      </w:pPr>
      <w:r w:rsidRPr="00545ABB">
        <w:rPr>
          <w:rFonts w:ascii="Traditional Arabic" w:eastAsia="Calibri" w:hAnsi="Traditional Arabic" w:cs="Traditional Arabic"/>
          <w:b/>
          <w:bCs/>
          <w:color w:val="000000" w:themeColor="text1"/>
          <w:sz w:val="24"/>
          <w:szCs w:val="24"/>
          <w:rtl/>
        </w:rPr>
        <w:t>البعد المكاني والبعد الزماني لتطبيق الدراسة:</w:t>
      </w:r>
    </w:p>
    <w:p w14:paraId="2F290717" w14:textId="77777777" w:rsidR="00D543D6" w:rsidRPr="00545ABB" w:rsidRDefault="00D543D6" w:rsidP="00022590">
      <w:pPr>
        <w:spacing w:after="0" w:line="360" w:lineRule="auto"/>
        <w:rPr>
          <w:rFonts w:ascii="Traditional Arabic" w:eastAsia="Calibri" w:hAnsi="Traditional Arabic" w:cs="Traditional Arabic"/>
          <w:b/>
          <w:bCs/>
          <w:color w:val="000000" w:themeColor="text1"/>
          <w:sz w:val="24"/>
          <w:szCs w:val="24"/>
        </w:rPr>
      </w:pPr>
      <w:r w:rsidRPr="00545ABB">
        <w:rPr>
          <w:rFonts w:ascii="Traditional Arabic" w:eastAsia="Calibri" w:hAnsi="Traditional Arabic" w:cs="Traditional Arabic"/>
          <w:b/>
          <w:bCs/>
          <w:color w:val="000000" w:themeColor="text1"/>
          <w:sz w:val="24"/>
          <w:szCs w:val="24"/>
          <w:rtl/>
        </w:rPr>
        <w:t>1- البعد المكاني:</w:t>
      </w:r>
    </w:p>
    <w:p w14:paraId="5401D9BE" w14:textId="77777777" w:rsidR="00D543D6" w:rsidRPr="00545ABB" w:rsidRDefault="00D543D6" w:rsidP="00022590">
      <w:pPr>
        <w:spacing w:after="0" w:line="360" w:lineRule="auto"/>
        <w:ind w:firstLine="720"/>
        <w:rPr>
          <w:rFonts w:ascii="Traditional Arabic" w:eastAsia="Calibri" w:hAnsi="Traditional Arabic" w:cs="Traditional Arabic"/>
          <w:b/>
          <w:bCs/>
          <w:color w:val="000000" w:themeColor="text1"/>
          <w:sz w:val="24"/>
          <w:szCs w:val="24"/>
          <w:u w:val="single"/>
          <w:rtl/>
        </w:rPr>
      </w:pPr>
      <w:r w:rsidRPr="00545ABB">
        <w:rPr>
          <w:rFonts w:ascii="Traditional Arabic" w:eastAsia="Calibri" w:hAnsi="Traditional Arabic" w:cs="Traditional Arabic"/>
          <w:b/>
          <w:bCs/>
          <w:color w:val="000000" w:themeColor="text1"/>
          <w:sz w:val="24"/>
          <w:szCs w:val="24"/>
          <w:rtl/>
        </w:rPr>
        <w:t>تُطبق الدراسة على عينة من العاملين من شركتين متخصصتين في الأمن السيبراني في الرياض، وهما: شركة الضوابط المتقدمة لتقنية المعلومات وشركة المتغير الأمني الذكي.</w:t>
      </w:r>
    </w:p>
    <w:p w14:paraId="660B2670" w14:textId="77777777" w:rsidR="00D543D6" w:rsidRPr="00545ABB" w:rsidRDefault="00D543D6" w:rsidP="00022590">
      <w:pPr>
        <w:spacing w:after="0" w:line="360" w:lineRule="auto"/>
        <w:rPr>
          <w:rFonts w:ascii="Traditional Arabic" w:eastAsia="Calibri" w:hAnsi="Traditional Arabic" w:cs="Traditional Arabic"/>
          <w:b/>
          <w:bCs/>
          <w:color w:val="000000" w:themeColor="text1"/>
          <w:sz w:val="24"/>
          <w:szCs w:val="24"/>
          <w:rtl/>
        </w:rPr>
      </w:pPr>
      <w:r w:rsidRPr="00545ABB">
        <w:rPr>
          <w:rFonts w:ascii="Traditional Arabic" w:eastAsia="Calibri" w:hAnsi="Traditional Arabic" w:cs="Traditional Arabic"/>
          <w:b/>
          <w:bCs/>
          <w:color w:val="000000" w:themeColor="text1"/>
          <w:sz w:val="24"/>
          <w:szCs w:val="24"/>
          <w:rtl/>
        </w:rPr>
        <w:t>2- البعد الزماني:</w:t>
      </w:r>
    </w:p>
    <w:p w14:paraId="321D1593" w14:textId="77777777" w:rsidR="00DF088B" w:rsidRPr="00545ABB" w:rsidRDefault="00DF088B" w:rsidP="005C1307">
      <w:pPr>
        <w:rPr>
          <w:lang w:bidi="ar-EG"/>
        </w:rPr>
      </w:pPr>
      <w:bookmarkStart w:id="15" w:name="_Toc242325187"/>
      <w:r w:rsidRPr="00545ABB">
        <w:rPr>
          <w:rtl/>
          <w:lang w:bidi="ar-EG"/>
        </w:rPr>
        <w:t>تم تنفيذ الدراسة الميدانية خلال الفترة المحددة لجمع البيانات وتطبيق أدوات الدراسة وتحليل النتائج، وفق الإجراءات المنهجية الموضحة في الفصل الثالث.</w:t>
      </w:r>
      <w:bookmarkEnd w:id="15"/>
    </w:p>
    <w:p w14:paraId="10AE2679" w14:textId="6743E109" w:rsidR="00D543D6" w:rsidRPr="00545ABB" w:rsidRDefault="00D543D6" w:rsidP="00DF088B">
      <w:pPr>
        <w:pStyle w:val="Heading2"/>
        <w:bidi/>
        <w:rPr>
          <w:rFonts w:ascii="Traditional Arabic" w:eastAsia="Calibri" w:hAnsi="Traditional Arabic" w:cs="Traditional Arabic"/>
          <w:b/>
          <w:bCs/>
          <w:color w:val="000000" w:themeColor="text1"/>
          <w:sz w:val="28"/>
          <w:szCs w:val="28"/>
          <w:rtl/>
          <w:lang w:bidi="ar-EG"/>
        </w:rPr>
      </w:pPr>
      <w:bookmarkStart w:id="16" w:name="_Toc242325188"/>
      <w:r w:rsidRPr="00545ABB">
        <w:rPr>
          <w:rFonts w:ascii="Traditional Arabic" w:eastAsia="Calibri" w:hAnsi="Traditional Arabic" w:cs="Traditional Arabic"/>
          <w:b/>
          <w:bCs/>
          <w:color w:val="000000" w:themeColor="text1"/>
          <w:sz w:val="28"/>
          <w:szCs w:val="28"/>
          <w:rtl/>
          <w:lang w:bidi="ar-EG"/>
        </w:rPr>
        <w:t>الإجراءات المنهجية للدراسة</w:t>
      </w:r>
      <w:bookmarkEnd w:id="16"/>
    </w:p>
    <w:p w14:paraId="0406B711" w14:textId="77777777" w:rsidR="00D543D6" w:rsidRPr="00545ABB" w:rsidRDefault="00D543D6" w:rsidP="00022590">
      <w:pPr>
        <w:spacing w:after="0" w:line="360" w:lineRule="auto"/>
        <w:jc w:val="both"/>
        <w:rPr>
          <w:rFonts w:ascii="Traditional Arabic" w:eastAsia="Calibri" w:hAnsi="Traditional Arabic" w:cs="Traditional Arabic"/>
          <w:b/>
          <w:bCs/>
          <w:color w:val="000000" w:themeColor="text1"/>
          <w:sz w:val="28"/>
          <w:szCs w:val="28"/>
        </w:rPr>
      </w:pPr>
      <w:r w:rsidRPr="00545ABB">
        <w:rPr>
          <w:rFonts w:ascii="Traditional Arabic" w:eastAsia="Calibri" w:hAnsi="Traditional Arabic" w:cs="Traditional Arabic"/>
          <w:b/>
          <w:bCs/>
          <w:color w:val="000000" w:themeColor="text1"/>
          <w:sz w:val="28"/>
          <w:szCs w:val="28"/>
          <w:rtl/>
        </w:rPr>
        <w:t>المنهجية المستخدمة في الدراسة</w:t>
      </w:r>
    </w:p>
    <w:p w14:paraId="6FA2FF2A" w14:textId="77777777" w:rsidR="00DF088B" w:rsidRPr="00DF088B" w:rsidRDefault="00DF088B" w:rsidP="00DF088B">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t>اعتمدت الدراسة على المنهج الوصفي التحليلي؛ لملاءمته لطبيعة الدراسة وأهدافها، حيث يتيح وصف واقع تطبيق الحوكمة الفعالة في شركات الأمن السيبراني الناشئة، وتحليل العلاقة بين الحوكمة وكل من الاستدامة المؤسسية والنجاح المؤسسي</w:t>
      </w:r>
      <w:r w:rsidRPr="00DF088B">
        <w:rPr>
          <w:rFonts w:ascii="Traditional Arabic" w:eastAsia="Times New Roman" w:hAnsi="Traditional Arabic" w:cs="Traditional Arabic"/>
          <w:b/>
          <w:bCs/>
          <w:color w:val="000000" w:themeColor="text1"/>
          <w:sz w:val="24"/>
          <w:szCs w:val="24"/>
        </w:rPr>
        <w:t>.</w:t>
      </w:r>
    </w:p>
    <w:p w14:paraId="5B23DDE6" w14:textId="77777777" w:rsidR="00DF088B" w:rsidRPr="00DF088B" w:rsidRDefault="00DF088B" w:rsidP="00DF088B">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lastRenderedPageBreak/>
        <w:t>وتكوّن مجتمع الدراسة من الشركات الناشئة العاملة في مجال الأمن السيبراني في المملكة العربية السعودية، وتم اختيار عينة مؤسسية قصدية تمثلت في شركتين تعملان في المجال، هما</w:t>
      </w:r>
      <w:r w:rsidRPr="00DF088B">
        <w:rPr>
          <w:rFonts w:ascii="Traditional Arabic" w:eastAsia="Times New Roman" w:hAnsi="Traditional Arabic" w:cs="Traditional Arabic"/>
          <w:b/>
          <w:bCs/>
          <w:color w:val="000000" w:themeColor="text1"/>
          <w:sz w:val="24"/>
          <w:szCs w:val="24"/>
        </w:rPr>
        <w:t>:</w:t>
      </w:r>
    </w:p>
    <w:p w14:paraId="0A04B346" w14:textId="77777777" w:rsidR="00DF088B" w:rsidRPr="00DF088B" w:rsidRDefault="00DF088B" w:rsidP="00D95153">
      <w:pPr>
        <w:numPr>
          <w:ilvl w:val="0"/>
          <w:numId w:val="42"/>
        </w:num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t>شركة الضوابط المتقدمة لتقنية المعلومات</w:t>
      </w:r>
      <w:r w:rsidRPr="00DF088B">
        <w:rPr>
          <w:rFonts w:ascii="Traditional Arabic" w:eastAsia="Times New Roman" w:hAnsi="Traditional Arabic" w:cs="Traditional Arabic"/>
          <w:b/>
          <w:bCs/>
          <w:color w:val="000000" w:themeColor="text1"/>
          <w:sz w:val="24"/>
          <w:szCs w:val="24"/>
        </w:rPr>
        <w:t>.</w:t>
      </w:r>
    </w:p>
    <w:p w14:paraId="715E3B6D" w14:textId="77777777" w:rsidR="00DF088B" w:rsidRPr="00DF088B" w:rsidRDefault="00DF088B" w:rsidP="00D95153">
      <w:pPr>
        <w:numPr>
          <w:ilvl w:val="0"/>
          <w:numId w:val="42"/>
        </w:num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t>شركة المتغير الأمني الذكي</w:t>
      </w:r>
      <w:r w:rsidRPr="00DF088B">
        <w:rPr>
          <w:rFonts w:ascii="Traditional Arabic" w:eastAsia="Times New Roman" w:hAnsi="Traditional Arabic" w:cs="Traditional Arabic"/>
          <w:b/>
          <w:bCs/>
          <w:color w:val="000000" w:themeColor="text1"/>
          <w:sz w:val="24"/>
          <w:szCs w:val="24"/>
        </w:rPr>
        <w:t>.</w:t>
      </w:r>
    </w:p>
    <w:p w14:paraId="471AAAE0" w14:textId="77777777" w:rsidR="00DF088B" w:rsidRPr="00DF088B" w:rsidRDefault="00DF088B" w:rsidP="00DF088B">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t xml:space="preserve">كما بلغ عدد المشاركين في العينة البشرية </w:t>
      </w:r>
      <w:r w:rsidRPr="00545ABB">
        <w:rPr>
          <w:rFonts w:ascii="Traditional Arabic" w:eastAsia="Times New Roman" w:hAnsi="Traditional Arabic" w:cs="Traditional Arabic"/>
          <w:b/>
          <w:bCs/>
          <w:color w:val="000000" w:themeColor="text1"/>
          <w:sz w:val="24"/>
          <w:szCs w:val="24"/>
        </w:rPr>
        <w:t xml:space="preserve">(63) </w:t>
      </w:r>
      <w:r w:rsidRPr="00545ABB">
        <w:rPr>
          <w:rFonts w:ascii="Traditional Arabic" w:eastAsia="Times New Roman" w:hAnsi="Traditional Arabic" w:cs="Traditional Arabic"/>
          <w:b/>
          <w:bCs/>
          <w:color w:val="000000" w:themeColor="text1"/>
          <w:sz w:val="24"/>
          <w:szCs w:val="24"/>
          <w:rtl/>
        </w:rPr>
        <w:t>مشاركًا</w:t>
      </w:r>
      <w:r w:rsidRPr="00DF088B">
        <w:rPr>
          <w:rFonts w:ascii="Traditional Arabic" w:eastAsia="Times New Roman" w:hAnsi="Traditional Arabic" w:cs="Traditional Arabic"/>
          <w:b/>
          <w:bCs/>
          <w:color w:val="000000" w:themeColor="text1"/>
          <w:sz w:val="24"/>
          <w:szCs w:val="24"/>
          <w:rtl/>
        </w:rPr>
        <w:t xml:space="preserve"> من العاملين والمختصين ذوي العلاقة بالأمن السيبراني والإدارة والحوكمة</w:t>
      </w:r>
      <w:r w:rsidRPr="00DF088B">
        <w:rPr>
          <w:rFonts w:ascii="Traditional Arabic" w:eastAsia="Times New Roman" w:hAnsi="Traditional Arabic" w:cs="Traditional Arabic"/>
          <w:b/>
          <w:bCs/>
          <w:color w:val="000000" w:themeColor="text1"/>
          <w:sz w:val="24"/>
          <w:szCs w:val="24"/>
        </w:rPr>
        <w:t>.</w:t>
      </w:r>
    </w:p>
    <w:p w14:paraId="651A2AF7" w14:textId="77777777" w:rsidR="00DF088B" w:rsidRPr="00DF088B" w:rsidRDefault="00DF088B" w:rsidP="00DF088B">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t>واعتمدت الدراسة على ثلاث أدوات رئيسة لجمع البيانات، تمثلت في</w:t>
      </w:r>
      <w:r w:rsidRPr="00DF088B">
        <w:rPr>
          <w:rFonts w:ascii="Traditional Arabic" w:eastAsia="Times New Roman" w:hAnsi="Traditional Arabic" w:cs="Traditional Arabic"/>
          <w:b/>
          <w:bCs/>
          <w:color w:val="000000" w:themeColor="text1"/>
          <w:sz w:val="24"/>
          <w:szCs w:val="24"/>
        </w:rPr>
        <w:t>:</w:t>
      </w:r>
    </w:p>
    <w:p w14:paraId="37EF2C88" w14:textId="77777777" w:rsidR="00DF088B" w:rsidRPr="00DF088B" w:rsidRDefault="00DF088B" w:rsidP="00D95153">
      <w:pPr>
        <w:numPr>
          <w:ilvl w:val="0"/>
          <w:numId w:val="43"/>
        </w:num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الاستبانة</w:t>
      </w:r>
      <w:r w:rsidRPr="00DF088B">
        <w:rPr>
          <w:rFonts w:ascii="Traditional Arabic" w:eastAsia="Times New Roman" w:hAnsi="Traditional Arabic" w:cs="Traditional Arabic"/>
          <w:b/>
          <w:bCs/>
          <w:color w:val="000000" w:themeColor="text1"/>
          <w:sz w:val="24"/>
          <w:szCs w:val="24"/>
          <w:rtl/>
        </w:rPr>
        <w:t xml:space="preserve"> لجمع البيانات الكمية من أفراد العينة، وقد تكونت من </w:t>
      </w:r>
      <w:r w:rsidRPr="00545ABB">
        <w:rPr>
          <w:rFonts w:ascii="Traditional Arabic" w:eastAsia="Times New Roman" w:hAnsi="Traditional Arabic" w:cs="Traditional Arabic"/>
          <w:b/>
          <w:bCs/>
          <w:color w:val="000000" w:themeColor="text1"/>
          <w:sz w:val="24"/>
          <w:szCs w:val="24"/>
        </w:rPr>
        <w:t xml:space="preserve">(56) </w:t>
      </w:r>
      <w:r w:rsidRPr="00545ABB">
        <w:rPr>
          <w:rFonts w:ascii="Traditional Arabic" w:eastAsia="Times New Roman" w:hAnsi="Traditional Arabic" w:cs="Traditional Arabic"/>
          <w:b/>
          <w:bCs/>
          <w:color w:val="000000" w:themeColor="text1"/>
          <w:sz w:val="24"/>
          <w:szCs w:val="24"/>
          <w:rtl/>
        </w:rPr>
        <w:t>عبارة</w:t>
      </w:r>
      <w:r w:rsidRPr="00DF088B">
        <w:rPr>
          <w:rFonts w:ascii="Traditional Arabic" w:eastAsia="Times New Roman" w:hAnsi="Traditional Arabic" w:cs="Traditional Arabic"/>
          <w:b/>
          <w:bCs/>
          <w:color w:val="000000" w:themeColor="text1"/>
          <w:sz w:val="24"/>
          <w:szCs w:val="24"/>
          <w:rtl/>
        </w:rPr>
        <w:t xml:space="preserve"> موزعة على متغيرات الدراسة وأبعادها</w:t>
      </w:r>
      <w:r w:rsidRPr="00DF088B">
        <w:rPr>
          <w:rFonts w:ascii="Traditional Arabic" w:eastAsia="Times New Roman" w:hAnsi="Traditional Arabic" w:cs="Traditional Arabic"/>
          <w:b/>
          <w:bCs/>
          <w:color w:val="000000" w:themeColor="text1"/>
          <w:sz w:val="24"/>
          <w:szCs w:val="24"/>
        </w:rPr>
        <w:t>.</w:t>
      </w:r>
    </w:p>
    <w:p w14:paraId="6D8C3F56" w14:textId="77777777" w:rsidR="00DF088B" w:rsidRPr="00DF088B" w:rsidRDefault="00DF088B" w:rsidP="00D95153">
      <w:pPr>
        <w:numPr>
          <w:ilvl w:val="0"/>
          <w:numId w:val="43"/>
        </w:num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المقابلات شبه المقننة</w:t>
      </w:r>
      <w:r w:rsidRPr="00DF088B">
        <w:rPr>
          <w:rFonts w:ascii="Traditional Arabic" w:eastAsia="Times New Roman" w:hAnsi="Traditional Arabic" w:cs="Traditional Arabic"/>
          <w:b/>
          <w:bCs/>
          <w:color w:val="000000" w:themeColor="text1"/>
          <w:sz w:val="24"/>
          <w:szCs w:val="24"/>
          <w:rtl/>
        </w:rPr>
        <w:t xml:space="preserve"> للحصول على بيانات كيفية أكثر عمقًا من المختصين والخبراء</w:t>
      </w:r>
      <w:r w:rsidRPr="00DF088B">
        <w:rPr>
          <w:rFonts w:ascii="Traditional Arabic" w:eastAsia="Times New Roman" w:hAnsi="Traditional Arabic" w:cs="Traditional Arabic"/>
          <w:b/>
          <w:bCs/>
          <w:color w:val="000000" w:themeColor="text1"/>
          <w:sz w:val="24"/>
          <w:szCs w:val="24"/>
        </w:rPr>
        <w:t>.</w:t>
      </w:r>
    </w:p>
    <w:p w14:paraId="3866AF98" w14:textId="77777777" w:rsidR="00DF088B" w:rsidRPr="00DF088B" w:rsidRDefault="00DF088B" w:rsidP="00D95153">
      <w:pPr>
        <w:numPr>
          <w:ilvl w:val="0"/>
          <w:numId w:val="43"/>
        </w:num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تحليل الوثائق والتقارير</w:t>
      </w:r>
      <w:r w:rsidRPr="00DF088B">
        <w:rPr>
          <w:rFonts w:ascii="Traditional Arabic" w:eastAsia="Times New Roman" w:hAnsi="Traditional Arabic" w:cs="Traditional Arabic"/>
          <w:b/>
          <w:bCs/>
          <w:color w:val="000000" w:themeColor="text1"/>
          <w:sz w:val="24"/>
          <w:szCs w:val="24"/>
          <w:rtl/>
        </w:rPr>
        <w:t xml:space="preserve"> ذات العلاقة بموضوع الحوكمة والأمن السيبراني لدعم الفهم السياقي للنتائج</w:t>
      </w:r>
      <w:r w:rsidRPr="00DF088B">
        <w:rPr>
          <w:rFonts w:ascii="Traditional Arabic" w:eastAsia="Times New Roman" w:hAnsi="Traditional Arabic" w:cs="Traditional Arabic"/>
          <w:b/>
          <w:bCs/>
          <w:color w:val="000000" w:themeColor="text1"/>
          <w:sz w:val="24"/>
          <w:szCs w:val="24"/>
        </w:rPr>
        <w:t>.</w:t>
      </w:r>
    </w:p>
    <w:p w14:paraId="566B1CAE" w14:textId="77777777" w:rsidR="00DF088B" w:rsidRPr="00DF088B" w:rsidRDefault="00DF088B" w:rsidP="00DF088B">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t xml:space="preserve">وبعد جمع البيانات، تم ترميز البيانات الكمية وإدخالها إلى برنامج </w:t>
      </w:r>
      <w:r w:rsidRPr="00545ABB">
        <w:rPr>
          <w:rFonts w:ascii="Traditional Arabic" w:eastAsia="Times New Roman" w:hAnsi="Traditional Arabic" w:cs="Traditional Arabic"/>
          <w:b/>
          <w:bCs/>
          <w:color w:val="000000" w:themeColor="text1"/>
          <w:sz w:val="24"/>
          <w:szCs w:val="24"/>
        </w:rPr>
        <w:t>SPSS</w:t>
      </w:r>
      <w:r w:rsidRPr="00DF088B">
        <w:rPr>
          <w:rFonts w:ascii="Traditional Arabic" w:eastAsia="Times New Roman" w:hAnsi="Traditional Arabic" w:cs="Traditional Arabic"/>
          <w:b/>
          <w:bCs/>
          <w:color w:val="000000" w:themeColor="text1"/>
          <w:sz w:val="24"/>
          <w:szCs w:val="24"/>
          <w:rtl/>
        </w:rPr>
        <w:t>، وتحليلها باستخدام مجموعة من الأساليب الإحصائية المناسبة، شملت التكرارات والنسب المئوية، والمتوسطات الحسابية والانحرافات المعيارية، ومعامل ارتباط بيرسون، وتحليل الانحدار الخطي البسيط والمتعدد، واختبارات الفروق المناسبة. كما تم تحليل البيانات الناتجة عن المقابلات باستخدام التحليل الموضوعي</w:t>
      </w:r>
      <w:r w:rsidRPr="00DF088B">
        <w:rPr>
          <w:rFonts w:ascii="Traditional Arabic" w:eastAsia="Times New Roman" w:hAnsi="Traditional Arabic" w:cs="Traditional Arabic"/>
          <w:b/>
          <w:bCs/>
          <w:color w:val="000000" w:themeColor="text1"/>
          <w:sz w:val="24"/>
          <w:szCs w:val="24"/>
        </w:rPr>
        <w:t>.</w:t>
      </w:r>
    </w:p>
    <w:p w14:paraId="66381D78" w14:textId="77777777" w:rsidR="00DF088B" w:rsidRPr="00DF088B" w:rsidRDefault="00DF088B" w:rsidP="00DF088B">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DF088B">
        <w:rPr>
          <w:rFonts w:ascii="Traditional Arabic" w:eastAsia="Times New Roman" w:hAnsi="Traditional Arabic" w:cs="Traditional Arabic"/>
          <w:b/>
          <w:bCs/>
          <w:color w:val="000000" w:themeColor="text1"/>
          <w:sz w:val="24"/>
          <w:szCs w:val="24"/>
          <w:rtl/>
        </w:rPr>
        <w:t>وقد تم تفصيل هذه الإجراءات وأدوات جمع البيانات وأساليب التحليل بصورة موسعة في الفصل الثالث من الدراسة</w:t>
      </w:r>
      <w:r w:rsidRPr="00DF088B">
        <w:rPr>
          <w:rFonts w:ascii="Traditional Arabic" w:eastAsia="Times New Roman" w:hAnsi="Traditional Arabic" w:cs="Traditional Arabic"/>
          <w:b/>
          <w:bCs/>
          <w:color w:val="000000" w:themeColor="text1"/>
          <w:sz w:val="24"/>
          <w:szCs w:val="24"/>
        </w:rPr>
        <w:t>.</w:t>
      </w:r>
    </w:p>
    <w:p w14:paraId="61851275" w14:textId="2132940C" w:rsidR="00C64756" w:rsidRPr="00545ABB" w:rsidRDefault="00C64756" w:rsidP="00E4652C">
      <w:pPr>
        <w:pStyle w:val="Heading2"/>
        <w:bidi/>
        <w:rPr>
          <w:rFonts w:ascii="Traditional Arabic" w:eastAsia="Times New Roman" w:hAnsi="Traditional Arabic" w:cs="Traditional Arabic"/>
          <w:b/>
          <w:bCs/>
          <w:color w:val="000000" w:themeColor="text1"/>
          <w:sz w:val="28"/>
          <w:szCs w:val="28"/>
        </w:rPr>
      </w:pPr>
      <w:r w:rsidRPr="00545ABB">
        <w:rPr>
          <w:rFonts w:ascii="Traditional Arabic" w:eastAsia="Times New Roman" w:hAnsi="Traditional Arabic" w:cs="Traditional Arabic"/>
          <w:b/>
          <w:bCs/>
          <w:color w:val="000000" w:themeColor="text1"/>
          <w:sz w:val="28"/>
          <w:szCs w:val="28"/>
          <w:rtl/>
        </w:rPr>
        <w:tab/>
      </w:r>
      <w:bookmarkStart w:id="17" w:name="_Hlk202664108"/>
      <w:bookmarkStart w:id="18" w:name="_Toc242325189"/>
      <w:r w:rsidRPr="00545ABB">
        <w:rPr>
          <w:rFonts w:ascii="Traditional Arabic" w:eastAsia="Times New Roman" w:hAnsi="Traditional Arabic" w:cs="Traditional Arabic"/>
          <w:b/>
          <w:bCs/>
          <w:color w:val="000000" w:themeColor="text1"/>
          <w:sz w:val="28"/>
          <w:szCs w:val="28"/>
          <w:rtl/>
        </w:rPr>
        <w:t>هيكل الدراسة</w:t>
      </w:r>
      <w:bookmarkEnd w:id="18"/>
    </w:p>
    <w:p w14:paraId="4921FE53" w14:textId="77777777" w:rsidR="00C64756" w:rsidRPr="00545ABB" w:rsidRDefault="00C64756" w:rsidP="00C64756">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تتكون الدراسة الحالية من خمسة فصول رئيسية، بالإضافة إلى قائمة المراجع والملاحق، وقد تم تنظيمها بصورة متتابعة بما يحقق الترابط بين الجانب النظري والجانب التطبيقي للدراسة، وذلك على النحو الآتي</w:t>
      </w:r>
      <w:r w:rsidRPr="00545ABB">
        <w:rPr>
          <w:rFonts w:ascii="Traditional Arabic" w:eastAsia="Times New Roman" w:hAnsi="Traditional Arabic" w:cs="Traditional Arabic"/>
          <w:b/>
          <w:bCs/>
          <w:color w:val="000000" w:themeColor="text1"/>
          <w:sz w:val="24"/>
          <w:szCs w:val="24"/>
        </w:rPr>
        <w:t>:</w:t>
      </w:r>
    </w:p>
    <w:p w14:paraId="38269E9A" w14:textId="607D5C21" w:rsidR="00C64756" w:rsidRPr="00545ABB" w:rsidRDefault="00C64756" w:rsidP="00C64756">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8"/>
          <w:szCs w:val="28"/>
          <w:rtl/>
        </w:rPr>
        <w:t>الفصل الأول:</w:t>
      </w:r>
      <w:r w:rsidRPr="00545ABB">
        <w:rPr>
          <w:rFonts w:ascii="Traditional Arabic" w:eastAsia="Times New Roman" w:hAnsi="Traditional Arabic" w:cs="Traditional Arabic"/>
          <w:b/>
          <w:bCs/>
          <w:color w:val="000000" w:themeColor="text1"/>
          <w:sz w:val="24"/>
          <w:szCs w:val="24"/>
          <w:rtl/>
        </w:rPr>
        <w:t xml:space="preserve"> الإطار العام للدراسة</w:t>
      </w:r>
      <w:r w:rsidRPr="00545ABB">
        <w:rPr>
          <w:rFonts w:ascii="Traditional Arabic" w:eastAsia="Times New Roman" w:hAnsi="Traditional Arabic" w:cs="Traditional Arabic"/>
          <w:b/>
          <w:bCs/>
          <w:color w:val="000000" w:themeColor="text1"/>
          <w:sz w:val="24"/>
          <w:szCs w:val="24"/>
        </w:rPr>
        <w:t xml:space="preserve">                                                 </w:t>
      </w:r>
      <w:r w:rsidRPr="00545ABB">
        <w:rPr>
          <w:rFonts w:ascii="Traditional Arabic" w:eastAsia="Times New Roman" w:hAnsi="Traditional Arabic" w:cs="Traditional Arabic"/>
          <w:b/>
          <w:bCs/>
          <w:color w:val="000000" w:themeColor="text1"/>
          <w:sz w:val="24"/>
          <w:szCs w:val="24"/>
        </w:rPr>
        <w:br/>
      </w:r>
      <w:r w:rsidRPr="00545ABB">
        <w:rPr>
          <w:rFonts w:ascii="Traditional Arabic" w:eastAsia="Times New Roman" w:hAnsi="Traditional Arabic" w:cs="Traditional Arabic"/>
          <w:b/>
          <w:bCs/>
          <w:color w:val="000000" w:themeColor="text1"/>
          <w:sz w:val="24"/>
          <w:szCs w:val="24"/>
          <w:rtl/>
        </w:rPr>
        <w:t>يتناول هذا الفصل الإطار العام للدراسة، من خلال عرض مشكلة الدراسة وتساؤلاتها وأهدافها وأهميتها، وفروض الدراسة ونموذجها، ومنهجية الدراسة وحدودها، بالإضافة إلى توضيح هيكل الدراسة</w:t>
      </w:r>
      <w:r w:rsidRPr="00545ABB">
        <w:rPr>
          <w:rFonts w:ascii="Traditional Arabic" w:eastAsia="Times New Roman" w:hAnsi="Traditional Arabic" w:cs="Traditional Arabic"/>
          <w:b/>
          <w:bCs/>
          <w:color w:val="000000" w:themeColor="text1"/>
          <w:sz w:val="24"/>
          <w:szCs w:val="24"/>
        </w:rPr>
        <w:t>.</w:t>
      </w:r>
    </w:p>
    <w:p w14:paraId="3C9F5BBA" w14:textId="29DFCBFF" w:rsidR="00C64756" w:rsidRPr="00545ABB" w:rsidRDefault="00C64756" w:rsidP="00C64756">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8"/>
          <w:szCs w:val="28"/>
          <w:rtl/>
        </w:rPr>
        <w:lastRenderedPageBreak/>
        <w:t>الفصل الثاني:</w:t>
      </w:r>
      <w:r w:rsidRPr="00545ABB">
        <w:rPr>
          <w:rFonts w:ascii="Traditional Arabic" w:eastAsia="Times New Roman" w:hAnsi="Traditional Arabic" w:cs="Traditional Arabic"/>
          <w:b/>
          <w:bCs/>
          <w:color w:val="000000" w:themeColor="text1"/>
          <w:sz w:val="24"/>
          <w:szCs w:val="24"/>
          <w:rtl/>
        </w:rPr>
        <w:t xml:space="preserve"> الإطار النظري والدراسات المرجعية</w:t>
      </w:r>
      <w:r w:rsidRPr="00545ABB">
        <w:rPr>
          <w:rFonts w:ascii="Traditional Arabic" w:eastAsia="Times New Roman" w:hAnsi="Traditional Arabic" w:cs="Traditional Arabic"/>
          <w:b/>
          <w:bCs/>
          <w:color w:val="000000" w:themeColor="text1"/>
          <w:sz w:val="24"/>
          <w:szCs w:val="24"/>
        </w:rPr>
        <w:t xml:space="preserve">                                      </w:t>
      </w:r>
      <w:r w:rsidRPr="00545ABB">
        <w:rPr>
          <w:rFonts w:ascii="Traditional Arabic" w:eastAsia="Times New Roman" w:hAnsi="Traditional Arabic" w:cs="Traditional Arabic"/>
          <w:b/>
          <w:bCs/>
          <w:color w:val="000000" w:themeColor="text1"/>
          <w:sz w:val="24"/>
          <w:szCs w:val="24"/>
        </w:rPr>
        <w:br/>
      </w:r>
      <w:r w:rsidRPr="00545ABB">
        <w:rPr>
          <w:rFonts w:ascii="Traditional Arabic" w:eastAsia="Times New Roman" w:hAnsi="Traditional Arabic" w:cs="Traditional Arabic"/>
          <w:b/>
          <w:bCs/>
          <w:color w:val="000000" w:themeColor="text1"/>
          <w:sz w:val="24"/>
          <w:szCs w:val="24"/>
          <w:rtl/>
        </w:rPr>
        <w:t>يتناول هذا الفصل الإطار النظري المرتبط بموضوع الدراسة، من خلال عرض الأسس والمفاهيم النظرية ذات الصلة بالحوكمة الفعالة وشركات الأمن السيبراني الناشئة والاستدامة المؤسسية والنجاح المؤسسي، بالإضافة إلى الأطر والضوابط والإرشادات ذات الصلة بحوكمة الأمن السيبراني. كما يتضمن عرضًا وتحليلًا للدراسات المرجعية العربية والأجنبية ذات الصلة بموضوع الدراسة، وصولًا إلى التعقيب النقدي عليها وتحديد الفجوة البحثية التي تسعى الدراسة الحالية إلى معالجتها</w:t>
      </w:r>
      <w:r w:rsidRPr="00545ABB">
        <w:rPr>
          <w:rFonts w:ascii="Traditional Arabic" w:eastAsia="Times New Roman" w:hAnsi="Traditional Arabic" w:cs="Traditional Arabic"/>
          <w:b/>
          <w:bCs/>
          <w:color w:val="000000" w:themeColor="text1"/>
          <w:sz w:val="24"/>
          <w:szCs w:val="24"/>
        </w:rPr>
        <w:t>.</w:t>
      </w:r>
    </w:p>
    <w:p w14:paraId="488EC9FC" w14:textId="04B78439" w:rsidR="00C64756" w:rsidRPr="00545ABB" w:rsidRDefault="00C64756" w:rsidP="00C64756">
      <w:pPr>
        <w:spacing w:after="0" w:line="360" w:lineRule="auto"/>
        <w:jc w:val="both"/>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8"/>
          <w:szCs w:val="28"/>
          <w:rtl/>
        </w:rPr>
        <w:t>الفصل الثالث:</w:t>
      </w:r>
      <w:r w:rsidRPr="00545ABB">
        <w:rPr>
          <w:rFonts w:ascii="Traditional Arabic" w:eastAsia="Times New Roman" w:hAnsi="Traditional Arabic" w:cs="Traditional Arabic"/>
          <w:b/>
          <w:bCs/>
          <w:color w:val="000000" w:themeColor="text1"/>
          <w:sz w:val="24"/>
          <w:szCs w:val="24"/>
          <w:rtl/>
        </w:rPr>
        <w:t xml:space="preserve"> الطريقة والإجراءات المنهجية للدراسة </w:t>
      </w:r>
      <w:r w:rsidRPr="00545ABB">
        <w:rPr>
          <w:rFonts w:ascii="Traditional Arabic" w:eastAsia="Times New Roman" w:hAnsi="Traditional Arabic" w:cs="Traditional Arabic"/>
          <w:b/>
          <w:bCs/>
          <w:color w:val="000000" w:themeColor="text1"/>
          <w:sz w:val="24"/>
          <w:szCs w:val="24"/>
        </w:rPr>
        <w:t xml:space="preserve">                                 </w:t>
      </w:r>
      <w:r w:rsidRPr="00545ABB">
        <w:rPr>
          <w:rFonts w:ascii="Traditional Arabic" w:eastAsia="Times New Roman" w:hAnsi="Traditional Arabic" w:cs="Traditional Arabic"/>
          <w:b/>
          <w:bCs/>
          <w:color w:val="000000" w:themeColor="text1"/>
          <w:sz w:val="24"/>
          <w:szCs w:val="24"/>
        </w:rPr>
        <w:br/>
      </w:r>
      <w:r w:rsidRPr="00545ABB">
        <w:rPr>
          <w:rFonts w:ascii="Traditional Arabic" w:eastAsia="Times New Roman" w:hAnsi="Traditional Arabic" w:cs="Traditional Arabic"/>
          <w:b/>
          <w:bCs/>
          <w:color w:val="000000" w:themeColor="text1"/>
          <w:sz w:val="24"/>
          <w:szCs w:val="24"/>
          <w:rtl/>
        </w:rPr>
        <w:t>يتناول هذا الفصل الإجراءات المنهجية التي اتبعتها الدراسة لتحقيق أهدافها واختبار فروضها، بما في ذلك منهج الدراسة ومدخلها المنطقي، ومجتمع الدراسة وعينتها، وأداة جمع البيانات وإجراءات إعدادها، وصدقها وثباتها، والمتغيرات وأبعادها، بالإضافة إلى الأساليب والإجراءات الإحصائية المستخدمة في تحليل البيانات واختبار فروض الدراسة</w:t>
      </w:r>
      <w:r w:rsidRPr="00545ABB">
        <w:rPr>
          <w:rFonts w:ascii="Traditional Arabic" w:eastAsia="Times New Roman" w:hAnsi="Traditional Arabic" w:cs="Traditional Arabic"/>
          <w:b/>
          <w:bCs/>
          <w:color w:val="000000" w:themeColor="text1"/>
          <w:sz w:val="24"/>
          <w:szCs w:val="24"/>
        </w:rPr>
        <w:t>.</w:t>
      </w:r>
    </w:p>
    <w:p w14:paraId="28E7931A" w14:textId="4B778FEB" w:rsidR="00C64756" w:rsidRPr="00545ABB" w:rsidRDefault="00C64756" w:rsidP="00C64756">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8"/>
          <w:szCs w:val="28"/>
          <w:rtl/>
        </w:rPr>
        <w:t>الفصل الرابع:</w:t>
      </w:r>
      <w:r w:rsidRPr="00545ABB">
        <w:rPr>
          <w:rFonts w:ascii="Traditional Arabic" w:eastAsia="Times New Roman" w:hAnsi="Traditional Arabic" w:cs="Traditional Arabic"/>
          <w:b/>
          <w:bCs/>
          <w:color w:val="000000" w:themeColor="text1"/>
          <w:sz w:val="24"/>
          <w:szCs w:val="24"/>
          <w:rtl/>
        </w:rPr>
        <w:t xml:space="preserve"> عرض النتائج وتحليلها</w:t>
      </w:r>
      <w:r w:rsidRPr="00545ABB">
        <w:rPr>
          <w:rFonts w:ascii="Traditional Arabic" w:eastAsia="Times New Roman" w:hAnsi="Traditional Arabic" w:cs="Traditional Arabic"/>
          <w:b/>
          <w:bCs/>
          <w:color w:val="000000" w:themeColor="text1"/>
          <w:sz w:val="24"/>
          <w:szCs w:val="24"/>
        </w:rPr>
        <w:t xml:space="preserve">                                     </w:t>
      </w:r>
      <w:r w:rsidRPr="00545ABB">
        <w:rPr>
          <w:rFonts w:ascii="Traditional Arabic" w:eastAsia="Times New Roman" w:hAnsi="Traditional Arabic" w:cs="Traditional Arabic"/>
          <w:b/>
          <w:bCs/>
          <w:color w:val="000000" w:themeColor="text1"/>
          <w:sz w:val="24"/>
          <w:szCs w:val="24"/>
        </w:rPr>
        <w:br/>
      </w:r>
      <w:r w:rsidRPr="00545ABB">
        <w:rPr>
          <w:rFonts w:ascii="Traditional Arabic" w:eastAsia="Times New Roman" w:hAnsi="Traditional Arabic" w:cs="Traditional Arabic"/>
          <w:b/>
          <w:bCs/>
          <w:color w:val="000000" w:themeColor="text1"/>
          <w:sz w:val="24"/>
          <w:szCs w:val="24"/>
          <w:rtl/>
        </w:rPr>
        <w:t>يتناول هذا الفصل عرض النتائج التي تم التوصل إليها من خلال التحليل الإحصائي لبيانات الدراسة، بدءًا من وصف خصائص عينة الدراسة، وتحليل استجابات أفراد العينة، وبيان العلاقات بين متغيرات الدراسة، وصولًا إلى اختبار فروض الدراسة وتحليل النتائج المتعلقة بأثر الحوكمة الفعالة على الاستدامة المؤسسية والنجاح المؤسسي</w:t>
      </w:r>
      <w:r w:rsidRPr="00545ABB">
        <w:rPr>
          <w:rFonts w:ascii="Traditional Arabic" w:eastAsia="Times New Roman" w:hAnsi="Traditional Arabic" w:cs="Traditional Arabic"/>
          <w:b/>
          <w:bCs/>
          <w:color w:val="000000" w:themeColor="text1"/>
          <w:sz w:val="24"/>
          <w:szCs w:val="24"/>
        </w:rPr>
        <w:t>.</w:t>
      </w:r>
    </w:p>
    <w:p w14:paraId="57031C05" w14:textId="7BB7412C" w:rsidR="00C64756" w:rsidRPr="00545ABB" w:rsidRDefault="00C64756" w:rsidP="00C64756">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8"/>
          <w:szCs w:val="28"/>
          <w:rtl/>
        </w:rPr>
        <w:t>الفصل الخامس:</w:t>
      </w:r>
      <w:r w:rsidRPr="00545ABB">
        <w:rPr>
          <w:rFonts w:ascii="Traditional Arabic" w:eastAsia="Times New Roman" w:hAnsi="Traditional Arabic" w:cs="Traditional Arabic"/>
          <w:b/>
          <w:bCs/>
          <w:color w:val="000000" w:themeColor="text1"/>
          <w:sz w:val="24"/>
          <w:szCs w:val="24"/>
          <w:rtl/>
        </w:rPr>
        <w:t xml:space="preserve"> مناقشة النتائج والتوصيات والدراسات المستقبلية</w:t>
      </w:r>
      <w:r w:rsidRPr="00545ABB">
        <w:rPr>
          <w:rFonts w:ascii="Traditional Arabic" w:eastAsia="Times New Roman" w:hAnsi="Traditional Arabic" w:cs="Traditional Arabic"/>
          <w:b/>
          <w:bCs/>
          <w:color w:val="000000" w:themeColor="text1"/>
          <w:sz w:val="24"/>
          <w:szCs w:val="24"/>
        </w:rPr>
        <w:t xml:space="preserve">                                    </w:t>
      </w:r>
      <w:r w:rsidRPr="00545ABB">
        <w:rPr>
          <w:rFonts w:ascii="Traditional Arabic" w:eastAsia="Times New Roman" w:hAnsi="Traditional Arabic" w:cs="Traditional Arabic"/>
          <w:b/>
          <w:bCs/>
          <w:color w:val="000000" w:themeColor="text1"/>
          <w:sz w:val="24"/>
          <w:szCs w:val="24"/>
        </w:rPr>
        <w:br/>
      </w:r>
      <w:r w:rsidRPr="00545ABB">
        <w:rPr>
          <w:rFonts w:ascii="Traditional Arabic" w:eastAsia="Times New Roman" w:hAnsi="Traditional Arabic" w:cs="Traditional Arabic"/>
          <w:b/>
          <w:bCs/>
          <w:color w:val="000000" w:themeColor="text1"/>
          <w:sz w:val="24"/>
          <w:szCs w:val="24"/>
          <w:rtl/>
        </w:rPr>
        <w:t>يتناول هذا الفصل مناقشة النتائج التي توصلت إليها الدراسة في ضوء الإطار النظري والدراسات المرجعية السابقة، وبيان مدى اتفاقها أو اختلافها مع نتائج الدراسات السابقة، ثم استخلاص أهم الاستنتاجات والتوصيات التطبيقية ذات الصلة بموضوع الدراسة، بالإضافة إلى تقديم مقترحات لدراسات مستقبلية يمكن أن تسهم في تطوير البحث في مجال حوكمة شركات الأمن السيبراني الناشئة واستدامتها ونجاحها</w:t>
      </w:r>
      <w:r w:rsidRPr="00545ABB">
        <w:rPr>
          <w:rFonts w:ascii="Traditional Arabic" w:eastAsia="Times New Roman" w:hAnsi="Traditional Arabic" w:cs="Traditional Arabic"/>
          <w:b/>
          <w:bCs/>
          <w:color w:val="000000" w:themeColor="text1"/>
          <w:sz w:val="24"/>
          <w:szCs w:val="24"/>
        </w:rPr>
        <w:t>.</w:t>
      </w:r>
    </w:p>
    <w:p w14:paraId="2D56C1E9" w14:textId="77777777" w:rsidR="00C64756" w:rsidRPr="00545ABB" w:rsidRDefault="00C64756" w:rsidP="00C64756">
      <w:pPr>
        <w:spacing w:after="0" w:line="360" w:lineRule="auto"/>
        <w:jc w:val="both"/>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وتختتم الدراسة بقائمة المراجع العربية والأجنبية، يليها الملاحق التي تتضمن المواد والوثائق والأدوات ذات الصلة بالدراسة، ومن بينها مفاهيم الدراسة وتعريفاتها وفقًا لما تم توضيحه في متن الرسالة</w:t>
      </w:r>
      <w:r w:rsidRPr="00545ABB">
        <w:rPr>
          <w:rFonts w:ascii="Traditional Arabic" w:eastAsia="Times New Roman" w:hAnsi="Traditional Arabic" w:cs="Traditional Arabic"/>
          <w:b/>
          <w:bCs/>
          <w:color w:val="000000" w:themeColor="text1"/>
          <w:sz w:val="24"/>
          <w:szCs w:val="24"/>
        </w:rPr>
        <w:t>.</w:t>
      </w:r>
    </w:p>
    <w:p w14:paraId="6694AB23" w14:textId="79189142" w:rsidR="00AB53B8" w:rsidRPr="00545ABB" w:rsidRDefault="00AB53B8" w:rsidP="00E4652C">
      <w:pPr>
        <w:pStyle w:val="Heading2"/>
        <w:bidi/>
        <w:rPr>
          <w:rFonts w:ascii="Traditional Arabic" w:eastAsia="Times New Roman" w:hAnsi="Traditional Arabic" w:cs="Traditional Arabic"/>
          <w:b/>
          <w:bCs/>
          <w:color w:val="000000" w:themeColor="text1"/>
          <w:sz w:val="28"/>
          <w:szCs w:val="28"/>
          <w:rtl/>
        </w:rPr>
      </w:pPr>
      <w:bookmarkStart w:id="19" w:name="_Toc242325190"/>
      <w:r w:rsidRPr="00545ABB">
        <w:rPr>
          <w:rFonts w:ascii="Traditional Arabic" w:eastAsia="Times New Roman" w:hAnsi="Traditional Arabic" w:cs="Traditional Arabic"/>
          <w:b/>
          <w:bCs/>
          <w:color w:val="000000" w:themeColor="text1"/>
          <w:sz w:val="28"/>
          <w:szCs w:val="28"/>
          <w:rtl/>
        </w:rPr>
        <w:lastRenderedPageBreak/>
        <w:t>خاتمة:</w:t>
      </w:r>
      <w:bookmarkEnd w:id="19"/>
    </w:p>
    <w:p w14:paraId="4661389D" w14:textId="77777777" w:rsidR="00AB53B8" w:rsidRPr="00545ABB" w:rsidRDefault="00AB53B8" w:rsidP="00AB53B8">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تُعد هذه الخاتمة إيذانًا بطيِّ صفحة الإطار العام لهذه الدراسة، التي انطلقت من إشكالية بحثية جوهرية تتمثل في ضرورة فهم الدور الذي تؤديه الحوكمة الفعالة في تعزيز استدامة ونجاح شركات الأمن السيبراني الناشئة في المملكة العربية السعودية، في ظل بيئة رقمية متسارعة التحولات، ومتزايدة المخاطر، ومواكبة لطموحات رؤية المملكة 2030</w:t>
      </w:r>
      <w:r w:rsidRPr="00545ABB">
        <w:rPr>
          <w:rFonts w:ascii="Traditional Arabic" w:eastAsia="Times New Roman" w:hAnsi="Traditional Arabic" w:cs="Traditional Arabic"/>
          <w:b/>
          <w:bCs/>
          <w:color w:val="000000" w:themeColor="text1"/>
          <w:sz w:val="24"/>
          <w:szCs w:val="24"/>
        </w:rPr>
        <w:t>.</w:t>
      </w:r>
    </w:p>
    <w:p w14:paraId="1AC5CAC9" w14:textId="77777777" w:rsidR="00AB53B8" w:rsidRPr="00545ABB" w:rsidRDefault="00AB53B8" w:rsidP="00AB53B8">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وقد تم في هذا الفصل وضع اللبنات الأساسية للبحث من خلال تحديد المشكلة البحثية التي تعكس حاجة علمية وتطبيقية ملحة إلى قياس أثر الحوكمة الفعالة على الاستدامة المؤسسية والنجاح المؤسسي في سياق قطاعي متخصص ومتجدد. كما تم صياغة التساؤلات الرئيسة والفرعية، التي انبثق عنها نموذج الدراسة وأبعادها المتغيرة، إلى جانب وضع فروض قابلة للاختبار الإحصائي، وتحديد الإجراءات المنهجية التي ستُتَّبع في الفصول اللاحقة</w:t>
      </w:r>
      <w:r w:rsidRPr="00545ABB">
        <w:rPr>
          <w:rFonts w:ascii="Traditional Arabic" w:eastAsia="Times New Roman" w:hAnsi="Traditional Arabic" w:cs="Traditional Arabic"/>
          <w:b/>
          <w:bCs/>
          <w:color w:val="000000" w:themeColor="text1"/>
          <w:sz w:val="24"/>
          <w:szCs w:val="24"/>
        </w:rPr>
        <w:t>.</w:t>
      </w:r>
    </w:p>
    <w:p w14:paraId="31013C24" w14:textId="77777777" w:rsidR="00AB53B8" w:rsidRPr="00545ABB" w:rsidRDefault="00AB53B8" w:rsidP="00AB53B8">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كما أولى الفصل أهمية خاصة لاستعراض الأهمية النظرية والتطبيقية للدراسة، إذ تسهم في سد الفجوة المعرفية في الأدبيات العربية والدولية فيما يتعلق بتكامل الحوكمة مع قطاع الأمن السيبراني الناشئ، وتقديم مخرجات عملية لصناع القرار، والمستثمرين، والجهات التنظيمية، ورواد الأعمال</w:t>
      </w:r>
      <w:r w:rsidRPr="00545ABB">
        <w:rPr>
          <w:rFonts w:ascii="Traditional Arabic" w:eastAsia="Times New Roman" w:hAnsi="Traditional Arabic" w:cs="Traditional Arabic"/>
          <w:b/>
          <w:bCs/>
          <w:color w:val="000000" w:themeColor="text1"/>
          <w:sz w:val="24"/>
          <w:szCs w:val="24"/>
        </w:rPr>
        <w:t>.</w:t>
      </w:r>
    </w:p>
    <w:p w14:paraId="176CF09F" w14:textId="77777777" w:rsidR="00AB53B8" w:rsidRPr="00545ABB" w:rsidRDefault="00AB53B8" w:rsidP="00AB53B8">
      <w:pPr>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وبناءً على ما تقدم، يمكن القول إن الفصل الأول قد هيّأ الأرضية العلمية والمنهجية للدراسة، ووضّح أبعادها المكانية والزمانية، ومهد الطريق للانتقال إلى الإطار النظري والمرجعي الذي سيُفصِّل مفاهيم الحوكمة والأمن السيبراني واستدامة الشركات الناشئة، بما يكفل بناءً معرفيًا رصينًا للفصول التالية، وصولًا إلى اختبار الفروض وتحليل النتائج وتقديم التوصيات العملية</w:t>
      </w:r>
      <w:r w:rsidRPr="00545ABB">
        <w:rPr>
          <w:rFonts w:ascii="Traditional Arabic" w:eastAsia="Times New Roman" w:hAnsi="Traditional Arabic" w:cs="Traditional Arabic"/>
          <w:b/>
          <w:bCs/>
          <w:color w:val="000000" w:themeColor="text1"/>
          <w:sz w:val="24"/>
          <w:szCs w:val="24"/>
        </w:rPr>
        <w:t>.</w:t>
      </w:r>
    </w:p>
    <w:p w14:paraId="4A83E8E4" w14:textId="48B0DB6E" w:rsidR="00C64756" w:rsidRPr="00545ABB" w:rsidRDefault="00C64756" w:rsidP="00C64756">
      <w:pPr>
        <w:spacing w:after="0" w:line="360" w:lineRule="auto"/>
        <w:rPr>
          <w:rFonts w:ascii="Traditional Arabic" w:eastAsia="Times New Roman" w:hAnsi="Traditional Arabic" w:cs="Traditional Arabic"/>
          <w:color w:val="000000" w:themeColor="text1"/>
          <w:sz w:val="28"/>
          <w:szCs w:val="28"/>
        </w:rPr>
      </w:pPr>
    </w:p>
    <w:p w14:paraId="4040AC9B" w14:textId="7459D62B" w:rsidR="00DB18F6" w:rsidRPr="00545ABB" w:rsidRDefault="00FE45D5" w:rsidP="00E4652C">
      <w:pPr>
        <w:pStyle w:val="Heading1"/>
        <w:bidi/>
        <w:jc w:val="center"/>
        <w:rPr>
          <w:rFonts w:ascii="Traditional Arabic" w:hAnsi="Traditional Arabic" w:cs="Traditional Arabic"/>
          <w:b/>
          <w:bCs/>
          <w:color w:val="000000" w:themeColor="text1"/>
          <w:sz w:val="32"/>
          <w:szCs w:val="32"/>
          <w:rtl/>
        </w:rPr>
      </w:pPr>
      <w:bookmarkStart w:id="20" w:name="_Toc242325191"/>
      <w:r w:rsidRPr="00545ABB">
        <w:rPr>
          <w:rFonts w:ascii="Traditional Arabic" w:hAnsi="Traditional Arabic" w:cs="Traditional Arabic"/>
          <w:b/>
          <w:bCs/>
          <w:color w:val="000000" w:themeColor="text1"/>
          <w:sz w:val="32"/>
          <w:szCs w:val="32"/>
          <w:rtl/>
        </w:rPr>
        <w:t xml:space="preserve">الفصل </w:t>
      </w:r>
      <w:r w:rsidRPr="00545ABB">
        <w:rPr>
          <w:rFonts w:ascii="Traditional Arabic" w:hAnsi="Traditional Arabic" w:cs="Traditional Arabic"/>
          <w:b/>
          <w:bCs/>
          <w:color w:val="000000" w:themeColor="text1"/>
          <w:sz w:val="32"/>
          <w:szCs w:val="32"/>
          <w:rtl/>
          <w:lang w:bidi="ar-EG"/>
        </w:rPr>
        <w:t>الثاني</w:t>
      </w:r>
      <w:bookmarkEnd w:id="20"/>
    </w:p>
    <w:p w14:paraId="4F0BC3E7" w14:textId="44E27F76" w:rsidR="00FE45D5" w:rsidRPr="00545ABB" w:rsidRDefault="00FE45D5" w:rsidP="00E4652C">
      <w:pPr>
        <w:pStyle w:val="Heading1"/>
        <w:bidi/>
        <w:jc w:val="center"/>
        <w:rPr>
          <w:rFonts w:ascii="Traditional Arabic" w:eastAsia="Times New Roman" w:hAnsi="Traditional Arabic" w:cs="Traditional Arabic"/>
          <w:b/>
          <w:bCs/>
          <w:color w:val="000000" w:themeColor="text1"/>
          <w:sz w:val="28"/>
          <w:szCs w:val="28"/>
          <w:rtl/>
        </w:rPr>
      </w:pPr>
      <w:bookmarkStart w:id="21" w:name="_Toc242325192"/>
      <w:r w:rsidRPr="00545ABB">
        <w:rPr>
          <w:rFonts w:ascii="Traditional Arabic" w:hAnsi="Traditional Arabic" w:cs="Traditional Arabic"/>
          <w:b/>
          <w:bCs/>
          <w:color w:val="000000" w:themeColor="text1"/>
          <w:sz w:val="28"/>
          <w:szCs w:val="28"/>
          <w:rtl/>
        </w:rPr>
        <w:t>الحوكمة الفعالة في</w:t>
      </w:r>
      <w:r w:rsidRPr="00545ABB">
        <w:rPr>
          <w:rFonts w:ascii="Traditional Arabic" w:hAnsi="Traditional Arabic" w:cs="Traditional Arabic"/>
          <w:b/>
          <w:bCs/>
          <w:color w:val="000000" w:themeColor="text1"/>
          <w:sz w:val="28"/>
          <w:szCs w:val="28"/>
        </w:rPr>
        <w:t xml:space="preserve"> </w:t>
      </w:r>
      <w:r w:rsidRPr="00545ABB">
        <w:rPr>
          <w:rFonts w:ascii="Traditional Arabic" w:hAnsi="Traditional Arabic" w:cs="Traditional Arabic"/>
          <w:b/>
          <w:bCs/>
          <w:color w:val="000000" w:themeColor="text1"/>
          <w:sz w:val="28"/>
          <w:szCs w:val="28"/>
          <w:rtl/>
          <w:lang w:bidi="ar-EG"/>
        </w:rPr>
        <w:t>ال</w:t>
      </w:r>
      <w:r w:rsidRPr="00545ABB">
        <w:rPr>
          <w:rFonts w:ascii="Traditional Arabic" w:hAnsi="Traditional Arabic" w:cs="Traditional Arabic"/>
          <w:b/>
          <w:bCs/>
          <w:color w:val="000000" w:themeColor="text1"/>
          <w:sz w:val="28"/>
          <w:szCs w:val="28"/>
          <w:rtl/>
        </w:rPr>
        <w:t>شركات الناشئة</w:t>
      </w:r>
      <w:bookmarkEnd w:id="21"/>
    </w:p>
    <w:p w14:paraId="11676025" w14:textId="77777777"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مقدمة:</w:t>
      </w:r>
    </w:p>
    <w:p w14:paraId="41A493D4" w14:textId="6F4A21CA"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نشأة الحوكمة</w:t>
      </w:r>
    </w:p>
    <w:p w14:paraId="61C8046E" w14:textId="09FF3567" w:rsidR="00FE45D5" w:rsidRPr="00545ABB" w:rsidRDefault="00FE45D5"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tl/>
        </w:rPr>
      </w:pPr>
      <w:bookmarkStart w:id="22" w:name="_Hlk202722699"/>
      <w:r w:rsidRPr="00545ABB">
        <w:rPr>
          <w:rFonts w:ascii="Traditional Arabic" w:eastAsia="Times New Roman" w:hAnsi="Traditional Arabic" w:cs="Traditional Arabic"/>
          <w:b/>
          <w:bCs/>
          <w:color w:val="000000" w:themeColor="text1"/>
          <w:sz w:val="24"/>
          <w:szCs w:val="24"/>
          <w:rtl/>
        </w:rPr>
        <w:t xml:space="preserve">أهمية </w:t>
      </w:r>
      <w:bookmarkStart w:id="23" w:name="_Hlk202723713"/>
      <w:r w:rsidRPr="00545ABB">
        <w:rPr>
          <w:rFonts w:ascii="Traditional Arabic" w:eastAsia="Times New Roman" w:hAnsi="Traditional Arabic" w:cs="Traditional Arabic"/>
          <w:b/>
          <w:bCs/>
          <w:color w:val="000000" w:themeColor="text1"/>
          <w:sz w:val="24"/>
          <w:szCs w:val="24"/>
          <w:rtl/>
        </w:rPr>
        <w:t>الحوكمة بالنسبة لشركات الأمن السيبراني الناشئة.</w:t>
      </w:r>
      <w:bookmarkEnd w:id="22"/>
      <w:bookmarkEnd w:id="23"/>
    </w:p>
    <w:p w14:paraId="0B90A88C" w14:textId="1EB05D01" w:rsidR="002470D7" w:rsidRPr="00545ABB" w:rsidRDefault="002470D7"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الأطر والضوابط والإرشادات ذات الصلة بحوكمة الأمن السيبراني.</w:t>
      </w:r>
    </w:p>
    <w:p w14:paraId="17B3E01F" w14:textId="1FFC447F" w:rsidR="00215594" w:rsidRPr="00545ABB" w:rsidRDefault="00215594"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الأطر والضوابط الوطنية للأمن السيبراني في المملكة العربية السعودية</w:t>
      </w:r>
    </w:p>
    <w:p w14:paraId="1A2C3F32" w14:textId="2BDC7994" w:rsidR="00215594" w:rsidRPr="00545ABB" w:rsidRDefault="002428A8"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دور شركات الأمن السيبراني في دعم تطبيق الأطر والضوابط</w:t>
      </w:r>
    </w:p>
    <w:p w14:paraId="515ED6B0" w14:textId="7AB1D145"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أهداف الحوكمة بالنسبة للشركات الناشئة.</w:t>
      </w:r>
    </w:p>
    <w:p w14:paraId="3E5EF8E7" w14:textId="6C1B9F0E"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tl/>
        </w:rPr>
      </w:pPr>
      <w:bookmarkStart w:id="24" w:name="_Hlk202758984"/>
      <w:r w:rsidRPr="00545ABB">
        <w:rPr>
          <w:rFonts w:ascii="Traditional Arabic" w:eastAsia="Times New Roman" w:hAnsi="Traditional Arabic" w:cs="Traditional Arabic"/>
          <w:b/>
          <w:bCs/>
          <w:color w:val="000000" w:themeColor="text1"/>
          <w:sz w:val="24"/>
          <w:szCs w:val="24"/>
          <w:rtl/>
        </w:rPr>
        <w:lastRenderedPageBreak/>
        <w:t>عناصر الحوكمة بالنسبة لشركات الأمن السيبراني.</w:t>
      </w:r>
    </w:p>
    <w:p w14:paraId="5C7F7D06" w14:textId="19625320"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قيم ومبادئ الحوكمة الفعالة</w:t>
      </w:r>
    </w:p>
    <w:p w14:paraId="21EC377B" w14:textId="0BE37CF4" w:rsidR="00FE45D5" w:rsidRPr="00545ABB" w:rsidRDefault="00FE45D5"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دور أصحاب المصالح</w:t>
      </w:r>
    </w:p>
    <w:p w14:paraId="7E193D86" w14:textId="26071B9A" w:rsidR="00FE45D5" w:rsidRPr="00545ABB" w:rsidRDefault="00FE45D5"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Pr>
      </w:pPr>
      <w:bookmarkStart w:id="25" w:name="_Hlk204103820"/>
      <w:r w:rsidRPr="00545ABB">
        <w:rPr>
          <w:rFonts w:ascii="Traditional Arabic" w:eastAsia="Times New Roman" w:hAnsi="Traditional Arabic" w:cs="Traditional Arabic"/>
          <w:b/>
          <w:bCs/>
          <w:color w:val="000000" w:themeColor="text1"/>
          <w:sz w:val="24"/>
          <w:szCs w:val="24"/>
          <w:rtl/>
        </w:rPr>
        <w:t>إدارة المخاطر للشركات الناشئة</w:t>
      </w:r>
      <w:bookmarkEnd w:id="25"/>
      <w:r w:rsidRPr="00545ABB">
        <w:rPr>
          <w:rFonts w:ascii="Traditional Arabic" w:eastAsia="Times New Roman" w:hAnsi="Traditional Arabic" w:cs="Traditional Arabic"/>
          <w:b/>
          <w:bCs/>
          <w:color w:val="000000" w:themeColor="text1"/>
          <w:sz w:val="24"/>
          <w:szCs w:val="24"/>
          <w:rtl/>
        </w:rPr>
        <w:t>.</w:t>
      </w:r>
    </w:p>
    <w:p w14:paraId="295A47B3" w14:textId="4430FA82"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الإصدارات الدولية الخاصة بالحوكمة المستخدمة عالميًا.</w:t>
      </w:r>
    </w:p>
    <w:p w14:paraId="077D67FC" w14:textId="6031CF86" w:rsidR="00FE45D5" w:rsidRPr="00545ABB" w:rsidRDefault="00FE45D5" w:rsidP="00D95153">
      <w:pPr>
        <w:pStyle w:val="ListParagraph"/>
        <w:numPr>
          <w:ilvl w:val="2"/>
          <w:numId w:val="18"/>
        </w:numPr>
        <w:bidi/>
        <w:spacing w:after="0"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نموذج </w:t>
      </w:r>
      <w:r w:rsidRPr="00545ABB">
        <w:rPr>
          <w:rFonts w:ascii="Traditional Arabic" w:eastAsia="Times New Roman" w:hAnsi="Traditional Arabic" w:cs="Traditional Arabic"/>
          <w:b/>
          <w:bCs/>
          <w:color w:val="000000" w:themeColor="text1"/>
          <w:sz w:val="24"/>
          <w:szCs w:val="24"/>
        </w:rPr>
        <w:t>COBIT</w:t>
      </w:r>
      <w:r w:rsidRPr="00545ABB">
        <w:rPr>
          <w:rFonts w:ascii="Traditional Arabic" w:eastAsia="Times New Roman" w:hAnsi="Traditional Arabic" w:cs="Traditional Arabic"/>
          <w:b/>
          <w:bCs/>
          <w:color w:val="000000" w:themeColor="text1"/>
          <w:sz w:val="24"/>
          <w:szCs w:val="24"/>
          <w:rtl/>
        </w:rPr>
        <w:t xml:space="preserve"> كمرجعية لحوكمة تكنولوجيا المعلومات</w:t>
      </w:r>
    </w:p>
    <w:p w14:paraId="710AECBC" w14:textId="37B503C2" w:rsidR="00FE45D5" w:rsidRPr="00545ABB" w:rsidRDefault="00FE45D5" w:rsidP="00D95153">
      <w:pPr>
        <w:pStyle w:val="ListParagraph"/>
        <w:numPr>
          <w:ilvl w:val="2"/>
          <w:numId w:val="18"/>
        </w:numPr>
        <w:bidi/>
        <w:spacing w:after="0"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نموذج</w:t>
      </w:r>
      <w:r w:rsidRPr="00545ABB">
        <w:rPr>
          <w:rFonts w:ascii="Traditional Arabic" w:eastAsia="Times New Roman" w:hAnsi="Traditional Arabic" w:cs="Traditional Arabic"/>
          <w:b/>
          <w:bCs/>
          <w:color w:val="000000" w:themeColor="text1"/>
          <w:sz w:val="24"/>
          <w:szCs w:val="24"/>
        </w:rPr>
        <w:t xml:space="preserve"> NIST</w:t>
      </w:r>
      <w:r w:rsidRPr="00545ABB">
        <w:rPr>
          <w:rFonts w:ascii="Traditional Arabic" w:eastAsia="Times New Roman" w:hAnsi="Traditional Arabic" w:cs="Traditional Arabic"/>
          <w:b/>
          <w:bCs/>
          <w:color w:val="000000" w:themeColor="text1"/>
          <w:sz w:val="24"/>
          <w:szCs w:val="24"/>
          <w:rtl/>
        </w:rPr>
        <w:t>لحوكمة الأمن السيبراني</w:t>
      </w:r>
    </w:p>
    <w:p w14:paraId="7A0D9805" w14:textId="12B64792"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tl/>
        </w:rPr>
      </w:pPr>
      <w:bookmarkStart w:id="26" w:name="_Hlk204097809"/>
      <w:bookmarkEnd w:id="24"/>
      <w:r w:rsidRPr="00545ABB">
        <w:rPr>
          <w:rFonts w:ascii="Traditional Arabic" w:eastAsia="Times New Roman" w:hAnsi="Traditional Arabic" w:cs="Traditional Arabic"/>
          <w:b/>
          <w:bCs/>
          <w:color w:val="000000" w:themeColor="text1"/>
          <w:sz w:val="24"/>
          <w:szCs w:val="24"/>
          <w:rtl/>
        </w:rPr>
        <w:t>مفهوم الأمن السيبراني</w:t>
      </w:r>
    </w:p>
    <w:p w14:paraId="768E0295" w14:textId="75E4571F"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نشأته وبداية الأمن السيبراني</w:t>
      </w:r>
    </w:p>
    <w:p w14:paraId="4105F741" w14:textId="2B3D71F9" w:rsidR="00FE45D5" w:rsidRPr="00545ABB" w:rsidRDefault="00FE45D5"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Pr>
      </w:pPr>
      <w:bookmarkStart w:id="27" w:name="_Hlk204103972"/>
      <w:bookmarkEnd w:id="26"/>
      <w:r w:rsidRPr="00545ABB">
        <w:rPr>
          <w:rFonts w:ascii="Traditional Arabic" w:eastAsia="Times New Roman" w:hAnsi="Traditional Arabic" w:cs="Traditional Arabic"/>
          <w:b/>
          <w:bCs/>
          <w:color w:val="000000" w:themeColor="text1"/>
          <w:sz w:val="24"/>
          <w:szCs w:val="24"/>
          <w:rtl/>
        </w:rPr>
        <w:t>مكونات نظام الحوكمة.</w:t>
      </w:r>
    </w:p>
    <w:p w14:paraId="1CEB4C76" w14:textId="3A8F6C60" w:rsidR="00FE45D5" w:rsidRPr="00545ABB" w:rsidRDefault="00FE45D5"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tl/>
          <w:lang w:bidi="ar-EG"/>
        </w:rPr>
      </w:pPr>
      <w:bookmarkStart w:id="28" w:name="_Hlk204104058"/>
      <w:bookmarkEnd w:id="27"/>
      <w:r w:rsidRPr="00545ABB">
        <w:rPr>
          <w:rFonts w:ascii="Traditional Arabic" w:eastAsia="Times New Roman" w:hAnsi="Traditional Arabic" w:cs="Traditional Arabic"/>
          <w:b/>
          <w:bCs/>
          <w:color w:val="000000" w:themeColor="text1"/>
          <w:sz w:val="24"/>
          <w:szCs w:val="24"/>
          <w:rtl/>
          <w:lang w:bidi="ar-EG"/>
        </w:rPr>
        <w:t>خصائص حوكمة الشركات.</w:t>
      </w:r>
    </w:p>
    <w:p w14:paraId="09E1082A" w14:textId="31FC63DA" w:rsidR="00FE45D5" w:rsidRPr="00545ABB" w:rsidRDefault="00FE45D5" w:rsidP="00D95153">
      <w:pPr>
        <w:pStyle w:val="ListParagraph"/>
        <w:numPr>
          <w:ilvl w:val="0"/>
          <w:numId w:val="18"/>
        </w:numPr>
        <w:bidi/>
        <w:spacing w:after="0" w:line="360" w:lineRule="auto"/>
        <w:jc w:val="both"/>
        <w:rPr>
          <w:rFonts w:ascii="Traditional Arabic" w:eastAsia="Times New Roman" w:hAnsi="Traditional Arabic" w:cs="Traditional Arabic"/>
          <w:b/>
          <w:bCs/>
          <w:color w:val="000000" w:themeColor="text1"/>
          <w:sz w:val="24"/>
          <w:szCs w:val="24"/>
          <w:rtl/>
        </w:rPr>
      </w:pPr>
      <w:bookmarkStart w:id="29" w:name="_Hlk204104105"/>
      <w:bookmarkEnd w:id="28"/>
      <w:r w:rsidRPr="00545ABB">
        <w:rPr>
          <w:rFonts w:ascii="Traditional Arabic" w:eastAsia="Times New Roman" w:hAnsi="Traditional Arabic" w:cs="Traditional Arabic"/>
          <w:b/>
          <w:bCs/>
          <w:color w:val="000000" w:themeColor="text1"/>
          <w:sz w:val="24"/>
          <w:szCs w:val="24"/>
          <w:rtl/>
        </w:rPr>
        <w:t>محددات الحوكمة.</w:t>
      </w:r>
    </w:p>
    <w:p w14:paraId="1902D6B4" w14:textId="4F673D39"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Pr>
      </w:pPr>
      <w:bookmarkStart w:id="30" w:name="_Hlk204104152"/>
      <w:bookmarkEnd w:id="29"/>
      <w:r w:rsidRPr="00545ABB">
        <w:rPr>
          <w:rFonts w:ascii="Traditional Arabic" w:eastAsia="Times New Roman" w:hAnsi="Traditional Arabic" w:cs="Traditional Arabic"/>
          <w:b/>
          <w:bCs/>
          <w:color w:val="000000" w:themeColor="text1"/>
          <w:sz w:val="24"/>
          <w:szCs w:val="24"/>
          <w:rtl/>
        </w:rPr>
        <w:t>الحوكمة في دعم استدامة ونجا</w:t>
      </w:r>
      <w:r w:rsidRPr="00545ABB">
        <w:rPr>
          <w:rFonts w:ascii="Traditional Arabic" w:eastAsia="Times New Roman" w:hAnsi="Traditional Arabic" w:cs="Traditional Arabic"/>
          <w:b/>
          <w:bCs/>
          <w:color w:val="000000" w:themeColor="text1"/>
          <w:sz w:val="24"/>
          <w:szCs w:val="24"/>
          <w:rtl/>
          <w:lang w:bidi="ar-EG"/>
        </w:rPr>
        <w:t>ح ا</w:t>
      </w:r>
      <w:r w:rsidRPr="00545ABB">
        <w:rPr>
          <w:rFonts w:ascii="Traditional Arabic" w:eastAsia="Times New Roman" w:hAnsi="Traditional Arabic" w:cs="Traditional Arabic"/>
          <w:b/>
          <w:bCs/>
          <w:color w:val="000000" w:themeColor="text1"/>
          <w:sz w:val="24"/>
          <w:szCs w:val="24"/>
          <w:rtl/>
        </w:rPr>
        <w:t>لشركات الناشئة</w:t>
      </w:r>
    </w:p>
    <w:bookmarkEnd w:id="30"/>
    <w:p w14:paraId="1CF367A6" w14:textId="036B88AE" w:rsidR="00FE45D5" w:rsidRPr="00545ABB" w:rsidRDefault="00FE45D5"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واقع تطبيق الحوكمة في الشركات الناشئة بالمملكة العربية السعودية</w:t>
      </w:r>
    </w:p>
    <w:p w14:paraId="40DBFDE2" w14:textId="193C80DE" w:rsidR="00FE45D5" w:rsidRPr="00545ABB" w:rsidRDefault="00FE45D5" w:rsidP="00D95153">
      <w:pPr>
        <w:pStyle w:val="ListParagraph"/>
        <w:numPr>
          <w:ilvl w:val="1"/>
          <w:numId w:val="18"/>
        </w:numPr>
        <w:bidi/>
        <w:spacing w:after="0" w:line="360" w:lineRule="auto"/>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جهود المملكة في تعزيز الحوكمة (رؤية 2030 الهيئة الوطنية للأمن السيبراني)</w:t>
      </w:r>
    </w:p>
    <w:p w14:paraId="52A791E1" w14:textId="44698491" w:rsidR="00FE45D5" w:rsidRPr="00545ABB" w:rsidRDefault="00FE45D5" w:rsidP="00D95153">
      <w:pPr>
        <w:pStyle w:val="ListParagraph"/>
        <w:numPr>
          <w:ilvl w:val="1"/>
          <w:numId w:val="18"/>
        </w:numPr>
        <w:bidi/>
        <w:spacing w:after="0" w:line="360" w:lineRule="auto"/>
        <w:rPr>
          <w:rFonts w:ascii="Traditional Arabic" w:eastAsia="Times New Roman" w:hAnsi="Traditional Arabic" w:cs="Traditional Arabic"/>
          <w:b/>
          <w:bCs/>
          <w:color w:val="000000" w:themeColor="text1"/>
          <w:sz w:val="24"/>
          <w:szCs w:val="24"/>
        </w:rPr>
      </w:pPr>
      <w:bookmarkStart w:id="31" w:name="_Hlk204103641"/>
      <w:r w:rsidRPr="00545ABB">
        <w:rPr>
          <w:rFonts w:ascii="Traditional Arabic" w:eastAsia="Times New Roman" w:hAnsi="Traditional Arabic" w:cs="Traditional Arabic"/>
          <w:b/>
          <w:bCs/>
          <w:color w:val="000000" w:themeColor="text1"/>
          <w:sz w:val="24"/>
          <w:szCs w:val="24"/>
          <w:rtl/>
        </w:rPr>
        <w:t>التحديات التي تواجه الشركات الناشئة في تطبيق الحوكمة.</w:t>
      </w:r>
    </w:p>
    <w:bookmarkEnd w:id="31"/>
    <w:p w14:paraId="01944939" w14:textId="4CF1DA42" w:rsidR="00FE45D5" w:rsidRPr="00545ABB" w:rsidRDefault="00FE45D5" w:rsidP="00D95153">
      <w:pPr>
        <w:pStyle w:val="ListParagraph"/>
        <w:numPr>
          <w:ilvl w:val="1"/>
          <w:numId w:val="18"/>
        </w:numPr>
        <w:bidi/>
        <w:spacing w:after="0" w:line="360" w:lineRule="auto"/>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فرص تطوير منظومة الحوكمة في ضوء التحول الرقمي في السعودية.</w:t>
      </w:r>
    </w:p>
    <w:bookmarkEnd w:id="17"/>
    <w:p w14:paraId="30C9B313" w14:textId="4A463BA8" w:rsidR="00FE45D5" w:rsidRPr="00545ABB" w:rsidRDefault="002A3B74"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الدراسات المرجعية</w:t>
      </w:r>
    </w:p>
    <w:p w14:paraId="00547649" w14:textId="6A07DA15" w:rsidR="00AB53B8" w:rsidRPr="00545ABB" w:rsidRDefault="00AB53B8" w:rsidP="00D95153">
      <w:pPr>
        <w:pStyle w:val="ListParagraph"/>
        <w:numPr>
          <w:ilvl w:val="0"/>
          <w:numId w:val="18"/>
        </w:numPr>
        <w:bidi/>
        <w:spacing w:after="0" w:line="360" w:lineRule="auto"/>
        <w:rPr>
          <w:rFonts w:ascii="Traditional Arabic" w:eastAsia="Times New Roman" w:hAnsi="Traditional Arabic" w:cs="Traditional Arabic"/>
          <w:b/>
          <w:bCs/>
          <w:color w:val="000000" w:themeColor="text1"/>
          <w:sz w:val="24"/>
          <w:szCs w:val="24"/>
          <w:rtl/>
        </w:rPr>
      </w:pPr>
      <w:r w:rsidRPr="00545ABB">
        <w:rPr>
          <w:rFonts w:ascii="Traditional Arabic" w:eastAsia="Times New Roman" w:hAnsi="Traditional Arabic" w:cs="Traditional Arabic"/>
          <w:b/>
          <w:bCs/>
          <w:color w:val="000000" w:themeColor="text1"/>
          <w:sz w:val="24"/>
          <w:szCs w:val="24"/>
          <w:rtl/>
        </w:rPr>
        <w:t>خاتمة</w:t>
      </w:r>
    </w:p>
    <w:p w14:paraId="44E7AF8D" w14:textId="77777777" w:rsidR="00FE45D5" w:rsidRPr="00545ABB" w:rsidRDefault="00FE45D5" w:rsidP="00022590">
      <w:pPr>
        <w:spacing w:after="0" w:line="360" w:lineRule="auto"/>
        <w:rPr>
          <w:rFonts w:ascii="Traditional Arabic" w:eastAsiaTheme="majorEastAsia" w:hAnsi="Traditional Arabic" w:cs="Traditional Arabic"/>
          <w:b/>
          <w:bCs/>
          <w:color w:val="000000" w:themeColor="text1"/>
          <w:sz w:val="32"/>
          <w:szCs w:val="32"/>
          <w:rtl/>
        </w:rPr>
      </w:pPr>
      <w:r w:rsidRPr="00545ABB">
        <w:rPr>
          <w:rFonts w:ascii="Traditional Arabic" w:eastAsiaTheme="majorEastAsia" w:hAnsi="Traditional Arabic" w:cs="Traditional Arabic"/>
          <w:b/>
          <w:bCs/>
          <w:color w:val="000000" w:themeColor="text1"/>
          <w:sz w:val="32"/>
          <w:szCs w:val="32"/>
          <w:rtl/>
        </w:rPr>
        <w:br w:type="page"/>
      </w:r>
    </w:p>
    <w:p w14:paraId="07469CCA" w14:textId="0D69CCD3" w:rsidR="00FE45D5" w:rsidRPr="00545ABB" w:rsidRDefault="00FE45D5" w:rsidP="00E4652C">
      <w:pPr>
        <w:pStyle w:val="Heading2"/>
        <w:bidi/>
        <w:rPr>
          <w:rFonts w:ascii="Traditional Arabic" w:eastAsia="Times New Roman" w:hAnsi="Traditional Arabic" w:cs="Traditional Arabic"/>
          <w:b/>
          <w:bCs/>
          <w:color w:val="000000" w:themeColor="text1"/>
          <w:rtl/>
        </w:rPr>
      </w:pPr>
      <w:bookmarkStart w:id="32" w:name="_Toc242325193"/>
      <w:r w:rsidRPr="00545ABB">
        <w:rPr>
          <w:rFonts w:ascii="Traditional Arabic" w:eastAsia="Times New Roman" w:hAnsi="Traditional Arabic" w:cs="Traditional Arabic"/>
          <w:b/>
          <w:bCs/>
          <w:color w:val="000000" w:themeColor="text1"/>
          <w:rtl/>
        </w:rPr>
        <w:lastRenderedPageBreak/>
        <w:t>مقدمة</w:t>
      </w:r>
      <w:bookmarkEnd w:id="32"/>
    </w:p>
    <w:p w14:paraId="74DC5B6D" w14:textId="501870CF"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شهد العالم في أواخر القرن العشرين تحولات اقتصادية وإدارية عميقة، صاحَبها توسع كبير في حجم الشركات وتنوع أنشطتها وتعقد هياكلها التنظيمية، الأمر الذي أدى إلى اتساع الفجوة بين الملكية والإدارة، وازدياد الحاجة إلى وجود آليات أكثر فاعلية للرقابة على تصرفات الإدارات التنفيذية. وقد أسهم ضعف الرقابة وغياب الأطر الواضحة للمساءلة والشفافية في جعل العديد من الشركات، ولا سيما الشركات الناشئة، أكثر عرضة للأزمات والتعثر والانهيار، نتيجة ضعف الضبط المؤسسي وعدم وضوح الصلاحيات والمسؤوليات وتعارض المصالح بين الأطراف ذات العلاقة </w:t>
      </w:r>
      <w:r w:rsidRPr="00545ABB">
        <w:rPr>
          <w:rFonts w:ascii="Traditional Arabic" w:eastAsia="Times New Roman" w:hAnsi="Traditional Arabic" w:cs="Traditional Arabic" w:hint="cs"/>
          <w:b/>
          <w:bCs/>
          <w:color w:val="000000" w:themeColor="text1"/>
          <w:sz w:val="24"/>
          <w:szCs w:val="24"/>
          <w:rtl/>
        </w:rPr>
        <w:t>(</w:t>
      </w:r>
      <w:r w:rsidRPr="00545ABB">
        <w:rPr>
          <w:rFonts w:ascii="Traditional Arabic" w:eastAsia="Times New Roman" w:hAnsi="Traditional Arabic" w:cs="Traditional Arabic"/>
          <w:b/>
          <w:bCs/>
          <w:color w:val="000000" w:themeColor="text1"/>
          <w:sz w:val="24"/>
          <w:szCs w:val="24"/>
          <w:rtl/>
        </w:rPr>
        <w:t>أبو النصر، 2015، ص</w:t>
      </w:r>
      <w:r w:rsidRPr="00545ABB">
        <w:rPr>
          <w:rFonts w:ascii="Traditional Arabic" w:eastAsia="Times New Roman" w:hAnsi="Traditional Arabic" w:cs="Traditional Arabic"/>
          <w:b/>
          <w:bCs/>
          <w:color w:val="000000" w:themeColor="text1"/>
          <w:sz w:val="24"/>
          <w:szCs w:val="24"/>
        </w:rPr>
        <w:t>. 15</w:t>
      </w:r>
      <w:r w:rsidRPr="00545ABB">
        <w:rPr>
          <w:rFonts w:ascii="Traditional Arabic" w:eastAsia="Times New Roman" w:hAnsi="Traditional Arabic" w:cs="Traditional Arabic" w:hint="cs"/>
          <w:b/>
          <w:bCs/>
          <w:color w:val="000000" w:themeColor="text1"/>
          <w:sz w:val="24"/>
          <w:szCs w:val="24"/>
          <w:rtl/>
        </w:rPr>
        <w:t>)</w:t>
      </w:r>
      <w:r w:rsidRPr="00545ABB">
        <w:rPr>
          <w:rFonts w:ascii="Traditional Arabic" w:eastAsia="Times New Roman" w:hAnsi="Traditional Arabic" w:cs="Traditional Arabic"/>
          <w:b/>
          <w:bCs/>
          <w:color w:val="000000" w:themeColor="text1"/>
          <w:sz w:val="24"/>
          <w:szCs w:val="24"/>
        </w:rPr>
        <w:t>.</w:t>
      </w:r>
    </w:p>
    <w:p w14:paraId="44AC5810"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وفي ضوء ذلك، بدأت الجهود الدولية تتجه بصورة متزايدة إلى ترسيخ مفهوم حوكمة الشركات بوصفه إطارًا تنظيميًا وإداريًا يهدف إلى الحد من الانفلات الإداري، وتعزيز الرقابة، وتحقيق قدر أكبر من التوازن بين مصالح المساهمين والإدارة والعاملين وبقية أصحاب المصلحة. وقد أسهم هذا التوجه في تبني العديد من المؤسسات والهيئات الدولية لمبادئ ومعايير محددة في مجال الحوكمة، ومن أبرزها منظمة التعاون الاقتصادي والتنمية</w:t>
      </w:r>
      <w:r w:rsidRPr="00545ABB">
        <w:rPr>
          <w:rFonts w:ascii="Traditional Arabic" w:eastAsia="Times New Roman" w:hAnsi="Traditional Arabic" w:cs="Traditional Arabic"/>
          <w:b/>
          <w:bCs/>
          <w:color w:val="000000" w:themeColor="text1"/>
          <w:sz w:val="24"/>
          <w:szCs w:val="24"/>
        </w:rPr>
        <w:t xml:space="preserve"> (OECD) </w:t>
      </w:r>
      <w:r w:rsidRPr="00545ABB">
        <w:rPr>
          <w:rFonts w:ascii="Traditional Arabic" w:eastAsia="Times New Roman" w:hAnsi="Traditional Arabic" w:cs="Traditional Arabic"/>
          <w:b/>
          <w:bCs/>
          <w:color w:val="000000" w:themeColor="text1"/>
          <w:sz w:val="24"/>
          <w:szCs w:val="24"/>
          <w:rtl/>
        </w:rPr>
        <w:t>وبنك التسويات الدولية</w:t>
      </w:r>
      <w:r w:rsidRPr="00545ABB">
        <w:rPr>
          <w:rFonts w:ascii="Traditional Arabic" w:eastAsia="Times New Roman" w:hAnsi="Traditional Arabic" w:cs="Traditional Arabic"/>
          <w:b/>
          <w:bCs/>
          <w:color w:val="000000" w:themeColor="text1"/>
          <w:sz w:val="24"/>
          <w:szCs w:val="24"/>
        </w:rPr>
        <w:t xml:space="preserve"> (BIS)</w:t>
      </w:r>
      <w:r w:rsidRPr="00545ABB">
        <w:rPr>
          <w:rFonts w:ascii="Traditional Arabic" w:eastAsia="Times New Roman" w:hAnsi="Traditional Arabic" w:cs="Traditional Arabic"/>
          <w:b/>
          <w:bCs/>
          <w:color w:val="000000" w:themeColor="text1"/>
          <w:sz w:val="24"/>
          <w:szCs w:val="24"/>
          <w:rtl/>
        </w:rPr>
        <w:t xml:space="preserve">، اللذان يُعدان من المراجع المهمة في تطوير مبادئ الحوكمة على المستوى الدولي. وقد ركزت هذه المبادئ على معالجة عدد من القضايا الجوهرية المرتبطة بالفصل بين الملكية والإدارة، وتنظيم العلاقة بين المساهمين والإداريين والعاملين، وتعزيز الشفافية والإفصاح، وتحديد المسؤوليات والصلاحيات، ورفع كفاءة أنظمة الرقابة واتخاذ القرار </w:t>
      </w:r>
      <w:r w:rsidRPr="00545ABB">
        <w:rPr>
          <w:rFonts w:ascii="Traditional Arabic" w:eastAsia="Times New Roman" w:hAnsi="Traditional Arabic" w:cs="Traditional Arabic"/>
          <w:b/>
          <w:bCs/>
          <w:color w:val="000000" w:themeColor="text1"/>
          <w:sz w:val="24"/>
          <w:szCs w:val="24"/>
        </w:rPr>
        <w:t>(OECD, 2023, pp. 6–8).</w:t>
      </w:r>
    </w:p>
    <w:p w14:paraId="22BB3435"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ومع تطور مفهوم الحوكمة، لم يعد يُنظر إليها باعتبارها مجموعة من الضوابط الرقابية التي تركز فقط على الحد من تعارض المصالح بين المساهمين والإدارة، بل تطور المفهوم ليشمل إطارًا متكاملًا لإدارة المؤسسة وتنظيم عمليات اتخاذ القرار، وتحديد المسؤوليات، وتعزيز المساءلة، وتحسين كفاءة استخدام الموارد، وحماية مصالح مختلف أصحاب المصلحة. كما أصبحت الحوكمة أحد المداخل المهمة لدعم الاستقرار المؤسسي، وتعزيز الثقة، وتحسين القدرة على مواجهة المخاطر والتغيرات التي قد تؤثر في استمرارية المؤسسات وقدرتها على النمو</w:t>
      </w:r>
      <w:r w:rsidRPr="00545ABB">
        <w:rPr>
          <w:rFonts w:ascii="Traditional Arabic" w:eastAsia="Times New Roman" w:hAnsi="Traditional Arabic" w:cs="Traditional Arabic"/>
          <w:b/>
          <w:bCs/>
          <w:color w:val="000000" w:themeColor="text1"/>
          <w:sz w:val="24"/>
          <w:szCs w:val="24"/>
        </w:rPr>
        <w:t>.</w:t>
      </w:r>
    </w:p>
    <w:p w14:paraId="02CE994B"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وتبرز أهمية الحوكمة بصورة أكبر في الشركات الناشئة، نظرًا لما تتميز به هذه الشركات من سرعة في النمو والتغير، ومحدودية في الموارد، وارتفاع نسبي في مستوى المخاطر، واعتماد كبير على الابتكار، والحاجة المستمرة إلى التمويل والاستثمار. كما أن طبيعة الشركات الناشئة قد تجعل عملية اتخاذ القرار فيها أكثر تركّزًا في المؤسسين أو الإدارة التنفيذية، وهو ما يزيد من أهمية وجود إطار حوكمة واضح يساعد على تنظيم المسؤوليات والصلاحيات، وتعزيز الرقابة، ورفع مستوى الشفافية، وبناء الثقة مع المستثمرين والعملاء وأصحاب المصلحة</w:t>
      </w:r>
      <w:r w:rsidRPr="00545ABB">
        <w:rPr>
          <w:rFonts w:ascii="Traditional Arabic" w:eastAsia="Times New Roman" w:hAnsi="Traditional Arabic" w:cs="Traditional Arabic"/>
          <w:b/>
          <w:bCs/>
          <w:color w:val="000000" w:themeColor="text1"/>
          <w:sz w:val="24"/>
          <w:szCs w:val="24"/>
        </w:rPr>
        <w:t>.</w:t>
      </w:r>
    </w:p>
    <w:p w14:paraId="4ADB8306"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lastRenderedPageBreak/>
        <w:t xml:space="preserve">وفي ظل هذه التحولات، أولت المملكة العربية السعودية اهتمامًا متزايدًا بمفاهيم الحوكمة وتطبيقاتها، بالتوازي مع التحولات الاقتصادية والإدارية والتقنية التي تشهدها المملكة. وقد تعزز هذا التوجه بصورة أكبر مع إطلاق رؤية المملكة </w:t>
      </w:r>
      <w:r w:rsidRPr="00545ABB">
        <w:rPr>
          <w:rFonts w:ascii="Traditional Arabic" w:eastAsia="Times New Roman" w:hAnsi="Traditional Arabic" w:cs="Traditional Arabic"/>
          <w:b/>
          <w:bCs/>
          <w:color w:val="000000" w:themeColor="text1"/>
          <w:sz w:val="24"/>
          <w:szCs w:val="24"/>
        </w:rPr>
        <w:t xml:space="preserve">2030 </w:t>
      </w:r>
      <w:r w:rsidRPr="00545ABB">
        <w:rPr>
          <w:rFonts w:ascii="Traditional Arabic" w:eastAsia="Times New Roman" w:hAnsi="Traditional Arabic" w:cs="Traditional Arabic"/>
          <w:b/>
          <w:bCs/>
          <w:color w:val="000000" w:themeColor="text1"/>
          <w:sz w:val="24"/>
          <w:szCs w:val="24"/>
          <w:rtl/>
        </w:rPr>
        <w:t>التي تستهدف بناء اقتصاد تنافسي ومستدام قائم على المعرفة والتقنية والابتكار، ورفع كفاءة المؤسسات، وتحسين مستوى الشفافية والمساءلة، وتعزيز فاعلية الأداء المؤسسي. وقد شملت هذه التحولات تطوير العديد من الأطر التنظيمية والإدارية، ورفع مستوى الحوكمة في عدد من القطاعات، خصوصًا القطاعات ذات الطبيعة الاستراتيجية والحساسية العالية</w:t>
      </w:r>
      <w:r w:rsidRPr="00545ABB">
        <w:rPr>
          <w:rFonts w:ascii="Traditional Arabic" w:eastAsia="Times New Roman" w:hAnsi="Traditional Arabic" w:cs="Traditional Arabic"/>
          <w:b/>
          <w:bCs/>
          <w:color w:val="000000" w:themeColor="text1"/>
          <w:sz w:val="24"/>
          <w:szCs w:val="24"/>
        </w:rPr>
        <w:t>.</w:t>
      </w:r>
    </w:p>
    <w:p w14:paraId="623E6089"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ويأتي قطاع الأمن السيبراني في مقدمة هذه القطاعات، في ظل التوسع المتزايد في استخدام التقنيات الرقمية، وتنامي الاعتماد على البيانات والأنظمة الإلكترونية، وتصاعد الهجمات السيبرانية وتعقيد أساليبها. وقد أدى ذلك إلى زيادة الحاجة إلى وجود كيانات متخصصة ومرنة قادرة على مواكبة هذه التهديدات وتطوير حلول وتقنيات فعالة لحماية الأصول الرقمية والمعلومات والبيانات الحساسة. وفي هذا السياق، برز دور شركات الأمن السيبراني الناشئة بوصفها أحد المكونات المهمة في منظومة الأمن السيبراني، نظرًا لقدرتها على الابتكار، وسرعة الاستجابة للتغيرات التقنية، وتطوير حلول متخصصة تلبي الاحتياجات المتجددة في السوق</w:t>
      </w:r>
      <w:r w:rsidRPr="00545ABB">
        <w:rPr>
          <w:rFonts w:ascii="Traditional Arabic" w:eastAsia="Times New Roman" w:hAnsi="Traditional Arabic" w:cs="Traditional Arabic"/>
          <w:b/>
          <w:bCs/>
          <w:color w:val="000000" w:themeColor="text1"/>
          <w:sz w:val="24"/>
          <w:szCs w:val="24"/>
        </w:rPr>
        <w:t>.</w:t>
      </w:r>
    </w:p>
    <w:p w14:paraId="0E0A5312"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ولا ترتبط قدرة هذه الشركات على النجاح والاستمرار بالجانب التقني وحده، بل تعتمد كذلك على مدى قدرتها على بناء هياكل إدارية وتنظيمية واضحة، وإدارة مواردها بكفاءة، وتحديد المسؤوليات والصلاحيات، وضبط عمليات اتخاذ القرار، وإدارة المخاطر، والامتثال للمتطلبات التنظيمية. ولذلك فإن الحوكمة في شركات الأمن السيبراني الناشئة تمثل عنصرًا مكملًا للقدرات التقنية، وتسهم في تحقيق التوازن بين المرونة التي تحتاجها الشركات الناشئة وبين متطلبات الرقابة والانضباط المؤسسي</w:t>
      </w:r>
      <w:r w:rsidRPr="00545ABB">
        <w:rPr>
          <w:rFonts w:ascii="Traditional Arabic" w:eastAsia="Times New Roman" w:hAnsi="Traditional Arabic" w:cs="Traditional Arabic"/>
          <w:b/>
          <w:bCs/>
          <w:color w:val="000000" w:themeColor="text1"/>
          <w:sz w:val="24"/>
          <w:szCs w:val="24"/>
        </w:rPr>
        <w:t>.</w:t>
      </w:r>
    </w:p>
    <w:p w14:paraId="3D219136"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ورغم ما تقدمه الشركات الناشئة العاملة في قطاع الأمن السيبراني من ابتكارات تقنية متقدمة، فإن استدامتها ونجاحها يرتبطان إلى حد كبير بقدرتها على تأسيس بنية إدارية وتنظيمية محكمة تقوم على تطبيق مبادئ الحوكمة الفعالة. وفي هذا السياق، يرى ريجينالد فوسن</w:t>
      </w:r>
      <w:r w:rsidRPr="00545ABB">
        <w:rPr>
          <w:rFonts w:ascii="Traditional Arabic" w:eastAsia="Times New Roman" w:hAnsi="Traditional Arabic" w:cs="Traditional Arabic"/>
          <w:b/>
          <w:bCs/>
          <w:color w:val="000000" w:themeColor="text1"/>
          <w:sz w:val="24"/>
          <w:szCs w:val="24"/>
        </w:rPr>
        <w:t xml:space="preserve"> (REGINALD Vossen)</w:t>
      </w:r>
      <w:r w:rsidRPr="00545ABB">
        <w:rPr>
          <w:rFonts w:ascii="Traditional Arabic" w:eastAsia="Times New Roman" w:hAnsi="Traditional Arabic" w:cs="Traditional Arabic"/>
          <w:b/>
          <w:bCs/>
          <w:color w:val="000000" w:themeColor="text1"/>
          <w:sz w:val="24"/>
          <w:szCs w:val="24"/>
          <w:rtl/>
        </w:rPr>
        <w:t>، مدير</w:t>
      </w:r>
      <w:r w:rsidRPr="00545ABB">
        <w:rPr>
          <w:rFonts w:ascii="Traditional Arabic" w:eastAsia="Times New Roman" w:hAnsi="Traditional Arabic" w:cs="Traditional Arabic"/>
          <w:b/>
          <w:bCs/>
          <w:color w:val="000000" w:themeColor="text1"/>
          <w:sz w:val="24"/>
          <w:szCs w:val="24"/>
        </w:rPr>
        <w:t xml:space="preserve"> BAN Vlaanderen</w:t>
      </w:r>
      <w:r w:rsidRPr="00545ABB">
        <w:rPr>
          <w:rFonts w:ascii="Traditional Arabic" w:eastAsia="Times New Roman" w:hAnsi="Traditional Arabic" w:cs="Traditional Arabic"/>
          <w:b/>
          <w:bCs/>
          <w:color w:val="000000" w:themeColor="text1"/>
          <w:sz w:val="24"/>
          <w:szCs w:val="24"/>
          <w:rtl/>
        </w:rPr>
        <w:t>، أن إعطاء الأولوية للحوكمة منذ المراحل الأولى لتأسيس الشركات الناشئة يمثل عاملًا مهمًا في دعم قدرتها على النمو والاستدامة. ومن هذا المنطلق، فإن الحوكمة لا تقتصر على ضبط الأداء الداخلي أو إدارة المخاطر فحسب، بل تمثل ضرورة استراتيجية تسهم في تعزيز ثقة المستثمرين والعملاء، وتوفير بيئة مؤسسية قائمة على الشفافية والمشاركة والتوجيه السليم للموارد</w:t>
      </w:r>
      <w:r w:rsidRPr="00545ABB">
        <w:rPr>
          <w:rFonts w:ascii="Traditional Arabic" w:eastAsia="Times New Roman" w:hAnsi="Traditional Arabic" w:cs="Traditional Arabic"/>
          <w:b/>
          <w:bCs/>
          <w:color w:val="000000" w:themeColor="text1"/>
          <w:sz w:val="24"/>
          <w:szCs w:val="24"/>
        </w:rPr>
        <w:t>.</w:t>
      </w:r>
    </w:p>
    <w:p w14:paraId="4BCC9CE2"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كما تسهم الحوكمة الفعالة في دعم قدرة الشركات الناشئة على الانتقال من مرحلة التأسيس والنمو الأولي إلى مرحلة الاستدامة المؤسسية والتوسع المنظم، من خلال إيجاد توازن بين متطلبات الابتكار وسرعة اتخاذ القرار من جهة، ومتطلبات الرقابة والامتثال وإدارة المخاطر من جهة أخرى. </w:t>
      </w:r>
      <w:r w:rsidRPr="00545ABB">
        <w:rPr>
          <w:rFonts w:ascii="Traditional Arabic" w:eastAsia="Times New Roman" w:hAnsi="Traditional Arabic" w:cs="Traditional Arabic"/>
          <w:b/>
          <w:bCs/>
          <w:color w:val="000000" w:themeColor="text1"/>
          <w:sz w:val="24"/>
          <w:szCs w:val="24"/>
          <w:rtl/>
        </w:rPr>
        <w:lastRenderedPageBreak/>
        <w:t>ويكتسب هذا الأمر أهمية أكبر في قطاع الأمن السيبراني، الذي يتسم بسرعة تغير التهديدات والتقنيات، وارتفاع مستوى الحساسية المرتبطة بطبيعة البيانات والأنظمة التي تتعامل معها الشركات العاملة فيه</w:t>
      </w:r>
      <w:r w:rsidRPr="00545ABB">
        <w:rPr>
          <w:rFonts w:ascii="Traditional Arabic" w:eastAsia="Times New Roman" w:hAnsi="Traditional Arabic" w:cs="Traditional Arabic"/>
          <w:b/>
          <w:bCs/>
          <w:color w:val="000000" w:themeColor="text1"/>
          <w:sz w:val="24"/>
          <w:szCs w:val="24"/>
        </w:rPr>
        <w:t>.</w:t>
      </w:r>
    </w:p>
    <w:p w14:paraId="03AB62E5"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وعليه، فإن تطبيق الحوكمة الفعالة في شركات الأمن السيبراني الناشئة لا يمثل مجرد ممارسة إدارية، بل يشكل أحد المداخل الأساسية لتعزيز الاستدامة المؤسسية، وتحسين جودة القرارات، ورفع كفاءة الأداء، وبناء الثقة مع المستثمرين والعملاء وأصحاب المصلحة، بما يدعم قدرة هذه الشركات على النمو والاستمرار والمنافسة في بيئة رقمية متسارعة التغير</w:t>
      </w:r>
      <w:r w:rsidRPr="00545ABB">
        <w:rPr>
          <w:rFonts w:ascii="Traditional Arabic" w:eastAsia="Times New Roman" w:hAnsi="Traditional Arabic" w:cs="Traditional Arabic"/>
          <w:b/>
          <w:bCs/>
          <w:color w:val="000000" w:themeColor="text1"/>
          <w:sz w:val="24"/>
          <w:szCs w:val="24"/>
        </w:rPr>
        <w:t>.</w:t>
      </w:r>
    </w:p>
    <w:p w14:paraId="60FDA808"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وانطلاقًا من ذلك، يستعرض هذا الفصل الجوانب النظرية المرتبطة بالحوكمة الفعالة، ويحلل أهميتها ومبادئها ومكوناتها، ودورها في دعم استدامة ونجاح الشركات الناشئة، مع التركيز على شركات الأمن السيبراني في المملكة العربية السعودية، وربط ذلك بالتحديات والفرص التي تفرضها البيئة الرقمية والتنظيمية والاقتصادية في المملكة</w:t>
      </w:r>
      <w:r w:rsidRPr="00545ABB">
        <w:rPr>
          <w:rFonts w:ascii="Traditional Arabic" w:eastAsia="Times New Roman" w:hAnsi="Traditional Arabic" w:cs="Traditional Arabic"/>
          <w:b/>
          <w:bCs/>
          <w:color w:val="000000" w:themeColor="text1"/>
          <w:sz w:val="24"/>
          <w:szCs w:val="24"/>
        </w:rPr>
        <w:t>.</w:t>
      </w:r>
    </w:p>
    <w:p w14:paraId="2333D0FD" w14:textId="77777777" w:rsidR="00537536" w:rsidRPr="00545ABB" w:rsidRDefault="00537536" w:rsidP="001D70B8">
      <w:pPr>
        <w:pStyle w:val="a"/>
        <w:rPr>
          <w:rFonts w:ascii="Traditional Arabic" w:hAnsi="Traditional Arabic" w:cs="Traditional Arabic"/>
          <w:rtl/>
        </w:rPr>
      </w:pPr>
    </w:p>
    <w:p w14:paraId="01AADCD1" w14:textId="19F69160" w:rsidR="00FE45D5" w:rsidRPr="00545ABB" w:rsidRDefault="00FE45D5" w:rsidP="001D70B8">
      <w:pPr>
        <w:pStyle w:val="a"/>
        <w:rPr>
          <w:rFonts w:ascii="Traditional Arabic" w:hAnsi="Traditional Arabic" w:cs="Traditional Arabic"/>
          <w:b w:val="0"/>
          <w:bCs/>
        </w:rPr>
      </w:pPr>
      <w:bookmarkStart w:id="33" w:name="_Toc242325194"/>
      <w:r w:rsidRPr="00545ABB">
        <w:rPr>
          <w:rFonts w:ascii="Traditional Arabic" w:hAnsi="Traditional Arabic" w:cs="Traditional Arabic"/>
          <w:b w:val="0"/>
          <w:bCs/>
          <w:rtl/>
        </w:rPr>
        <w:t>مدخل إلى الحوكمة</w:t>
      </w:r>
      <w:bookmarkEnd w:id="33"/>
    </w:p>
    <w:p w14:paraId="6176FD10" w14:textId="21E2C75D"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برز مفهوم الحوكمة للتعبير عن طبيعة العلاقة المعقدة بين بناء الدولة وأنظمة الحكم من ناحية، والقطاع الخاص من ناحية أخرى، ومؤسسات المجتمع المدني من ناحية ثالثة، حيث إن العلاقة بين الدولة والمجتمع لا تسير في اتجاه واحد، وإنما تتخللها علاقات متداخلة ومتشابكة بين عناصر الدولة وفئات المجتمع. ومن ثم، فإن تطبيق مفهوم الحوكمة يقدم صورة أكثر واقعية وعملية للحياة الاقتصادية والسياسية والاجتماعية، من خلال تنظيم الأدوار والمسؤوليات وتحديد آليات التفاعل بين الأطراف المختلفة بما يعزز الكفاءة والمساءلة والشفافية (الزغبي، 2007، ص</w:t>
      </w:r>
      <w:r w:rsidRPr="00545ABB">
        <w:rPr>
          <w:rFonts w:ascii="Traditional Arabic" w:eastAsia="Times New Roman" w:hAnsi="Traditional Arabic" w:cs="Traditional Arabic"/>
          <w:b/>
          <w:bCs/>
          <w:color w:val="000000" w:themeColor="text1"/>
          <w:sz w:val="24"/>
          <w:szCs w:val="24"/>
        </w:rPr>
        <w:t>. 35</w:t>
      </w:r>
      <w:r w:rsidRPr="00545ABB">
        <w:rPr>
          <w:rFonts w:ascii="Traditional Arabic" w:eastAsia="Times New Roman" w:hAnsi="Traditional Arabic" w:cs="Traditional Arabic" w:hint="cs"/>
          <w:b/>
          <w:bCs/>
          <w:color w:val="000000" w:themeColor="text1"/>
          <w:sz w:val="24"/>
          <w:szCs w:val="24"/>
          <w:rtl/>
        </w:rPr>
        <w:t>)</w:t>
      </w:r>
      <w:r w:rsidRPr="00545ABB">
        <w:rPr>
          <w:rFonts w:ascii="Traditional Arabic" w:eastAsia="Times New Roman" w:hAnsi="Traditional Arabic" w:cs="Traditional Arabic"/>
          <w:b/>
          <w:bCs/>
          <w:color w:val="000000" w:themeColor="text1"/>
          <w:sz w:val="24"/>
          <w:szCs w:val="24"/>
        </w:rPr>
        <w:t>.</w:t>
      </w:r>
    </w:p>
    <w:p w14:paraId="2CD745CD"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وعلى الرغم من أن ممارسات الحوكمة في جوهرها قديمة قدم المجتمعات البشرية، فإن صياغة المفهوم في إطاره الحديث تعد حديثة نسبيًا. وقد ارتبط ظهوره وتطوره بعدد من التحولات السياسية والاقتصادية والأيديولوجية التي شهدها العالم، خاصة مع تغير موازين القوى الدولية بعد انتهاء الحرب الباردة وانهيار الاتحاد السوفيتي، إضافة إلى التغير في دور الدولة، ولا سيما في الدول النامية، بعد تبني سياسات الانفتاح الاقتصادي وتحرير الأسواق والتجارة وظهور ما يعرف بالعولمة الاقتصادية </w:t>
      </w:r>
      <w:r w:rsidRPr="00545ABB">
        <w:rPr>
          <w:rFonts w:ascii="Traditional Arabic" w:eastAsia="Times New Roman" w:hAnsi="Traditional Arabic" w:cs="Traditional Arabic"/>
          <w:b/>
          <w:bCs/>
          <w:color w:val="000000" w:themeColor="text1"/>
          <w:sz w:val="24"/>
          <w:szCs w:val="24"/>
        </w:rPr>
        <w:t>(Suchitra Tabndhu &amp; Punyara, 2004, p. 22).</w:t>
      </w:r>
    </w:p>
    <w:p w14:paraId="599D8E08"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ومع اتساع نطاق هذه التحولات، بدأت الحوكمة تتجاوز الإطار المرتبط بإدارة الدولة والعلاقات العامة لتشمل المؤسسات الاقتصادية والشركات، وذلك نتيجة الحاجة إلى تنظيم العلاقة بين الملاك والإدارات التنفيذية وأصحاب المصلحة، ووضع آليات تضمن الرقابة والمساءلة وحسن استخدام </w:t>
      </w:r>
      <w:r w:rsidRPr="00545ABB">
        <w:rPr>
          <w:rFonts w:ascii="Traditional Arabic" w:eastAsia="Times New Roman" w:hAnsi="Traditional Arabic" w:cs="Traditional Arabic"/>
          <w:b/>
          <w:bCs/>
          <w:color w:val="000000" w:themeColor="text1"/>
          <w:sz w:val="24"/>
          <w:szCs w:val="24"/>
          <w:rtl/>
        </w:rPr>
        <w:lastRenderedPageBreak/>
        <w:t>الموارد. ومن هنا برز مفهوم حوكمة الشركات بوصفه امتدادًا تطبيقيًا لمبادئ الحوكمة العامة، مع تركيز أكبر على تنظيم القرارات الإدارية والمالية، وتحديد المسؤوليات والصلاحيات، والحد من تعارض المصالح، وتعزيز الإفصاح والشفافية</w:t>
      </w:r>
      <w:r w:rsidRPr="00545ABB">
        <w:rPr>
          <w:rFonts w:ascii="Traditional Arabic" w:eastAsia="Times New Roman" w:hAnsi="Traditional Arabic" w:cs="Traditional Arabic"/>
          <w:b/>
          <w:bCs/>
          <w:color w:val="000000" w:themeColor="text1"/>
          <w:sz w:val="24"/>
          <w:szCs w:val="24"/>
        </w:rPr>
        <w:t>.</w:t>
      </w:r>
    </w:p>
    <w:p w14:paraId="0C5EAA77"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وقد ساهمت التحولات الاقتصادية المتسارعة، وتزايد حجم الشركات وتعقد هياكلها، وظهور أزمات مالية وإدارية في عدد من المؤسسات، في تعزيز الاهتمام العالمي بحوكمة الشركات باعتبارها وسيلة للحد من المخاطر الإدارية والمالية وتعزيز الثقة في بيئة الأعمال. ومع مرور الوقت، تطور مفهوم الحوكمة ليصبح جزءًا أساسيًا من الفكر الإداري الحديث، ولم يعد مقتصرًا على المؤسسات الكبرى، بل امتد ليشمل الشركات المتوسطة والصغيرة والناشئة، خاصة تلك التي تعمل في قطاعات تعتمد على الابتكار والتقنية وتواجه مستويات مرتفعة من المخاطر والتغير</w:t>
      </w:r>
      <w:r w:rsidRPr="00545ABB">
        <w:rPr>
          <w:rFonts w:ascii="Traditional Arabic" w:eastAsia="Times New Roman" w:hAnsi="Traditional Arabic" w:cs="Traditional Arabic"/>
          <w:b/>
          <w:bCs/>
          <w:color w:val="000000" w:themeColor="text1"/>
          <w:sz w:val="24"/>
          <w:szCs w:val="24"/>
        </w:rPr>
        <w:t>.</w:t>
      </w:r>
    </w:p>
    <w:p w14:paraId="26BE5DBD"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وتبرز أهمية هذا التطور في سياق الشركات الناشئة؛ إذ تتسم هذه الشركات بطبيعة تنظيمية مرنة وسريعة النمو، وغالبًا ما تتركز فيها عملية اتخاذ القرار في عدد محدود من المؤسسين أو المديرين. ومن ثم، فإن تطبيق مبادئ الحوكمة في مراحل مبكرة من عمر الشركة يسهم في تنظيم العلاقة بين الأطراف ذات المصلحة، وتحديد المسؤوليات، وتعزيز الثقة لدى المستثمرين والعملاء، وتهيئة الشركة للانتقال من مرحلة التأسيس إلى مرحلة النمو والاستدامة</w:t>
      </w:r>
      <w:r w:rsidRPr="00545ABB">
        <w:rPr>
          <w:rFonts w:ascii="Traditional Arabic" w:eastAsia="Times New Roman" w:hAnsi="Traditional Arabic" w:cs="Traditional Arabic"/>
          <w:b/>
          <w:bCs/>
          <w:color w:val="000000" w:themeColor="text1"/>
          <w:sz w:val="24"/>
          <w:szCs w:val="24"/>
        </w:rPr>
        <w:t>.</w:t>
      </w:r>
    </w:p>
    <w:p w14:paraId="701EF293" w14:textId="77777777" w:rsidR="00537536" w:rsidRPr="00545ABB" w:rsidRDefault="00537536" w:rsidP="00537536">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وبهذا التطور، أصبحت الحوكمة إطارًا إداريًا وتنظيميًا متكاملًا يهدف إلى تحقيق التوازن بين الكفاءة والرقابة، وبين المرونة والمساءلة، وهو ما يفسر اتساع نطاق تطبيقها في قطاعات حديثة ومتخصصة، من بينها قطاع الأمن السيبراني، الذي يتطلب درجة عالية من الانضباط المؤسسي والشفافية وإدارة المخاطر</w:t>
      </w:r>
      <w:r w:rsidRPr="00545ABB">
        <w:rPr>
          <w:rFonts w:ascii="Traditional Arabic" w:eastAsia="Times New Roman" w:hAnsi="Traditional Arabic" w:cs="Traditional Arabic"/>
          <w:b/>
          <w:bCs/>
          <w:color w:val="000000" w:themeColor="text1"/>
          <w:sz w:val="24"/>
          <w:szCs w:val="24"/>
        </w:rPr>
        <w:t>.</w:t>
      </w:r>
    </w:p>
    <w:p w14:paraId="0776B68D" w14:textId="77777777" w:rsidR="00537536" w:rsidRPr="00545ABB" w:rsidRDefault="00537536" w:rsidP="00537536">
      <w:pPr>
        <w:pStyle w:val="Heading3"/>
        <w:bidi/>
        <w:rPr>
          <w:rFonts w:ascii="Traditional Arabic" w:hAnsi="Traditional Arabic" w:cs="Traditional Arabic"/>
          <w:b/>
          <w:bCs/>
          <w:color w:val="000000" w:themeColor="text1"/>
          <w:sz w:val="32"/>
          <w:szCs w:val="32"/>
        </w:rPr>
      </w:pPr>
      <w:bookmarkStart w:id="34" w:name="_Toc242325195"/>
      <w:r w:rsidRPr="00545ABB">
        <w:rPr>
          <w:rFonts w:ascii="Traditional Arabic" w:hAnsi="Traditional Arabic" w:cs="Traditional Arabic"/>
          <w:b/>
          <w:bCs/>
          <w:color w:val="000000" w:themeColor="text1"/>
          <w:sz w:val="32"/>
          <w:szCs w:val="32"/>
          <w:rtl/>
        </w:rPr>
        <w:t>ومن هنا يمكن تقسيم دوافع ظهور الحوكمة الرشيدة إلى ما يلي</w:t>
      </w:r>
      <w:r w:rsidRPr="00545ABB">
        <w:rPr>
          <w:rFonts w:ascii="Traditional Arabic" w:hAnsi="Traditional Arabic" w:cs="Traditional Arabic"/>
          <w:b/>
          <w:bCs/>
          <w:color w:val="000000" w:themeColor="text1"/>
          <w:sz w:val="32"/>
          <w:szCs w:val="32"/>
        </w:rPr>
        <w:t>:</w:t>
      </w:r>
      <w:bookmarkEnd w:id="34"/>
    </w:p>
    <w:p w14:paraId="7045E549" w14:textId="39174125" w:rsidR="00537536" w:rsidRPr="00545ABB" w:rsidRDefault="006C3FFF" w:rsidP="006C3FFF">
      <w:pPr>
        <w:pStyle w:val="NormalWeb"/>
        <w:bidi/>
        <w:spacing w:line="360" w:lineRule="auto"/>
        <w:rPr>
          <w:rFonts w:ascii="Traditional Arabic" w:hAnsi="Traditional Arabic" w:cs="Traditional Arabic"/>
          <w:b/>
          <w:bCs/>
          <w:color w:val="000000" w:themeColor="text1"/>
          <w:sz w:val="28"/>
          <w:szCs w:val="28"/>
        </w:rPr>
      </w:pPr>
      <w:r w:rsidRPr="00545ABB">
        <w:rPr>
          <w:rStyle w:val="Strong"/>
          <w:rFonts w:ascii="Traditional Arabic" w:hAnsi="Traditional Arabic" w:cs="Traditional Arabic" w:hint="cs"/>
          <w:color w:val="000000" w:themeColor="text1"/>
          <w:sz w:val="28"/>
          <w:szCs w:val="28"/>
          <w:rtl/>
        </w:rPr>
        <w:t>1-</w:t>
      </w:r>
      <w:r w:rsidR="00537536" w:rsidRPr="00545ABB">
        <w:rPr>
          <w:rStyle w:val="Strong"/>
          <w:rFonts w:ascii="Traditional Arabic" w:hAnsi="Traditional Arabic" w:cs="Traditional Arabic"/>
          <w:color w:val="000000" w:themeColor="text1"/>
          <w:sz w:val="28"/>
          <w:szCs w:val="28"/>
        </w:rPr>
        <w:t xml:space="preserve"> </w:t>
      </w:r>
      <w:r w:rsidR="00537536" w:rsidRPr="00545ABB">
        <w:rPr>
          <w:rStyle w:val="Strong"/>
          <w:rFonts w:ascii="Traditional Arabic" w:hAnsi="Traditional Arabic" w:cs="Traditional Arabic"/>
          <w:color w:val="000000" w:themeColor="text1"/>
          <w:sz w:val="28"/>
          <w:szCs w:val="28"/>
          <w:rtl/>
        </w:rPr>
        <w:t>الدوافع السياسية</w:t>
      </w:r>
      <w:r w:rsidR="00537536" w:rsidRPr="00545ABB">
        <w:rPr>
          <w:rStyle w:val="Strong"/>
          <w:rFonts w:ascii="Traditional Arabic" w:hAnsi="Traditional Arabic" w:cs="Traditional Arabic"/>
          <w:color w:val="000000" w:themeColor="text1"/>
          <w:sz w:val="28"/>
          <w:szCs w:val="28"/>
        </w:rPr>
        <w:t>:</w:t>
      </w:r>
    </w:p>
    <w:p w14:paraId="447A05D9"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مع انتهاء الحرب الباردة، تزايد الاهتمام الدولي بقضايا مكافحة الفساد وتعزيز الشفافية والمساءلة، وأصبحت هذه القضايا تحظى باهتمام متنامٍ لدى الدول المانحة والدول المتلقية للمساعدات، خاصة مع تراجع الحدود التقليدية الفاصلة بين الشؤون الداخلية والخارجية للدول. كما أسهم انهيار الاتحاد السوفيتي وتبني العديد من دول المعسكر الشرقي توجهات اقتصادية وسياسية أكثر انفتاحًا في تعزيز انتشار مفاهيم الحوكمة، بالتزامن مع تنامي موجة العولمة وانتشار القيم المرتبطة بالمشاركة والشفافية والمساءلة عبر الحدود، ولا سيما مع التطور المتسارع في تقنيات المعلومات والاتصالات والخدمات الإلكترونية</w:t>
      </w:r>
      <w:r w:rsidRPr="00545ABB">
        <w:rPr>
          <w:rFonts w:ascii="Traditional Arabic" w:hAnsi="Traditional Arabic" w:cs="Traditional Arabic"/>
          <w:b/>
          <w:bCs/>
          <w:color w:val="000000" w:themeColor="text1"/>
        </w:rPr>
        <w:t>.</w:t>
      </w:r>
    </w:p>
    <w:p w14:paraId="183F3811"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وقد أدى هذا التحول إلى تنامي الاقتناع على المستوى الدولي بأن الفساد وضعف الإدارة لا يمثلان مشكلة داخلية فحسب، وإنما قد يمتد تأثيرهما إلى الاستقرار الاقتصادي والسياسي والاجتماعي، كما قد يؤثران في العلاقات الاقتصادية والاستثمارية بين الدول. كذلك أسهم عدم الاستقرار السياسي في عدد من الدول النامية، وانتشار الصراعات والأزمات، في تعزيز البحث عن آليات إدارية ومؤسسية جديدة قادرة على دعم الاستقرار، وتحسين كفاءة الإدارة، وتعزيز المساءلة والشفافية </w:t>
      </w:r>
      <w:r w:rsidRPr="00545ABB">
        <w:rPr>
          <w:rFonts w:ascii="Traditional Arabic" w:hAnsi="Traditional Arabic" w:cs="Traditional Arabic"/>
          <w:b/>
          <w:bCs/>
          <w:color w:val="000000" w:themeColor="text1"/>
        </w:rPr>
        <w:t>(Asian Development Bank, 2010, p. 31).</w:t>
      </w:r>
    </w:p>
    <w:p w14:paraId="4C569CAC" w14:textId="2E6F78A1" w:rsidR="00537536" w:rsidRPr="00545ABB" w:rsidRDefault="006C3FFF" w:rsidP="006C3FFF">
      <w:pPr>
        <w:pStyle w:val="NormalWeb"/>
        <w:bidi/>
        <w:spacing w:line="360" w:lineRule="auto"/>
        <w:rPr>
          <w:rFonts w:ascii="Traditional Arabic" w:hAnsi="Traditional Arabic" w:cs="Traditional Arabic"/>
          <w:b/>
          <w:bCs/>
          <w:color w:val="000000" w:themeColor="text1"/>
          <w:sz w:val="28"/>
          <w:szCs w:val="28"/>
        </w:rPr>
      </w:pPr>
      <w:r w:rsidRPr="00545ABB">
        <w:rPr>
          <w:rStyle w:val="Strong"/>
          <w:rFonts w:ascii="Traditional Arabic" w:hAnsi="Traditional Arabic" w:cs="Traditional Arabic" w:hint="cs"/>
          <w:color w:val="000000" w:themeColor="text1"/>
          <w:sz w:val="28"/>
          <w:szCs w:val="28"/>
          <w:rtl/>
        </w:rPr>
        <w:t xml:space="preserve">2- </w:t>
      </w:r>
      <w:r w:rsidR="00537536" w:rsidRPr="00545ABB">
        <w:rPr>
          <w:rStyle w:val="Strong"/>
          <w:rFonts w:ascii="Traditional Arabic" w:hAnsi="Traditional Arabic" w:cs="Traditional Arabic"/>
          <w:color w:val="000000" w:themeColor="text1"/>
          <w:sz w:val="28"/>
          <w:szCs w:val="28"/>
          <w:rtl/>
        </w:rPr>
        <w:t>الدوافع الإدارية</w:t>
      </w:r>
      <w:r w:rsidR="00537536" w:rsidRPr="00545ABB">
        <w:rPr>
          <w:rStyle w:val="Strong"/>
          <w:rFonts w:ascii="Traditional Arabic" w:hAnsi="Traditional Arabic" w:cs="Traditional Arabic"/>
          <w:color w:val="000000" w:themeColor="text1"/>
          <w:sz w:val="28"/>
          <w:szCs w:val="28"/>
        </w:rPr>
        <w:t>:</w:t>
      </w:r>
    </w:p>
    <w:p w14:paraId="31C54AAD"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ترتبط الدوافع الإدارية بالتغير الذي طرأ على دور الدولة في إدارة الشأن العام؛ إذ انتقل هذا الدور تدريجيًا من كون الدولة الفاعل الرئيس في وضع السياسات العامة وتنفيذها وإدارة المشروعات وتقديم الخدمات، إلى نموذج يقوم على المشاركة مع أطراف متعددة تشمل القطاع الخاص ومؤسسات المجتمع المدني وأصحاب المصلحة الآخرين. وقد أدى هذا التحول إلى تزايد المطالب بوجود مستويات أعلى من الرقابة والشفافية والمساءلة والمشاركة في عمليات صنع القرار ووضع السياسات ومتابعة تنفيذها </w:t>
      </w:r>
      <w:r w:rsidRPr="00545ABB">
        <w:rPr>
          <w:rFonts w:ascii="Traditional Arabic" w:hAnsi="Traditional Arabic" w:cs="Traditional Arabic"/>
          <w:b/>
          <w:bCs/>
          <w:color w:val="000000" w:themeColor="text1"/>
        </w:rPr>
        <w:t>(Salah, Mohammed, 2003, p. 9).</w:t>
      </w:r>
    </w:p>
    <w:p w14:paraId="78CEA0AB"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أسهم تعقد الهياكل الإدارية وتعدد مستويات اتخاذ القرار واتساع نطاق المؤسسات في زيادة الحاجة إلى وجود أطر واضحة تنظم الصلاحيات والمسؤوليات وتحدد آليات الرقابة والمساءلة، بما يحد من إساءة استخدام السلطة ويرفع كفاءة الأداء المؤسسي. ومن هذا المنطلق، أصبحت الحوكمة أداة تنظيمية لا تقتصر على الرقابة فقط، بل تمتد إلى تحسين عملية اتخاذ القرار، ورفع كفاءة استخدام الموارد، وتعزيز التنسيق بين الأطراف المختلفة</w:t>
      </w:r>
      <w:r w:rsidRPr="00545ABB">
        <w:rPr>
          <w:rFonts w:ascii="Traditional Arabic" w:hAnsi="Traditional Arabic" w:cs="Traditional Arabic"/>
          <w:b/>
          <w:bCs/>
          <w:color w:val="000000" w:themeColor="text1"/>
        </w:rPr>
        <w:t>.</w:t>
      </w:r>
    </w:p>
    <w:p w14:paraId="29F6A773"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ويرى الباحث</w:t>
      </w:r>
      <w:r w:rsidRPr="00545ABB">
        <w:rPr>
          <w:rFonts w:ascii="Traditional Arabic" w:hAnsi="Traditional Arabic" w:cs="Traditional Arabic"/>
          <w:b/>
          <w:bCs/>
          <w:color w:val="000000" w:themeColor="text1"/>
          <w:rtl/>
        </w:rPr>
        <w:t xml:space="preserve"> أن هناك دوافع أخرى ذات أهمية كبيرة أسهمت في ظهور مفهوم الحوكمة الرشيدة، وفي مقدمتها الدوافع الاجتماعية والاقتصادية. فقد أسهم ضعف مستويات التنمية البشرية، وارتفاع معدلات الفقر والأمية والبطالة، وانتشار الأزمات الاقتصادية والاجتماعية، في إبراز الحاجة إلى أنظمة إدارية أكثر كفاءة وشفافية. كما أن ضعف مؤسسات الرقابة وارتفاع مستويات الفساد وسوء استخدام الموارد يمكن أن يؤدي إلى تفاقم المشكلات الاقتصادية والاجتماعية ويؤثر في قدرة المؤسسات والدول على تحقيق التنمية المستدامة</w:t>
      </w:r>
      <w:r w:rsidRPr="00545ABB">
        <w:rPr>
          <w:rFonts w:ascii="Traditional Arabic" w:hAnsi="Traditional Arabic" w:cs="Traditional Arabic"/>
          <w:b/>
          <w:bCs/>
          <w:color w:val="000000" w:themeColor="text1"/>
        </w:rPr>
        <w:t>.</w:t>
      </w:r>
    </w:p>
    <w:p w14:paraId="7682ACD5"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وبذلك، يمكن القول إن ظهور الحوكمة لم يكن نتيجة عامل واحد، وإنما جاء نتيجة تفاعل مجموعة من التحولات السياسية والإدارية والاقتصادية والاجتماعية، والتي أدت مجتمعة إلى الحاجة إلى أطر تنظيمية أكثر وضوحًا وقدرة على ضبط الأداء وتحقيق المساءلة والشفافية والكفاءة</w:t>
      </w:r>
      <w:r w:rsidRPr="00545ABB">
        <w:rPr>
          <w:rFonts w:ascii="Traditional Arabic" w:hAnsi="Traditional Arabic" w:cs="Traditional Arabic"/>
          <w:b/>
          <w:bCs/>
          <w:color w:val="000000" w:themeColor="text1"/>
        </w:rPr>
        <w:t>.</w:t>
      </w:r>
    </w:p>
    <w:p w14:paraId="0E2D6137" w14:textId="77777777" w:rsidR="00537536" w:rsidRPr="00545ABB" w:rsidRDefault="00537536" w:rsidP="006C3FFF">
      <w:pPr>
        <w:pStyle w:val="Heading2"/>
        <w:bidi/>
        <w:spacing w:line="360" w:lineRule="auto"/>
        <w:rPr>
          <w:rFonts w:ascii="Traditional Arabic" w:hAnsi="Traditional Arabic" w:cs="Traditional Arabic"/>
          <w:b/>
          <w:bCs/>
          <w:color w:val="000000" w:themeColor="text1"/>
          <w:sz w:val="28"/>
          <w:szCs w:val="28"/>
        </w:rPr>
      </w:pPr>
      <w:bookmarkStart w:id="35" w:name="_Toc242325196"/>
      <w:r w:rsidRPr="00545ABB">
        <w:rPr>
          <w:rFonts w:ascii="Traditional Arabic" w:hAnsi="Traditional Arabic" w:cs="Traditional Arabic"/>
          <w:b/>
          <w:bCs/>
          <w:color w:val="000000" w:themeColor="text1"/>
          <w:sz w:val="28"/>
          <w:szCs w:val="28"/>
          <w:rtl/>
        </w:rPr>
        <w:lastRenderedPageBreak/>
        <w:t>أهمية الحوكمة بالنسبة لشركات الأمن السيبراني الناشئة</w:t>
      </w:r>
      <w:bookmarkEnd w:id="35"/>
    </w:p>
    <w:p w14:paraId="7DF73BF1"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تتجلى أهمية تطبيق الحوكمة بصورة عامة في قدرتها على الارتقاء بجودة العمل المؤسسي وتعزيز مستويات النزاهة والشفافية والمساءلة، بما يدعم كفاءة الأداء ويقلل من احتمالات الانحراف الإداري وسوء استخدام الموارد. ويمكن توضيح أبرز جوانب أهمية الحوكمة كما حددتها منظمة اليونسكو وفق ما أشارت إليه المنيع والخنيزان (2017، ص. 13) فيما يلي</w:t>
      </w:r>
      <w:r w:rsidRPr="00545ABB">
        <w:rPr>
          <w:rFonts w:ascii="Traditional Arabic" w:hAnsi="Traditional Arabic" w:cs="Traditional Arabic"/>
          <w:b/>
          <w:bCs/>
          <w:color w:val="000000" w:themeColor="text1"/>
        </w:rPr>
        <w:t>:</w:t>
      </w:r>
    </w:p>
    <w:p w14:paraId="10C378E6" w14:textId="77777777" w:rsidR="00537536" w:rsidRPr="00545ABB" w:rsidRDefault="00537536" w:rsidP="00D95153">
      <w:pPr>
        <w:numPr>
          <w:ilvl w:val="0"/>
          <w:numId w:val="23"/>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الوصول إلى درجة عالية من النزاهة</w:t>
      </w:r>
      <w:r w:rsidRPr="00545ABB">
        <w:rPr>
          <w:rFonts w:ascii="Traditional Arabic" w:hAnsi="Traditional Arabic" w:cs="Traditional Arabic"/>
          <w:b/>
          <w:bCs/>
          <w:color w:val="000000" w:themeColor="text1"/>
          <w:sz w:val="24"/>
          <w:szCs w:val="24"/>
        </w:rPr>
        <w:t>.</w:t>
      </w:r>
    </w:p>
    <w:p w14:paraId="3601DC35" w14:textId="77777777" w:rsidR="00537536" w:rsidRPr="00545ABB" w:rsidRDefault="00537536" w:rsidP="00D95153">
      <w:pPr>
        <w:numPr>
          <w:ilvl w:val="0"/>
          <w:numId w:val="23"/>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التعامل بعدالة وحيادية مع مختلف الأفراد وأصحاب المصلحة</w:t>
      </w:r>
      <w:r w:rsidRPr="00545ABB">
        <w:rPr>
          <w:rFonts w:ascii="Traditional Arabic" w:hAnsi="Traditional Arabic" w:cs="Traditional Arabic"/>
          <w:b/>
          <w:bCs/>
          <w:color w:val="000000" w:themeColor="text1"/>
          <w:sz w:val="24"/>
          <w:szCs w:val="24"/>
        </w:rPr>
        <w:t>.</w:t>
      </w:r>
    </w:p>
    <w:p w14:paraId="0069B021" w14:textId="77777777" w:rsidR="00537536" w:rsidRPr="00545ABB" w:rsidRDefault="00537536" w:rsidP="00D95153">
      <w:pPr>
        <w:numPr>
          <w:ilvl w:val="0"/>
          <w:numId w:val="23"/>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الحد من ممارسات الفساد والانحرافات الداخلية</w:t>
      </w:r>
      <w:r w:rsidRPr="00545ABB">
        <w:rPr>
          <w:rFonts w:ascii="Traditional Arabic" w:hAnsi="Traditional Arabic" w:cs="Traditional Arabic"/>
          <w:b/>
          <w:bCs/>
          <w:color w:val="000000" w:themeColor="text1"/>
          <w:sz w:val="24"/>
          <w:szCs w:val="24"/>
        </w:rPr>
        <w:t>.</w:t>
      </w:r>
    </w:p>
    <w:p w14:paraId="7196916A" w14:textId="77777777" w:rsidR="00537536" w:rsidRPr="00545ABB" w:rsidRDefault="00537536" w:rsidP="00D95153">
      <w:pPr>
        <w:numPr>
          <w:ilvl w:val="0"/>
          <w:numId w:val="23"/>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تحقيق الكفاءة في الأداء والمساهمة في دعم مسارات التنمية</w:t>
      </w:r>
      <w:r w:rsidRPr="00545ABB">
        <w:rPr>
          <w:rFonts w:ascii="Traditional Arabic" w:hAnsi="Traditional Arabic" w:cs="Traditional Arabic"/>
          <w:b/>
          <w:bCs/>
          <w:color w:val="000000" w:themeColor="text1"/>
          <w:sz w:val="24"/>
          <w:szCs w:val="24"/>
        </w:rPr>
        <w:t>.</w:t>
      </w:r>
    </w:p>
    <w:p w14:paraId="38558EE3" w14:textId="77777777" w:rsidR="00537536" w:rsidRPr="00545ABB" w:rsidRDefault="00537536" w:rsidP="00D95153">
      <w:pPr>
        <w:numPr>
          <w:ilvl w:val="0"/>
          <w:numId w:val="23"/>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رفع مستوى الثقة بالمؤسسات وتقليل فرص الوقوع في الأخطاء والتقصير</w:t>
      </w:r>
      <w:r w:rsidRPr="00545ABB">
        <w:rPr>
          <w:rFonts w:ascii="Traditional Arabic" w:hAnsi="Traditional Arabic" w:cs="Traditional Arabic"/>
          <w:b/>
          <w:bCs/>
          <w:color w:val="000000" w:themeColor="text1"/>
          <w:sz w:val="24"/>
          <w:szCs w:val="24"/>
        </w:rPr>
        <w:t>.</w:t>
      </w:r>
    </w:p>
    <w:p w14:paraId="45577A99" w14:textId="77777777" w:rsidR="00537536" w:rsidRPr="00545ABB" w:rsidRDefault="00537536" w:rsidP="00D95153">
      <w:pPr>
        <w:numPr>
          <w:ilvl w:val="0"/>
          <w:numId w:val="23"/>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الإسهام في توفير فرص العمل</w:t>
      </w:r>
      <w:r w:rsidRPr="00545ABB">
        <w:rPr>
          <w:rFonts w:ascii="Traditional Arabic" w:hAnsi="Traditional Arabic" w:cs="Traditional Arabic"/>
          <w:b/>
          <w:bCs/>
          <w:color w:val="000000" w:themeColor="text1"/>
          <w:sz w:val="24"/>
          <w:szCs w:val="24"/>
        </w:rPr>
        <w:t>.</w:t>
      </w:r>
    </w:p>
    <w:p w14:paraId="48071B25" w14:textId="77777777" w:rsidR="00537536" w:rsidRPr="00545ABB" w:rsidRDefault="00537536" w:rsidP="00D95153">
      <w:pPr>
        <w:numPr>
          <w:ilvl w:val="0"/>
          <w:numId w:val="23"/>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الكشف عن التغيرات التي تطرأ على بيئة العمل والعاملين</w:t>
      </w:r>
      <w:r w:rsidRPr="00545ABB">
        <w:rPr>
          <w:rFonts w:ascii="Traditional Arabic" w:hAnsi="Traditional Arabic" w:cs="Traditional Arabic"/>
          <w:b/>
          <w:bCs/>
          <w:color w:val="000000" w:themeColor="text1"/>
          <w:sz w:val="24"/>
          <w:szCs w:val="24"/>
        </w:rPr>
        <w:t>.</w:t>
      </w:r>
    </w:p>
    <w:p w14:paraId="53A932EE"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يبرز الشريف وآخرون (2013، ص. 170) أهمية الحوكمة في عدد من الجوانب، من أبرزها</w:t>
      </w:r>
      <w:r w:rsidRPr="00545ABB">
        <w:rPr>
          <w:rFonts w:ascii="Traditional Arabic" w:hAnsi="Traditional Arabic" w:cs="Traditional Arabic"/>
          <w:b/>
          <w:bCs/>
          <w:color w:val="000000" w:themeColor="text1"/>
        </w:rPr>
        <w:t>:</w:t>
      </w:r>
    </w:p>
    <w:p w14:paraId="1D13C229" w14:textId="77777777" w:rsidR="00537536" w:rsidRPr="00545ABB" w:rsidRDefault="00537536" w:rsidP="00D95153">
      <w:pPr>
        <w:numPr>
          <w:ilvl w:val="0"/>
          <w:numId w:val="2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الإسهام في تحقيق التوازن والربط بين عمليات الإنفاق والإنتاج</w:t>
      </w:r>
      <w:r w:rsidRPr="00545ABB">
        <w:rPr>
          <w:rFonts w:ascii="Traditional Arabic" w:hAnsi="Traditional Arabic" w:cs="Traditional Arabic"/>
          <w:b/>
          <w:bCs/>
          <w:color w:val="000000" w:themeColor="text1"/>
          <w:sz w:val="24"/>
          <w:szCs w:val="24"/>
        </w:rPr>
        <w:t>.</w:t>
      </w:r>
    </w:p>
    <w:p w14:paraId="1A0C4F60" w14:textId="77777777" w:rsidR="00537536" w:rsidRPr="00545ABB" w:rsidRDefault="00537536" w:rsidP="00D95153">
      <w:pPr>
        <w:numPr>
          <w:ilvl w:val="0"/>
          <w:numId w:val="2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تعزيز التنافسية في الأداء على المستويين الداخلي والخارجي</w:t>
      </w:r>
      <w:r w:rsidRPr="00545ABB">
        <w:rPr>
          <w:rFonts w:ascii="Traditional Arabic" w:hAnsi="Traditional Arabic" w:cs="Traditional Arabic"/>
          <w:b/>
          <w:bCs/>
          <w:color w:val="000000" w:themeColor="text1"/>
          <w:sz w:val="24"/>
          <w:szCs w:val="24"/>
        </w:rPr>
        <w:t>.</w:t>
      </w:r>
    </w:p>
    <w:p w14:paraId="654DDD5B" w14:textId="77777777" w:rsidR="00537536" w:rsidRPr="00545ABB" w:rsidRDefault="00537536" w:rsidP="00D95153">
      <w:pPr>
        <w:numPr>
          <w:ilvl w:val="0"/>
          <w:numId w:val="2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حفظ حقوق ومسؤوليات العاملين وأصحاب المصلحة</w:t>
      </w:r>
      <w:r w:rsidRPr="00545ABB">
        <w:rPr>
          <w:rFonts w:ascii="Traditional Arabic" w:hAnsi="Traditional Arabic" w:cs="Traditional Arabic"/>
          <w:b/>
          <w:bCs/>
          <w:color w:val="000000" w:themeColor="text1"/>
          <w:sz w:val="24"/>
          <w:szCs w:val="24"/>
        </w:rPr>
        <w:t>.</w:t>
      </w:r>
    </w:p>
    <w:p w14:paraId="7731D0D6" w14:textId="77777777" w:rsidR="00537536" w:rsidRPr="00545ABB" w:rsidRDefault="00537536" w:rsidP="00D95153">
      <w:pPr>
        <w:numPr>
          <w:ilvl w:val="0"/>
          <w:numId w:val="2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تحسين جودة عملية صنع القرارات داخل المنظمة</w:t>
      </w:r>
      <w:r w:rsidRPr="00545ABB">
        <w:rPr>
          <w:rFonts w:ascii="Traditional Arabic" w:hAnsi="Traditional Arabic" w:cs="Traditional Arabic"/>
          <w:b/>
          <w:bCs/>
          <w:color w:val="000000" w:themeColor="text1"/>
          <w:sz w:val="24"/>
          <w:szCs w:val="24"/>
        </w:rPr>
        <w:t>.</w:t>
      </w:r>
    </w:p>
    <w:p w14:paraId="4D258758" w14:textId="77777777" w:rsidR="00537536" w:rsidRPr="00545ABB" w:rsidRDefault="00537536" w:rsidP="00D95153">
      <w:pPr>
        <w:numPr>
          <w:ilvl w:val="0"/>
          <w:numId w:val="2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تحقيق قدر من التوازن بين الأهداف الاقتصادية والاحتياجات المجتمعية</w:t>
      </w:r>
      <w:r w:rsidRPr="00545ABB">
        <w:rPr>
          <w:rFonts w:ascii="Traditional Arabic" w:hAnsi="Traditional Arabic" w:cs="Traditional Arabic"/>
          <w:b/>
          <w:bCs/>
          <w:color w:val="000000" w:themeColor="text1"/>
          <w:sz w:val="24"/>
          <w:szCs w:val="24"/>
        </w:rPr>
        <w:t>.</w:t>
      </w:r>
    </w:p>
    <w:p w14:paraId="33C6207F"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وبناءً على هذه الآثار الإيجابية، تتضح أهمية تفعيل الحوكمة في مختلف مؤسسات الأعمال، باعتبارها إطارًا تنظيميًا يساعد على رفع كفاءة الأداء، وتعزيز الاستمرارية، وتقليل المخاطر المرتبطة بالفساد وسوء الإدارة وضعف الرقابة</w:t>
      </w:r>
      <w:r w:rsidRPr="00545ABB">
        <w:rPr>
          <w:rFonts w:ascii="Traditional Arabic" w:hAnsi="Traditional Arabic" w:cs="Traditional Arabic"/>
          <w:b/>
          <w:bCs/>
          <w:color w:val="000000" w:themeColor="text1"/>
        </w:rPr>
        <w:t>.</w:t>
      </w:r>
    </w:p>
    <w:p w14:paraId="52D986B2"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وتزداد أهمية الحوكمة بصورة خاصة في الشركات الناشئة، نظرًا لطبيعة هذه الشركات التي تتسم بسرعة النمو والتغير، والاعتماد الكبير على المؤسسين، والحاجة المستمرة إلى التمويل والاستثمار، إلى جانب محدودية الموارد في مراحلها الأولى. وفي مثل هذه البيئة، تصبح الحوكمة عاملًا مهمًا لتحقيق التوازن بين المرونة التي تحتاجها الشركة للنمو السريع وبين ضرورة وجود الرقابة والتنظيم والمساءلة</w:t>
      </w:r>
      <w:r w:rsidRPr="00545ABB">
        <w:rPr>
          <w:rFonts w:ascii="Traditional Arabic" w:hAnsi="Traditional Arabic" w:cs="Traditional Arabic"/>
          <w:b/>
          <w:bCs/>
          <w:color w:val="000000" w:themeColor="text1"/>
        </w:rPr>
        <w:t>.</w:t>
      </w:r>
    </w:p>
    <w:p w14:paraId="7E113D57"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تتضاعف هذه الأهمية في شركات الأمن السيبراني الناشئة، نظرًا لحساسية طبيعة النشاط الذي تمارسه هذه الشركات، وارتباط خدماتها بحماية البيانات والأنظمة والمعلومات، والتعامل مع مخاطر تقنية وتنظيمية متغيرة. ومن ثم، فإن ضعف الحوكمة في هذه الشركات قد لا ينعكس فقط على أدائها الإداري، بل قد يمتد أثره إلى مستوى الثقة لدى العملاء والمستثمرين، وقدرتها على إدارة المخاطر والالتزام بالمتطلبات التنظيمية والتوسع بصورة مستقرة</w:t>
      </w:r>
      <w:r w:rsidRPr="00545ABB">
        <w:rPr>
          <w:rFonts w:ascii="Traditional Arabic" w:hAnsi="Traditional Arabic" w:cs="Traditional Arabic"/>
          <w:b/>
          <w:bCs/>
          <w:color w:val="000000" w:themeColor="text1"/>
        </w:rPr>
        <w:t>.</w:t>
      </w:r>
    </w:p>
    <w:p w14:paraId="766B3B46"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ويرى الباحث أن أهمية الحوكمة بالنسبة لشركات الأمن السيبراني الناشئة تتمثل في عدد من الجوانب، من أبرزها ما يلي</w:t>
      </w:r>
      <w:r w:rsidRPr="00545ABB">
        <w:rPr>
          <w:rStyle w:val="Strong"/>
          <w:rFonts w:ascii="Traditional Arabic" w:hAnsi="Traditional Arabic" w:cs="Traditional Arabic"/>
          <w:color w:val="000000" w:themeColor="text1"/>
        </w:rPr>
        <w:t>:</w:t>
      </w:r>
    </w:p>
    <w:p w14:paraId="0ACDD243"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مواكبة سرعة النمو</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تتميز الشركات الناشئة بسرعة النمو والتوسع، ولذلك يصبح من الضروري وجود ضوابط وإجراءات حوكمة تتطور بالتوازي مع هذا النمو، بما يقلل من احتمالات ظهور فجوات تنظيمية أو إدارية قد تؤثر في استقرار الشركة لاحقًا</w:t>
      </w:r>
      <w:r w:rsidRPr="00545ABB">
        <w:rPr>
          <w:rFonts w:ascii="Traditional Arabic" w:hAnsi="Traditional Arabic" w:cs="Traditional Arabic"/>
          <w:b/>
          <w:bCs/>
          <w:color w:val="000000" w:themeColor="text1"/>
        </w:rPr>
        <w:t>.</w:t>
      </w:r>
    </w:p>
    <w:p w14:paraId="15080220"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تعزيز القدرة على جذب الاستثمار</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تعد الحاجة إلى التمويل الإضافي من المتطلبات الأساسية لنمو الشركات الناشئة وتوسعها، مما يجعل جذب المستثمرين أحد العوامل المهمة لاستمرارها. ويسهم تطبيق ممارسات الحوكمة الفعالة في تعزيز الثقة لدى المستثمرين من خلال رفع مستويات الشفافية وتوضيح المسؤوليات وآليات اتخاذ القرار</w:t>
      </w:r>
      <w:r w:rsidRPr="00545ABB">
        <w:rPr>
          <w:rFonts w:ascii="Traditional Arabic" w:hAnsi="Traditional Arabic" w:cs="Traditional Arabic"/>
          <w:b/>
          <w:bCs/>
          <w:color w:val="000000" w:themeColor="text1"/>
        </w:rPr>
        <w:t>.</w:t>
      </w:r>
    </w:p>
    <w:p w14:paraId="6F46386C"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مواءمة الحوكمة مع مراحل دورة حياة الشركة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ينبغي أن تتطور ممارسات الحوكمة بما يتوافق مع مراحل نمو الشركة الناشئة، بحيث تختلف احتياجات الشركة في مرحلة التأسيس عن احتياجاتها في مراحل النمو والتوسع، مع مراعاة اختلاف توقعات المستثمرين وأصحاب المصلحة في كل مرحلة</w:t>
      </w:r>
      <w:r w:rsidRPr="00545ABB">
        <w:rPr>
          <w:rFonts w:ascii="Traditional Arabic" w:hAnsi="Traditional Arabic" w:cs="Traditional Arabic"/>
          <w:b/>
          <w:bCs/>
          <w:color w:val="000000" w:themeColor="text1"/>
        </w:rPr>
        <w:t>.</w:t>
      </w:r>
    </w:p>
    <w:p w14:paraId="73EF8D47"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إدارة توقعات المستثمرين وأصحاب المصلحة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تواجه الشركات الناشئة، خاصة في مراحلها الأولى، تحديات تتعلق بمواءمة تطلعات المؤسسين مع توقعات المستثمرين والعملاء، وهو ما يتطلب وجود إطار حوكمة يحدد الصلاحيات والمسؤوليات ويساعد على توجيه القرارات الاستراتيجية بصورة أكثر وضوحًا</w:t>
      </w:r>
      <w:r w:rsidRPr="00545ABB">
        <w:rPr>
          <w:rFonts w:ascii="Traditional Arabic" w:hAnsi="Traditional Arabic" w:cs="Traditional Arabic"/>
          <w:b/>
          <w:bCs/>
          <w:color w:val="000000" w:themeColor="text1"/>
        </w:rPr>
        <w:t>.</w:t>
      </w:r>
    </w:p>
    <w:p w14:paraId="480BDB59"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lastRenderedPageBreak/>
        <w:t>رفع كفاءة الهياكل الإدارية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يسهم التطبيق التدريجي والمناسب للحوكمة في تجنب إنشاء هياكل إدارية أو مجالس إدارة غير فعالة أو مرتفعة التكلفة، ويساعد على تصميم هيكل تنظيمي يتناسب مع حجم الشركة واحتياجاتها ومرحلة نموها</w:t>
      </w:r>
      <w:r w:rsidRPr="00545ABB">
        <w:rPr>
          <w:rFonts w:ascii="Traditional Arabic" w:hAnsi="Traditional Arabic" w:cs="Traditional Arabic"/>
          <w:b/>
          <w:bCs/>
          <w:color w:val="000000" w:themeColor="text1"/>
        </w:rPr>
        <w:t>.</w:t>
      </w:r>
    </w:p>
    <w:p w14:paraId="09EAB73B"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تعزيز الشفافية والإفصاح</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تؤدي الحوكمة دورًا مهمًا في رفع مستوى الشفافية والإفصاح داخل الشركات الناشئة، خصوصًا في الحالات التي يتمتع فيها المؤسسون بدرجة عالية من التأثير في عمليات اتخاذ القرار</w:t>
      </w:r>
      <w:r w:rsidRPr="00545ABB">
        <w:rPr>
          <w:rFonts w:ascii="Traditional Arabic" w:hAnsi="Traditional Arabic" w:cs="Traditional Arabic"/>
          <w:b/>
          <w:bCs/>
          <w:color w:val="000000" w:themeColor="text1"/>
        </w:rPr>
        <w:t>.</w:t>
      </w:r>
    </w:p>
    <w:p w14:paraId="0C841A5E"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ترسيخ الممارسات الإدارية السليمة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تساعد الحوكمة على بناء ثقافة مؤسسية تقوم على الممارسات الإدارية والتنظيمية السليمة، حتى عندما يتم تطبيق آليات الحوكمة بصورة تدريجية تتناسب مع طبيعة الشركة ومواردها</w:t>
      </w:r>
      <w:r w:rsidRPr="00545ABB">
        <w:rPr>
          <w:rFonts w:ascii="Traditional Arabic" w:hAnsi="Traditional Arabic" w:cs="Traditional Arabic"/>
          <w:b/>
          <w:bCs/>
          <w:color w:val="000000" w:themeColor="text1"/>
        </w:rPr>
        <w:t>.</w:t>
      </w:r>
    </w:p>
    <w:p w14:paraId="42F44A03"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تحسين جودة اتخاذ القرار</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تسهم الحوكمة الفعالة في وضع أطر أكثر وضوحًا للمساءلة والرقابة وتوزيع المسؤوليات، الأمر الذي يدعم جودة القرارات ويحد من القرارات الفردية غير المدروسة</w:t>
      </w:r>
      <w:r w:rsidRPr="00545ABB">
        <w:rPr>
          <w:rFonts w:ascii="Traditional Arabic" w:hAnsi="Traditional Arabic" w:cs="Traditional Arabic"/>
          <w:b/>
          <w:bCs/>
          <w:color w:val="000000" w:themeColor="text1"/>
        </w:rPr>
        <w:t>.</w:t>
      </w:r>
    </w:p>
    <w:p w14:paraId="30C821F8"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دعم إدارة المخاطر والامتثال</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وتكتسب هذه النقطة أهمية خاصة في شركات الأمن السيبراني، حيث يساعد وجود إطار حوكمة واضح على تنظيم مسؤوليات إدارة المخاطر والامتثال، وربط القرارات التقنية بالأهداف الاستراتيجية والتنظيمية للشركة</w:t>
      </w:r>
      <w:r w:rsidRPr="00545ABB">
        <w:rPr>
          <w:rFonts w:ascii="Traditional Arabic" w:hAnsi="Traditional Arabic" w:cs="Traditional Arabic"/>
          <w:b/>
          <w:bCs/>
          <w:color w:val="000000" w:themeColor="text1"/>
        </w:rPr>
        <w:t>.</w:t>
      </w:r>
    </w:p>
    <w:p w14:paraId="08CBE883" w14:textId="77777777" w:rsidR="00537536" w:rsidRPr="00545ABB" w:rsidRDefault="00537536" w:rsidP="00D95153">
      <w:pPr>
        <w:pStyle w:val="NormalWeb"/>
        <w:numPr>
          <w:ilvl w:val="0"/>
          <w:numId w:val="25"/>
        </w:numPr>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تعزيز الاستدامة المؤسسية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تسهم الحوكمة في دعم قدرة الشركة على الاستمرار والنمو بصورة منظمة، من خلال تعزيز الاستقرار الإداري، وتحسين إدارة الموارد، وتطوير نظم الرقابة، ورفع مستوى الثقة بين الشركة وأصحاب المصلحة</w:t>
      </w:r>
      <w:r w:rsidRPr="00545ABB">
        <w:rPr>
          <w:rFonts w:ascii="Traditional Arabic" w:hAnsi="Traditional Arabic" w:cs="Traditional Arabic"/>
          <w:b/>
          <w:bCs/>
          <w:color w:val="000000" w:themeColor="text1"/>
        </w:rPr>
        <w:t>.</w:t>
      </w:r>
    </w:p>
    <w:p w14:paraId="11A38CA9" w14:textId="77777777" w:rsidR="00537536" w:rsidRPr="00545ABB" w:rsidRDefault="00537536" w:rsidP="006C3FF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وبوجه عام، يرى الباحث أن ممارسات الحوكمة في الشركات الناشئة لا ينبغي أن تُطبق بصورة جامدة أو موحدة، وإنما يجب تصميمها بما يتناسب مع حجم الشركة، وطبيعة نشاطها، ومرحلة تطورها، وأهدافها الاستراتيجية. وتظهر أهمية ذلك بصورة أكثر وضوحًا في شركات الأمن السيبراني الناشئة، التي تحتاج إلى الجمع بين سرعة الابتكار والمرونة التشغيلية من جهة، والانضباط المؤسسي وإدارة المخاطر والامتثال من جهة أخرى، بما يدعم قدرتها على تحقيق النمو والاستدامة على المدى الطويل</w:t>
      </w:r>
      <w:r w:rsidRPr="00545ABB">
        <w:rPr>
          <w:rFonts w:ascii="Traditional Arabic" w:hAnsi="Traditional Arabic" w:cs="Traditional Arabic"/>
          <w:b/>
          <w:bCs/>
          <w:color w:val="000000" w:themeColor="text1"/>
        </w:rPr>
        <w:t>.</w:t>
      </w:r>
    </w:p>
    <w:p w14:paraId="10F376AB" w14:textId="77777777" w:rsidR="00537536" w:rsidRPr="00545ABB" w:rsidRDefault="00537536" w:rsidP="00694B73">
      <w:pPr>
        <w:spacing w:before="100" w:beforeAutospacing="1" w:after="0" w:line="360" w:lineRule="auto"/>
        <w:jc w:val="both"/>
        <w:rPr>
          <w:rFonts w:ascii="Traditional Arabic" w:eastAsia="Times New Roman" w:hAnsi="Traditional Arabic" w:cs="Traditional Arabic"/>
          <w:b/>
          <w:bCs/>
          <w:color w:val="000000" w:themeColor="text1"/>
          <w:sz w:val="24"/>
          <w:szCs w:val="24"/>
          <w:rtl/>
        </w:rPr>
      </w:pPr>
    </w:p>
    <w:p w14:paraId="1459BBA0" w14:textId="77777777" w:rsidR="00694B73" w:rsidRPr="00545ABB" w:rsidRDefault="00694B73" w:rsidP="00694B73">
      <w:pPr>
        <w:pStyle w:val="Heading3"/>
        <w:bidi/>
        <w:spacing w:line="360" w:lineRule="auto"/>
        <w:rPr>
          <w:rFonts w:ascii="Traditional Arabic" w:hAnsi="Traditional Arabic" w:cs="Traditional Arabic"/>
          <w:b/>
          <w:bCs/>
          <w:color w:val="000000" w:themeColor="text1"/>
        </w:rPr>
      </w:pPr>
      <w:bookmarkStart w:id="36" w:name="_Toc242325197"/>
      <w:r w:rsidRPr="00545ABB">
        <w:rPr>
          <w:rFonts w:ascii="Traditional Arabic" w:hAnsi="Traditional Arabic" w:cs="Traditional Arabic"/>
          <w:b/>
          <w:bCs/>
          <w:color w:val="000000" w:themeColor="text1"/>
          <w:rtl/>
        </w:rPr>
        <w:t>الأطر والضوابط والإرشادات ذات الصلة بحوكمة الأمن السيبراني</w:t>
      </w:r>
      <w:bookmarkEnd w:id="36"/>
    </w:p>
    <w:p w14:paraId="517FB69A" w14:textId="77777777" w:rsidR="00694B73" w:rsidRPr="00545ABB" w:rsidRDefault="00694B73" w:rsidP="00694B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يمثل الأمن السيبراني أحد المكونات الأساسية في بيئة الأعمال الرقمية الحديثة، خاصة مع التوسع المتسارع في استخدام الأنظمة الرقمية والخدمات الإلكترونية، وزيادة الاعتماد على البيانات والمعلومات في تنفيذ العمليات واتخاذ القرارات وتقديم الخدمات. وقد أدى هذا التطور إلى زيادة مستوى التعرض للمخاطر والتهديدات السيبرانية، الأمر الذي جعل حماية المعلومات والأنظمة، وضمان استمرارية الأعمال، والمحافظة على سرية البيانات وسلامتها وتوافرها، من المتطلبات الأساسية للمؤسسات</w:t>
      </w:r>
      <w:r w:rsidRPr="00545ABB">
        <w:rPr>
          <w:rFonts w:ascii="Traditional Arabic" w:hAnsi="Traditional Arabic" w:cs="Traditional Arabic"/>
          <w:b/>
          <w:bCs/>
          <w:color w:val="000000" w:themeColor="text1"/>
        </w:rPr>
        <w:t>.</w:t>
      </w:r>
    </w:p>
    <w:p w14:paraId="2B8D04BE" w14:textId="77777777" w:rsidR="00694B73" w:rsidRPr="00545ABB" w:rsidRDefault="00694B73" w:rsidP="00694B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أشارت فتوح (2021) إلى أن استخدام تكنولوجيا المعلومات والاتصالات يتيح فرصًا كبيرة لتحسين الإدارة ورفع الإنتاجية وتطوير كفاءة العمليات، إلا أن الاعتماد المتزايد على الأنظمة الرقمية يصاحبه في المقابل تنامٍ في المخاطر والتهديدات والهجمات السيبرانية التي تواجه مؤسسات القطاعين العام والخاص. ومن ثم، أصبح الأمن السيبراني لا يقتصر على الجوانب التقنية فحسب، بل بات يرتبط بصورة مباشرة بالحوكمة المؤسسية وإدارة المخاطر والامتثال واستمرارية الأعمال</w:t>
      </w:r>
      <w:r w:rsidRPr="00545ABB">
        <w:rPr>
          <w:rFonts w:ascii="Traditional Arabic" w:hAnsi="Traditional Arabic" w:cs="Traditional Arabic"/>
          <w:b/>
          <w:bCs/>
          <w:color w:val="000000" w:themeColor="text1"/>
        </w:rPr>
        <w:t>.</w:t>
      </w:r>
    </w:p>
    <w:p w14:paraId="5BFBBBD9" w14:textId="77777777" w:rsidR="00694B73" w:rsidRPr="00545ABB" w:rsidRDefault="00694B73" w:rsidP="00694B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هذا السياق، تبرز أهمية وجود أطر وضوابط وإرشادات تنظم ممارسات الأمن السيبراني، وتوفر مرجعية واضحة تساعد المؤسسات على تحديد المسؤوليات والصلاحيات، وإدارة المخاطر، وحماية الأصول الرقمية، وقياس مستوى الالتزام، ومتابعة فاعلية الضوابط والإجراءات المطبقة. كما تسهم هذه المرجعيات في توفير لغة مشتركة بين الإدارات التنفيذية والتقنية والرقابية، بما يعزز من كفاءة اتخاذ القرار ويربط أهداف الأمن السيبراني بالأهداف الاستراتيجية للمؤسسة</w:t>
      </w:r>
      <w:r w:rsidRPr="00545ABB">
        <w:rPr>
          <w:rFonts w:ascii="Traditional Arabic" w:hAnsi="Traditional Arabic" w:cs="Traditional Arabic"/>
          <w:b/>
          <w:bCs/>
          <w:color w:val="000000" w:themeColor="text1"/>
        </w:rPr>
        <w:t>.</w:t>
      </w:r>
    </w:p>
    <w:p w14:paraId="636250F7" w14:textId="77777777" w:rsidR="00694B73" w:rsidRPr="00545ABB" w:rsidRDefault="00694B73" w:rsidP="00694B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ويمكن التمييز بين هذه المرجعيات من حيث طبيعتها ووظيفتها؛ إذ تمثل </w:t>
      </w:r>
      <w:r w:rsidRPr="00545ABB">
        <w:rPr>
          <w:rStyle w:val="Strong"/>
          <w:rFonts w:ascii="Traditional Arabic" w:hAnsi="Traditional Arabic" w:cs="Traditional Arabic"/>
          <w:b w:val="0"/>
          <w:bCs w:val="0"/>
          <w:color w:val="000000" w:themeColor="text1"/>
          <w:rtl/>
        </w:rPr>
        <w:t>الأطر</w:t>
      </w:r>
      <w:r w:rsidRPr="00545ABB">
        <w:rPr>
          <w:rFonts w:ascii="Traditional Arabic" w:hAnsi="Traditional Arabic" w:cs="Traditional Arabic"/>
          <w:b/>
          <w:bCs/>
          <w:color w:val="000000" w:themeColor="text1"/>
          <w:rtl/>
        </w:rPr>
        <w:t xml:space="preserve"> نماذج شاملة تساعد المؤسسات على تنظيم أنشطة الأمن السيبراني وربطها بمستويات الحوكمة وإدارة المخاطر، بينما تتمثل </w:t>
      </w:r>
      <w:r w:rsidRPr="00545ABB">
        <w:rPr>
          <w:rStyle w:val="Strong"/>
          <w:rFonts w:ascii="Traditional Arabic" w:hAnsi="Traditional Arabic" w:cs="Traditional Arabic"/>
          <w:b w:val="0"/>
          <w:bCs w:val="0"/>
          <w:color w:val="000000" w:themeColor="text1"/>
          <w:rtl/>
        </w:rPr>
        <w:t>الضوابط</w:t>
      </w:r>
      <w:r w:rsidRPr="00545ABB">
        <w:rPr>
          <w:rFonts w:ascii="Traditional Arabic" w:hAnsi="Traditional Arabic" w:cs="Traditional Arabic"/>
          <w:b/>
          <w:bCs/>
          <w:color w:val="000000" w:themeColor="text1"/>
          <w:rtl/>
        </w:rPr>
        <w:t xml:space="preserve"> في المتطلبات والإجراءات المحددة التي يتعين تطبيقها للحد من المخاطر وتحقيق مستوى مقبول من الحماية والامتثال. أما </w:t>
      </w:r>
      <w:r w:rsidRPr="00545ABB">
        <w:rPr>
          <w:rStyle w:val="Strong"/>
          <w:rFonts w:ascii="Traditional Arabic" w:hAnsi="Traditional Arabic" w:cs="Traditional Arabic"/>
          <w:b w:val="0"/>
          <w:bCs w:val="0"/>
          <w:color w:val="000000" w:themeColor="text1"/>
          <w:rtl/>
        </w:rPr>
        <w:t>الإرشادات</w:t>
      </w:r>
      <w:r w:rsidRPr="00545ABB">
        <w:rPr>
          <w:rFonts w:ascii="Traditional Arabic" w:hAnsi="Traditional Arabic" w:cs="Traditional Arabic"/>
          <w:b/>
          <w:bCs/>
          <w:color w:val="000000" w:themeColor="text1"/>
          <w:rtl/>
        </w:rPr>
        <w:t xml:space="preserve"> فتمثل ممارسات وتوجيهات مساندة تساعد المؤسسات على تفسير المتطلبات وتطبيقها بصورة تتناسب مع طبيعة أعمالها وحجمها ومستوى المخاطر التي تواجهها</w:t>
      </w:r>
      <w:r w:rsidRPr="00545ABB">
        <w:rPr>
          <w:rFonts w:ascii="Traditional Arabic" w:hAnsi="Traditional Arabic" w:cs="Traditional Arabic"/>
          <w:b/>
          <w:bCs/>
          <w:color w:val="000000" w:themeColor="text1"/>
        </w:rPr>
        <w:t>.</w:t>
      </w:r>
    </w:p>
    <w:p w14:paraId="4DC90B77" w14:textId="77777777" w:rsidR="00694B73" w:rsidRPr="00545ABB" w:rsidRDefault="00694B73" w:rsidP="00694B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وتكتسب هذه المتطلبات أهمية أكبر في شركات الأمن السيبراني الناشئة، نظرًا لطبيعة نشاطها وارتباطه المباشر بحماية المعلومات والأنظمة والبيانات، فضلًا عن حاجتها إلى تحقيق التوازن بين سرعة النمو والابتكار من جهة، والرقابة وإدارة المخاطر والامتثال من جهة أخرى. كما أن اعتماد هذه </w:t>
      </w:r>
      <w:r w:rsidRPr="00545ABB">
        <w:rPr>
          <w:rFonts w:ascii="Traditional Arabic" w:hAnsi="Traditional Arabic" w:cs="Traditional Arabic"/>
          <w:b/>
          <w:bCs/>
          <w:color w:val="000000" w:themeColor="text1"/>
          <w:rtl/>
        </w:rPr>
        <w:lastRenderedPageBreak/>
        <w:t>الشركات على أطر وضوابط واضحة يسهم في تعزيز موثوقيتها أمام العملاء والمستثمرين، ويساعدها على بناء بيئة عمل أكثر انضباطًا وقدرة على التوسع والاستمرار</w:t>
      </w:r>
      <w:r w:rsidRPr="00545ABB">
        <w:rPr>
          <w:rFonts w:ascii="Traditional Arabic" w:hAnsi="Traditional Arabic" w:cs="Traditional Arabic"/>
          <w:b/>
          <w:bCs/>
          <w:color w:val="000000" w:themeColor="text1"/>
        </w:rPr>
        <w:t>.</w:t>
      </w:r>
    </w:p>
    <w:p w14:paraId="34C9B81C" w14:textId="77777777" w:rsidR="00694B73" w:rsidRPr="00545ABB" w:rsidRDefault="00694B73" w:rsidP="00694B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وتزداد أهمية ذلك في البيئة السعودية في ظل تنامي المتطلبات التنظيمية المرتبطة بالأمن السيبراني والتحول الرقمي، حيث أصبحت المؤسسات مطالبة بمواءمة ممارساتها مع مجموعة من الضوابط والمعايير الوطنية والدولية ذات الصلة. ولذلك فإن فهم هذه الأطر والضوابط والإرشادات يمثل جزءًا أساسيًا من حوكمة الأمن السيبراني، كما يتيح للشركات الناشئة بناء ممارساتها التنظيمية والتقنية على أسس أكثر وضوحًا واستدامة</w:t>
      </w:r>
      <w:r w:rsidRPr="00545ABB">
        <w:rPr>
          <w:rFonts w:ascii="Traditional Arabic" w:hAnsi="Traditional Arabic" w:cs="Traditional Arabic"/>
          <w:b/>
          <w:bCs/>
          <w:color w:val="000000" w:themeColor="text1"/>
        </w:rPr>
        <w:t>.</w:t>
      </w:r>
    </w:p>
    <w:p w14:paraId="39A8E8E2" w14:textId="77777777" w:rsidR="00694B73" w:rsidRPr="00545ABB" w:rsidRDefault="00694B73" w:rsidP="00694B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وانطلاقًا من ذلك، يستعرض هذا الجزء أبرز الأطر والضوابط والإرشادات ذات الصلة بحوكمة الأمن السيبراني، مع التركيز على المرجعيات الأكثر ارتباطًا بالبيئة السعودية وبطبيعة عمل شركات الأمن السيبراني الناشئة، وبيان دورها في دعم الامتثال، وإدارة المخاطر، وتحسين جودة الحوكمة، وتعزيز القدرة على الاستمرار والنمو</w:t>
      </w:r>
      <w:r w:rsidRPr="00545ABB">
        <w:rPr>
          <w:rFonts w:ascii="Traditional Arabic" w:hAnsi="Traditional Arabic" w:cs="Traditional Arabic"/>
          <w:b/>
          <w:bCs/>
          <w:color w:val="000000" w:themeColor="text1"/>
        </w:rPr>
        <w:t>.</w:t>
      </w:r>
    </w:p>
    <w:p w14:paraId="0C60A219" w14:textId="77777777" w:rsidR="00694B73" w:rsidRPr="00545ABB" w:rsidRDefault="00694B73" w:rsidP="00287B34">
      <w:pPr>
        <w:pStyle w:val="Heading2"/>
        <w:bidi/>
        <w:rPr>
          <w:rFonts w:ascii="Traditional Arabic" w:eastAsia="Times New Roman" w:hAnsi="Traditional Arabic" w:cs="Traditional Arabic"/>
          <w:color w:val="000000" w:themeColor="text1"/>
          <w:rtl/>
        </w:rPr>
      </w:pPr>
    </w:p>
    <w:p w14:paraId="2A1BC118" w14:textId="0FA01C0C" w:rsidR="002428A8" w:rsidRPr="00545ABB" w:rsidRDefault="002428A8" w:rsidP="00694B73">
      <w:pPr>
        <w:pStyle w:val="Heading2"/>
        <w:bidi/>
        <w:rPr>
          <w:rFonts w:ascii="Traditional Arabic" w:eastAsia="Times New Roman" w:hAnsi="Traditional Arabic" w:cs="Traditional Arabic"/>
          <w:b/>
          <w:bCs/>
          <w:color w:val="000000" w:themeColor="text1"/>
        </w:rPr>
      </w:pPr>
      <w:bookmarkStart w:id="37" w:name="_Toc242325198"/>
      <w:r w:rsidRPr="00545ABB">
        <w:rPr>
          <w:rFonts w:ascii="Traditional Arabic" w:eastAsia="Times New Roman" w:hAnsi="Traditional Arabic" w:cs="Traditional Arabic"/>
          <w:b/>
          <w:bCs/>
          <w:color w:val="000000" w:themeColor="text1"/>
          <w:rtl/>
        </w:rPr>
        <w:t>الأطر والضوابط الوطنية للأمن السيبراني في المملكة العربية السعودية</w:t>
      </w:r>
      <w:bookmarkEnd w:id="37"/>
    </w:p>
    <w:p w14:paraId="60D2EEEB" w14:textId="04B20D62"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في ضوء التوسع الذي تشهده المملكة العربية السعودية في مجالات التحول الرقمي والخدمات الإلكترونية، عملت المملكة على تطوير منظومة وطنية متكاملة للأمن السيبراني تهدف إلى تعزيز مستوى الحماية السيبرانية، وحماية المصالح الحيوية للدولة وأمنها الوطني والبنى التحتية الحساسة والقطاعات ذات الأولوية والخدمات والأنشطة الحكومية. وتضطلع </w:t>
      </w:r>
      <w:r w:rsidRPr="00545ABB">
        <w:rPr>
          <w:rStyle w:val="Strong"/>
          <w:rFonts w:ascii="Traditional Arabic" w:hAnsi="Traditional Arabic" w:cs="Traditional Arabic"/>
          <w:b w:val="0"/>
          <w:bCs w:val="0"/>
          <w:color w:val="000000" w:themeColor="text1"/>
          <w:rtl/>
        </w:rPr>
        <w:t>الهيئة الوطنية للأمن السيبراني</w:t>
      </w:r>
      <w:r w:rsidRPr="00545ABB">
        <w:rPr>
          <w:rFonts w:ascii="Traditional Arabic" w:hAnsi="Traditional Arabic" w:cs="Traditional Arabic"/>
          <w:b/>
          <w:bCs/>
          <w:color w:val="000000" w:themeColor="text1"/>
          <w:rtl/>
        </w:rPr>
        <w:t xml:space="preserve"> بدور المرجع الوطني المختص بشؤون الأمن السيبراني في المملكة، وتشمل اختصاصاتها وضع السياسات وآليات الحوكمة والأطر والمعايير والضوابط والإرشادات المتعلقة بالأمن السيبراني ومتابعة الالتزام بها (الهيئة الوطنية للأمن السيبراني، </w:t>
      </w:r>
      <w:r w:rsidRPr="00545ABB">
        <w:rPr>
          <w:rFonts w:ascii="Traditional Arabic" w:hAnsi="Traditional Arabic" w:cs="Traditional Arabic"/>
          <w:b/>
          <w:bCs/>
          <w:color w:val="000000" w:themeColor="text1"/>
        </w:rPr>
        <w:t>2018</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172489E9" w14:textId="110F339E"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شكّل إصدار</w:t>
      </w:r>
      <w:r w:rsidRPr="00545ABB">
        <w:rPr>
          <w:rFonts w:ascii="Traditional Arabic" w:hAnsi="Traditional Arabic" w:cs="Traditional Arabic"/>
          <w:color w:val="000000" w:themeColor="text1"/>
          <w:rtl/>
        </w:rPr>
        <w:t xml:space="preserve"> </w:t>
      </w:r>
      <w:r w:rsidRPr="00545ABB">
        <w:rPr>
          <w:rStyle w:val="Strong"/>
          <w:rFonts w:ascii="Traditional Arabic" w:hAnsi="Traditional Arabic" w:cs="Traditional Arabic"/>
          <w:color w:val="000000" w:themeColor="text1"/>
          <w:rtl/>
        </w:rPr>
        <w:t xml:space="preserve">الضوابط الأساسية للأمن السيبراني </w:t>
      </w:r>
      <w:r w:rsidRPr="00545ABB">
        <w:rPr>
          <w:rStyle w:val="Strong"/>
          <w:rFonts w:ascii="Traditional Arabic" w:hAnsi="Traditional Arabic" w:cs="Traditional Arabic"/>
          <w:color w:val="000000" w:themeColor="text1"/>
        </w:rPr>
        <w:t>(Essential Cybersecurity Controls – ECC-1:2018)</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إحدى الركائز الرئيسة في بناء المنظومة الوطنية للضوابط السيبرانية، إذ أصدرتها الهيئة بهدف تحديد الحد الأدنى من متطلبات الأمن السيبراني الواجب تطبيقها لدى الجهات الواقعة ضمن نطاقها، بما يسهم في حماية الأصول المعلوماتية والتقنية والحد من المخاطر والتهديدات السيبرانية. وقد تضمن الإصدار الأول خمسة مجالات رئيسة و29 مجالًا فرعيًا و114 ضابطًا للأمن السيبراني (الهيئة الوطنية للأمن السيبراني، </w:t>
      </w:r>
      <w:r w:rsidRPr="00545ABB">
        <w:rPr>
          <w:rFonts w:ascii="Traditional Arabic" w:hAnsi="Traditional Arabic" w:cs="Traditional Arabic"/>
          <w:b/>
          <w:bCs/>
          <w:color w:val="000000" w:themeColor="text1"/>
        </w:rPr>
        <w:t>2018</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6FCB6FA1" w14:textId="11EB383E"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ومع تطور البيئة التقنية وظهور مستجدات ومتطلبات سيبرانية جديدة، قامت الهيئة بتحديث الضوابط الأساسية وإصدار </w:t>
      </w:r>
      <w:r w:rsidRPr="00545ABB">
        <w:rPr>
          <w:rStyle w:val="Strong"/>
          <w:rFonts w:ascii="Traditional Arabic" w:hAnsi="Traditional Arabic" w:cs="Traditional Arabic"/>
          <w:color w:val="000000" w:themeColor="text1"/>
          <w:rtl/>
        </w:rPr>
        <w:t xml:space="preserve">الضوابط الأساسية للأمن السيبراني </w:t>
      </w:r>
      <w:r w:rsidRPr="00545ABB">
        <w:rPr>
          <w:rStyle w:val="Strong"/>
          <w:rFonts w:ascii="Traditional Arabic" w:hAnsi="Traditional Arabic" w:cs="Traditional Arabic"/>
          <w:color w:val="000000" w:themeColor="text1"/>
        </w:rPr>
        <w:t>(ECC-2:2024)</w:t>
      </w:r>
      <w:r w:rsidRPr="00545ABB">
        <w:rPr>
          <w:rFonts w:ascii="Traditional Arabic" w:hAnsi="Traditional Arabic" w:cs="Traditional Arabic"/>
          <w:color w:val="000000" w:themeColor="text1"/>
          <w:rtl/>
        </w:rPr>
        <w:t>،</w:t>
      </w:r>
      <w:r w:rsidRPr="00545ABB">
        <w:rPr>
          <w:rFonts w:ascii="Traditional Arabic" w:hAnsi="Traditional Arabic" w:cs="Traditional Arabic"/>
          <w:b/>
          <w:bCs/>
          <w:color w:val="000000" w:themeColor="text1"/>
          <w:rtl/>
        </w:rPr>
        <w:t xml:space="preserve"> بوصفها الإصدار الثاني والمحدث من الوثيقة التي صدرت لأول مرة عام 2018، وهو ما يعكس الطبيعة المستمرة لتطوير المتطلبات الوطنية بما يتناسب مع التغيرات في المخاطر والتقنيات والممارسات ذات الصلة بالأمن السيبراني (الهيئة الوطنية للأمن السيبراني، </w:t>
      </w:r>
      <w:r w:rsidRPr="00545ABB">
        <w:rPr>
          <w:rFonts w:ascii="Traditional Arabic" w:hAnsi="Traditional Arabic" w:cs="Traditional Arabic"/>
          <w:b/>
          <w:bCs/>
          <w:color w:val="000000" w:themeColor="text1"/>
        </w:rPr>
        <w:t>2024</w:t>
      </w:r>
      <w:r w:rsidRPr="00545ABB">
        <w:rPr>
          <w:rFonts w:ascii="Traditional Arabic" w:hAnsi="Traditional Arabic" w:cs="Traditional Arabic" w:hint="cs"/>
          <w:b/>
          <w:bCs/>
          <w:color w:val="000000" w:themeColor="text1"/>
          <w:rtl/>
        </w:rPr>
        <w:t>).</w:t>
      </w:r>
    </w:p>
    <w:p w14:paraId="6A867855" w14:textId="133C415E"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ولم تقتصر المنظومة الوطنية على الضوابط الأساسية، بل توسعت لتشمل مجموعة من الضوابط المتخصصة التي تعالج متطلبات أمنية مرتبطة بأنواع معينة من الأنظمة والخدمات والبيانات. ومن أبرزها </w:t>
      </w:r>
      <w:r w:rsidRPr="00545ABB">
        <w:rPr>
          <w:rStyle w:val="Strong"/>
          <w:rFonts w:ascii="Traditional Arabic" w:hAnsi="Traditional Arabic" w:cs="Traditional Arabic"/>
          <w:color w:val="000000" w:themeColor="text1"/>
          <w:rtl/>
        </w:rPr>
        <w:t xml:space="preserve">ضوابط الأمن السيبراني للأنظمة الحساسة </w:t>
      </w:r>
      <w:r w:rsidRPr="00545ABB">
        <w:rPr>
          <w:rStyle w:val="Strong"/>
          <w:rFonts w:ascii="Traditional Arabic" w:hAnsi="Traditional Arabic" w:cs="Traditional Arabic"/>
          <w:color w:val="000000" w:themeColor="text1"/>
        </w:rPr>
        <w:t>(Critical Systems Cybersecurity Controls – CSCC-1:2019)</w:t>
      </w:r>
      <w:r w:rsidRPr="00545ABB">
        <w:rPr>
          <w:rFonts w:ascii="Traditional Arabic" w:hAnsi="Traditional Arabic" w:cs="Traditional Arabic"/>
          <w:color w:val="000000" w:themeColor="text1"/>
          <w:rtl/>
        </w:rPr>
        <w:t>،</w:t>
      </w:r>
      <w:r w:rsidRPr="00545ABB">
        <w:rPr>
          <w:rFonts w:ascii="Traditional Arabic" w:hAnsi="Traditional Arabic" w:cs="Traditional Arabic"/>
          <w:b/>
          <w:bCs/>
          <w:color w:val="000000" w:themeColor="text1"/>
          <w:rtl/>
        </w:rPr>
        <w:t xml:space="preserve"> التي طورتها الهيئة امتدادًا ومكملًا للضوابط الأساسية لتلبية الاحتياجات الأمنية الخاصة بالأنظمة الحساسة ورفع مستوى حمايتها وجاهزيتها في مواجهة المخاطر السيبرانية (الهيئة الوطنية للأمن السيبراني، </w:t>
      </w:r>
      <w:r w:rsidRPr="00545ABB">
        <w:rPr>
          <w:rFonts w:ascii="Traditional Arabic" w:hAnsi="Traditional Arabic" w:cs="Traditional Arabic"/>
          <w:b/>
          <w:bCs/>
          <w:color w:val="000000" w:themeColor="text1"/>
        </w:rPr>
        <w:t>2019</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43C35708" w14:textId="31427ACD"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أصدرت الهيئة </w:t>
      </w:r>
      <w:r w:rsidRPr="00545ABB">
        <w:rPr>
          <w:rStyle w:val="Strong"/>
          <w:rFonts w:ascii="Traditional Arabic" w:hAnsi="Traditional Arabic" w:cs="Traditional Arabic"/>
          <w:color w:val="000000" w:themeColor="text1"/>
          <w:rtl/>
        </w:rPr>
        <w:t xml:space="preserve">ضوابط الأمن السيبراني للحوسبة السحابية </w:t>
      </w:r>
      <w:r w:rsidRPr="00545ABB">
        <w:rPr>
          <w:rStyle w:val="Strong"/>
          <w:rFonts w:ascii="Traditional Arabic" w:hAnsi="Traditional Arabic" w:cs="Traditional Arabic"/>
          <w:color w:val="000000" w:themeColor="text1"/>
        </w:rPr>
        <w:t>(Cloud Cybersecurity Controls – CCC-1:2020)</w:t>
      </w:r>
      <w:r w:rsidRPr="00545ABB">
        <w:rPr>
          <w:rFonts w:ascii="Traditional Arabic" w:hAnsi="Traditional Arabic" w:cs="Traditional Arabic"/>
          <w:color w:val="000000" w:themeColor="text1"/>
          <w:rtl/>
        </w:rPr>
        <w:t>،</w:t>
      </w:r>
      <w:r w:rsidRPr="00545ABB">
        <w:rPr>
          <w:rFonts w:ascii="Traditional Arabic" w:hAnsi="Traditional Arabic" w:cs="Traditional Arabic"/>
          <w:b/>
          <w:bCs/>
          <w:color w:val="000000" w:themeColor="text1"/>
          <w:rtl/>
        </w:rPr>
        <w:t xml:space="preserve"> التي تهدف إلى رفع مستوى موثوقية وأمن خدمات الحوسبة السحابية، وتحديد المتطلبات الأمنية لمقدمي الخدمات السحابية والمستفيدين منها. وقد جاءت هذه الضوابط امتدادًا للمنظومة الوطنية للضوابط السيبرانية، بما يدعم استمرارية الأعمال والخدمات ويرفع مستوى الجاهزية في مواجهة المخاطر المرتبطة بالبيئات السحابية (الهيئة الوطنية للأمن السيبراني، </w:t>
      </w:r>
      <w:r w:rsidRPr="00545ABB">
        <w:rPr>
          <w:rFonts w:ascii="Traditional Arabic" w:hAnsi="Traditional Arabic" w:cs="Traditional Arabic"/>
          <w:b/>
          <w:bCs/>
          <w:color w:val="000000" w:themeColor="text1"/>
        </w:rPr>
        <w:t>2020</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37EE94F0" w14:textId="55579B1A" w:rsidR="005003E5" w:rsidRPr="00545ABB" w:rsidRDefault="005003E5" w:rsidP="0040557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وفي عام 2021، أصدرت الهيئة </w:t>
      </w:r>
      <w:r w:rsidRPr="00545ABB">
        <w:rPr>
          <w:rStyle w:val="Strong"/>
          <w:rFonts w:ascii="Traditional Arabic" w:hAnsi="Traditional Arabic" w:cs="Traditional Arabic"/>
          <w:color w:val="000000" w:themeColor="text1"/>
          <w:rtl/>
        </w:rPr>
        <w:t xml:space="preserve">ضوابط الأمن السيبراني للعمل عن بُعد </w:t>
      </w:r>
      <w:r w:rsidRPr="00545ABB">
        <w:rPr>
          <w:rStyle w:val="Strong"/>
          <w:rFonts w:ascii="Traditional Arabic" w:hAnsi="Traditional Arabic" w:cs="Traditional Arabic"/>
          <w:color w:val="000000" w:themeColor="text1"/>
        </w:rPr>
        <w:t>(Telework Cybersecurity Controls – TCC-1:2021)</w:t>
      </w:r>
      <w:r w:rsidRPr="00545ABB">
        <w:rPr>
          <w:rFonts w:ascii="Traditional Arabic" w:hAnsi="Traditional Arabic" w:cs="Traditional Arabic"/>
          <w:color w:val="000000" w:themeColor="text1"/>
          <w:rtl/>
        </w:rPr>
        <w:t>،</w:t>
      </w:r>
      <w:r w:rsidRPr="00545ABB">
        <w:rPr>
          <w:rFonts w:ascii="Traditional Arabic" w:hAnsi="Traditional Arabic" w:cs="Traditional Arabic"/>
          <w:b/>
          <w:bCs/>
          <w:color w:val="000000" w:themeColor="text1"/>
          <w:rtl/>
        </w:rPr>
        <w:t xml:space="preserve"> بهدف تمكين الجهات من ممارسة أعمالها عن بُعد بطريقة آمنة، وتعزيز قدرتها على التكيف مع التغيرات في بيئات العمل، ورفع مستوى الصمود في مواجهة التهديدات السيبرانية المصاحبة لنماذج العمل عن بُعد. وتعد هذه الضوابط كذلك امتدادًا للضوابط الأساسية للأمن السيبراني (الهيئة الوطنية للأمن السيبراني، </w:t>
      </w:r>
      <w:r w:rsidRPr="00545ABB">
        <w:rPr>
          <w:rFonts w:ascii="Traditional Arabic" w:hAnsi="Traditional Arabic" w:cs="Traditional Arabic"/>
          <w:b/>
          <w:bCs/>
          <w:color w:val="000000" w:themeColor="text1"/>
        </w:rPr>
        <w:t>2021</w:t>
      </w:r>
      <w:r w:rsidR="00405572"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56D49C85" w14:textId="639D9541"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أصدرت الهيئة في عام </w:t>
      </w:r>
      <w:r w:rsidRPr="00545ABB">
        <w:rPr>
          <w:rFonts w:ascii="Traditional Arabic" w:hAnsi="Traditional Arabic" w:cs="Traditional Arabic"/>
          <w:b/>
          <w:bCs/>
          <w:color w:val="000000" w:themeColor="text1"/>
        </w:rPr>
        <w:t xml:space="preserve">2022 </w:t>
      </w:r>
      <w:r w:rsidRPr="00545ABB">
        <w:rPr>
          <w:rStyle w:val="Strong"/>
          <w:rFonts w:ascii="Traditional Arabic" w:hAnsi="Traditional Arabic" w:cs="Traditional Arabic"/>
          <w:color w:val="000000" w:themeColor="text1"/>
          <w:rtl/>
        </w:rPr>
        <w:t xml:space="preserve">ضوابط الأمن السيبراني للأنظمة التشغيلية </w:t>
      </w:r>
      <w:r w:rsidRPr="00545ABB">
        <w:rPr>
          <w:rStyle w:val="Strong"/>
          <w:rFonts w:ascii="Traditional Arabic" w:hAnsi="Traditional Arabic" w:cs="Traditional Arabic"/>
          <w:color w:val="000000" w:themeColor="text1"/>
        </w:rPr>
        <w:t>(Operational Technology Cybersecurity Controls – OTCC-1:2022)</w:t>
      </w:r>
      <w:r w:rsidRPr="00545ABB">
        <w:rPr>
          <w:rFonts w:ascii="Traditional Arabic" w:hAnsi="Traditional Arabic" w:cs="Traditional Arabic"/>
          <w:b/>
          <w:bCs/>
          <w:color w:val="000000" w:themeColor="text1"/>
          <w:rtl/>
        </w:rPr>
        <w:t>، بهدف توفير الحد الأدنى من متطلبات الأمن السيبراني للأنظمة التشغيلية وأنظمة التحكم الصناعي في المرافق الصناعية الحساسة، والحد من المخاطر المرتبطة بالوصول غير المصرح به أو التأثير على هذه الأنظمة. وتمثل هذه الضوابط امتدادًا للضوابط الأساسية مع تركيز أكثر تخصصًا على البيئات التشغيلية والصناعية (الهيئة الوطنية للأمن السيبراني، 2022</w:t>
      </w:r>
      <w:r w:rsidR="008158E5"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أ)</w:t>
      </w:r>
      <w:r w:rsidR="00405572" w:rsidRPr="00545ABB">
        <w:rPr>
          <w:rFonts w:ascii="Traditional Arabic" w:hAnsi="Traditional Arabic" w:cs="Traditional Arabic"/>
          <w:b/>
          <w:bCs/>
          <w:color w:val="000000" w:themeColor="text1"/>
        </w:rPr>
        <w:t>.</w:t>
      </w:r>
    </w:p>
    <w:p w14:paraId="35857248" w14:textId="3EF2B74C"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وفي العام نفسه، أصدرت </w:t>
      </w:r>
      <w:r w:rsidRPr="00545ABB">
        <w:rPr>
          <w:rFonts w:ascii="Traditional Arabic" w:hAnsi="Traditional Arabic" w:cs="Traditional Arabic"/>
          <w:color w:val="000000" w:themeColor="text1"/>
          <w:rtl/>
        </w:rPr>
        <w:t xml:space="preserve">الهيئة </w:t>
      </w:r>
      <w:r w:rsidRPr="00545ABB">
        <w:rPr>
          <w:rStyle w:val="Strong"/>
          <w:rFonts w:ascii="Traditional Arabic" w:hAnsi="Traditional Arabic" w:cs="Traditional Arabic"/>
          <w:color w:val="000000" w:themeColor="text1"/>
          <w:rtl/>
        </w:rPr>
        <w:t xml:space="preserve">ضوابط الأمن السيبراني للبيانات </w:t>
      </w:r>
      <w:r w:rsidRPr="00545ABB">
        <w:rPr>
          <w:rStyle w:val="Strong"/>
          <w:rFonts w:ascii="Traditional Arabic" w:hAnsi="Traditional Arabic" w:cs="Traditional Arabic"/>
          <w:color w:val="000000" w:themeColor="text1"/>
        </w:rPr>
        <w:t>(Data Cybersecurity Controls – DCC-1:2022)</w:t>
      </w:r>
      <w:r w:rsidRPr="00545ABB">
        <w:rPr>
          <w:rFonts w:ascii="Traditional Arabic" w:hAnsi="Traditional Arabic" w:cs="Traditional Arabic"/>
          <w:color w:val="000000" w:themeColor="text1"/>
          <w:rtl/>
        </w:rPr>
        <w:t>،</w:t>
      </w:r>
      <w:r w:rsidRPr="00545ABB">
        <w:rPr>
          <w:rFonts w:ascii="Traditional Arabic" w:hAnsi="Traditional Arabic" w:cs="Traditional Arabic"/>
          <w:b/>
          <w:bCs/>
          <w:color w:val="000000" w:themeColor="text1"/>
          <w:rtl/>
        </w:rPr>
        <w:t xml:space="preserve"> التي تهدف إلى وضع الحد الأدنى من متطلبات الأمن السيبراني اللازمة لحماية البيانات خلال جميع مراحل دورة حياتها، ورفع مستوى النضج السيبراني للجهات في مجال حماية البيانات. وترتبط هذه الضوابط بالضوابط الأساسية للأمن السيبراني، وتكملها فيما يتعلق بالمتطلبات المتخصصة لحماية البيانات وفقًا لمستويات حساسيتها (الهيئة الوطنية للأمن السيبراني، 2022</w:t>
      </w:r>
      <w:r w:rsidR="008158E5"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ب)</w:t>
      </w:r>
      <w:r w:rsidRPr="00545ABB">
        <w:rPr>
          <w:rFonts w:ascii="Traditional Arabic" w:hAnsi="Traditional Arabic" w:cs="Traditional Arabic"/>
          <w:b/>
          <w:bCs/>
          <w:color w:val="000000" w:themeColor="text1"/>
        </w:rPr>
        <w:t xml:space="preserve">. </w:t>
      </w:r>
    </w:p>
    <w:p w14:paraId="5B7E176F" w14:textId="77777777"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منظور الحوكمة، لا تقتصر أهمية هذه الضوابط على تحديد المتطلبات التقنية لحماية الأنظمة والبيانات، بل تمتد إلى عدد من الجوانب الإدارية والتنظيمية، من بينها تحديد الأدوار والمسؤوليات، واعتماد السياسات والإجراءات، وإدارة المخاطر، ومتابعة الالتزام، وقياس مستوى الأداء، وتحديد مسؤوليات الأطراف الخارجية، بما يعزز ارتباط الأمن السيبراني بالحوكمة المؤسسية واستراتيجية المؤسسة</w:t>
      </w:r>
      <w:r w:rsidRPr="00545ABB">
        <w:rPr>
          <w:rFonts w:ascii="Traditional Arabic" w:hAnsi="Traditional Arabic" w:cs="Traditional Arabic"/>
          <w:b/>
          <w:bCs/>
          <w:color w:val="000000" w:themeColor="text1"/>
        </w:rPr>
        <w:t>.</w:t>
      </w:r>
    </w:p>
    <w:p w14:paraId="0F55F104" w14:textId="77777777"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هذه المنظومة التنظيمية أهمية خاصة بالنسبة لشركات الأمن السيبراني الناشئة؛ إذ لا يكفي لهذه الشركات أن تمتلك قدرات تقنية أو حلولًا مبتكرة فحسب، بل تحتاج كذلك إلى فهم المتطلبات التنظيمية الوطنية والقدرة على مواءمة أعمالها ومنتجاتها وخدماتها معها. ويسهم ذلك في بناء الثقة لدى العملاء والمستثمرين، وتحسين إدارة المخاطر، ورفع مستوى النضج المؤسسي، وتعزيز قدرتها على المنافسة والنمو والاستدامة داخل السوق السعودي</w:t>
      </w:r>
      <w:r w:rsidRPr="00545ABB">
        <w:rPr>
          <w:rFonts w:ascii="Traditional Arabic" w:hAnsi="Traditional Arabic" w:cs="Traditional Arabic"/>
          <w:b/>
          <w:bCs/>
          <w:color w:val="000000" w:themeColor="text1"/>
        </w:rPr>
        <w:t>.</w:t>
      </w:r>
    </w:p>
    <w:p w14:paraId="6F0BEB4F" w14:textId="77777777" w:rsidR="005003E5" w:rsidRPr="00545ABB" w:rsidRDefault="005003E5" w:rsidP="005003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وبناءً على ذلك، تمثل الأطر والضوابط الوطنية للأمن السيبراني أحد المرتكزات الأساسية في تنظيم الممارسات السيبرانية في المملكة، كما توفر أساسًا مرجعيًا يمكن للمؤسسات والشركات الاستناد إليه في تطوير ممارسات الحوكمة وإدارة المخاطر والامتثال، وتحقيق مستويات أعلى من الحماية والجاهزية والنضج السيبراني</w:t>
      </w:r>
      <w:r w:rsidRPr="00545ABB">
        <w:rPr>
          <w:rFonts w:ascii="Traditional Arabic" w:hAnsi="Traditional Arabic" w:cs="Traditional Arabic"/>
          <w:b/>
          <w:bCs/>
          <w:color w:val="000000" w:themeColor="text1"/>
        </w:rPr>
        <w:t>.</w:t>
      </w:r>
    </w:p>
    <w:p w14:paraId="034A9C8E" w14:textId="22BE3306" w:rsidR="00D31CA7" w:rsidRPr="00545ABB" w:rsidRDefault="00D31CA7" w:rsidP="00D31CA7">
      <w:pPr>
        <w:pStyle w:val="NormalWeb"/>
        <w:bidi/>
        <w:spacing w:line="360" w:lineRule="auto"/>
        <w:rPr>
          <w:rFonts w:ascii="Traditional Arabic" w:hAnsi="Traditional Arabic" w:cs="Traditional Arabic"/>
          <w:b/>
          <w:bCs/>
          <w:color w:val="000000" w:themeColor="text1"/>
        </w:rPr>
      </w:pPr>
    </w:p>
    <w:p w14:paraId="39DECDEA" w14:textId="77777777" w:rsidR="00D31CA7" w:rsidRPr="00545ABB" w:rsidRDefault="00D31CA7" w:rsidP="002428A8">
      <w:pPr>
        <w:spacing w:after="0" w:line="360" w:lineRule="auto"/>
        <w:ind w:firstLine="4"/>
        <w:jc w:val="both"/>
        <w:rPr>
          <w:rFonts w:ascii="Traditional Arabic" w:eastAsia="Calibri" w:hAnsi="Traditional Arabic" w:cs="Traditional Arabic"/>
          <w:color w:val="000000" w:themeColor="text1"/>
          <w:sz w:val="28"/>
          <w:szCs w:val="28"/>
          <w:rtl/>
          <w:lang w:bidi="ar-EG"/>
        </w:rPr>
      </w:pPr>
    </w:p>
    <w:p w14:paraId="5F4E2974" w14:textId="3981903B" w:rsidR="002428A8" w:rsidRPr="00545ABB" w:rsidRDefault="0010241E" w:rsidP="002428A8">
      <w:pPr>
        <w:spacing w:after="0" w:line="360" w:lineRule="auto"/>
        <w:ind w:firstLine="4"/>
        <w:jc w:val="both"/>
        <w:rPr>
          <w:rFonts w:ascii="Traditional Arabic" w:eastAsia="Calibri" w:hAnsi="Traditional Arabic" w:cs="Traditional Arabic"/>
          <w:color w:val="000000" w:themeColor="text1"/>
          <w:sz w:val="28"/>
          <w:szCs w:val="28"/>
          <w:rtl/>
          <w:lang w:bidi="ar-EG"/>
        </w:rPr>
      </w:pPr>
      <w:r w:rsidRPr="00545ABB">
        <w:rPr>
          <w:rFonts w:ascii="Traditional Arabic" w:eastAsia="Calibri" w:hAnsi="Traditional Arabic" w:cs="Traditional Arabic"/>
          <w:noProof/>
          <w:color w:val="000000" w:themeColor="text1"/>
          <w:sz w:val="28"/>
          <w:szCs w:val="28"/>
          <w:rtl/>
        </w:rPr>
        <w:lastRenderedPageBreak/>
        <w:drawing>
          <wp:inline distT="0" distB="0" distL="0" distR="0" wp14:anchorId="017B45C1" wp14:editId="6423E367">
            <wp:extent cx="5943600" cy="3060206"/>
            <wp:effectExtent l="0" t="0" r="0" b="6985"/>
            <wp:docPr id="9" name="Picture 9" descr="C:\Users\PC\Desktop\PHD\updated\الرسالة النهائية\إطار حوكمة وضوابط المخاط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PHD\updated\الرسالة النهائية\إطار حوكمة وضوابط المخاطر.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060206"/>
                    </a:xfrm>
                    <a:prstGeom prst="rect">
                      <a:avLst/>
                    </a:prstGeom>
                    <a:noFill/>
                    <a:ln>
                      <a:noFill/>
                    </a:ln>
                  </pic:spPr>
                </pic:pic>
              </a:graphicData>
            </a:graphic>
          </wp:inline>
        </w:drawing>
      </w:r>
    </w:p>
    <w:p w14:paraId="54992C4B" w14:textId="723B2F0B" w:rsidR="002428A8" w:rsidRPr="00545ABB" w:rsidRDefault="002428A8" w:rsidP="00903EC6">
      <w:pPr>
        <w:spacing w:after="0" w:line="360" w:lineRule="auto"/>
        <w:jc w:val="center"/>
        <w:rPr>
          <w:rFonts w:ascii="Traditional Arabic" w:eastAsia="Calibri" w:hAnsi="Traditional Arabic" w:cs="Traditional Arabic"/>
          <w:b/>
          <w:bCs/>
          <w:color w:val="000000" w:themeColor="text1"/>
          <w:sz w:val="28"/>
          <w:szCs w:val="28"/>
          <w:rtl/>
          <w:lang w:bidi="ar-EG"/>
        </w:rPr>
      </w:pPr>
      <w:r w:rsidRPr="00545ABB">
        <w:rPr>
          <w:rFonts w:ascii="Traditional Arabic" w:eastAsia="Calibri" w:hAnsi="Traditional Arabic" w:cs="Traditional Arabic"/>
          <w:b/>
          <w:bCs/>
          <w:color w:val="000000" w:themeColor="text1"/>
          <w:sz w:val="28"/>
          <w:szCs w:val="28"/>
          <w:rtl/>
          <w:lang w:bidi="ar-EG"/>
        </w:rPr>
        <w:t>ال</w:t>
      </w:r>
      <w:r w:rsidR="00903EC6" w:rsidRPr="00903EC6">
        <w:rPr>
          <w:rFonts w:ascii="Traditional Arabic" w:eastAsia="Calibri" w:hAnsi="Traditional Arabic" w:cs="Traditional Arabic"/>
          <w:b/>
          <w:bCs/>
          <w:color w:val="000000" w:themeColor="text1"/>
          <w:sz w:val="28"/>
          <w:szCs w:val="28"/>
          <w:rtl/>
          <w:lang w:bidi="ar-EG"/>
        </w:rPr>
        <w:t>شكل (2-1)</w:t>
      </w:r>
      <w:r w:rsidR="00903EC6">
        <w:rPr>
          <w:rFonts w:ascii="Traditional Arabic" w:eastAsia="Calibri" w:hAnsi="Traditional Arabic" w:cs="Traditional Arabic" w:hint="cs"/>
          <w:b/>
          <w:bCs/>
          <w:color w:val="000000" w:themeColor="text1"/>
          <w:sz w:val="28"/>
          <w:szCs w:val="28"/>
          <w:rtl/>
          <w:lang w:bidi="ar-EG"/>
        </w:rPr>
        <w:t xml:space="preserve"> </w:t>
      </w:r>
      <w:r w:rsidRPr="00545ABB">
        <w:rPr>
          <w:rFonts w:ascii="Traditional Arabic" w:eastAsia="Calibri" w:hAnsi="Traditional Arabic" w:cs="Traditional Arabic"/>
          <w:b/>
          <w:bCs/>
          <w:color w:val="000000" w:themeColor="text1"/>
          <w:sz w:val="28"/>
          <w:szCs w:val="28"/>
          <w:rtl/>
          <w:lang w:bidi="ar-EG"/>
        </w:rPr>
        <w:t>إطار الحوكمة الأمن السيبراني الهرمي (</w:t>
      </w:r>
      <w:r w:rsidRPr="00545ABB">
        <w:rPr>
          <w:rFonts w:ascii="Traditional Arabic" w:eastAsia="Calibri" w:hAnsi="Traditional Arabic" w:cs="Traditional Arabic"/>
          <w:b/>
          <w:bCs/>
          <w:color w:val="000000" w:themeColor="text1"/>
          <w:sz w:val="28"/>
          <w:szCs w:val="28"/>
          <w:lang w:bidi="ar-EG"/>
        </w:rPr>
        <w:t>HCGF</w:t>
      </w:r>
      <w:r w:rsidRPr="00545ABB">
        <w:rPr>
          <w:rFonts w:ascii="Traditional Arabic" w:eastAsia="Calibri" w:hAnsi="Traditional Arabic" w:cs="Traditional Arabic"/>
          <w:b/>
          <w:bCs/>
          <w:color w:val="000000" w:themeColor="text1"/>
          <w:sz w:val="28"/>
          <w:szCs w:val="28"/>
          <w:rtl/>
          <w:lang w:bidi="ar-EG"/>
        </w:rPr>
        <w:t xml:space="preserve">) </w:t>
      </w:r>
    </w:p>
    <w:p w14:paraId="13451B55" w14:textId="77777777" w:rsidR="002428A8" w:rsidRPr="00545ABB" w:rsidRDefault="002428A8" w:rsidP="002428A8">
      <w:pPr>
        <w:bidi w:val="0"/>
        <w:spacing w:after="0" w:line="360" w:lineRule="auto"/>
        <w:rPr>
          <w:rFonts w:ascii="Traditional Arabic" w:eastAsia="Calibri" w:hAnsi="Traditional Arabic" w:cs="Traditional Arabic"/>
          <w:b/>
          <w:bCs/>
          <w:color w:val="000000" w:themeColor="text1"/>
          <w:sz w:val="24"/>
          <w:szCs w:val="24"/>
          <w:lang w:bidi="ar-EG"/>
        </w:rPr>
      </w:pPr>
      <w:r w:rsidRPr="00545ABB">
        <w:rPr>
          <w:rFonts w:ascii="Traditional Arabic" w:eastAsia="Calibri" w:hAnsi="Traditional Arabic" w:cs="Traditional Arabic"/>
          <w:b/>
          <w:bCs/>
          <w:color w:val="000000" w:themeColor="text1"/>
          <w:sz w:val="24"/>
          <w:szCs w:val="24"/>
          <w:lang w:bidi="ar-EG"/>
        </w:rPr>
        <w:t>(</w:t>
      </w:r>
      <w:r w:rsidRPr="00545ABB">
        <w:rPr>
          <w:rFonts w:ascii="Traditional Arabic" w:hAnsi="Traditional Arabic" w:cs="Traditional Arabic"/>
          <w:b/>
          <w:bCs/>
          <w:color w:val="000000" w:themeColor="text1"/>
          <w:sz w:val="24"/>
          <w:szCs w:val="24"/>
        </w:rPr>
        <w:t>Hierarchical Cybersecurity Governance Framework, 2021</w:t>
      </w:r>
      <w:r w:rsidRPr="00545ABB">
        <w:rPr>
          <w:rFonts w:ascii="Traditional Arabic" w:eastAsia="Calibri" w:hAnsi="Traditional Arabic" w:cs="Traditional Arabic"/>
          <w:b/>
          <w:bCs/>
          <w:color w:val="000000" w:themeColor="text1"/>
          <w:sz w:val="24"/>
          <w:szCs w:val="24"/>
          <w:lang w:bidi="ar-EG"/>
        </w:rPr>
        <w:t>)</w:t>
      </w:r>
    </w:p>
    <w:p w14:paraId="2A37C14C" w14:textId="24EB9910" w:rsidR="002428A8" w:rsidRPr="00545ABB" w:rsidRDefault="002428A8" w:rsidP="002428A8">
      <w:pPr>
        <w:spacing w:before="240" w:after="0" w:line="360" w:lineRule="auto"/>
        <w:jc w:val="both"/>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ويوضح إطا</w:t>
      </w:r>
      <w:r w:rsidRPr="00545ABB">
        <w:rPr>
          <w:rFonts w:ascii="Traditional Arabic" w:eastAsia="Times New Roman" w:hAnsi="Traditional Arabic" w:cs="Traditional Arabic"/>
          <w:b/>
          <w:bCs/>
          <w:color w:val="000000" w:themeColor="text1"/>
          <w:sz w:val="24"/>
          <w:szCs w:val="24"/>
          <w:rtl/>
          <w:lang w:bidi="ar-EG"/>
        </w:rPr>
        <w:t>ر</w:t>
      </w:r>
      <w:r w:rsidRPr="00545ABB">
        <w:rPr>
          <w:rFonts w:ascii="Traditional Arabic" w:eastAsia="Times New Roman" w:hAnsi="Traditional Arabic" w:cs="Traditional Arabic"/>
          <w:b/>
          <w:bCs/>
          <w:color w:val="000000" w:themeColor="text1"/>
          <w:sz w:val="24"/>
          <w:szCs w:val="24"/>
          <w:rtl/>
        </w:rPr>
        <w:t xml:space="preserve"> </w:t>
      </w:r>
      <w:r w:rsidRPr="00545ABB">
        <w:rPr>
          <w:rFonts w:ascii="Traditional Arabic" w:eastAsia="Times New Roman" w:hAnsi="Traditional Arabic" w:cs="Traditional Arabic"/>
          <w:b/>
          <w:bCs/>
          <w:color w:val="000000" w:themeColor="text1"/>
          <w:sz w:val="24"/>
          <w:szCs w:val="24"/>
        </w:rPr>
        <w:t xml:space="preserve"> HCGF </w:t>
      </w:r>
      <w:r w:rsidRPr="00545ABB">
        <w:rPr>
          <w:rFonts w:ascii="Traditional Arabic" w:eastAsia="Times New Roman" w:hAnsi="Traditional Arabic" w:cs="Traditional Arabic"/>
          <w:b/>
          <w:bCs/>
          <w:color w:val="000000" w:themeColor="text1"/>
          <w:sz w:val="24"/>
          <w:szCs w:val="24"/>
          <w:rtl/>
        </w:rPr>
        <w:t>الطبيعة الهرمية لحوكمة الأمن السيبراني، ويؤكد أهمية التعامل مع الأمن السيبراني ضمن إطار مؤسسي متكامل يرتبط بالحوكمة والإدارة والرقابة، وليس باعتباره وظيفة تقنية منفصلة</w:t>
      </w:r>
      <w:r w:rsidRPr="00545ABB">
        <w:rPr>
          <w:rFonts w:ascii="Traditional Arabic" w:eastAsia="Times New Roman" w:hAnsi="Traditional Arabic" w:cs="Traditional Arabic"/>
          <w:b/>
          <w:bCs/>
          <w:color w:val="000000" w:themeColor="text1"/>
          <w:sz w:val="24"/>
          <w:szCs w:val="24"/>
        </w:rPr>
        <w:t>.</w:t>
      </w:r>
    </w:p>
    <w:p w14:paraId="0A779CB1" w14:textId="504FEAB2" w:rsidR="00671E81" w:rsidRPr="00545ABB" w:rsidRDefault="00671E81" w:rsidP="00671E81">
      <w:pPr>
        <w:bidi w:val="0"/>
        <w:rPr>
          <w:color w:val="000000" w:themeColor="text1"/>
        </w:rPr>
      </w:pPr>
    </w:p>
    <w:p w14:paraId="29C2DF69" w14:textId="77777777" w:rsidR="00671E81" w:rsidRPr="00545ABB" w:rsidRDefault="00671E81" w:rsidP="00671E8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وتشتمل منظومة الضوابط والأطر والمعايير والإرشادات الصادرة عن الهيئة الوطنية للأمن السيبراني في المملكة العربية السعودية على عدد من الوثائق التنظيمية التي تهدف إلى رفع مستوى الحماية السيبرانية، وتعزيز الحوكمة، وتنظيم المسؤوليات، وتمكين الجهات من إدارة المخاطر وحماية أصولها الرقمية. ومن أبرز ما تشتمل عليه هذه المنظومة ما يأتي</w:t>
      </w:r>
      <w:r w:rsidRPr="00545ABB">
        <w:rPr>
          <w:rFonts w:ascii="Traditional Arabic" w:hAnsi="Traditional Arabic" w:cs="Traditional Arabic"/>
          <w:b/>
          <w:bCs/>
          <w:color w:val="000000" w:themeColor="text1"/>
        </w:rPr>
        <w:t>:</w:t>
      </w:r>
    </w:p>
    <w:p w14:paraId="34017FF5" w14:textId="77777777" w:rsidR="00671E81" w:rsidRPr="00545ABB" w:rsidRDefault="00671E81" w:rsidP="00671E81">
      <w:pPr>
        <w:pStyle w:val="Heading3"/>
        <w:bidi/>
        <w:spacing w:line="360" w:lineRule="auto"/>
        <w:rPr>
          <w:rFonts w:ascii="Traditional Arabic" w:hAnsi="Traditional Arabic" w:cs="Traditional Arabic"/>
          <w:b/>
          <w:bCs/>
          <w:color w:val="000000" w:themeColor="text1"/>
        </w:rPr>
      </w:pPr>
      <w:bookmarkStart w:id="38" w:name="_Toc242325199"/>
      <w:r w:rsidRPr="00545ABB">
        <w:rPr>
          <w:rFonts w:ascii="Traditional Arabic" w:hAnsi="Traditional Arabic" w:cs="Traditional Arabic"/>
          <w:b/>
          <w:bCs/>
          <w:color w:val="000000" w:themeColor="text1"/>
          <w:rtl/>
        </w:rPr>
        <w:t>أولًا: الضوابط</w:t>
      </w:r>
      <w:bookmarkEnd w:id="38"/>
    </w:p>
    <w:p w14:paraId="3896B86A" w14:textId="77777777" w:rsidR="00671E81" w:rsidRPr="00545ABB" w:rsidRDefault="00671E81" w:rsidP="00D95153">
      <w:pPr>
        <w:numPr>
          <w:ilvl w:val="0"/>
          <w:numId w:val="2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ضوابط الأمن السيبراني لحسابات التواصل الاجتماعي للجهات</w:t>
      </w:r>
      <w:r w:rsidRPr="00545ABB">
        <w:rPr>
          <w:rFonts w:ascii="Traditional Arabic" w:hAnsi="Traditional Arabic" w:cs="Traditional Arabic"/>
          <w:b/>
          <w:bCs/>
          <w:color w:val="000000" w:themeColor="text1"/>
          <w:sz w:val="24"/>
          <w:szCs w:val="24"/>
        </w:rPr>
        <w:t>.</w:t>
      </w:r>
    </w:p>
    <w:p w14:paraId="092D8F41" w14:textId="77777777" w:rsidR="00671E81" w:rsidRPr="00545ABB" w:rsidRDefault="00671E81" w:rsidP="00D95153">
      <w:pPr>
        <w:numPr>
          <w:ilvl w:val="0"/>
          <w:numId w:val="2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الضوابط الأساسية للأمن السيبراني</w:t>
      </w:r>
      <w:r w:rsidRPr="00545ABB">
        <w:rPr>
          <w:rFonts w:ascii="Traditional Arabic" w:hAnsi="Traditional Arabic" w:cs="Traditional Arabic"/>
          <w:b/>
          <w:bCs/>
          <w:color w:val="000000" w:themeColor="text1"/>
          <w:sz w:val="24"/>
          <w:szCs w:val="24"/>
        </w:rPr>
        <w:t>.</w:t>
      </w:r>
    </w:p>
    <w:p w14:paraId="33DD74CD" w14:textId="77777777" w:rsidR="00671E81" w:rsidRPr="00545ABB" w:rsidRDefault="00671E81" w:rsidP="00D95153">
      <w:pPr>
        <w:numPr>
          <w:ilvl w:val="0"/>
          <w:numId w:val="2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ضوابط الأمن السيبراني للأنظمة الحساسة</w:t>
      </w:r>
      <w:r w:rsidRPr="00545ABB">
        <w:rPr>
          <w:rFonts w:ascii="Traditional Arabic" w:hAnsi="Traditional Arabic" w:cs="Traditional Arabic"/>
          <w:b/>
          <w:bCs/>
          <w:color w:val="000000" w:themeColor="text1"/>
          <w:sz w:val="24"/>
          <w:szCs w:val="24"/>
        </w:rPr>
        <w:t>.</w:t>
      </w:r>
    </w:p>
    <w:p w14:paraId="51D69B30" w14:textId="77777777" w:rsidR="00671E81" w:rsidRPr="00545ABB" w:rsidRDefault="00671E81" w:rsidP="00D95153">
      <w:pPr>
        <w:numPr>
          <w:ilvl w:val="0"/>
          <w:numId w:val="2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lastRenderedPageBreak/>
        <w:t>ضوابط الأمن السيبراني للعمل عن بُعد</w:t>
      </w:r>
      <w:r w:rsidRPr="00545ABB">
        <w:rPr>
          <w:rFonts w:ascii="Traditional Arabic" w:hAnsi="Traditional Arabic" w:cs="Traditional Arabic"/>
          <w:b/>
          <w:bCs/>
          <w:color w:val="000000" w:themeColor="text1"/>
          <w:sz w:val="24"/>
          <w:szCs w:val="24"/>
        </w:rPr>
        <w:t>.</w:t>
      </w:r>
    </w:p>
    <w:p w14:paraId="310C5B8D" w14:textId="77777777" w:rsidR="00671E81" w:rsidRPr="00545ABB" w:rsidRDefault="00671E81" w:rsidP="00D95153">
      <w:pPr>
        <w:numPr>
          <w:ilvl w:val="0"/>
          <w:numId w:val="2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ضوابط الأمن السيبراني للحوسبة السحابية</w:t>
      </w:r>
      <w:r w:rsidRPr="00545ABB">
        <w:rPr>
          <w:rFonts w:ascii="Traditional Arabic" w:hAnsi="Traditional Arabic" w:cs="Traditional Arabic"/>
          <w:b/>
          <w:bCs/>
          <w:color w:val="000000" w:themeColor="text1"/>
          <w:sz w:val="24"/>
          <w:szCs w:val="24"/>
        </w:rPr>
        <w:t>.</w:t>
      </w:r>
    </w:p>
    <w:p w14:paraId="42210544" w14:textId="77777777" w:rsidR="00671E81" w:rsidRPr="00545ABB" w:rsidRDefault="00671E81" w:rsidP="00D95153">
      <w:pPr>
        <w:numPr>
          <w:ilvl w:val="0"/>
          <w:numId w:val="2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ضوابط الأمن السيبراني للأنظمة التشغيلية</w:t>
      </w:r>
      <w:r w:rsidRPr="00545ABB">
        <w:rPr>
          <w:rFonts w:ascii="Traditional Arabic" w:hAnsi="Traditional Arabic" w:cs="Traditional Arabic"/>
          <w:b/>
          <w:bCs/>
          <w:color w:val="000000" w:themeColor="text1"/>
          <w:sz w:val="24"/>
          <w:szCs w:val="24"/>
        </w:rPr>
        <w:t>.</w:t>
      </w:r>
    </w:p>
    <w:p w14:paraId="07D3E1C4" w14:textId="77777777" w:rsidR="00671E81" w:rsidRPr="00545ABB" w:rsidRDefault="00671E81" w:rsidP="00D95153">
      <w:pPr>
        <w:numPr>
          <w:ilvl w:val="0"/>
          <w:numId w:val="2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ضوابط الأمن السيبراني للبيانات</w:t>
      </w:r>
      <w:r w:rsidRPr="00545ABB">
        <w:rPr>
          <w:rFonts w:ascii="Traditional Arabic" w:hAnsi="Traditional Arabic" w:cs="Traditional Arabic"/>
          <w:b/>
          <w:bCs/>
          <w:color w:val="000000" w:themeColor="text1"/>
          <w:sz w:val="24"/>
          <w:szCs w:val="24"/>
        </w:rPr>
        <w:t>.</w:t>
      </w:r>
    </w:p>
    <w:p w14:paraId="6688CA6F" w14:textId="77777777" w:rsidR="00671E81" w:rsidRPr="00545ABB" w:rsidRDefault="00671E81" w:rsidP="00671E81">
      <w:pPr>
        <w:pStyle w:val="Heading3"/>
        <w:bidi/>
        <w:spacing w:line="360" w:lineRule="auto"/>
        <w:rPr>
          <w:rFonts w:ascii="Traditional Arabic" w:hAnsi="Traditional Arabic" w:cs="Traditional Arabic"/>
          <w:b/>
          <w:bCs/>
          <w:color w:val="000000" w:themeColor="text1"/>
        </w:rPr>
      </w:pPr>
      <w:bookmarkStart w:id="39" w:name="_Toc242325200"/>
      <w:r w:rsidRPr="00545ABB">
        <w:rPr>
          <w:rFonts w:ascii="Traditional Arabic" w:hAnsi="Traditional Arabic" w:cs="Traditional Arabic"/>
          <w:b/>
          <w:bCs/>
          <w:color w:val="000000" w:themeColor="text1"/>
          <w:rtl/>
        </w:rPr>
        <w:t>ثانيًا: الأطر والمعايير</w:t>
      </w:r>
      <w:bookmarkEnd w:id="39"/>
    </w:p>
    <w:p w14:paraId="28CAE0F0" w14:textId="77777777" w:rsidR="00671E81" w:rsidRPr="00545ABB" w:rsidRDefault="00671E81" w:rsidP="00D95153">
      <w:pPr>
        <w:numPr>
          <w:ilvl w:val="0"/>
          <w:numId w:val="2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المعايير الوطنية للتشفير</w:t>
      </w:r>
      <w:r w:rsidRPr="00545ABB">
        <w:rPr>
          <w:rFonts w:ascii="Traditional Arabic" w:hAnsi="Traditional Arabic" w:cs="Traditional Arabic"/>
          <w:b/>
          <w:bCs/>
          <w:color w:val="000000" w:themeColor="text1"/>
          <w:sz w:val="24"/>
          <w:szCs w:val="24"/>
        </w:rPr>
        <w:t>.</w:t>
      </w:r>
    </w:p>
    <w:p w14:paraId="0A241E26" w14:textId="77777777" w:rsidR="00671E81" w:rsidRPr="00545ABB" w:rsidRDefault="00671E81" w:rsidP="00D95153">
      <w:pPr>
        <w:numPr>
          <w:ilvl w:val="0"/>
          <w:numId w:val="2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الإطار السعودي للتعليم العالي في الأمن السيبراني (سايبر-التعليم)</w:t>
      </w:r>
      <w:r w:rsidRPr="00545ABB">
        <w:rPr>
          <w:rFonts w:ascii="Traditional Arabic" w:hAnsi="Traditional Arabic" w:cs="Traditional Arabic"/>
          <w:b/>
          <w:bCs/>
          <w:color w:val="000000" w:themeColor="text1"/>
          <w:sz w:val="24"/>
          <w:szCs w:val="24"/>
        </w:rPr>
        <w:t>.</w:t>
      </w:r>
    </w:p>
    <w:p w14:paraId="26A54BCF" w14:textId="77777777" w:rsidR="00671E81" w:rsidRPr="00545ABB" w:rsidRDefault="00671E81" w:rsidP="00D95153">
      <w:pPr>
        <w:numPr>
          <w:ilvl w:val="0"/>
          <w:numId w:val="2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السياسة الوطنية لمراكز عمليات الأمن السيبراني المُدارة</w:t>
      </w:r>
      <w:r w:rsidRPr="00545ABB">
        <w:rPr>
          <w:rFonts w:ascii="Traditional Arabic" w:hAnsi="Traditional Arabic" w:cs="Traditional Arabic"/>
          <w:b/>
          <w:bCs/>
          <w:color w:val="000000" w:themeColor="text1"/>
          <w:sz w:val="24"/>
          <w:szCs w:val="24"/>
        </w:rPr>
        <w:t>.</w:t>
      </w:r>
    </w:p>
    <w:p w14:paraId="2E59F9ED" w14:textId="77777777" w:rsidR="00671E81" w:rsidRPr="00545ABB" w:rsidRDefault="00671E81" w:rsidP="00D95153">
      <w:pPr>
        <w:numPr>
          <w:ilvl w:val="0"/>
          <w:numId w:val="2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الإطار التنظيمي لترخيص تقديم خدمات مراكز عمليات الأمن السيبراني المُدارة</w:t>
      </w:r>
      <w:r w:rsidRPr="00545ABB">
        <w:rPr>
          <w:rFonts w:ascii="Traditional Arabic" w:hAnsi="Traditional Arabic" w:cs="Traditional Arabic"/>
          <w:b/>
          <w:bCs/>
          <w:color w:val="000000" w:themeColor="text1"/>
          <w:sz w:val="24"/>
          <w:szCs w:val="24"/>
        </w:rPr>
        <w:t>.</w:t>
      </w:r>
    </w:p>
    <w:p w14:paraId="4CD5B5A4" w14:textId="77777777" w:rsidR="00671E81" w:rsidRPr="00545ABB" w:rsidRDefault="00671E81" w:rsidP="00D95153">
      <w:pPr>
        <w:numPr>
          <w:ilvl w:val="0"/>
          <w:numId w:val="2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الإطار السعودي لكوادر الأمن السيبراني (سيوف)</w:t>
      </w:r>
      <w:r w:rsidRPr="00545ABB">
        <w:rPr>
          <w:rFonts w:ascii="Traditional Arabic" w:hAnsi="Traditional Arabic" w:cs="Traditional Arabic"/>
          <w:b/>
          <w:bCs/>
          <w:color w:val="000000" w:themeColor="text1"/>
          <w:sz w:val="24"/>
          <w:szCs w:val="24"/>
        </w:rPr>
        <w:t>.</w:t>
      </w:r>
    </w:p>
    <w:p w14:paraId="3DA6256D" w14:textId="77777777" w:rsidR="00671E81" w:rsidRPr="00545ABB" w:rsidRDefault="00671E81" w:rsidP="00D95153">
      <w:pPr>
        <w:numPr>
          <w:ilvl w:val="0"/>
          <w:numId w:val="2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الإطار الوطني لإدارة مخاطر الأمن السيبراني</w:t>
      </w:r>
      <w:r w:rsidRPr="00545ABB">
        <w:rPr>
          <w:rFonts w:ascii="Traditional Arabic" w:hAnsi="Traditional Arabic" w:cs="Traditional Arabic"/>
          <w:b/>
          <w:bCs/>
          <w:color w:val="000000" w:themeColor="text1"/>
          <w:sz w:val="24"/>
          <w:szCs w:val="24"/>
        </w:rPr>
        <w:t>.</w:t>
      </w:r>
    </w:p>
    <w:p w14:paraId="29F6A010" w14:textId="77777777" w:rsidR="00671E81" w:rsidRPr="00545ABB" w:rsidRDefault="00671E81" w:rsidP="00671E81">
      <w:pPr>
        <w:pStyle w:val="Heading3"/>
        <w:bidi/>
        <w:spacing w:line="360" w:lineRule="auto"/>
        <w:rPr>
          <w:rFonts w:ascii="Traditional Arabic" w:hAnsi="Traditional Arabic" w:cs="Traditional Arabic"/>
          <w:b/>
          <w:bCs/>
          <w:color w:val="000000" w:themeColor="text1"/>
        </w:rPr>
      </w:pPr>
      <w:bookmarkStart w:id="40" w:name="_Toc242325201"/>
      <w:r w:rsidRPr="00545ABB">
        <w:rPr>
          <w:rFonts w:ascii="Traditional Arabic" w:hAnsi="Traditional Arabic" w:cs="Traditional Arabic"/>
          <w:b/>
          <w:bCs/>
          <w:color w:val="000000" w:themeColor="text1"/>
          <w:rtl/>
        </w:rPr>
        <w:t>ثالثًا: الإرشادات والأدوات المساعدة</w:t>
      </w:r>
      <w:bookmarkEnd w:id="40"/>
    </w:p>
    <w:p w14:paraId="75675B01" w14:textId="77777777" w:rsidR="00671E81" w:rsidRPr="00545ABB" w:rsidRDefault="00671E81" w:rsidP="00D95153">
      <w:pPr>
        <w:numPr>
          <w:ilvl w:val="0"/>
          <w:numId w:val="2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إرشادات الأمن السيبراني للتجارة الإلكترونية</w:t>
      </w:r>
      <w:r w:rsidRPr="00545ABB">
        <w:rPr>
          <w:rFonts w:ascii="Traditional Arabic" w:hAnsi="Traditional Arabic" w:cs="Traditional Arabic"/>
          <w:b/>
          <w:bCs/>
          <w:color w:val="000000" w:themeColor="text1"/>
          <w:sz w:val="24"/>
          <w:szCs w:val="24"/>
        </w:rPr>
        <w:t>.</w:t>
      </w:r>
    </w:p>
    <w:p w14:paraId="191B235C" w14:textId="77777777" w:rsidR="00671E81" w:rsidRPr="00545ABB" w:rsidRDefault="00671E81" w:rsidP="00D95153">
      <w:pPr>
        <w:numPr>
          <w:ilvl w:val="0"/>
          <w:numId w:val="2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أدوات الأمن السيبراني</w:t>
      </w:r>
      <w:r w:rsidRPr="00545ABB">
        <w:rPr>
          <w:rFonts w:ascii="Traditional Arabic" w:hAnsi="Traditional Arabic" w:cs="Traditional Arabic"/>
          <w:b/>
          <w:bCs/>
          <w:color w:val="000000" w:themeColor="text1"/>
          <w:sz w:val="24"/>
          <w:szCs w:val="24"/>
        </w:rPr>
        <w:t>.</w:t>
      </w:r>
    </w:p>
    <w:p w14:paraId="41284CC6" w14:textId="77777777" w:rsidR="00671E81" w:rsidRPr="00545ABB" w:rsidRDefault="00671E81" w:rsidP="00D95153">
      <w:pPr>
        <w:numPr>
          <w:ilvl w:val="0"/>
          <w:numId w:val="2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إرشادات الأمن السيبراني لاختيار مستوى التحقق من هوية مستخدمي الخدمات الإلكترونية</w:t>
      </w:r>
      <w:r w:rsidRPr="00545ABB">
        <w:rPr>
          <w:rFonts w:ascii="Traditional Arabic" w:hAnsi="Traditional Arabic" w:cs="Traditional Arabic"/>
          <w:b/>
          <w:bCs/>
          <w:color w:val="000000" w:themeColor="text1"/>
          <w:sz w:val="24"/>
          <w:szCs w:val="24"/>
        </w:rPr>
        <w:t>.</w:t>
      </w:r>
    </w:p>
    <w:p w14:paraId="4216254A" w14:textId="77777777" w:rsidR="00671E81" w:rsidRPr="00545ABB" w:rsidRDefault="00671E81" w:rsidP="00D95153">
      <w:pPr>
        <w:numPr>
          <w:ilvl w:val="0"/>
          <w:numId w:val="2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مذكرة إرشادية حول النظام الأوروبي لحماية البيانات الشخصية</w:t>
      </w:r>
      <w:r w:rsidRPr="00545ABB">
        <w:rPr>
          <w:rFonts w:ascii="Traditional Arabic" w:hAnsi="Traditional Arabic" w:cs="Traditional Arabic"/>
          <w:b/>
          <w:bCs/>
          <w:color w:val="000000" w:themeColor="text1"/>
          <w:sz w:val="24"/>
          <w:szCs w:val="24"/>
        </w:rPr>
        <w:t>.</w:t>
      </w:r>
    </w:p>
    <w:p w14:paraId="66A16E28" w14:textId="77777777" w:rsidR="00671E81" w:rsidRPr="00545ABB" w:rsidRDefault="00671E81" w:rsidP="00D95153">
      <w:pPr>
        <w:numPr>
          <w:ilvl w:val="0"/>
          <w:numId w:val="2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الأدلة الإرشادية لتطبيق ضوابط الأمن السيبراني</w:t>
      </w:r>
      <w:r w:rsidRPr="00545ABB">
        <w:rPr>
          <w:rFonts w:ascii="Traditional Arabic" w:hAnsi="Traditional Arabic" w:cs="Traditional Arabic"/>
          <w:b/>
          <w:bCs/>
          <w:color w:val="000000" w:themeColor="text1"/>
          <w:sz w:val="24"/>
          <w:szCs w:val="24"/>
        </w:rPr>
        <w:t>.</w:t>
      </w:r>
    </w:p>
    <w:p w14:paraId="5A0BF269" w14:textId="77777777" w:rsidR="00671E81" w:rsidRPr="00545ABB" w:rsidRDefault="00671E81" w:rsidP="00D95153">
      <w:pPr>
        <w:numPr>
          <w:ilvl w:val="0"/>
          <w:numId w:val="2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إرشادات الأمن السيبراني لإنترنت الأشياء</w:t>
      </w:r>
      <w:r w:rsidRPr="00545ABB">
        <w:rPr>
          <w:rFonts w:ascii="Traditional Arabic" w:hAnsi="Traditional Arabic" w:cs="Traditional Arabic"/>
          <w:b/>
          <w:bCs/>
          <w:color w:val="000000" w:themeColor="text1"/>
          <w:sz w:val="24"/>
          <w:szCs w:val="24"/>
        </w:rPr>
        <w:t>.</w:t>
      </w:r>
    </w:p>
    <w:p w14:paraId="175F85FB" w14:textId="77777777" w:rsidR="00671E81" w:rsidRPr="00545ABB" w:rsidRDefault="00671E81" w:rsidP="00671E81">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المصدر: الهيئة الوطنية للأمن السيبراني، الوثائق التنظيمية، تحديثات متعددة خلال الأعوام </w:t>
      </w:r>
      <w:r w:rsidRPr="00545ABB">
        <w:rPr>
          <w:rStyle w:val="Strong"/>
          <w:rFonts w:ascii="Traditional Arabic" w:hAnsi="Traditional Arabic" w:cs="Traditional Arabic"/>
          <w:color w:val="000000" w:themeColor="text1"/>
        </w:rPr>
        <w:t>2018–2026.</w:t>
      </w:r>
    </w:p>
    <w:p w14:paraId="46A3ADDF" w14:textId="77777777" w:rsidR="00671E81" w:rsidRPr="00545ABB" w:rsidRDefault="00671E81" w:rsidP="00671E8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وتوفر هذه المنظومة أساسًا تنظيميًا يساعد المؤسسات على رفع مستوى الحماية السيبرانية، وتنظيم مسؤولياتها وإجراءاتها المرتبطة بإدارة المخاطر وحماية الأصول الرقمية، كما تمثل مرجعًا مهمًا لشركات الأمن السيبراني عند تطوير خدماتها وحلولها بما يتوافق مع البيئة التنظيمية في المملكة</w:t>
      </w:r>
      <w:r w:rsidRPr="00545ABB">
        <w:rPr>
          <w:rFonts w:ascii="Traditional Arabic" w:hAnsi="Traditional Arabic" w:cs="Traditional Arabic"/>
          <w:b/>
          <w:bCs/>
          <w:color w:val="000000" w:themeColor="text1"/>
        </w:rPr>
        <w:t>.</w:t>
      </w:r>
    </w:p>
    <w:p w14:paraId="10522CFD" w14:textId="77777777" w:rsidR="00671E81" w:rsidRPr="00545ABB" w:rsidRDefault="00671E81" w:rsidP="00671E8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هذه المنظومة أهمية خاصة بالنسبة لشركات الأمن السيبراني الناشئة، إذ تساعدها على فهم المتطلبات التنظيمية ذات الصلة بنشاطها، وبناء ممارساتها الداخلية على أسس أكثر وضوحًا في مجالات الحوكمة وإدارة المخاطر والامتثال. كما تسهم في تعزيز موثوقية هذه الشركات لدى العملاء والمستثمرين وأصحاب المصلحة، ورفع قدرتها على تقديم خدمات وحلول تتوافق مع المتطلبات الوطنية للأمن السيبراني</w:t>
      </w:r>
      <w:r w:rsidRPr="00545ABB">
        <w:rPr>
          <w:rFonts w:ascii="Traditional Arabic" w:hAnsi="Traditional Arabic" w:cs="Traditional Arabic"/>
          <w:b/>
          <w:bCs/>
          <w:color w:val="000000" w:themeColor="text1"/>
        </w:rPr>
        <w:t>.</w:t>
      </w:r>
    </w:p>
    <w:p w14:paraId="3B94ABBE" w14:textId="77777777" w:rsidR="00671E81" w:rsidRPr="00545ABB" w:rsidRDefault="00671E81" w:rsidP="00671E8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منظور الحوكمة، فإن الالتزام بهذه الضوابط والأطر والإرشادات لا يقتصر على تحقيق المتطلبات التقنية فقط، بل يمتد إلى تنظيم الأدوار والمسؤوليات، واعتماد السياسات والإجراءات، وإدارة المخاطر، ومتابعة الالتزام، وقياس مستوى الأداء والنضج السيبراني. ومن ثم، فإنها تمثل أحد المرتكزات الداعمة لبناء شركات أمن سيبراني أكثر قدرة على النمو والاستدامة والمنافسة في السوق السعودي</w:t>
      </w:r>
      <w:r w:rsidRPr="00545ABB">
        <w:rPr>
          <w:rFonts w:ascii="Traditional Arabic" w:hAnsi="Traditional Arabic" w:cs="Traditional Arabic"/>
          <w:b/>
          <w:bCs/>
          <w:color w:val="000000" w:themeColor="text1"/>
        </w:rPr>
        <w:t>.</w:t>
      </w:r>
    </w:p>
    <w:p w14:paraId="00D90538" w14:textId="77777777" w:rsidR="00671E81" w:rsidRPr="00545ABB" w:rsidRDefault="00671E81" w:rsidP="00287B34">
      <w:pPr>
        <w:pStyle w:val="Heading2"/>
        <w:bidi/>
        <w:rPr>
          <w:rFonts w:ascii="Traditional Arabic" w:eastAsia="Times New Roman" w:hAnsi="Traditional Arabic" w:cs="Traditional Arabic"/>
          <w:color w:val="000000" w:themeColor="text1"/>
          <w:rtl/>
        </w:rPr>
      </w:pPr>
    </w:p>
    <w:p w14:paraId="4A7E7558" w14:textId="010390DC" w:rsidR="002428A8" w:rsidRPr="00545ABB" w:rsidRDefault="002428A8" w:rsidP="00671E81">
      <w:pPr>
        <w:pStyle w:val="Heading2"/>
        <w:bidi/>
        <w:rPr>
          <w:rFonts w:ascii="Traditional Arabic" w:eastAsia="Times New Roman" w:hAnsi="Traditional Arabic" w:cs="Traditional Arabic"/>
          <w:b/>
          <w:bCs/>
          <w:color w:val="000000" w:themeColor="text1"/>
        </w:rPr>
      </w:pPr>
      <w:bookmarkStart w:id="41" w:name="_Toc242325202"/>
      <w:r w:rsidRPr="00545ABB">
        <w:rPr>
          <w:rFonts w:ascii="Traditional Arabic" w:eastAsia="Times New Roman" w:hAnsi="Traditional Arabic" w:cs="Traditional Arabic"/>
          <w:b/>
          <w:bCs/>
          <w:color w:val="000000" w:themeColor="text1"/>
          <w:rtl/>
        </w:rPr>
        <w:t>دور شركات الأمن السيبراني في دعم تطبيق الأطر والضوابط</w:t>
      </w:r>
      <w:bookmarkEnd w:id="41"/>
    </w:p>
    <w:p w14:paraId="4ECCFE73" w14:textId="77777777" w:rsidR="00B93C83" w:rsidRPr="00545ABB" w:rsidRDefault="00B93C83" w:rsidP="00B93C83">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تؤدي شركات الأمن السيبراني دورًا مهمًا في مساعدة المؤسسات على تطبيق المتطلبات والأطر والضوابط السيبرانية، ولا يقتصر هذا الدور على توفير الحلول التقنية فقط، وإنما يمتد إلى تقديم الخبرات المتخصصة والخدمات الاستشارية والفنية التي تساعد الجهات على فهم المتطلبات التنظيمية وتطبيقها بصورة عملية تتناسب مع طبيعة أعمالها ومستوى المخاطر التي تواجهها</w:t>
      </w:r>
      <w:r w:rsidRPr="00545ABB">
        <w:rPr>
          <w:rFonts w:ascii="Traditional Arabic" w:eastAsia="Times New Roman" w:hAnsi="Traditional Arabic" w:cs="Traditional Arabic"/>
          <w:b/>
          <w:bCs/>
          <w:color w:val="000000" w:themeColor="text1"/>
          <w:sz w:val="24"/>
          <w:szCs w:val="24"/>
        </w:rPr>
        <w:t>.</w:t>
      </w:r>
    </w:p>
    <w:p w14:paraId="294A5C24" w14:textId="77777777" w:rsidR="00B93C83" w:rsidRPr="00545ABB" w:rsidRDefault="00B93C83" w:rsidP="00B93C83">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وتسهم هذه الشركات في عدد من المجالات المرتبطة بتطبيق الأطر والضوابط، من بينها تقييم المخاطر السيبرانية، وتحليل مستوى الالتزام، وتحديد الفجوات، ومراجعة الإعدادات الأمنية، واختبارات الاختراق وتقييم الثغرات، إضافة إلى المساعدة في اختيار الحلول التقنية المناسبة وتطوير السياسات والإجراءات المرتبطة بالأمن السيبراني. كما يمكن أن تسهم في دعم الجهات في قياس مستوى النضج السيبراني، ومتابعة تنفيذ خطط المعالجة والتحسين، ورفع مستوى الاستعداد لمواجهة التهديدات والحوادث السيبرانية</w:t>
      </w:r>
      <w:r w:rsidRPr="00545ABB">
        <w:rPr>
          <w:rFonts w:ascii="Traditional Arabic" w:eastAsia="Times New Roman" w:hAnsi="Traditional Arabic" w:cs="Traditional Arabic"/>
          <w:b/>
          <w:bCs/>
          <w:color w:val="000000" w:themeColor="text1"/>
          <w:sz w:val="24"/>
          <w:szCs w:val="24"/>
        </w:rPr>
        <w:t>.</w:t>
      </w:r>
    </w:p>
    <w:p w14:paraId="24BDAD2B" w14:textId="77777777" w:rsidR="00B93C83" w:rsidRPr="00545ABB" w:rsidRDefault="00B93C83" w:rsidP="00B93C83">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ولا يقتصر دور شركات الأمن السيبراني على الجوانب الفنية والتنفيذية، بل يمتد كذلك إلى دعم الجوانب المرتبطة بالحوكمة وإدارة المخاطر والامتثال، وذلك من خلال تقديم المشورة المتخصصة، والمساعدة في تحديد الأدوار والمسؤوليات، وربط متطلبات الأمن السيبراني بالأهداف الاستراتيجية للمنظمة، بما يعزز من كفاءة اتخاذ القرار ويرفع مستوى المساءلة والرقابة</w:t>
      </w:r>
      <w:r w:rsidRPr="00545ABB">
        <w:rPr>
          <w:rFonts w:ascii="Traditional Arabic" w:eastAsia="Times New Roman" w:hAnsi="Traditional Arabic" w:cs="Traditional Arabic"/>
          <w:b/>
          <w:bCs/>
          <w:color w:val="000000" w:themeColor="text1"/>
          <w:sz w:val="24"/>
          <w:szCs w:val="24"/>
        </w:rPr>
        <w:t>.</w:t>
      </w:r>
    </w:p>
    <w:p w14:paraId="1BA9072A" w14:textId="77777777" w:rsidR="00B93C83" w:rsidRPr="00545ABB" w:rsidRDefault="00B93C83" w:rsidP="00B93C83">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lastRenderedPageBreak/>
        <w:t>كما تسهم هذه الشركات في رفع مستوى الوعي والجاهزية السيبرانية لدى المؤسسات من خلال تقديم برامج التوعية والتدريب، ونقل المعرفة والخبرات، ومشاركة أفضل الممارسات والتجارب المهنية، وهو ما يساعد على بناء قدرات داخلية أكثر كفاءة ويعزز من قدرة المؤسسات على الاستجابة للمخاطر والتهديدات السيبرانية بصورة أكثر فاعلية</w:t>
      </w:r>
      <w:r w:rsidRPr="00545ABB">
        <w:rPr>
          <w:rFonts w:ascii="Traditional Arabic" w:eastAsia="Times New Roman" w:hAnsi="Traditional Arabic" w:cs="Traditional Arabic"/>
          <w:b/>
          <w:bCs/>
          <w:color w:val="000000" w:themeColor="text1"/>
          <w:sz w:val="24"/>
          <w:szCs w:val="24"/>
        </w:rPr>
        <w:t>.</w:t>
      </w:r>
    </w:p>
    <w:p w14:paraId="3E84A71B" w14:textId="77777777" w:rsidR="00B93C83" w:rsidRPr="00545ABB" w:rsidRDefault="00B93C83" w:rsidP="00B93C83">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وتكتسب هذه الأدوار أهمية أكبر مع التطور المستمر في طبيعة التهديدات السيبرانية، وتنوع التقنيات المستخدمة، وتزايد المتطلبات التنظيمية، الأمر الذي قد يجعل بعض المؤسسات بحاجة إلى خبرات خارجية متخصصة لدعم قدراتها الداخلية وتسريع عملية الامتثال وتطبيق الضوابط بصورة أكثر كفاءة</w:t>
      </w:r>
      <w:r w:rsidRPr="00545ABB">
        <w:rPr>
          <w:rFonts w:ascii="Traditional Arabic" w:eastAsia="Times New Roman" w:hAnsi="Traditional Arabic" w:cs="Traditional Arabic"/>
          <w:b/>
          <w:bCs/>
          <w:color w:val="000000" w:themeColor="text1"/>
          <w:sz w:val="24"/>
          <w:szCs w:val="24"/>
        </w:rPr>
        <w:t>.</w:t>
      </w:r>
    </w:p>
    <w:p w14:paraId="020B9047" w14:textId="77777777" w:rsidR="00B93C83" w:rsidRPr="00545ABB" w:rsidRDefault="00B93C83" w:rsidP="00B93C83">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ومن منظور شركات الأمن السيبراني الناشئة، فإن المشاركة في دعم الجهات على تطبيق الأطر والضوابط تمثل فرصة مهمة لبناء الخبرة المؤسسية وتعزيز الموثوقية في السوق، كما تتيح لهذه الشركات تطوير خدماتها بما يتوافق مع الاحتياجات التنظيمية والفنية المتغيرة. ويسهم ذلك في رفع قدرتها على المنافسة، وبناء علاقات طويلة الأمد مع العملاء، وتعزيز فرص النمو والاستدامة</w:t>
      </w:r>
      <w:r w:rsidRPr="00545ABB">
        <w:rPr>
          <w:rFonts w:ascii="Traditional Arabic" w:eastAsia="Times New Roman" w:hAnsi="Traditional Arabic" w:cs="Traditional Arabic"/>
          <w:b/>
          <w:bCs/>
          <w:color w:val="000000" w:themeColor="text1"/>
          <w:sz w:val="24"/>
          <w:szCs w:val="24"/>
        </w:rPr>
        <w:t>.</w:t>
      </w:r>
    </w:p>
    <w:p w14:paraId="10AAA2A0" w14:textId="77777777" w:rsidR="00B93C83" w:rsidRPr="00545ABB" w:rsidRDefault="00B93C83" w:rsidP="00B93C83">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ومن ثم، فإن وجود شركات متخصصة في الأمن السيبراني يمثل أحد العناصر الداعمة لتطبيق الأطر والضوابط الوطنية، خاصة في ظل التوسع المستمر في الخدمات الرقمية وتزايد حجم المخاطر والتهديدات السيبرانية. كما أن كفاءة هذه الشركات وقدرتها على الجمع بين المعرفة التقنية والفهم التنظيمي والقدرة الاستشارية تمثل عاملًا مهمًا في دعم المؤسسات على تحقيق مستويات أعلى من الالتزام والنضج السيبراني</w:t>
      </w:r>
      <w:r w:rsidRPr="00545ABB">
        <w:rPr>
          <w:rFonts w:ascii="Traditional Arabic" w:eastAsia="Times New Roman" w:hAnsi="Traditional Arabic" w:cs="Traditional Arabic"/>
          <w:b/>
          <w:bCs/>
          <w:color w:val="000000" w:themeColor="text1"/>
          <w:sz w:val="24"/>
          <w:szCs w:val="24"/>
        </w:rPr>
        <w:t>.</w:t>
      </w:r>
    </w:p>
    <w:p w14:paraId="04001378" w14:textId="0EEFEA01" w:rsidR="00560DE5" w:rsidRPr="00545ABB" w:rsidRDefault="00560DE5" w:rsidP="00560DE5">
      <w:pPr>
        <w:pStyle w:val="Heading2"/>
        <w:bidi/>
        <w:rPr>
          <w:rFonts w:ascii="Traditional Arabic" w:hAnsi="Traditional Arabic" w:cs="Traditional Arabic"/>
          <w:b/>
          <w:bCs/>
          <w:color w:val="000000" w:themeColor="text1"/>
        </w:rPr>
      </w:pPr>
      <w:bookmarkStart w:id="42" w:name="_Toc242325203"/>
      <w:r w:rsidRPr="00545ABB">
        <w:rPr>
          <w:rFonts w:ascii="Traditional Arabic" w:hAnsi="Traditional Arabic" w:cs="Traditional Arabic"/>
          <w:b/>
          <w:bCs/>
          <w:color w:val="000000" w:themeColor="text1"/>
          <w:rtl/>
        </w:rPr>
        <w:t>أهداف الحوكمة بالنسبة للشركات الناشئة</w:t>
      </w:r>
      <w:bookmarkEnd w:id="42"/>
    </w:p>
    <w:p w14:paraId="44AACC7F" w14:textId="2CE26316" w:rsidR="00560DE5" w:rsidRPr="00545ABB" w:rsidRDefault="00560DE5" w:rsidP="00AE793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تختلف أهداف الحوكمة في الشركات الناشئة عن نظيراتها في الشركات التقليدية من حيث درجة التعقيد وآليات التطبيق، وذلك نظرًا لطبيعة الشركات الناشئة التي تتسم بسرعة النمو، ومحدودية الموارد، والاعتماد الكبير على المؤسسين، والحاجة المستمرة إلى التمويل والاستثمار. وغالبًا ما يتمثل أحد الأهداف الرئيسة لهذه الشركات في تحقيق النمو والتوسع خلال المراحل الأولى من تأسيسها، إلا أن التركيز على النمو لا ينبغي أن يكون على حساب بناء أسس تنظيمية وإدارية سليمة</w:t>
      </w:r>
      <w:r w:rsidRPr="00545ABB">
        <w:rPr>
          <w:rFonts w:ascii="Traditional Arabic" w:hAnsi="Traditional Arabic" w:cs="Traditional Arabic"/>
          <w:b/>
          <w:bCs/>
          <w:color w:val="000000" w:themeColor="text1"/>
        </w:rPr>
        <w:t>.</w:t>
      </w:r>
    </w:p>
    <w:p w14:paraId="67740877" w14:textId="77777777" w:rsidR="00560DE5" w:rsidRPr="00545ABB" w:rsidRDefault="00560DE5" w:rsidP="00AE793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ومن هذا المنطلق، تمثل الحوكمة عنصرًا أساسيًا في دعم استدامة الشركات الناشئة، وتعزيز قدرتها على مواجهة التحديات المستقبلية، والحد من الاختلالات التنظيمية التي قد تنتج عن النمو المتسارع أو التغيرات المستمرة في بيئة الأعمال. كما تزداد أهمية الحوكمة في الشركات الناشئة المبتكرة </w:t>
      </w:r>
      <w:r w:rsidRPr="00545ABB">
        <w:rPr>
          <w:rFonts w:ascii="Traditional Arabic" w:hAnsi="Traditional Arabic" w:cs="Traditional Arabic"/>
          <w:b/>
          <w:bCs/>
          <w:color w:val="000000" w:themeColor="text1"/>
          <w:rtl/>
        </w:rPr>
        <w:lastRenderedPageBreak/>
        <w:t>وذات النمو السريع، حيث يصبح من الضروري تبني نهج استباقي يضمن تأسيس هياكل واضحة للمسؤوليات والصلاحيات قبل الانتقال إلى مراحل أكثر تعقيدًا من التوسع والنمو</w:t>
      </w:r>
      <w:r w:rsidRPr="00545ABB">
        <w:rPr>
          <w:rFonts w:ascii="Traditional Arabic" w:hAnsi="Traditional Arabic" w:cs="Traditional Arabic"/>
          <w:b/>
          <w:bCs/>
          <w:color w:val="000000" w:themeColor="text1"/>
        </w:rPr>
        <w:t>.</w:t>
      </w:r>
    </w:p>
    <w:p w14:paraId="69759F62" w14:textId="77777777" w:rsidR="00560DE5" w:rsidRPr="00545ABB" w:rsidRDefault="00560DE5" w:rsidP="00AE793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وتسهم الحوكمة كذلك في توفير إطار واضح لعمليات الرقابة واتخاذ القرار وإدارة المخاطر، بما يساعد على تعزيز المساءلة، وتقليل احتمالات تضارب المصالح، وتحسين مستوى الشفافية، ورفع كفاءة استخدام الموارد. كما تساعد على تحقيق التوازن بين متطلبات المرونة وسرعة اتخاذ القرار من جهة، والحاجة إلى الانضباط المؤسسي والرقابة من جهة أخرى</w:t>
      </w:r>
      <w:r w:rsidRPr="00545ABB">
        <w:rPr>
          <w:rFonts w:ascii="Traditional Arabic" w:hAnsi="Traditional Arabic" w:cs="Traditional Arabic"/>
          <w:b/>
          <w:bCs/>
          <w:color w:val="000000" w:themeColor="text1"/>
        </w:rPr>
        <w:t>.</w:t>
      </w:r>
    </w:p>
    <w:p w14:paraId="607070DB" w14:textId="77777777" w:rsidR="00560DE5" w:rsidRPr="00545ABB" w:rsidRDefault="00560DE5" w:rsidP="00AE793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وعليه، فإن وجود منظومة حوكمة فعالة منذ المراحل الأولى من عمر الشركة يمثل ركيزة مهمة لدعم النمو المستدام وتحقيق الاستقرار المؤسسي، كما يساعد على تهيئة الشركة للتعامل مع المستثمرين وأعضاء مجالس الإدارة وأصحاب المصلحة بصورة أكثر نضجًا وتنظيمًا </w:t>
      </w:r>
      <w:r w:rsidRPr="00545ABB">
        <w:rPr>
          <w:rFonts w:ascii="Traditional Arabic" w:hAnsi="Traditional Arabic" w:cs="Traditional Arabic"/>
          <w:b/>
          <w:bCs/>
          <w:color w:val="000000" w:themeColor="text1"/>
        </w:rPr>
        <w:t>(Danielle Piskadlo et al., 2019).</w:t>
      </w:r>
    </w:p>
    <w:p w14:paraId="54A65DDF" w14:textId="77777777" w:rsidR="00560DE5" w:rsidRPr="00545ABB" w:rsidRDefault="00560DE5" w:rsidP="00AE793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ويمكن تلخيص أبرز أهداف الحوكمة بالنسبة للشركات الناشئة فيما يلي</w:t>
      </w:r>
      <w:r w:rsidRPr="00545ABB">
        <w:rPr>
          <w:rFonts w:ascii="Traditional Arabic" w:hAnsi="Traditional Arabic" w:cs="Traditional Arabic"/>
          <w:b/>
          <w:bCs/>
          <w:color w:val="000000" w:themeColor="text1"/>
        </w:rPr>
        <w:t>:</w:t>
      </w:r>
    </w:p>
    <w:p w14:paraId="0D6C0576"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رفع مستوى الوعي لدى مؤسسي وقادة الشركات الناشئة بأهمية تبني هياكل حوكمة مناسبة منذ المراحل المبكرة من عمر الشركة، بما يسهم في دعم نموها وتعزيز قدرتها على تحقيق قيمة مستدامة للعملاء وأصحاب المصلحة</w:t>
      </w:r>
      <w:r w:rsidRPr="00545ABB">
        <w:rPr>
          <w:rFonts w:ascii="Traditional Arabic" w:hAnsi="Traditional Arabic" w:cs="Traditional Arabic"/>
          <w:b/>
          <w:bCs/>
          <w:color w:val="000000" w:themeColor="text1"/>
        </w:rPr>
        <w:t>.</w:t>
      </w:r>
    </w:p>
    <w:p w14:paraId="041A445B"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مساعدة المستثمرين وأعضاء مجالس الإدارة على وضع توقعات ومعايير حوكمة واقعية تتناسب مع طبيعة الشركات الناشئة ومستويات تعقيدها المختلفة عبر مراحل النمو والتطور</w:t>
      </w:r>
      <w:r w:rsidRPr="00545ABB">
        <w:rPr>
          <w:rFonts w:ascii="Traditional Arabic" w:hAnsi="Traditional Arabic" w:cs="Traditional Arabic"/>
          <w:b/>
          <w:bCs/>
          <w:color w:val="000000" w:themeColor="text1"/>
        </w:rPr>
        <w:t>.</w:t>
      </w:r>
    </w:p>
    <w:p w14:paraId="7EBD0B48"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تحديد المتطلبات والآليات المناسبة لمجالس الإدارة والهياكل الإشرافية بما يتوافق مع احتياجات الشركة الناشئة في كل مرحلة من مراحل دورة حياتها</w:t>
      </w:r>
      <w:r w:rsidRPr="00545ABB">
        <w:rPr>
          <w:rFonts w:ascii="Traditional Arabic" w:hAnsi="Traditional Arabic" w:cs="Traditional Arabic"/>
          <w:b/>
          <w:bCs/>
          <w:color w:val="000000" w:themeColor="text1"/>
        </w:rPr>
        <w:t>.</w:t>
      </w:r>
    </w:p>
    <w:p w14:paraId="3566BA26"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توفير إطار مرجعي يدعم مواءمة توقعات مختلف الأطراف ذات العلاقة، بما يسهم في تحقيق التوازن بين متطلبات النمو ومتطلبات الرقابة والحوكمة الفعالة</w:t>
      </w:r>
      <w:r w:rsidRPr="00545ABB">
        <w:rPr>
          <w:rFonts w:ascii="Traditional Arabic" w:hAnsi="Traditional Arabic" w:cs="Traditional Arabic"/>
          <w:b/>
          <w:bCs/>
          <w:color w:val="000000" w:themeColor="text1"/>
        </w:rPr>
        <w:t>.</w:t>
      </w:r>
    </w:p>
    <w:p w14:paraId="41001A59"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الإسهام في صياغة هياكل حوكمة ملائمة لطبيعة الشركات الناشئة، وتطوير ممارسات تنظيمية تدعم كفاءة الإدارة واستدامة الأعمال</w:t>
      </w:r>
      <w:r w:rsidRPr="00545ABB">
        <w:rPr>
          <w:rFonts w:ascii="Traditional Arabic" w:hAnsi="Traditional Arabic" w:cs="Traditional Arabic"/>
          <w:b/>
          <w:bCs/>
          <w:color w:val="000000" w:themeColor="text1"/>
        </w:rPr>
        <w:t>.</w:t>
      </w:r>
    </w:p>
    <w:p w14:paraId="3BFF9A4E"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تعزيز الشفافية والمساءلة ووضوح الصلاحيات والمسؤوليات، بما يسهم في الحد من المخاطر الإدارية والتنظيمية الناتجة عن النمو السريع</w:t>
      </w:r>
      <w:r w:rsidRPr="00545ABB">
        <w:rPr>
          <w:rFonts w:ascii="Traditional Arabic" w:hAnsi="Traditional Arabic" w:cs="Traditional Arabic"/>
          <w:b/>
          <w:bCs/>
          <w:color w:val="000000" w:themeColor="text1"/>
        </w:rPr>
        <w:t>.</w:t>
      </w:r>
    </w:p>
    <w:p w14:paraId="57CF713C"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دعم عملية اتخاذ القرار من خلال وضع آليات أكثر وضوحًا للمراجعة والاعتماد والمتابعة، بما يقلل من الاعتماد المفرط على القرارات الفردية</w:t>
      </w:r>
      <w:r w:rsidRPr="00545ABB">
        <w:rPr>
          <w:rFonts w:ascii="Traditional Arabic" w:hAnsi="Traditional Arabic" w:cs="Traditional Arabic"/>
          <w:b/>
          <w:bCs/>
          <w:color w:val="000000" w:themeColor="text1"/>
        </w:rPr>
        <w:t>.</w:t>
      </w:r>
    </w:p>
    <w:p w14:paraId="4C37EEE7"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تعزيز ثقة المستثمرين والعملاء وأصحاب المصلحة من خلال وجود ممارسات حوكمة تعكس مستوى أعلى من التنظيم والالتزام المؤسسي</w:t>
      </w:r>
      <w:r w:rsidRPr="00545ABB">
        <w:rPr>
          <w:rFonts w:ascii="Traditional Arabic" w:hAnsi="Traditional Arabic" w:cs="Traditional Arabic"/>
          <w:b/>
          <w:bCs/>
          <w:color w:val="000000" w:themeColor="text1"/>
        </w:rPr>
        <w:t>.</w:t>
      </w:r>
    </w:p>
    <w:p w14:paraId="18D4E12C" w14:textId="77777777" w:rsidR="00560DE5"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دعم بيئة ريادة الأعمال من خلال توفير مرجع عملي يمكن الاستناد إليه عند تصميم وتطبيق نظم الحوكمة بما يتناسب مع طبيعة الشركات الناشئة واحتياجاتها المختلفة</w:t>
      </w:r>
      <w:r w:rsidRPr="00545ABB">
        <w:rPr>
          <w:rFonts w:ascii="Traditional Arabic" w:hAnsi="Traditional Arabic" w:cs="Traditional Arabic"/>
          <w:b/>
          <w:bCs/>
          <w:color w:val="000000" w:themeColor="text1"/>
        </w:rPr>
        <w:t>.</w:t>
      </w:r>
    </w:p>
    <w:p w14:paraId="2EAE0E82" w14:textId="6DA746A1" w:rsidR="00330D06" w:rsidRPr="00545ABB" w:rsidRDefault="00560DE5" w:rsidP="00D95153">
      <w:pPr>
        <w:pStyle w:val="NormalWeb"/>
        <w:numPr>
          <w:ilvl w:val="0"/>
          <w:numId w:val="29"/>
        </w:numPr>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تهيئة الشركة للانتقال التدريجي من مرحلة التأسيس إلى مراحل النمو والتوسع، من خلال تطوير ممارسات الحوكمة بالتوازي مع تطور حجم الشركة وتعقد عملياتها</w:t>
      </w:r>
      <w:r w:rsidRPr="00545ABB">
        <w:rPr>
          <w:rFonts w:ascii="Traditional Arabic" w:hAnsi="Traditional Arabic" w:cs="Traditional Arabic"/>
          <w:b/>
          <w:bCs/>
          <w:color w:val="000000" w:themeColor="text1"/>
        </w:rPr>
        <w:t>.</w:t>
      </w:r>
    </w:p>
    <w:p w14:paraId="613395BF" w14:textId="77777777" w:rsidR="00330D06" w:rsidRPr="00545ABB" w:rsidRDefault="00330D06" w:rsidP="00330D06">
      <w:pPr>
        <w:pStyle w:val="Heading2"/>
        <w:bidi/>
        <w:spacing w:line="360" w:lineRule="auto"/>
        <w:rPr>
          <w:rFonts w:ascii="Traditional Arabic" w:hAnsi="Traditional Arabic" w:cs="Traditional Arabic"/>
          <w:b/>
          <w:bCs/>
          <w:color w:val="000000" w:themeColor="text1"/>
          <w:sz w:val="24"/>
          <w:szCs w:val="24"/>
        </w:rPr>
      </w:pPr>
    </w:p>
    <w:p w14:paraId="666F5A21" w14:textId="779D1B77" w:rsidR="00330D06" w:rsidRPr="00545ABB" w:rsidRDefault="00330D06" w:rsidP="00330D06">
      <w:pPr>
        <w:pStyle w:val="Heading2"/>
        <w:bidi/>
        <w:spacing w:line="360" w:lineRule="auto"/>
        <w:rPr>
          <w:rFonts w:ascii="Traditional Arabic" w:hAnsi="Traditional Arabic" w:cs="Traditional Arabic"/>
          <w:b/>
          <w:bCs/>
          <w:color w:val="000000" w:themeColor="text1"/>
        </w:rPr>
      </w:pPr>
      <w:bookmarkStart w:id="43" w:name="_Toc242325204"/>
      <w:r w:rsidRPr="00545ABB">
        <w:rPr>
          <w:rFonts w:ascii="Traditional Arabic" w:hAnsi="Traditional Arabic" w:cs="Traditional Arabic"/>
          <w:b/>
          <w:bCs/>
          <w:color w:val="000000" w:themeColor="text1"/>
          <w:rtl/>
        </w:rPr>
        <w:t>عناصر الحوكمة بالنسبة لشركات الأمن السيبراني</w:t>
      </w:r>
      <w:bookmarkEnd w:id="43"/>
    </w:p>
    <w:p w14:paraId="58E19A13"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تمثل حوكمة تقنية المعلومات أحد المكونات المهمة في الحوكمة المؤسسية، إذ ترتبط بقدرة مجلس الإدارة والإدارة التنفيذية وإدارة تقنية المعلومات على توجيه استخدام التقنية ومتابعته بما يضمن توافقه مع استراتيجية المؤسسة وأهدافها. وتهدف حوكمة تقنية المعلومات إلى تحقيق الانسجام بين الاستثمارات والموارد التقنية من جهة، والأهداف الاستراتيجية والتشغيلية للمنظمة من جهة أخرى، بما يسهم في تحقيق القيمة، وإدارة المخاطر، وتحسين استخدام الموارد، ورفع كفاءة الأداء</w:t>
      </w:r>
      <w:r w:rsidRPr="00545ABB">
        <w:rPr>
          <w:rFonts w:ascii="Traditional Arabic" w:hAnsi="Traditional Arabic" w:cs="Traditional Arabic"/>
          <w:b/>
          <w:bCs/>
          <w:color w:val="000000" w:themeColor="text1"/>
        </w:rPr>
        <w:t>.</w:t>
      </w:r>
    </w:p>
    <w:p w14:paraId="61E0AEEE"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حوكمة تقنية المعلومات أهمية أكبر في شركات الأمن السيبراني، نظرًا لأن التقنية لا تمثل عنصرًا داعمًا لأعمال هذه الشركات فحسب، بل تشكل جزءًا أساسيًا من طبيعة نشاطها ومنتجاتها وخدماتها. ومن ثم، فإن تحقيق التوافق بين الاستراتيجية المؤسسية والاستراتيجية التقنية يعد من المتطلبات المهمة لضمان توجيه الاستثمارات والموارد نحو تحقيق أهداف الشركة وتعزيز قدرتها على النمو والاستدامة</w:t>
      </w:r>
      <w:r w:rsidRPr="00545ABB">
        <w:rPr>
          <w:rFonts w:ascii="Traditional Arabic" w:hAnsi="Traditional Arabic" w:cs="Traditional Arabic"/>
          <w:b/>
          <w:bCs/>
          <w:color w:val="000000" w:themeColor="text1"/>
        </w:rPr>
        <w:t>.</w:t>
      </w:r>
    </w:p>
    <w:p w14:paraId="03A3CD1C"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اتفق كل من</w:t>
      </w:r>
      <w:r w:rsidRPr="00545ABB">
        <w:rPr>
          <w:rFonts w:ascii="Traditional Arabic" w:hAnsi="Traditional Arabic" w:cs="Traditional Arabic"/>
          <w:b/>
          <w:bCs/>
          <w:color w:val="000000" w:themeColor="text1"/>
        </w:rPr>
        <w:t xml:space="preserve"> Gheorghe (2010) </w:t>
      </w:r>
      <w:r w:rsidRPr="00545ABB">
        <w:rPr>
          <w:rFonts w:ascii="Traditional Arabic" w:hAnsi="Traditional Arabic" w:cs="Traditional Arabic"/>
          <w:b/>
          <w:bCs/>
          <w:color w:val="000000" w:themeColor="text1"/>
          <w:rtl/>
        </w:rPr>
        <w:t>و</w:t>
      </w:r>
      <w:r w:rsidRPr="00545ABB">
        <w:rPr>
          <w:rFonts w:ascii="Traditional Arabic" w:hAnsi="Traditional Arabic" w:cs="Traditional Arabic"/>
          <w:b/>
          <w:bCs/>
          <w:color w:val="000000" w:themeColor="text1"/>
        </w:rPr>
        <w:t xml:space="preserve">Gelling and Engward (2015) </w:t>
      </w:r>
      <w:r w:rsidRPr="00545ABB">
        <w:rPr>
          <w:rFonts w:ascii="Traditional Arabic" w:hAnsi="Traditional Arabic" w:cs="Traditional Arabic"/>
          <w:b/>
          <w:bCs/>
          <w:color w:val="000000" w:themeColor="text1"/>
          <w:rtl/>
        </w:rPr>
        <w:t>على أن حوكمة تقنية المعلومات ترتكز على خمسة عناصر رئيسة تتمثل في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التوافق الاستراتيجي، وتسليم القيمة، وإدارة المخاطر، وإدارة الموارد، وقياس الأداء</w:t>
      </w:r>
      <w:r w:rsidRPr="00545ABB">
        <w:rPr>
          <w:rFonts w:ascii="Traditional Arabic" w:hAnsi="Traditional Arabic" w:cs="Traditional Arabic"/>
          <w:b/>
          <w:bCs/>
          <w:color w:val="000000" w:themeColor="text1"/>
          <w:rtl/>
        </w:rPr>
        <w:t>، ويمكن توضيحها على النحو الآتي</w:t>
      </w:r>
      <w:r w:rsidRPr="00545ABB">
        <w:rPr>
          <w:rFonts w:ascii="Traditional Arabic" w:hAnsi="Traditional Arabic" w:cs="Traditional Arabic"/>
          <w:b/>
          <w:bCs/>
          <w:color w:val="000000" w:themeColor="text1"/>
        </w:rPr>
        <w:t>:</w:t>
      </w:r>
    </w:p>
    <w:p w14:paraId="3E006D2F" w14:textId="77777777" w:rsidR="00330D06" w:rsidRPr="00545ABB" w:rsidRDefault="00330D06" w:rsidP="00330D06">
      <w:pPr>
        <w:pStyle w:val="Heading3"/>
        <w:bidi/>
        <w:spacing w:line="360" w:lineRule="auto"/>
        <w:rPr>
          <w:rFonts w:ascii="Traditional Arabic" w:hAnsi="Traditional Arabic" w:cs="Traditional Arabic"/>
          <w:b/>
          <w:bCs/>
          <w:color w:val="000000" w:themeColor="text1"/>
          <w:sz w:val="24"/>
          <w:szCs w:val="24"/>
        </w:rPr>
      </w:pPr>
      <w:bookmarkStart w:id="44" w:name="_Toc242325205"/>
      <w:r w:rsidRPr="00545ABB">
        <w:rPr>
          <w:rFonts w:ascii="Traditional Arabic" w:hAnsi="Traditional Arabic" w:cs="Traditional Arabic"/>
          <w:b/>
          <w:bCs/>
          <w:color w:val="000000" w:themeColor="text1"/>
          <w:sz w:val="24"/>
          <w:szCs w:val="24"/>
          <w:rtl/>
        </w:rPr>
        <w:t xml:space="preserve">جدول رقم </w:t>
      </w:r>
      <w:r w:rsidRPr="00545ABB">
        <w:rPr>
          <w:rFonts w:ascii="Traditional Arabic" w:hAnsi="Traditional Arabic" w:cs="Traditional Arabic"/>
          <w:b/>
          <w:bCs/>
          <w:color w:val="000000" w:themeColor="text1"/>
          <w:sz w:val="24"/>
          <w:szCs w:val="24"/>
        </w:rPr>
        <w:t>(2-1)</w:t>
      </w:r>
      <w:bookmarkEnd w:id="44"/>
    </w:p>
    <w:p w14:paraId="31697EE3"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عناصر حوكمة شركات الأمن السيبراني</w:t>
      </w:r>
    </w:p>
    <w:tbl>
      <w:tblPr>
        <w:tblStyle w:val="TableGrid"/>
        <w:bidiVisual/>
        <w:tblW w:w="0" w:type="auto"/>
        <w:tblLook w:val="04A0" w:firstRow="1" w:lastRow="0" w:firstColumn="1" w:lastColumn="0" w:noHBand="0" w:noVBand="1"/>
      </w:tblPr>
      <w:tblGrid>
        <w:gridCol w:w="1145"/>
        <w:gridCol w:w="8205"/>
      </w:tblGrid>
      <w:tr w:rsidR="00330D06" w:rsidRPr="00545ABB" w14:paraId="225993CF" w14:textId="77777777" w:rsidTr="00330D06">
        <w:tc>
          <w:tcPr>
            <w:tcW w:w="0" w:type="auto"/>
            <w:shd w:val="clear" w:color="auto" w:fill="F2F2F2" w:themeFill="background1" w:themeFillShade="F2"/>
            <w:hideMark/>
          </w:tcPr>
          <w:p w14:paraId="3735AA00" w14:textId="77777777" w:rsidR="00330D06" w:rsidRPr="00545ABB" w:rsidRDefault="00330D06" w:rsidP="00330D06">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العنصر</w:t>
            </w:r>
          </w:p>
        </w:tc>
        <w:tc>
          <w:tcPr>
            <w:tcW w:w="0" w:type="auto"/>
            <w:shd w:val="clear" w:color="auto" w:fill="F2F2F2" w:themeFill="background1" w:themeFillShade="F2"/>
            <w:hideMark/>
          </w:tcPr>
          <w:p w14:paraId="20C78C2E" w14:textId="77777777" w:rsidR="00330D06" w:rsidRPr="00545ABB" w:rsidRDefault="00330D06" w:rsidP="00330D06">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التعريف</w:t>
            </w:r>
          </w:p>
        </w:tc>
      </w:tr>
      <w:tr w:rsidR="00330D06" w:rsidRPr="00545ABB" w14:paraId="580E361B" w14:textId="77777777" w:rsidTr="00330D06">
        <w:tc>
          <w:tcPr>
            <w:tcW w:w="0" w:type="auto"/>
            <w:hideMark/>
          </w:tcPr>
          <w:p w14:paraId="61883088"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lastRenderedPageBreak/>
              <w:t>التوافق الاستراتيجي</w:t>
            </w:r>
          </w:p>
        </w:tc>
        <w:tc>
          <w:tcPr>
            <w:tcW w:w="0" w:type="auto"/>
            <w:hideMark/>
          </w:tcPr>
          <w:p w14:paraId="40BAC46C"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يمثل التوافق الاستراتيجي عملية تهدف إلى تحقيق الانسجام بين استراتيجية المنظمة واستراتيجية تقنية المعلومات، بما يضمن أن تسهم الاستثمارات والقدرات التقنية في تحقيق الأهداف المؤسسية وتعزيز الميزة التنافسية. كما تساعد المواءمة الاستراتيجية على تحسين أداء العمليات والأنظمة، ورفع مستوى التكامل بين الفرق والإدارات المختلفة</w:t>
            </w:r>
            <w:r w:rsidRPr="00545ABB">
              <w:rPr>
                <w:rFonts w:ascii="Traditional Arabic" w:hAnsi="Traditional Arabic" w:cs="Traditional Arabic"/>
                <w:b/>
                <w:bCs/>
                <w:color w:val="000000" w:themeColor="text1"/>
              </w:rPr>
              <w:t>.</w:t>
            </w:r>
          </w:p>
        </w:tc>
      </w:tr>
      <w:tr w:rsidR="00330D06" w:rsidRPr="00545ABB" w14:paraId="361B221D" w14:textId="77777777" w:rsidTr="00330D06">
        <w:tc>
          <w:tcPr>
            <w:tcW w:w="0" w:type="auto"/>
            <w:hideMark/>
          </w:tcPr>
          <w:p w14:paraId="343E7F9A"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تسليم القيمة</w:t>
            </w:r>
          </w:p>
        </w:tc>
        <w:tc>
          <w:tcPr>
            <w:tcW w:w="0" w:type="auto"/>
            <w:hideMark/>
          </w:tcPr>
          <w:p w14:paraId="5CB20FF5"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يتمثل تسليم القيمة في قدرة تقنية المعلومات على تحقيق منافع ملموسة للمنظمة مقابل الموارد والاستثمارات المخصصة لها، وذلك من خلال تنفيذ المشروعات في الوقت المناسب وضمن الميزانيات المحددة، وتقديم خدمات تقنية موثوقة تلبي احتياجات المستخدمين والعملاء وتسهم في تحقيق أهداف المنظمة</w:t>
            </w:r>
            <w:r w:rsidRPr="00545ABB">
              <w:rPr>
                <w:rFonts w:ascii="Traditional Arabic" w:hAnsi="Traditional Arabic" w:cs="Traditional Arabic"/>
                <w:b/>
                <w:bCs/>
                <w:color w:val="000000" w:themeColor="text1"/>
              </w:rPr>
              <w:t>.</w:t>
            </w:r>
          </w:p>
        </w:tc>
      </w:tr>
      <w:tr w:rsidR="00330D06" w:rsidRPr="00545ABB" w14:paraId="7F2BA0BC" w14:textId="77777777" w:rsidTr="00330D06">
        <w:tc>
          <w:tcPr>
            <w:tcW w:w="0" w:type="auto"/>
            <w:hideMark/>
          </w:tcPr>
          <w:p w14:paraId="49F892E5"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إدارة المخاطر</w:t>
            </w:r>
          </w:p>
        </w:tc>
        <w:tc>
          <w:tcPr>
            <w:tcW w:w="0" w:type="auto"/>
            <w:hideMark/>
          </w:tcPr>
          <w:p w14:paraId="6028254B"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تمثل إدارة المخاطر عملية منظمة تهدف إلى تحديد المخاطر وتحليلها وتقييمها واختيار الوسائل المناسبة لمعالجتها ومتابعتها. ويتمثل الهدف الرئيس منها في الحد من احتمالية وقوع الخسائر أو تقليل آثارها بما يضمن استمرارية الأعمال وحماية أصول المنظمة وتحقيق أهدافها</w:t>
            </w:r>
            <w:r w:rsidRPr="00545ABB">
              <w:rPr>
                <w:rFonts w:ascii="Traditional Arabic" w:hAnsi="Traditional Arabic" w:cs="Traditional Arabic"/>
                <w:b/>
                <w:bCs/>
                <w:color w:val="000000" w:themeColor="text1"/>
              </w:rPr>
              <w:t>.</w:t>
            </w:r>
          </w:p>
        </w:tc>
      </w:tr>
      <w:tr w:rsidR="00330D06" w:rsidRPr="00545ABB" w14:paraId="4390069C" w14:textId="77777777" w:rsidTr="00330D06">
        <w:tc>
          <w:tcPr>
            <w:tcW w:w="0" w:type="auto"/>
            <w:hideMark/>
          </w:tcPr>
          <w:p w14:paraId="47C23B1E"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إدارة الموارد</w:t>
            </w:r>
          </w:p>
        </w:tc>
        <w:tc>
          <w:tcPr>
            <w:tcW w:w="0" w:type="auto"/>
            <w:hideMark/>
          </w:tcPr>
          <w:p w14:paraId="0162BA41"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تركز إدارة الموارد على الاستخدام الأمثل للموارد البشرية والمالية والتقنية والمعلوماتية المتاحة، من خلال تخطيطها وتخصيصها وإدارتها بكفاءة. وتشمل إدارة الكفاءات والمهارات والتقنيات والبنية التحتية والموارد الداخلية والخارجية بما يضمن توافرها واستخدامها في الوقت والمكان المناسبين</w:t>
            </w:r>
            <w:r w:rsidRPr="00545ABB">
              <w:rPr>
                <w:rFonts w:ascii="Traditional Arabic" w:hAnsi="Traditional Arabic" w:cs="Traditional Arabic"/>
                <w:b/>
                <w:bCs/>
                <w:color w:val="000000" w:themeColor="text1"/>
              </w:rPr>
              <w:t>.</w:t>
            </w:r>
          </w:p>
        </w:tc>
      </w:tr>
      <w:tr w:rsidR="00330D06" w:rsidRPr="00545ABB" w14:paraId="6716C8CA" w14:textId="77777777" w:rsidTr="00330D06">
        <w:tc>
          <w:tcPr>
            <w:tcW w:w="0" w:type="auto"/>
            <w:hideMark/>
          </w:tcPr>
          <w:p w14:paraId="075A74F4"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قياس الأداء</w:t>
            </w:r>
          </w:p>
        </w:tc>
        <w:tc>
          <w:tcPr>
            <w:tcW w:w="0" w:type="auto"/>
            <w:hideMark/>
          </w:tcPr>
          <w:p w14:paraId="34457142" w14:textId="77777777" w:rsidR="00330D06" w:rsidRPr="00545ABB" w:rsidRDefault="00330D06" w:rsidP="00330D06">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يهدف قياس الأداء إلى متابعة مدى تحقيق الأهداف، وتحديد مواطن القوة والقصور، وقياس كفاءة العمليات والأنظمة والأفراد. ويتم ذلك من خلال مؤشرات ومعايير أداء واضحة تتيح للإدارة تقييم فعالية الخطط والمبادرات واتخاذ الإجراءات التصحيحية والتحسينية عند الحاجة</w:t>
            </w:r>
            <w:r w:rsidRPr="00545ABB">
              <w:rPr>
                <w:rFonts w:ascii="Traditional Arabic" w:hAnsi="Traditional Arabic" w:cs="Traditional Arabic"/>
                <w:b/>
                <w:bCs/>
                <w:color w:val="000000" w:themeColor="text1"/>
              </w:rPr>
              <w:t>.</w:t>
            </w:r>
          </w:p>
        </w:tc>
      </w:tr>
    </w:tbl>
    <w:p w14:paraId="7021E916"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المصدر: من إعداد الباحث بالاعتماد على المراجع ذات الصلة بحوكمة تقنية المعلومات وإطار</w:t>
      </w:r>
      <w:r w:rsidRPr="00545ABB">
        <w:rPr>
          <w:rStyle w:val="Strong"/>
          <w:rFonts w:ascii="Traditional Arabic" w:hAnsi="Traditional Arabic" w:cs="Traditional Arabic"/>
          <w:color w:val="000000" w:themeColor="text1"/>
        </w:rPr>
        <w:t xml:space="preserve"> COBIT</w:t>
      </w:r>
      <w:r w:rsidRPr="00545ABB">
        <w:rPr>
          <w:rStyle w:val="Strong"/>
          <w:rFonts w:ascii="Traditional Arabic" w:hAnsi="Traditional Arabic" w:cs="Traditional Arabic"/>
          <w:color w:val="000000" w:themeColor="text1"/>
          <w:rtl/>
        </w:rPr>
        <w:t xml:space="preserve">، ومنها دراسة </w:t>
      </w:r>
      <w:r w:rsidRPr="00545ABB">
        <w:rPr>
          <w:rStyle w:val="Emphasis"/>
          <w:rFonts w:ascii="Traditional Arabic" w:hAnsi="Traditional Arabic" w:cs="Traditional Arabic"/>
          <w:b/>
          <w:bCs/>
          <w:color w:val="000000" w:themeColor="text1"/>
        </w:rPr>
        <w:t>IT Governance Impact on Financial Reporting Quality Using COBIT Framework</w:t>
      </w:r>
      <w:r w:rsidRPr="00545ABB">
        <w:rPr>
          <w:rStyle w:val="Strong"/>
          <w:rFonts w:ascii="Traditional Arabic" w:hAnsi="Traditional Arabic" w:cs="Traditional Arabic"/>
          <w:color w:val="000000" w:themeColor="text1"/>
        </w:rPr>
        <w:t>.</w:t>
      </w:r>
    </w:p>
    <w:p w14:paraId="5FF7ECEC"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وتترابط هذه العناصر فيما بينها؛ إذ لا يمكن تحقيق قيمة مستدامة من الاستثمارات التقنية دون وجود توافق واضح مع استراتيجية الشركة، كما يتطلب ذلك إدارة فعالة للمخاطر والموارد، إلى جانب وجود مؤشرات مناسبة لقياس الأداء والتحقق من تحقيق النتائج المستهدفة</w:t>
      </w:r>
      <w:r w:rsidRPr="00545ABB">
        <w:rPr>
          <w:rFonts w:ascii="Traditional Arabic" w:hAnsi="Traditional Arabic" w:cs="Traditional Arabic"/>
          <w:b/>
          <w:bCs/>
          <w:color w:val="000000" w:themeColor="text1"/>
        </w:rPr>
        <w:t>.</w:t>
      </w:r>
    </w:p>
    <w:p w14:paraId="4549045B"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شركات الأمن السيبراني على وجه الخصوص، تكتسب هذه العناصر أهمية مضاعفة بسبب الاعتماد الكبير على الكفاءات المتخصصة والتقنيات الحديثة، وسرعة تغير المخاطر والتهديدات، والحاجة إلى الاستثمار المستمر في تطوير المنتجات والخدمات. ولذلك فإن حوكمة التقنية تمثل عنصرًا أساسيًا في تحقيق التوازن بين الابتكار، وإدارة المخاطر، وكفاءة استخدام الموارد، وتحقيق القيمة للعملاء وأصحاب المصلحة</w:t>
      </w:r>
      <w:r w:rsidRPr="00545ABB">
        <w:rPr>
          <w:rFonts w:ascii="Traditional Arabic" w:hAnsi="Traditional Arabic" w:cs="Traditional Arabic"/>
          <w:b/>
          <w:bCs/>
          <w:color w:val="000000" w:themeColor="text1"/>
        </w:rPr>
        <w:t>.</w:t>
      </w:r>
    </w:p>
    <w:p w14:paraId="1D39031C" w14:textId="77777777" w:rsidR="00330D06" w:rsidRPr="00545ABB" w:rsidRDefault="00330D06" w:rsidP="00330D06">
      <w:pPr>
        <w:pStyle w:val="Heading3"/>
        <w:bidi/>
        <w:spacing w:line="360" w:lineRule="auto"/>
        <w:rPr>
          <w:rFonts w:ascii="Traditional Arabic" w:hAnsi="Traditional Arabic" w:cs="Traditional Arabic"/>
          <w:b/>
          <w:bCs/>
          <w:color w:val="000000" w:themeColor="text1"/>
        </w:rPr>
      </w:pPr>
      <w:bookmarkStart w:id="45" w:name="_Toc242325206"/>
      <w:r w:rsidRPr="00545ABB">
        <w:rPr>
          <w:rFonts w:ascii="Traditional Arabic" w:hAnsi="Traditional Arabic" w:cs="Traditional Arabic"/>
          <w:b/>
          <w:bCs/>
          <w:color w:val="000000" w:themeColor="text1"/>
          <w:rtl/>
        </w:rPr>
        <w:lastRenderedPageBreak/>
        <w:t>التحديات المرتبطة بتطبيق حوكمة تقنية المعلومات</w:t>
      </w:r>
      <w:bookmarkEnd w:id="45"/>
    </w:p>
    <w:p w14:paraId="2F38F9CD"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على الرغم من توجه العديد من المنظمات نحو تبني حوكمة تقنية المعلومات وزيادة حجم استثماراتها في الأنظمة والتقنيات، فإن مجرد الاستثمار في التقنية لا يضمن بالضرورة تحقيق القيمة المتوقعة منها. فقد تواجه المؤسسات حالات من التعثر أو عدم تحقيق النتائج المستهدفة نتيجة مجموعة من العوامل، من بينها ضعف المواءمة بين استراتيجية المؤسسة والاستراتيجية التقنية، وعدم وضوح الأدوار والمسؤوليات، وضعف فهم الاحتياجات الفعلية للمنظمة، أو عدم ملاءمة التقنيات المستخدمة للأهداف المراد تحقيقها</w:t>
      </w:r>
      <w:r w:rsidRPr="00545ABB">
        <w:rPr>
          <w:rFonts w:ascii="Traditional Arabic" w:hAnsi="Traditional Arabic" w:cs="Traditional Arabic"/>
          <w:b/>
          <w:bCs/>
          <w:color w:val="000000" w:themeColor="text1"/>
        </w:rPr>
        <w:t>.</w:t>
      </w:r>
    </w:p>
    <w:p w14:paraId="37D402E4"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قد ترتبط التحديات بضعف إدارة المخاطر، أو نقص الكفاءات المتخصصة، أو محدودية الموارد، أو غياب مؤشرات أداء واضحة لقياس القيمة الناتجة عن الاستثمارات التقنية. وتظهر هذه التحديات بصورة أكثر وضوحًا في الشركات الناشئة، نظرًا لمحدودية مواردها وسرعة نموها والتغير المستمر في احتياجاتها التقنية والتنظيمية</w:t>
      </w:r>
      <w:r w:rsidRPr="00545ABB">
        <w:rPr>
          <w:rFonts w:ascii="Traditional Arabic" w:hAnsi="Traditional Arabic" w:cs="Traditional Arabic"/>
          <w:b/>
          <w:bCs/>
          <w:color w:val="000000" w:themeColor="text1"/>
        </w:rPr>
        <w:t>.</w:t>
      </w:r>
    </w:p>
    <w:p w14:paraId="5B7FC15D"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لشركات الأمن السيبراني الناشئة، فإن نجاح حوكمة التقنية يعتمد على قدرة الشركة على تحقيق التوازن بين سرعة الابتكار والتطوير من جهة، ووجود مستويات مناسبة من الرقابة وإدارة المخاطر والامتثال من جهة أخرى، بحيث لا تتحول متطلبات الحوكمة إلى عائق أمام المرونة والابتكار، وفي الوقت ذاته لا يؤدي النمو السريع إلى ظهور فجوات تنظيمية أو رقابية قد تؤثر في استدامة الشركة</w:t>
      </w:r>
      <w:r w:rsidRPr="00545ABB">
        <w:rPr>
          <w:rFonts w:ascii="Traditional Arabic" w:hAnsi="Traditional Arabic" w:cs="Traditional Arabic"/>
          <w:b/>
          <w:bCs/>
          <w:color w:val="000000" w:themeColor="text1"/>
        </w:rPr>
        <w:t>.</w:t>
      </w:r>
    </w:p>
    <w:p w14:paraId="4F29F323" w14:textId="77777777" w:rsidR="00330D06" w:rsidRPr="00545ABB" w:rsidRDefault="00330D06" w:rsidP="00330D06">
      <w:pPr>
        <w:pStyle w:val="Heading2"/>
        <w:bidi/>
        <w:spacing w:line="360" w:lineRule="auto"/>
        <w:rPr>
          <w:rFonts w:ascii="Traditional Arabic" w:hAnsi="Traditional Arabic" w:cs="Traditional Arabic"/>
          <w:b/>
          <w:bCs/>
          <w:color w:val="000000" w:themeColor="text1"/>
          <w:sz w:val="28"/>
          <w:szCs w:val="28"/>
        </w:rPr>
      </w:pPr>
      <w:bookmarkStart w:id="46" w:name="_Toc242325207"/>
      <w:r w:rsidRPr="00545ABB">
        <w:rPr>
          <w:rFonts w:ascii="Traditional Arabic" w:hAnsi="Traditional Arabic" w:cs="Traditional Arabic"/>
          <w:b/>
          <w:bCs/>
          <w:color w:val="000000" w:themeColor="text1"/>
          <w:sz w:val="28"/>
          <w:szCs w:val="28"/>
          <w:rtl/>
        </w:rPr>
        <w:t>مبادئ داعمة لحوكمة شركات الأمن السيبراني</w:t>
      </w:r>
      <w:bookmarkEnd w:id="46"/>
    </w:p>
    <w:p w14:paraId="17616434"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إلى جانب عناصر حوكمة تقنية المعلومات، يرتبط بناء حوكمة فعالة في شركات الأمن السيبراني بمجموعة من المبادئ المؤسسية العامة التي تسهم في توفير بيئة تنظيمية مناسبة، وحماية حقوق أصحاب المصلحة، وتعزيز العدالة والشفافية والمساءلة. ويمكن توضيح أبرز هذه المبادئ فيما يلي</w:t>
      </w:r>
      <w:r w:rsidRPr="00545ABB">
        <w:rPr>
          <w:rFonts w:ascii="Traditional Arabic" w:hAnsi="Traditional Arabic" w:cs="Traditional Arabic"/>
          <w:b/>
          <w:bCs/>
          <w:color w:val="000000" w:themeColor="text1"/>
        </w:rPr>
        <w:t>:</w:t>
      </w:r>
    </w:p>
    <w:p w14:paraId="0E4DD43E" w14:textId="77777777" w:rsidR="00330D06" w:rsidRPr="00545ABB" w:rsidRDefault="00330D06" w:rsidP="00330D06">
      <w:pPr>
        <w:pStyle w:val="Heading3"/>
        <w:bidi/>
        <w:spacing w:line="360" w:lineRule="auto"/>
        <w:rPr>
          <w:rFonts w:ascii="Traditional Arabic" w:hAnsi="Traditional Arabic" w:cs="Traditional Arabic"/>
          <w:b/>
          <w:bCs/>
          <w:color w:val="000000" w:themeColor="text1"/>
        </w:rPr>
      </w:pPr>
      <w:bookmarkStart w:id="47" w:name="_Toc242325208"/>
      <w:r w:rsidRPr="00545ABB">
        <w:rPr>
          <w:rFonts w:ascii="Traditional Arabic" w:hAnsi="Traditional Arabic" w:cs="Traditional Arabic"/>
          <w:b/>
          <w:bCs/>
          <w:color w:val="000000" w:themeColor="text1"/>
          <w:rtl/>
        </w:rPr>
        <w:t>أ. ضمان وجود أساس فعال لإطار الحوكمة</w:t>
      </w:r>
      <w:bookmarkEnd w:id="47"/>
    </w:p>
    <w:p w14:paraId="5AD40E96"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يعد وجود أساس فعال لإطار حوكمة الشركات من الركائز الرئيسة لتحقيق التطبيق السليم لمبادئ الحوكمة. ويتطلب ذلك وجود بيئة تنظيمية وتشريعية واضحة تدعم الممارسات الرشيدة في الإدارة والرقابة، إلى جانب وجود مؤسسات وآليات قادرة على تطبيق الأنظمة ومتابعة الالتزام بها</w:t>
      </w:r>
      <w:r w:rsidRPr="00545ABB">
        <w:rPr>
          <w:rFonts w:ascii="Traditional Arabic" w:hAnsi="Traditional Arabic" w:cs="Traditional Arabic"/>
          <w:b/>
          <w:bCs/>
          <w:color w:val="000000" w:themeColor="text1"/>
        </w:rPr>
        <w:t>.</w:t>
      </w:r>
    </w:p>
    <w:p w14:paraId="144075F3"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يعتمد نجاح إطار الحوكمة على وضوح توزيع المسؤوليات والصلاحيات، ووجود آليات فاعلة للرقابة والمساءلة والإفصاح، بما يسهم في رفع كفاءة الأداء، وتعزيز النزاهة والشفافية، وترسيخ الثقة بين الشركة والمستثمرين وأصحاب المصلحة</w:t>
      </w:r>
      <w:r w:rsidRPr="00545ABB">
        <w:rPr>
          <w:rFonts w:ascii="Traditional Arabic" w:hAnsi="Traditional Arabic" w:cs="Traditional Arabic"/>
          <w:b/>
          <w:bCs/>
          <w:color w:val="000000" w:themeColor="text1"/>
        </w:rPr>
        <w:t>.</w:t>
      </w:r>
    </w:p>
    <w:p w14:paraId="07F99C82"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وبالنسبة للشركات الناشئة، ينبغي أن يتناسب إطار الحوكمة مع حجم الشركة ومرحلة نموها وطبيعة نشاطها، بحيث يوفر المستوى اللازم من التنظيم والرقابة دون فرض هياكل إدارية معقدة أو تكاليف لا تتناسب مع موارد الشركة</w:t>
      </w:r>
      <w:r w:rsidRPr="00545ABB">
        <w:rPr>
          <w:rFonts w:ascii="Traditional Arabic" w:hAnsi="Traditional Arabic" w:cs="Traditional Arabic"/>
          <w:b/>
          <w:bCs/>
          <w:color w:val="000000" w:themeColor="text1"/>
        </w:rPr>
        <w:t>.</w:t>
      </w:r>
    </w:p>
    <w:p w14:paraId="0DF5E7AB" w14:textId="77777777" w:rsidR="00330D06" w:rsidRPr="00545ABB" w:rsidRDefault="00330D06" w:rsidP="00330D06">
      <w:pPr>
        <w:pStyle w:val="Heading3"/>
        <w:bidi/>
        <w:spacing w:line="360" w:lineRule="auto"/>
        <w:rPr>
          <w:rFonts w:ascii="Traditional Arabic" w:hAnsi="Traditional Arabic" w:cs="Traditional Arabic"/>
          <w:b/>
          <w:bCs/>
          <w:color w:val="000000" w:themeColor="text1"/>
        </w:rPr>
      </w:pPr>
      <w:bookmarkStart w:id="48" w:name="_Toc242325209"/>
      <w:r w:rsidRPr="00545ABB">
        <w:rPr>
          <w:rFonts w:ascii="Traditional Arabic" w:hAnsi="Traditional Arabic" w:cs="Traditional Arabic"/>
          <w:b/>
          <w:bCs/>
          <w:color w:val="000000" w:themeColor="text1"/>
          <w:rtl/>
        </w:rPr>
        <w:t>ب. ضمان حقوق المساهمين</w:t>
      </w:r>
      <w:bookmarkEnd w:id="48"/>
    </w:p>
    <w:p w14:paraId="2DC546B1"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تمثل حماية حقوق المساهمين أحد المبادئ الأساسية التي ترتكز عليها حوكمة الشركات، إذ يسهم وضوح هذه الحقوق وحمايتها في تعزيز الثقة والاستقرار المؤسسي. </w:t>
      </w:r>
      <w:r w:rsidRPr="00545ABB">
        <w:rPr>
          <w:rFonts w:ascii="Traditional Arabic" w:hAnsi="Traditional Arabic" w:cs="Traditional Arabic"/>
          <w:b/>
          <w:bCs/>
          <w:color w:val="000000" w:themeColor="text1"/>
          <w:sz w:val="28"/>
          <w:szCs w:val="28"/>
          <w:rtl/>
        </w:rPr>
        <w:t>ومن أبرز هذه الحقوق ما يأتي</w:t>
      </w:r>
      <w:r w:rsidRPr="00545ABB">
        <w:rPr>
          <w:rFonts w:ascii="Traditional Arabic" w:hAnsi="Traditional Arabic" w:cs="Traditional Arabic"/>
          <w:b/>
          <w:bCs/>
          <w:color w:val="000000" w:themeColor="text1"/>
          <w:sz w:val="28"/>
          <w:szCs w:val="28"/>
        </w:rPr>
        <w:t>:</w:t>
      </w:r>
    </w:p>
    <w:p w14:paraId="0435B74A" w14:textId="77777777" w:rsidR="00330D06" w:rsidRPr="00545ABB" w:rsidRDefault="00330D06" w:rsidP="00D95153">
      <w:pPr>
        <w:numPr>
          <w:ilvl w:val="0"/>
          <w:numId w:val="30"/>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حماية حقوق الملكية وتوفير آليات وإجراءات موثوقة لتسجيلها وإثباتها</w:t>
      </w:r>
      <w:r w:rsidRPr="00545ABB">
        <w:rPr>
          <w:rFonts w:ascii="Traditional Arabic" w:hAnsi="Traditional Arabic" w:cs="Traditional Arabic"/>
          <w:b/>
          <w:bCs/>
          <w:color w:val="000000" w:themeColor="text1"/>
          <w:sz w:val="24"/>
          <w:szCs w:val="24"/>
        </w:rPr>
        <w:t>.</w:t>
      </w:r>
    </w:p>
    <w:p w14:paraId="1BC55432" w14:textId="77777777" w:rsidR="00330D06" w:rsidRPr="00545ABB" w:rsidRDefault="00330D06" w:rsidP="00D95153">
      <w:pPr>
        <w:numPr>
          <w:ilvl w:val="0"/>
          <w:numId w:val="30"/>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تمكين المساهمين من نقل ملكية أسهمهم وفقًا للأنظمة واللوائح المعمول بها</w:t>
      </w:r>
      <w:r w:rsidRPr="00545ABB">
        <w:rPr>
          <w:rFonts w:ascii="Traditional Arabic" w:hAnsi="Traditional Arabic" w:cs="Traditional Arabic"/>
          <w:b/>
          <w:bCs/>
          <w:color w:val="000000" w:themeColor="text1"/>
          <w:sz w:val="24"/>
          <w:szCs w:val="24"/>
        </w:rPr>
        <w:t>.</w:t>
      </w:r>
    </w:p>
    <w:p w14:paraId="7C3BD27C" w14:textId="77777777" w:rsidR="00330D06" w:rsidRPr="00545ABB" w:rsidRDefault="00330D06" w:rsidP="00D95153">
      <w:pPr>
        <w:numPr>
          <w:ilvl w:val="0"/>
          <w:numId w:val="30"/>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ضمان حصول المساهمين على المعلومات المتعلقة بالشركة بصورة منتظمة وفي الوقت المناسب</w:t>
      </w:r>
      <w:r w:rsidRPr="00545ABB">
        <w:rPr>
          <w:rFonts w:ascii="Traditional Arabic" w:hAnsi="Traditional Arabic" w:cs="Traditional Arabic"/>
          <w:b/>
          <w:bCs/>
          <w:color w:val="000000" w:themeColor="text1"/>
          <w:sz w:val="24"/>
          <w:szCs w:val="24"/>
        </w:rPr>
        <w:t>.</w:t>
      </w:r>
    </w:p>
    <w:p w14:paraId="1E06D476" w14:textId="77777777" w:rsidR="00330D06" w:rsidRPr="00545ABB" w:rsidRDefault="00330D06" w:rsidP="00D95153">
      <w:pPr>
        <w:numPr>
          <w:ilvl w:val="0"/>
          <w:numId w:val="30"/>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تمكينهم من المشاركة في اجتماعات الجمعية العامة وممارسة حقوق التصويت على القرارات الجوهرية</w:t>
      </w:r>
      <w:r w:rsidRPr="00545ABB">
        <w:rPr>
          <w:rFonts w:ascii="Traditional Arabic" w:hAnsi="Traditional Arabic" w:cs="Traditional Arabic"/>
          <w:b/>
          <w:bCs/>
          <w:color w:val="000000" w:themeColor="text1"/>
          <w:sz w:val="24"/>
          <w:szCs w:val="24"/>
        </w:rPr>
        <w:t>.</w:t>
      </w:r>
    </w:p>
    <w:p w14:paraId="07117EA0" w14:textId="77777777" w:rsidR="00330D06" w:rsidRPr="00545ABB" w:rsidRDefault="00330D06" w:rsidP="00D95153">
      <w:pPr>
        <w:numPr>
          <w:ilvl w:val="0"/>
          <w:numId w:val="30"/>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كفالة حق المساهمين في الحصول على نصيبهم من الأرباح الموزعة وفقًا لحقوق الملكية</w:t>
      </w:r>
      <w:r w:rsidRPr="00545ABB">
        <w:rPr>
          <w:rFonts w:ascii="Traditional Arabic" w:hAnsi="Traditional Arabic" w:cs="Traditional Arabic"/>
          <w:b/>
          <w:bCs/>
          <w:color w:val="000000" w:themeColor="text1"/>
          <w:sz w:val="24"/>
          <w:szCs w:val="24"/>
        </w:rPr>
        <w:t>.</w:t>
      </w:r>
    </w:p>
    <w:p w14:paraId="453365BD" w14:textId="77777777" w:rsidR="00330D06" w:rsidRPr="00545ABB" w:rsidRDefault="00330D06" w:rsidP="00D95153">
      <w:pPr>
        <w:numPr>
          <w:ilvl w:val="0"/>
          <w:numId w:val="30"/>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تعزيز قدرتهم على متابعة أداء الشركة والمشاركة في القرارات التي تدخل ضمن اختصاصاتهم</w:t>
      </w:r>
      <w:r w:rsidRPr="00545ABB">
        <w:rPr>
          <w:rFonts w:ascii="Traditional Arabic" w:hAnsi="Traditional Arabic" w:cs="Traditional Arabic"/>
          <w:b/>
          <w:bCs/>
          <w:color w:val="000000" w:themeColor="text1"/>
          <w:sz w:val="24"/>
          <w:szCs w:val="24"/>
        </w:rPr>
        <w:t>.</w:t>
      </w:r>
    </w:p>
    <w:p w14:paraId="5FD2E48A" w14:textId="77777777" w:rsidR="00330D06" w:rsidRPr="00545ABB" w:rsidRDefault="00330D06" w:rsidP="00D95153">
      <w:pPr>
        <w:numPr>
          <w:ilvl w:val="0"/>
          <w:numId w:val="30"/>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توفير مستوى مناسب من الشفافية والإفصاح بما يساعد المساهمين على اتخاذ قرارات مبنية على معلومات واضحة</w:t>
      </w:r>
      <w:r w:rsidRPr="00545ABB">
        <w:rPr>
          <w:rFonts w:ascii="Traditional Arabic" w:hAnsi="Traditional Arabic" w:cs="Traditional Arabic"/>
          <w:b/>
          <w:bCs/>
          <w:color w:val="000000" w:themeColor="text1"/>
          <w:sz w:val="24"/>
          <w:szCs w:val="24"/>
        </w:rPr>
        <w:t>.</w:t>
      </w:r>
    </w:p>
    <w:p w14:paraId="38967D04"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وتزداد أهمية حماية هذه الحقوق في الشركات الناشئة عند دخول مستثمرين جدد أو إجراء جولات تمويل إضافية، نظرًا لما قد يترتب على ذلك من تغير في هيكل الملكية وتوزيع الصلاحيات وحقوق اتخاذ القرار</w:t>
      </w:r>
      <w:r w:rsidRPr="00545ABB">
        <w:rPr>
          <w:rFonts w:ascii="Traditional Arabic" w:hAnsi="Traditional Arabic" w:cs="Traditional Arabic"/>
          <w:b/>
          <w:bCs/>
          <w:color w:val="000000" w:themeColor="text1"/>
        </w:rPr>
        <w:t>.</w:t>
      </w:r>
    </w:p>
    <w:p w14:paraId="0046D81A" w14:textId="77777777" w:rsidR="00330D06" w:rsidRPr="00545ABB" w:rsidRDefault="00330D06" w:rsidP="00330D06">
      <w:pPr>
        <w:pStyle w:val="Heading3"/>
        <w:bidi/>
        <w:spacing w:line="360" w:lineRule="auto"/>
        <w:rPr>
          <w:rFonts w:ascii="Traditional Arabic" w:hAnsi="Traditional Arabic" w:cs="Traditional Arabic"/>
          <w:b/>
          <w:bCs/>
          <w:color w:val="000000" w:themeColor="text1"/>
        </w:rPr>
      </w:pPr>
      <w:bookmarkStart w:id="49" w:name="_Toc242325210"/>
      <w:r w:rsidRPr="00545ABB">
        <w:rPr>
          <w:rFonts w:ascii="Traditional Arabic" w:hAnsi="Traditional Arabic" w:cs="Traditional Arabic"/>
          <w:b/>
          <w:bCs/>
          <w:color w:val="000000" w:themeColor="text1"/>
          <w:rtl/>
        </w:rPr>
        <w:t>ج. المعاملة المتساوية للمساهمين</w:t>
      </w:r>
      <w:bookmarkEnd w:id="49"/>
    </w:p>
    <w:p w14:paraId="38DD0229"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يقوم إطار حوكمة الشركات على مبدأ المعاملة العادلة والمتساوية للمساهمين، مع مراعاة الحقوق المرتبطة بكل فئة من فئات الأسهم وفق الأنظمة والاتفاقيات المعتمدة. ويشمل ذلك حماية حقوق مساهمي الأغلبية والأقلية والمستثمرين الآخرين، ومنع الممارسات التي قد تؤدي إلى استغلال النفوذ أو تحقيق منافع لفئة معينة على حساب بقية المساهمين</w:t>
      </w:r>
      <w:r w:rsidRPr="00545ABB">
        <w:rPr>
          <w:rFonts w:ascii="Traditional Arabic" w:hAnsi="Traditional Arabic" w:cs="Traditional Arabic"/>
          <w:b/>
          <w:bCs/>
          <w:color w:val="000000" w:themeColor="text1"/>
        </w:rPr>
        <w:t>.</w:t>
      </w:r>
    </w:p>
    <w:p w14:paraId="11A8B8E3" w14:textId="77777777"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كما يتطلب هذا المبدأ توفير مستوى مناسب من الإفصاح والشفافية، ووضع آليات واضحة لمعالجة حالات تعارض المصالح، وحماية مساهمي الأقلية من الممارسات التعسفية التي قد تصدر عن المساهمين المسيطرين أو أصحاب الحصص المؤثرة</w:t>
      </w:r>
      <w:r w:rsidRPr="00545ABB">
        <w:rPr>
          <w:rFonts w:ascii="Traditional Arabic" w:hAnsi="Traditional Arabic" w:cs="Traditional Arabic"/>
          <w:b/>
          <w:bCs/>
          <w:color w:val="000000" w:themeColor="text1"/>
        </w:rPr>
        <w:t>.</w:t>
      </w:r>
    </w:p>
    <w:p w14:paraId="10C9A419" w14:textId="5129F3F4" w:rsidR="00330D06" w:rsidRPr="00545ABB" w:rsidRDefault="00330D06" w:rsidP="00330D06">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ويسهم تطبيق مبدأ المعاملة المتساوية في تعزيز الثقة داخل الشركة، وتحسين البيئة الاستثمارية، وتقليل النزاعات بين المساهمين، وتهيئة بيئة أكثر استقرارًا لدعم النمو والاستدامة (مركز أبو ظبي، 2013، ص</w:t>
      </w:r>
      <w:r w:rsidRPr="00545ABB">
        <w:rPr>
          <w:rFonts w:ascii="Traditional Arabic" w:hAnsi="Traditional Arabic" w:cs="Traditional Arabic"/>
          <w:b/>
          <w:bCs/>
          <w:color w:val="000000" w:themeColor="text1"/>
        </w:rPr>
        <w:t>. 17</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535F5541" w14:textId="59DD0C81" w:rsidR="00330D06" w:rsidRPr="00545ABB" w:rsidRDefault="00330D06"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منظور شركات الأمن السيبراني الناشئة، تكتسب هذه المبادئ أهمية خاصة مع تطور الشركة وانتقالها من الملكية المركزة لدى المؤسسين إلى هيكل ملكية قد يشمل مستثمرين وصناديق استثمار وشركاء استراتيجيين. ومن ثم، فإن وضوح الحقوق والصلاحيات وآليات اتخاذ القرار منذ المراحل المبكرة يساعد على الحد من النزاعات المستقبلية، ويعزز ثقة المستثمرين، ويدعم قدرة الشركة على استقطاب التمويل وتحقيق النمو بصورة أكثر استدامة</w:t>
      </w:r>
      <w:r w:rsidRPr="00545ABB">
        <w:rPr>
          <w:rFonts w:ascii="Traditional Arabic" w:hAnsi="Traditional Arabic" w:cs="Traditional Arabic"/>
          <w:b/>
          <w:bCs/>
          <w:color w:val="000000" w:themeColor="text1"/>
        </w:rPr>
        <w:t>.</w:t>
      </w:r>
    </w:p>
    <w:p w14:paraId="4B8A529B" w14:textId="177C63B0" w:rsidR="0000605A" w:rsidRPr="00545ABB" w:rsidRDefault="0000605A" w:rsidP="00442694">
      <w:pPr>
        <w:pStyle w:val="NormalWeb"/>
        <w:bidi/>
        <w:spacing w:line="360" w:lineRule="auto"/>
        <w:rPr>
          <w:rFonts w:ascii="Traditional Arabic" w:hAnsi="Traditional Arabic" w:cs="Traditional Arabic"/>
          <w:b/>
          <w:bCs/>
          <w:color w:val="000000" w:themeColor="text1"/>
          <w:sz w:val="32"/>
          <w:szCs w:val="32"/>
        </w:rPr>
      </w:pPr>
      <w:r w:rsidRPr="00545ABB">
        <w:rPr>
          <w:rFonts w:ascii="Traditional Arabic" w:hAnsi="Traditional Arabic" w:cs="Traditional Arabic"/>
          <w:b/>
          <w:bCs/>
          <w:color w:val="000000" w:themeColor="text1"/>
          <w:sz w:val="32"/>
          <w:szCs w:val="32"/>
          <w:rtl/>
        </w:rPr>
        <w:t>قيم ومبادئ الحوكمة الفعالة</w:t>
      </w:r>
    </w:p>
    <w:p w14:paraId="0482D17F" w14:textId="5E645E81"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تستند الحوكمة الفعالة إلى مجموعة من القيم والمبادئ التي تشكل الأساس الذي تُبنى عليه الممارسات التنظيمية والإدارية داخل المؤسسات، وتسهم في تعزيز الثقة، ورفع مستوى الانضباط المؤسسي، وتحسين جودة اتخاذ القرار. ومن أبرز هذه القيم والمبادئ ما يلي</w:t>
      </w:r>
      <w:r w:rsidRPr="00545ABB">
        <w:rPr>
          <w:rFonts w:ascii="Traditional Arabic" w:hAnsi="Traditional Arabic" w:cs="Traditional Arabic"/>
          <w:b/>
          <w:bCs/>
          <w:color w:val="000000" w:themeColor="text1"/>
        </w:rPr>
        <w:t>:</w:t>
      </w:r>
    </w:p>
    <w:p w14:paraId="29ABA817" w14:textId="77777777" w:rsidR="00442694" w:rsidRPr="00545ABB" w:rsidRDefault="00442694" w:rsidP="00442694">
      <w:pPr>
        <w:pStyle w:val="Heading3"/>
        <w:bidi/>
        <w:spacing w:line="360" w:lineRule="auto"/>
        <w:rPr>
          <w:rFonts w:ascii="Traditional Arabic" w:hAnsi="Traditional Arabic" w:cs="Traditional Arabic"/>
          <w:b/>
          <w:bCs/>
          <w:color w:val="000000" w:themeColor="text1"/>
        </w:rPr>
      </w:pPr>
      <w:bookmarkStart w:id="50" w:name="_Toc242325211"/>
      <w:r w:rsidRPr="00545ABB">
        <w:rPr>
          <w:rFonts w:ascii="Traditional Arabic" w:hAnsi="Traditional Arabic" w:cs="Traditional Arabic"/>
          <w:b/>
          <w:bCs/>
          <w:color w:val="000000" w:themeColor="text1"/>
          <w:rtl/>
        </w:rPr>
        <w:t>الشفافية</w:t>
      </w:r>
      <w:bookmarkEnd w:id="50"/>
    </w:p>
    <w:p w14:paraId="395C419D"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تُعد الشفافية أحد المبادئ الأساسية لحوكمة الشركات، إذ يتعين على إطار الحوكمة أن يضمن الإفصاح الدقيق والمنتظم وفي الوقت المناسب عن جميع المعلومات والموضوعات الجوهرية المتعلقة بالشركة. ويشمل ذلك الإفصاح عن المركز المالي، وهيكل الملكية، وحقوق المساهمين، وممارسات الحوكمة المتبعة، والقرارات ذات الأثر المهم، بما يتيح لأصحاب المصلحة اتخاذ قرارات مبنية على معلومات واضحة وموثوقة</w:t>
      </w:r>
      <w:r w:rsidRPr="00545ABB">
        <w:rPr>
          <w:rFonts w:ascii="Traditional Arabic" w:hAnsi="Traditional Arabic" w:cs="Traditional Arabic"/>
          <w:b/>
          <w:bCs/>
          <w:color w:val="000000" w:themeColor="text1"/>
        </w:rPr>
        <w:t>.</w:t>
      </w:r>
    </w:p>
    <w:p w14:paraId="234DF3E9"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تتطلب الشفافية توفير قنوات مناسبة لإتاحة المعلومات ذات الصلة، بحيث تكون متاحة للأطراف المعنية بالقدر الذي يسمح لها بفهم أداء المؤسسة ومتابعة عملياتها. وتُعد جودة المعلومات ودقتها وتوقيتها من العناصر الأساسية التي تعزز الثقة بين الإدارة والمساهمين والمستثمرين وأصحاب المصلحة</w:t>
      </w:r>
      <w:r w:rsidRPr="00545ABB">
        <w:rPr>
          <w:rFonts w:ascii="Traditional Arabic" w:hAnsi="Traditional Arabic" w:cs="Traditional Arabic"/>
          <w:b/>
          <w:bCs/>
          <w:color w:val="000000" w:themeColor="text1"/>
        </w:rPr>
        <w:t>.</w:t>
      </w:r>
    </w:p>
    <w:p w14:paraId="0092FD40"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وتشمل الشفافية كذلك إخضاع القوائم والتقارير المالية لعملية تدقيق خارجي مستقل يقوم بها مدقق مؤهل يتمتع بالكفاءة والحياد، بما يسهم في تعزيز مصداقية المعلومات المالية وضمان دقتها، ويدعم مبادئ النزاهة والرقابة الفعالة داخل الشركة</w:t>
      </w:r>
      <w:r w:rsidRPr="00545ABB">
        <w:rPr>
          <w:rFonts w:ascii="Traditional Arabic" w:hAnsi="Traditional Arabic" w:cs="Traditional Arabic"/>
          <w:b/>
          <w:bCs/>
          <w:color w:val="000000" w:themeColor="text1"/>
        </w:rPr>
        <w:t>.</w:t>
      </w:r>
    </w:p>
    <w:p w14:paraId="220A3E4B"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وتقوم الشفافية في جوهرها على التدفق المناسب للمعلومات، بما يمكّن الجهات المعنية من فهم العمليات والمؤسسات ومراقبتها بصورة أكثر فاعلية، وذلك من خلال توفير معلومات كافية وواضحة تسهم في تعزيز المساءلة واتخاذ القرار (عبد المعز، 2020، ص</w:t>
      </w:r>
      <w:r w:rsidRPr="00545ABB">
        <w:rPr>
          <w:rFonts w:ascii="Traditional Arabic" w:hAnsi="Traditional Arabic" w:cs="Traditional Arabic"/>
          <w:b/>
          <w:bCs/>
          <w:color w:val="000000" w:themeColor="text1"/>
        </w:rPr>
        <w:t>. 54).</w:t>
      </w:r>
    </w:p>
    <w:p w14:paraId="7E048601" w14:textId="77777777" w:rsidR="00442694" w:rsidRPr="00545ABB" w:rsidRDefault="00442694" w:rsidP="00442694">
      <w:pPr>
        <w:pStyle w:val="Heading3"/>
        <w:bidi/>
        <w:spacing w:line="360" w:lineRule="auto"/>
        <w:rPr>
          <w:rFonts w:ascii="Traditional Arabic" w:hAnsi="Traditional Arabic" w:cs="Traditional Arabic"/>
          <w:b/>
          <w:bCs/>
          <w:color w:val="000000" w:themeColor="text1"/>
        </w:rPr>
      </w:pPr>
      <w:bookmarkStart w:id="51" w:name="_Toc242325212"/>
      <w:r w:rsidRPr="00545ABB">
        <w:rPr>
          <w:rFonts w:ascii="Traditional Arabic" w:hAnsi="Traditional Arabic" w:cs="Traditional Arabic"/>
          <w:b/>
          <w:bCs/>
          <w:color w:val="000000" w:themeColor="text1"/>
          <w:rtl/>
        </w:rPr>
        <w:t>المساءلة</w:t>
      </w:r>
      <w:bookmarkEnd w:id="51"/>
    </w:p>
    <w:p w14:paraId="0E95DA00"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تمثل المساءلة مبدأً أساسيًا في الحوكمة، ويقصد بها التزام الأفراد والجهات والمؤسسات بتوضيح ما تم اتخاذه من قرارات وما تم تنفيذه من أعمال، وتحمل المسؤولية عن النتائج المترتبة عليها. كما تتطلب المساءلة تقديم التفسيرات والمبررات عند وجود قصور أو إخفاق، وربط الصلاحيات بالمسؤوليات بما يضمن وجود جهة محددة يمكن الرجوع إليها ومحاسبتها</w:t>
      </w:r>
      <w:r w:rsidRPr="00545ABB">
        <w:rPr>
          <w:rFonts w:ascii="Traditional Arabic" w:hAnsi="Traditional Arabic" w:cs="Traditional Arabic"/>
          <w:b/>
          <w:bCs/>
          <w:color w:val="000000" w:themeColor="text1"/>
        </w:rPr>
        <w:t>.</w:t>
      </w:r>
    </w:p>
    <w:p w14:paraId="25D8F703"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ولا تقتصر المساءلة على المؤسسات الحكومية أو القطاع العام، بل تمتد لتشمل مؤسسات القطاع الخاص والمجتمع المدني، حيث تساعد على منع إساءة استخدام السلطة، وتعزيز الانضباط الإداري، وحماية المصالح العامة والخاصة. كما تسهم في رفع مستوى الكفاءة والفعالية من خلال ربط الأداء بالنتائج ومتابعة مدى الالتزام بالمهام والمسؤوليات المحددة </w:t>
      </w:r>
      <w:r w:rsidRPr="00545ABB">
        <w:rPr>
          <w:rFonts w:ascii="Traditional Arabic" w:hAnsi="Traditional Arabic" w:cs="Traditional Arabic"/>
          <w:b/>
          <w:bCs/>
          <w:color w:val="000000" w:themeColor="text1"/>
        </w:rPr>
        <w:t>(Aleida &amp; Jahan, 2006, p. 35).</w:t>
      </w:r>
    </w:p>
    <w:p w14:paraId="0F88ECBC"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سياق الشركات، تساعد المساءلة على تحديد المسؤوليات بوضوح بين مجلس الإدارة والإدارة التنفيذية والإدارات المختلفة، بما يقلل من التداخل أو تضارب الصلاحيات، ويعزز من قدرة المؤسسة على متابعة الأداء واتخاذ الإجراءات التصحيحية عند الحاجة</w:t>
      </w:r>
      <w:r w:rsidRPr="00545ABB">
        <w:rPr>
          <w:rFonts w:ascii="Traditional Arabic" w:hAnsi="Traditional Arabic" w:cs="Traditional Arabic"/>
          <w:b/>
          <w:bCs/>
          <w:color w:val="000000" w:themeColor="text1"/>
        </w:rPr>
        <w:t>.</w:t>
      </w:r>
    </w:p>
    <w:p w14:paraId="12EE9615" w14:textId="77777777" w:rsidR="00442694" w:rsidRPr="00545ABB" w:rsidRDefault="00442694" w:rsidP="00442694">
      <w:pPr>
        <w:pStyle w:val="Heading3"/>
        <w:bidi/>
        <w:spacing w:line="360" w:lineRule="auto"/>
        <w:rPr>
          <w:rFonts w:ascii="Traditional Arabic" w:hAnsi="Traditional Arabic" w:cs="Traditional Arabic"/>
          <w:b/>
          <w:bCs/>
          <w:color w:val="000000" w:themeColor="text1"/>
        </w:rPr>
      </w:pPr>
      <w:bookmarkStart w:id="52" w:name="_Toc242325213"/>
      <w:r w:rsidRPr="00545ABB">
        <w:rPr>
          <w:rFonts w:ascii="Traditional Arabic" w:hAnsi="Traditional Arabic" w:cs="Traditional Arabic"/>
          <w:b/>
          <w:bCs/>
          <w:color w:val="000000" w:themeColor="text1"/>
          <w:rtl/>
        </w:rPr>
        <w:t>المسؤولية</w:t>
      </w:r>
      <w:bookmarkEnd w:id="52"/>
    </w:p>
    <w:p w14:paraId="6600566E"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تشير المسؤولية إلى التزام المؤسسة والأفراد العاملين فيها بأداء الواجبات والمهام الموكلة إليهم بما يتفق مع الأنظمة والسياسات والأهداف المؤسسية. كما تمتد إلى تحمل النتائج المترتبة على القرارات والتصرفات التي يتم اتخاذها داخل المؤسسة</w:t>
      </w:r>
      <w:r w:rsidRPr="00545ABB">
        <w:rPr>
          <w:rFonts w:ascii="Traditional Arabic" w:hAnsi="Traditional Arabic" w:cs="Traditional Arabic"/>
          <w:b/>
          <w:bCs/>
          <w:color w:val="000000" w:themeColor="text1"/>
        </w:rPr>
        <w:t>.</w:t>
      </w:r>
    </w:p>
    <w:p w14:paraId="360099A5"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وتأخذ المسؤولية عدة صور، من أبرزها</w:t>
      </w:r>
      <w:r w:rsidRPr="00545ABB">
        <w:rPr>
          <w:rFonts w:ascii="Traditional Arabic" w:hAnsi="Traditional Arabic" w:cs="Traditional Arabic"/>
          <w:b/>
          <w:bCs/>
          <w:color w:val="000000" w:themeColor="text1"/>
        </w:rPr>
        <w:t>:</w:t>
      </w:r>
    </w:p>
    <w:p w14:paraId="5013270E"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lastRenderedPageBreak/>
        <w:t>أ- المسؤولية الفردية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وتعني مسؤولية الفرد عن القرارات والأعمال التي يقوم بها في نطاق اختصاصه، ومدى التزامه بالواجبات والمسؤوليات الموكلة إليه</w:t>
      </w:r>
      <w:r w:rsidRPr="00545ABB">
        <w:rPr>
          <w:rFonts w:ascii="Traditional Arabic" w:hAnsi="Traditional Arabic" w:cs="Traditional Arabic"/>
          <w:b/>
          <w:bCs/>
          <w:color w:val="000000" w:themeColor="text1"/>
        </w:rPr>
        <w:t>.</w:t>
      </w:r>
    </w:p>
    <w:p w14:paraId="09CE354E"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ب- المسؤولية الجماعية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وتعني مسؤولية أعضاء الفريق أو الجماعة عن النتائج المترتبة على العمل المشترك، والتزامهم بتحقيق الأهداف المحددة والتعاون في تنفيذ المهام</w:t>
      </w:r>
      <w:r w:rsidRPr="00545ABB">
        <w:rPr>
          <w:rFonts w:ascii="Traditional Arabic" w:hAnsi="Traditional Arabic" w:cs="Traditional Arabic"/>
          <w:b/>
          <w:bCs/>
          <w:color w:val="000000" w:themeColor="text1"/>
        </w:rPr>
        <w:t>.</w:t>
      </w:r>
    </w:p>
    <w:p w14:paraId="46DFB66B"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ج- المسؤولية المجتمعية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وتشير إلى مسؤولية المؤسسة تجاه المجتمع الذي تعمل فيه، وضرورة مراعاة الآثار الاقتصادية والاجتماعية والأخلاقية لقراراتها وأنشطتها، بما يحقق التوازن بين أهداف المؤسسة ومصالح المجتمع وأصحاب المصلحة</w:t>
      </w:r>
      <w:r w:rsidRPr="00545ABB">
        <w:rPr>
          <w:rFonts w:ascii="Traditional Arabic" w:hAnsi="Traditional Arabic" w:cs="Traditional Arabic"/>
          <w:b/>
          <w:bCs/>
          <w:color w:val="000000" w:themeColor="text1"/>
        </w:rPr>
        <w:t>.</w:t>
      </w:r>
    </w:p>
    <w:p w14:paraId="0F6612D9"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المسؤولية أهمية خاصة في شركات الأمن السيبراني، نظرًا لطبيعة أعمالها المرتبطة بحماية المعلومات والأنظمة والبيانات، وما يترتب على قراراتها وخدماتها من آثار مباشرة على العملاء والمستخدمين والجهات ذات العلاقة</w:t>
      </w:r>
      <w:r w:rsidRPr="00545ABB">
        <w:rPr>
          <w:rFonts w:ascii="Traditional Arabic" w:hAnsi="Traditional Arabic" w:cs="Traditional Arabic"/>
          <w:b/>
          <w:bCs/>
          <w:color w:val="000000" w:themeColor="text1"/>
        </w:rPr>
        <w:t>.</w:t>
      </w:r>
    </w:p>
    <w:p w14:paraId="59EDB87E" w14:textId="77777777" w:rsidR="00442694" w:rsidRPr="00545ABB" w:rsidRDefault="00442694" w:rsidP="00442694">
      <w:pPr>
        <w:pStyle w:val="Heading3"/>
        <w:bidi/>
        <w:spacing w:line="360" w:lineRule="auto"/>
        <w:rPr>
          <w:rFonts w:ascii="Traditional Arabic" w:hAnsi="Traditional Arabic" w:cs="Traditional Arabic"/>
          <w:b/>
          <w:bCs/>
          <w:color w:val="000000" w:themeColor="text1"/>
        </w:rPr>
      </w:pPr>
      <w:bookmarkStart w:id="53" w:name="_Toc242325214"/>
      <w:r w:rsidRPr="00545ABB">
        <w:rPr>
          <w:rFonts w:ascii="Traditional Arabic" w:hAnsi="Traditional Arabic" w:cs="Traditional Arabic"/>
          <w:b/>
          <w:bCs/>
          <w:color w:val="000000" w:themeColor="text1"/>
          <w:rtl/>
        </w:rPr>
        <w:t>العدالة الاجتماعية</w:t>
      </w:r>
      <w:bookmarkEnd w:id="53"/>
    </w:p>
    <w:p w14:paraId="0FCB9351"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يعد مبدأ العدالة والمساواة من الأسس الجوهرية التي تقوم عليها الحوكمة الفعالة، إذ تسعى الحوكمة إلى ضمان التعامل العادل مع مختلف الأطراف وعدم التمييز بينهم بصورة غير مبررة. ويشمل ذلك المساهمين والعاملين والعملاء والمستفيدين وأصحاب المصلحة، مع ضمان الحقوق والواجبات وفقًا للأنظمة والسياسات المعتمدة</w:t>
      </w:r>
      <w:r w:rsidRPr="00545ABB">
        <w:rPr>
          <w:rFonts w:ascii="Traditional Arabic" w:hAnsi="Traditional Arabic" w:cs="Traditional Arabic"/>
          <w:b/>
          <w:bCs/>
          <w:color w:val="000000" w:themeColor="text1"/>
        </w:rPr>
        <w:t>.</w:t>
      </w:r>
    </w:p>
    <w:p w14:paraId="0FDF403A" w14:textId="63BFAADF" w:rsidR="00442694" w:rsidRPr="00545ABB" w:rsidRDefault="00442694" w:rsidP="00D00B9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ويرتبط مبدأ العدالة ارتباطًا وثيقًا بالشفافية والإفصاح، لأن توفير المعلومات بصورة متساوية وعادلة يساعد على الحد من التحيز ويعزز ثقة الأطراف المختلفة في المؤسسة. كما يتطلب تطبيق العدالة وجود قوانين ولوائح وإجراءات واضحة تكفل المساواة في الحقوق والواجبات وتضمن التعامل المنصف مع جميع الأطراف المعنية (علي، 2019، ص</w:t>
      </w:r>
      <w:r w:rsidRPr="00545ABB">
        <w:rPr>
          <w:rFonts w:ascii="Traditional Arabic" w:hAnsi="Traditional Arabic" w:cs="Traditional Arabic"/>
          <w:b/>
          <w:bCs/>
          <w:color w:val="000000" w:themeColor="text1"/>
        </w:rPr>
        <w:t>. 22</w:t>
      </w:r>
      <w:r w:rsidR="00D00B97"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02AFB496"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وتظهر أهمية هذا المبدأ بصورة أكبر في الشركات الناشئة مع توسع هيكل الملكية ودخول مستثمرين جدد وزيادة عدد العاملين والعملاء، حيث يساعد وضوح قواعد العدالة والمساواة في الحد من النزاعات وتعزيز الاستقرار المؤسسي</w:t>
      </w:r>
      <w:r w:rsidRPr="00545ABB">
        <w:rPr>
          <w:rFonts w:ascii="Traditional Arabic" w:hAnsi="Traditional Arabic" w:cs="Traditional Arabic"/>
          <w:b/>
          <w:bCs/>
          <w:color w:val="000000" w:themeColor="text1"/>
        </w:rPr>
        <w:t>.</w:t>
      </w:r>
    </w:p>
    <w:p w14:paraId="29AF84DB" w14:textId="77777777" w:rsidR="00442694" w:rsidRPr="00545ABB" w:rsidRDefault="00442694" w:rsidP="0044269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وبوجه عام، فإن الشفافية والمساءلة والمسؤولية والعدالة لا تمثل مبادئ منفصلة عن بعضها، بل تشكل منظومة مترابطة تدعم الحوكمة الفعالة. فكلما ارتفع مستوى الشفافية، أصبحت المساءلة أكثر فاعلية، وكلما اتضحت المسؤوليات، أصبح من الممكن تطبيق العدالة بصورة أكثر اتساقًا. ويسهم التكامل بين هذه المبادئ في بناء بيئة مؤسسية أكثر انضباطًا وثقة، وهو ما يدعم قدرة الشركات الناشئة، ومن بينها شركات الأمن السيبراني، على تحقيق النمو والاستدامة</w:t>
      </w:r>
      <w:r w:rsidRPr="00545ABB">
        <w:rPr>
          <w:rFonts w:ascii="Traditional Arabic" w:hAnsi="Traditional Arabic" w:cs="Traditional Arabic"/>
          <w:b/>
          <w:bCs/>
          <w:color w:val="000000" w:themeColor="text1"/>
        </w:rPr>
        <w:t>.</w:t>
      </w:r>
    </w:p>
    <w:p w14:paraId="794B67F4" w14:textId="092A4987" w:rsidR="00D00B97" w:rsidRPr="00545ABB" w:rsidRDefault="00D00B97" w:rsidP="00D00B97">
      <w:pPr>
        <w:pStyle w:val="Heading2"/>
        <w:bidi/>
        <w:rPr>
          <w:rFonts w:ascii="Traditional Arabic" w:hAnsi="Traditional Arabic" w:cs="Traditional Arabic"/>
          <w:b/>
          <w:bCs/>
          <w:color w:val="000000" w:themeColor="text1"/>
        </w:rPr>
      </w:pPr>
      <w:bookmarkStart w:id="54" w:name="_Toc242325215"/>
      <w:r w:rsidRPr="00545ABB">
        <w:rPr>
          <w:rFonts w:ascii="Traditional Arabic" w:hAnsi="Traditional Arabic" w:cs="Traditional Arabic"/>
          <w:b/>
          <w:bCs/>
          <w:color w:val="000000" w:themeColor="text1"/>
          <w:rtl/>
        </w:rPr>
        <w:t>دور أصحاب المصالح</w:t>
      </w:r>
      <w:bookmarkEnd w:id="54"/>
    </w:p>
    <w:p w14:paraId="5CDFE331" w14:textId="77777777" w:rsidR="00D00B97" w:rsidRPr="00545ABB" w:rsidRDefault="00D00B97" w:rsidP="00D00B97">
      <w:pPr>
        <w:pStyle w:val="Heading3"/>
        <w:bidi/>
        <w:rPr>
          <w:rFonts w:ascii="Traditional Arabic" w:hAnsi="Traditional Arabic" w:cs="Traditional Arabic"/>
          <w:b/>
          <w:bCs/>
          <w:color w:val="000000" w:themeColor="text1"/>
        </w:rPr>
      </w:pPr>
      <w:bookmarkStart w:id="55" w:name="_Toc242325216"/>
      <w:r w:rsidRPr="00545ABB">
        <w:rPr>
          <w:rFonts w:ascii="Traditional Arabic" w:hAnsi="Traditional Arabic" w:cs="Traditional Arabic"/>
          <w:b/>
          <w:bCs/>
          <w:color w:val="000000" w:themeColor="text1"/>
          <w:rtl/>
        </w:rPr>
        <w:t>أصحاب المصالح</w:t>
      </w:r>
      <w:bookmarkEnd w:id="55"/>
    </w:p>
    <w:p w14:paraId="141BA9D7"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يُعد أصحاب المصالح من العناصر الأساسية في منظومة حوكمة الشركات، ويشملون مختلف الأطراف التي تتأثر بأنشطة الشركة أو تؤثر في قدرتها على تحقيق أهدافها. ومن أبرز هؤلاء: المساهمون، ومجلس الإدارة، والإدارة التنفيذية، والعاملون، والعملاء، والمستثمرون، والشركاء، والموردون، والجهات التنظيمية، وغيرهم من الأطراف ذات العلاقة</w:t>
      </w:r>
      <w:r w:rsidRPr="00545ABB">
        <w:rPr>
          <w:rFonts w:ascii="Traditional Arabic" w:hAnsi="Traditional Arabic" w:cs="Traditional Arabic"/>
          <w:b/>
          <w:bCs/>
          <w:color w:val="000000" w:themeColor="text1"/>
        </w:rPr>
        <w:t>.</w:t>
      </w:r>
    </w:p>
    <w:p w14:paraId="044F6B2F"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هذا الإطار، ينبغي أن يعترف نظام حوكمة الشركات بالحقوق القانونية والتنظيمية لأصحاب المصالح، وأن يعمل على تعزيز التعاون الفعال بين الشركة وهذه الأطراف، بما يسهم في خلق القيمة، ودعم النمو، وتوفير فرص العمل، وتعزيز الثقة، وتحقيق استدامة المنشأة واستمرارية أعمالها</w:t>
      </w:r>
      <w:r w:rsidRPr="00545ABB">
        <w:rPr>
          <w:rFonts w:ascii="Traditional Arabic" w:hAnsi="Traditional Arabic" w:cs="Traditional Arabic"/>
          <w:b/>
          <w:bCs/>
          <w:color w:val="000000" w:themeColor="text1"/>
        </w:rPr>
        <w:t>.</w:t>
      </w:r>
    </w:p>
    <w:p w14:paraId="75CFA7E3"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يساعد إشراك أصحاب المصالح بصورة مناسبة في دعم جودة القرارات الإدارية والاستراتيجية، من خلال الاستفادة من آرائهم وتوقعاتهم وملاحظاتهم، بما يمكن الشركة من التعرف بصورة أفضل على المخاطر والفرص المحيطة بها، والاستجابة للتغيرات في بيئة الأعمال</w:t>
      </w:r>
      <w:r w:rsidRPr="00545ABB">
        <w:rPr>
          <w:rFonts w:ascii="Traditional Arabic" w:hAnsi="Traditional Arabic" w:cs="Traditional Arabic"/>
          <w:b/>
          <w:bCs/>
          <w:color w:val="000000" w:themeColor="text1"/>
        </w:rPr>
        <w:t>.</w:t>
      </w:r>
    </w:p>
    <w:p w14:paraId="3A68AA0C"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إدارة العلاقة مع أصحاب المصالح أهمية أكبر في شركات الأمن السيبراني، نظرًا لطبيعة نشاطها وارتباط خدماتها ببيانات وأنظمة وأصول ذات حساسية مرتفعة. ولذلك فإن بناء الثقة والمحافظة على مستوى عالٍ من الالتزام والشفافية يمثلان عنصرين أساسيين في العلاقة بين هذه الشركات وعملائها والجهات التنظيمية والمستثمرين وبقية الأطراف ذات العلاقة</w:t>
      </w:r>
      <w:r w:rsidRPr="00545ABB">
        <w:rPr>
          <w:rFonts w:ascii="Traditional Arabic" w:hAnsi="Traditional Arabic" w:cs="Traditional Arabic"/>
          <w:b/>
          <w:bCs/>
          <w:color w:val="000000" w:themeColor="text1"/>
        </w:rPr>
        <w:t>.</w:t>
      </w:r>
    </w:p>
    <w:p w14:paraId="5C506E7E"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أن قدرة شركات الأمن السيبراني الناشئة على فهم توقعات أصحاب المصالح وتحقيق التوازن بينها تعد عاملًا مهمًا في دعم استدامتها، خاصة في ظل تعدد المتطلبات الفنية والتنظيمية والتجارية التي تواجهها خلال مراحل النمو والتوسع</w:t>
      </w:r>
      <w:r w:rsidRPr="00545ABB">
        <w:rPr>
          <w:rFonts w:ascii="Traditional Arabic" w:hAnsi="Traditional Arabic" w:cs="Traditional Arabic"/>
          <w:b/>
          <w:bCs/>
          <w:color w:val="000000" w:themeColor="text1"/>
        </w:rPr>
        <w:t>.</w:t>
      </w:r>
    </w:p>
    <w:p w14:paraId="14ABB357" w14:textId="77777777" w:rsidR="00D00B97" w:rsidRPr="00545ABB" w:rsidRDefault="00D00B97" w:rsidP="00D00B97">
      <w:pPr>
        <w:pStyle w:val="Heading3"/>
        <w:bidi/>
        <w:rPr>
          <w:rFonts w:ascii="Traditional Arabic" w:hAnsi="Traditional Arabic" w:cs="Traditional Arabic"/>
          <w:b/>
          <w:bCs/>
          <w:color w:val="000000" w:themeColor="text1"/>
        </w:rPr>
      </w:pPr>
      <w:bookmarkStart w:id="56" w:name="_Toc242325217"/>
      <w:r w:rsidRPr="00545ABB">
        <w:rPr>
          <w:rFonts w:ascii="Traditional Arabic" w:hAnsi="Traditional Arabic" w:cs="Traditional Arabic"/>
          <w:b/>
          <w:bCs/>
          <w:color w:val="000000" w:themeColor="text1"/>
          <w:rtl/>
        </w:rPr>
        <w:t>مسؤوليات مجلس الإدارة</w:t>
      </w:r>
      <w:bookmarkEnd w:id="56"/>
    </w:p>
    <w:p w14:paraId="1A0BC2BC"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يقع على عاتق مجلس الإدارة، في إطار حوكمة الشركات، مسؤولية توفير التوجيه والإرشاد الاستراتيجي للشركة، والإشراف الفعّال على أعمالها، ومتابعة أداء الإدارة التنفيذية، والتأكد من توافق القرارات والممارسات مع أهداف الشركة واستراتيجيتها</w:t>
      </w:r>
      <w:r w:rsidRPr="00545ABB">
        <w:rPr>
          <w:rFonts w:ascii="Traditional Arabic" w:hAnsi="Traditional Arabic" w:cs="Traditional Arabic"/>
          <w:b/>
          <w:bCs/>
          <w:color w:val="000000" w:themeColor="text1"/>
        </w:rPr>
        <w:t>.</w:t>
      </w:r>
    </w:p>
    <w:p w14:paraId="503A6DA1"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يتحمل مجلس الإدارة مسؤولية الإشراف على إدارة المخاطر، ومتابعة كفاءة أنظمة الرقابة الداخلية، وتعزيز مستوى الشفافية والإفصاح، وحماية حقوق المساهمين وأصحاب المصالح، إضافة إلى متابعة مدى الالتزام بالأنظمة والسياسات واللوائح ذات العلاقة</w:t>
      </w:r>
      <w:r w:rsidRPr="00545ABB">
        <w:rPr>
          <w:rFonts w:ascii="Traditional Arabic" w:hAnsi="Traditional Arabic" w:cs="Traditional Arabic"/>
          <w:b/>
          <w:bCs/>
          <w:color w:val="000000" w:themeColor="text1"/>
        </w:rPr>
        <w:t>.</w:t>
      </w:r>
    </w:p>
    <w:p w14:paraId="6C8C9054" w14:textId="63918C1C" w:rsidR="00D00B97" w:rsidRPr="00545ABB" w:rsidRDefault="00D00B97" w:rsidP="00C1390C">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ويمثل مجلس الإدارة حلقة رئيسة في تحقيق التوازن بين مصالح المساهمين من جهة، ومتطلبات الإدارة التنفيذية وبقية أصحاب المصالح من جهة أخرى، وذلك من خلال ممارسة دوره الرقابي والتوجيهي بصورة مستقلة وموضوعية، بما يعزز مبادئ المساءلة والشفافية والكفاءة (مركز أبو ظبي، 2013، ص</w:t>
      </w:r>
      <w:r w:rsidRPr="00545ABB">
        <w:rPr>
          <w:rFonts w:ascii="Traditional Arabic" w:hAnsi="Traditional Arabic" w:cs="Traditional Arabic"/>
          <w:b/>
          <w:bCs/>
          <w:color w:val="000000" w:themeColor="text1"/>
        </w:rPr>
        <w:t>. 19</w:t>
      </w:r>
      <w:r w:rsidR="00C1390C"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6789D45C"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شركات الأمن السيبراني، تزداد أهمية دور مجلس الإدارة في ظل الطبيعة المتخصصة والمتغيرة للمخاطر السيبرانية، حيث يتطلب الأمر وجود مستوى مناسب من الوعي بالمخاطر التقنية والتنظيمية، وضمان إدراج الأمن السيبراني ضمن الأولويات الاستراتيجية للشركة، وليس التعامل معه بوصفه شأنًا تقنيًا منفصلًا</w:t>
      </w:r>
      <w:r w:rsidRPr="00545ABB">
        <w:rPr>
          <w:rFonts w:ascii="Traditional Arabic" w:hAnsi="Traditional Arabic" w:cs="Traditional Arabic"/>
          <w:b/>
          <w:bCs/>
          <w:color w:val="000000" w:themeColor="text1"/>
        </w:rPr>
        <w:t>.</w:t>
      </w:r>
    </w:p>
    <w:p w14:paraId="2DA4B25A"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ينبغي أن يتأكد مجلس الإدارة من وجود سياسات وأطر واضحة لإدارة المخاطر السيبرانية، وتحديد المسؤوليات، ومراقبة الأداء، ومتابعة الحوادث الجوهرية والمخاطر التي قد تؤثر في استمرارية الشركة أو سمعتها أو مصالح عملائها وأصحاب المصالح</w:t>
      </w:r>
      <w:r w:rsidRPr="00545ABB">
        <w:rPr>
          <w:rFonts w:ascii="Traditional Arabic" w:hAnsi="Traditional Arabic" w:cs="Traditional Arabic"/>
          <w:b/>
          <w:bCs/>
          <w:color w:val="000000" w:themeColor="text1"/>
        </w:rPr>
        <w:t>.</w:t>
      </w:r>
    </w:p>
    <w:p w14:paraId="225AF3E0" w14:textId="77777777" w:rsidR="00D00B97" w:rsidRPr="00545ABB" w:rsidRDefault="00D00B97" w:rsidP="00D00B9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ويوضح الشكل (2) العلاقة بين مبادئ حوكمة الشركات المستخدمة في هذه الدراسة، ورأس المال البشري، وتأثيرهما في أداء الشركات، بما يعكس الترابط بين ممارسات الحوكمة والقدرات البشرية والنتائج المؤسسية</w:t>
      </w:r>
      <w:r w:rsidRPr="00545ABB">
        <w:rPr>
          <w:rFonts w:ascii="Traditional Arabic" w:hAnsi="Traditional Arabic" w:cs="Traditional Arabic"/>
          <w:b/>
          <w:bCs/>
          <w:color w:val="000000" w:themeColor="text1"/>
        </w:rPr>
        <w:t>.</w:t>
      </w:r>
    </w:p>
    <w:p w14:paraId="1510EB3A" w14:textId="77777777" w:rsidR="00D00B97" w:rsidRPr="00545ABB" w:rsidRDefault="00D00B97" w:rsidP="00D00B97">
      <w:pPr>
        <w:pStyle w:val="Heading2"/>
        <w:bidi/>
        <w:rPr>
          <w:rFonts w:ascii="Traditional Arabic" w:eastAsia="Times New Roman" w:hAnsi="Traditional Arabic" w:cs="Traditional Arabic"/>
          <w:color w:val="000000" w:themeColor="text1"/>
          <w:sz w:val="28"/>
          <w:szCs w:val="28"/>
          <w:rtl/>
        </w:rPr>
      </w:pPr>
    </w:p>
    <w:p w14:paraId="4C5A4D2C" w14:textId="356594F9" w:rsidR="00FE45D5" w:rsidRPr="00545ABB" w:rsidRDefault="00FE45D5" w:rsidP="00D00B97">
      <w:pPr>
        <w:pStyle w:val="Heading2"/>
        <w:bidi/>
        <w:rPr>
          <w:rFonts w:ascii="Traditional Arabic" w:eastAsia="Times New Roman" w:hAnsi="Traditional Arabic" w:cs="Traditional Arabic"/>
          <w:color w:val="000000" w:themeColor="text1"/>
          <w:sz w:val="28"/>
          <w:szCs w:val="28"/>
        </w:rPr>
      </w:pPr>
      <w:bookmarkStart w:id="57" w:name="_Toc242325218"/>
      <w:r w:rsidRPr="00545ABB">
        <w:rPr>
          <w:rFonts w:ascii="Traditional Arabic" w:eastAsia="Times New Roman" w:hAnsi="Traditional Arabic" w:cs="Traditional Arabic"/>
          <w:noProof/>
          <w:color w:val="000000" w:themeColor="text1"/>
          <w:sz w:val="28"/>
          <w:szCs w:val="28"/>
        </w:rPr>
        <w:drawing>
          <wp:inline distT="0" distB="0" distL="0" distR="0" wp14:anchorId="54FAA979" wp14:editId="2F447148">
            <wp:extent cx="5486400" cy="3263776"/>
            <wp:effectExtent l="0" t="0" r="0" b="0"/>
            <wp:docPr id="210704420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bookmarkEnd w:id="57"/>
    </w:p>
    <w:p w14:paraId="3F4F6162" w14:textId="3DEB5F22" w:rsidR="00FE45D5" w:rsidRPr="00545ABB" w:rsidRDefault="00903EC6" w:rsidP="00022590">
      <w:pPr>
        <w:spacing w:after="0" w:line="360" w:lineRule="auto"/>
        <w:jc w:val="center"/>
        <w:rPr>
          <w:rFonts w:ascii="Traditional Arabic" w:eastAsia="Times New Roman" w:hAnsi="Traditional Arabic" w:cs="Traditional Arabic"/>
          <w:b/>
          <w:bCs/>
          <w:color w:val="000000" w:themeColor="text1"/>
          <w:sz w:val="28"/>
          <w:szCs w:val="28"/>
          <w:rtl/>
        </w:rPr>
      </w:pPr>
      <w:r w:rsidRPr="00903EC6">
        <w:rPr>
          <w:rFonts w:ascii="Traditional Arabic" w:eastAsia="Times New Roman" w:hAnsi="Traditional Arabic" w:cs="Traditional Arabic"/>
          <w:b/>
          <w:bCs/>
          <w:color w:val="000000" w:themeColor="text1"/>
          <w:sz w:val="28"/>
          <w:szCs w:val="28"/>
          <w:rtl/>
        </w:rPr>
        <w:t>شكل (2-2)</w:t>
      </w:r>
      <w:r>
        <w:rPr>
          <w:rFonts w:ascii="Traditional Arabic" w:eastAsia="Times New Roman" w:hAnsi="Traditional Arabic" w:cs="Traditional Arabic" w:hint="cs"/>
          <w:b/>
          <w:bCs/>
          <w:color w:val="000000" w:themeColor="text1"/>
          <w:sz w:val="28"/>
          <w:szCs w:val="28"/>
          <w:rtl/>
        </w:rPr>
        <w:t xml:space="preserve"> </w:t>
      </w:r>
      <w:r w:rsidR="00FE45D5" w:rsidRPr="00545ABB">
        <w:rPr>
          <w:rFonts w:ascii="Traditional Arabic" w:eastAsia="Times New Roman" w:hAnsi="Traditional Arabic" w:cs="Traditional Arabic"/>
          <w:b/>
          <w:bCs/>
          <w:color w:val="000000" w:themeColor="text1"/>
          <w:sz w:val="28"/>
          <w:szCs w:val="28"/>
          <w:rtl/>
        </w:rPr>
        <w:t>يوضح العلاقة بين حوكمة الشركات في ظل وجود مبادئ الحوكمة</w:t>
      </w:r>
    </w:p>
    <w:p w14:paraId="6357C29E" w14:textId="77777777" w:rsidR="00FE45D5" w:rsidRPr="00545ABB" w:rsidRDefault="00FE45D5" w:rsidP="00022590">
      <w:pPr>
        <w:spacing w:after="0" w:line="360" w:lineRule="auto"/>
        <w:jc w:val="center"/>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الإطار المفاهيمي لحوكمة الشركات. (أبو الخير، 2023، 267)</w:t>
      </w:r>
    </w:p>
    <w:p w14:paraId="418B0932" w14:textId="77777777" w:rsidR="00525661" w:rsidRPr="00545ABB" w:rsidRDefault="00525661" w:rsidP="00525661">
      <w:pPr>
        <w:pStyle w:val="Heading2"/>
        <w:bidi/>
        <w:spacing w:line="360" w:lineRule="auto"/>
        <w:rPr>
          <w:rFonts w:ascii="Traditional Arabic" w:hAnsi="Traditional Arabic" w:cs="Traditional Arabic"/>
          <w:b/>
          <w:bCs/>
          <w:color w:val="000000" w:themeColor="text1"/>
        </w:rPr>
      </w:pPr>
      <w:bookmarkStart w:id="58" w:name="_Toc242325219"/>
      <w:r w:rsidRPr="00545ABB">
        <w:rPr>
          <w:rFonts w:ascii="Traditional Arabic" w:hAnsi="Traditional Arabic" w:cs="Traditional Arabic"/>
          <w:b/>
          <w:bCs/>
          <w:color w:val="000000" w:themeColor="text1"/>
          <w:rtl/>
        </w:rPr>
        <w:lastRenderedPageBreak/>
        <w:t>إدارة المخاطر للشركات الناشئة</w:t>
      </w:r>
      <w:bookmarkEnd w:id="58"/>
    </w:p>
    <w:p w14:paraId="0DEC95BD"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تُعد إدارة المخاطر من الركائز الأساسية في حوكمة الشركات الناشئة، نظرًا لما تواجهه هذه الشركات من مستويات مرتفعة من عدم اليقين، ومحدودية الموارد، وسرعة التغير في بيئة الأعمال، إلى جانب الاعتماد الكبير على التقنيات الرقمية والمنصات والخدمات الإلكترونية. ومن ثم، فإن القدرة على تحديد المخاطر وتحليلها وتقييمها ومعالجتها تمثل عنصرًا جوهريًا في دعم استمرارية الشركة وتحقيق أهدافها وتقليل الآثار السلبية التي قد تعوق نموها</w:t>
      </w:r>
      <w:r w:rsidRPr="00545ABB">
        <w:rPr>
          <w:rFonts w:ascii="Traditional Arabic" w:hAnsi="Traditional Arabic" w:cs="Traditional Arabic"/>
          <w:b/>
          <w:bCs/>
          <w:color w:val="000000" w:themeColor="text1"/>
        </w:rPr>
        <w:t>.</w:t>
      </w:r>
    </w:p>
    <w:p w14:paraId="48392D94"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وتزداد أهمية إدارة المخاطر في ظل بيئة التحول الرقمي</w:t>
      </w:r>
      <w:r w:rsidRPr="00545ABB">
        <w:rPr>
          <w:rFonts w:ascii="Traditional Arabic" w:hAnsi="Traditional Arabic" w:cs="Traditional Arabic"/>
          <w:b/>
          <w:bCs/>
          <w:color w:val="000000" w:themeColor="text1"/>
        </w:rPr>
        <w:t xml:space="preserve"> (Digital Transformation)</w:t>
      </w:r>
      <w:r w:rsidRPr="00545ABB">
        <w:rPr>
          <w:rFonts w:ascii="Traditional Arabic" w:hAnsi="Traditional Arabic" w:cs="Traditional Arabic"/>
          <w:b/>
          <w:bCs/>
          <w:color w:val="000000" w:themeColor="text1"/>
          <w:rtl/>
        </w:rPr>
        <w:t xml:space="preserve">، حيث أصبحت الإدارات التنفيذية مطالبة بتطوير آليات رقابية أكثر فاعلية، وتعزيز دور المراجعة الداخلية، وضمان الالتزام بالممارسات المهنية والرقابية المناسبة. وتؤدي المراجعة الداخلية دورًا استشاريًا وتوكيديًا في تقييم فعالية نظم الرقابة وإدارة المخاطر والحوكمة، كما تسهم في دعم الإدارة ومجلس الإدارة في التحقق من كفاءة الضوابط والإجراءات المطبقة </w:t>
      </w:r>
      <w:r w:rsidRPr="00545ABB">
        <w:rPr>
          <w:rFonts w:ascii="Traditional Arabic" w:hAnsi="Traditional Arabic" w:cs="Traditional Arabic"/>
          <w:b/>
          <w:bCs/>
          <w:color w:val="000000" w:themeColor="text1"/>
        </w:rPr>
        <w:t>(Deloitte, 2020).</w:t>
      </w:r>
    </w:p>
    <w:p w14:paraId="54967044"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تتطلب بيئة التحول الرقمي مراعاة الآثار التشغيلية والتنظيمية والمحاسبية الناتجة عن الاستخدام المتزايد للتقنيات الحديثة، وما يصاحب ذلك من مخاطر قد تؤثر في كفاءة وفاعلية وظيفة المراجعة الداخلية. وتظهر هذه التحديات بصورة خاصة في مجال مخاطر الأمن السيبراني، التي أصبحت من أهم المخاطر التي تواجه المؤسسات في البيئة الرقمية الحديثة </w:t>
      </w:r>
      <w:r w:rsidRPr="00545ABB">
        <w:rPr>
          <w:rFonts w:ascii="Traditional Arabic" w:hAnsi="Traditional Arabic" w:cs="Traditional Arabic"/>
          <w:b/>
          <w:bCs/>
          <w:color w:val="000000" w:themeColor="text1"/>
        </w:rPr>
        <w:t>(Aditya et al., 2018).</w:t>
      </w:r>
    </w:p>
    <w:p w14:paraId="2A5DB0F4"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ثم، فإن فعالية إدارة المخاطر في الشركات الناشئة لا تعتمد فقط على وجود سياسات وإجراءات مكتوبة، وإنما تتطلب تكاملًا بين الحوكمة، والرقابة الداخلية، والمراجعة الداخلية، وإدارة المخاطر، والأمن السيبراني. ويساعد هذا التكامل على تحسين قدرة الشركة على اكتشاف المخاطر في مراحل مبكرة، وتحديد أولويات التعامل معها، ومتابعة فاعلية إجراءات المعالجة، بما يدعم قدرتها على الاستمرار والنمو</w:t>
      </w:r>
      <w:r w:rsidRPr="00545ABB">
        <w:rPr>
          <w:rFonts w:ascii="Traditional Arabic" w:hAnsi="Traditional Arabic" w:cs="Traditional Arabic"/>
          <w:b/>
          <w:bCs/>
          <w:color w:val="000000" w:themeColor="text1"/>
        </w:rPr>
        <w:t>.</w:t>
      </w:r>
    </w:p>
    <w:p w14:paraId="675A48B8"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شركات الأمن السيبراني الناشئة، تتسم المخاطر بدرجة أعلى من التعقيد نتيجة ارتباط طبيعة أعمالها بشكل مباشر بالبيانات والأنظمة الرقمية والبنية التحتية التقنية، إضافة إلى تعاملها مع متطلبات تنظيمية وفنية متغيرة بصورة مستمرة. ولذلك فإن إدارة المخاطر لا تمثل وظيفة مساندة فقط، بل تعد جزءًا أساسيًا من عملية اتخاذ القرار والاستدامة المؤسسية</w:t>
      </w:r>
      <w:r w:rsidRPr="00545ABB">
        <w:rPr>
          <w:rFonts w:ascii="Traditional Arabic" w:hAnsi="Traditional Arabic" w:cs="Traditional Arabic"/>
          <w:b/>
          <w:bCs/>
          <w:color w:val="000000" w:themeColor="text1"/>
        </w:rPr>
        <w:t>.</w:t>
      </w:r>
    </w:p>
    <w:p w14:paraId="0DA4B102" w14:textId="77777777" w:rsidR="00525661" w:rsidRPr="00545ABB" w:rsidRDefault="00525661" w:rsidP="00525661">
      <w:pPr>
        <w:pStyle w:val="Heading2"/>
        <w:bidi/>
        <w:spacing w:line="360" w:lineRule="auto"/>
        <w:rPr>
          <w:rFonts w:ascii="Traditional Arabic" w:hAnsi="Traditional Arabic" w:cs="Traditional Arabic"/>
          <w:b/>
          <w:bCs/>
          <w:color w:val="000000" w:themeColor="text1"/>
          <w:sz w:val="28"/>
          <w:szCs w:val="28"/>
        </w:rPr>
      </w:pPr>
      <w:bookmarkStart w:id="59" w:name="_Toc242325220"/>
      <w:r w:rsidRPr="00545ABB">
        <w:rPr>
          <w:rFonts w:ascii="Traditional Arabic" w:hAnsi="Traditional Arabic" w:cs="Traditional Arabic"/>
          <w:b/>
          <w:bCs/>
          <w:color w:val="000000" w:themeColor="text1"/>
          <w:sz w:val="28"/>
          <w:szCs w:val="28"/>
          <w:rtl/>
        </w:rPr>
        <w:lastRenderedPageBreak/>
        <w:t>حوكمة أمن المعلومات ودورها في إدارة المخاطر</w:t>
      </w:r>
      <w:bookmarkEnd w:id="59"/>
    </w:p>
    <w:p w14:paraId="02275E5D" w14:textId="77777777" w:rsidR="00525661" w:rsidRPr="00545ABB" w:rsidRDefault="00525661" w:rsidP="00525661">
      <w:pPr>
        <w:pStyle w:val="Heading3"/>
        <w:bidi/>
        <w:spacing w:line="360" w:lineRule="auto"/>
        <w:rPr>
          <w:rFonts w:ascii="Traditional Arabic" w:hAnsi="Traditional Arabic" w:cs="Traditional Arabic"/>
          <w:b/>
          <w:bCs/>
          <w:color w:val="000000" w:themeColor="text1"/>
        </w:rPr>
      </w:pPr>
      <w:bookmarkStart w:id="60" w:name="_Toc242325221"/>
      <w:r w:rsidRPr="00545ABB">
        <w:rPr>
          <w:rFonts w:ascii="Traditional Arabic" w:hAnsi="Traditional Arabic" w:cs="Traditional Arabic"/>
          <w:b/>
          <w:bCs/>
          <w:color w:val="000000" w:themeColor="text1"/>
          <w:rtl/>
        </w:rPr>
        <w:t>أ) ماهية حوكمة أمن المعلومات</w:t>
      </w:r>
      <w:bookmarkEnd w:id="60"/>
    </w:p>
    <w:p w14:paraId="3B5BD7F3"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تعرف حوكمة أمن المعلومات بأنها عملية تهدف إلى إنشاء إطار إداري وتنظيمي يضمن توافق استراتيجيات أمن المعلومات مع أهداف الأعمال، ودعم الإدارة في تحقيق أهدافها، والالتزام بالقوانين واللوائح والسياسات والضوابط الداخلية، مع تحديد المسؤوليات بوضوح وتوفير الآليات اللازمة لإدارة المخاطر </w:t>
      </w:r>
      <w:r w:rsidRPr="00545ABB">
        <w:rPr>
          <w:rFonts w:ascii="Traditional Arabic" w:hAnsi="Traditional Arabic" w:cs="Traditional Arabic"/>
          <w:b/>
          <w:bCs/>
          <w:color w:val="000000" w:themeColor="text1"/>
        </w:rPr>
        <w:t>(Bodeau et al., 2010).</w:t>
      </w:r>
    </w:p>
    <w:p w14:paraId="4D7847AA"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يُنظر إلى حوكمة أمن المعلومات بوصفها إطارًا يهدف إلى إنشاء بيئة رقابية تساعد على إدارة المخاطر المرتبطة بسرية المعلومات وسلامتها وتوافرها، إلى جانب دعم العمليات والأنظمة والممارسات الأمنية بما يضمن تحقيق الأهداف الأمنية بكفاءة وفاعلية </w:t>
      </w:r>
      <w:r w:rsidRPr="00545ABB">
        <w:rPr>
          <w:rFonts w:ascii="Traditional Arabic" w:hAnsi="Traditional Arabic" w:cs="Traditional Arabic"/>
          <w:b/>
          <w:bCs/>
          <w:color w:val="000000" w:themeColor="text1"/>
        </w:rPr>
        <w:t>(Fazlida &amp; Said, 2015).</w:t>
      </w:r>
    </w:p>
    <w:p w14:paraId="1A62330E"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وتساعد حوكمة أمن المعلومات على تحديد الأدوار والمسؤوليات المتعلقة بالأمن، ووضع السياسات، وتوزيع الصلاحيات، ومراقبة الالتزام، وقياس فعالية الضوابط، بما يعزز قدرة المؤسسة على التعامل مع المخاطر بصورة منهجية ومنظمة</w:t>
      </w:r>
      <w:r w:rsidRPr="00545ABB">
        <w:rPr>
          <w:rFonts w:ascii="Traditional Arabic" w:hAnsi="Traditional Arabic" w:cs="Traditional Arabic"/>
          <w:b/>
          <w:bCs/>
          <w:color w:val="000000" w:themeColor="text1"/>
        </w:rPr>
        <w:t>.</w:t>
      </w:r>
    </w:p>
    <w:p w14:paraId="444D61F3" w14:textId="726B04CB"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هذا المنطلق، تعد حوكمة الأمن السيبراني جزءًا أساسيًا من منظومة إدارة المخاطر المؤسسية، إذ تهدف إلى تحقيق مستوى مستدام من الحماية السيبرانية من خلال تحديد المسؤوليات، واعتماد السياسات والضوابط، وإدارة المخاطر، ورفع مستوى الوعي والتدريب، بما يضمن حماية المعلومات والأصول الرقمية واستمرارية الأعمال (المنيع، 2022، ص</w:t>
      </w:r>
      <w:r w:rsidRPr="00545ABB">
        <w:rPr>
          <w:rFonts w:ascii="Traditional Arabic" w:hAnsi="Traditional Arabic" w:cs="Traditional Arabic"/>
          <w:b/>
          <w:bCs/>
          <w:color w:val="000000" w:themeColor="text1"/>
        </w:rPr>
        <w:t>. 155</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67B37427" w14:textId="77777777" w:rsidR="00525661" w:rsidRPr="00545ABB" w:rsidRDefault="00525661" w:rsidP="0052566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لشركات الأمن السيبراني الناشئة، تكتسب هذه الحوكمة أهمية خاصة لأنها تساعد على الانتقال من التعامل التفاعلي مع المخاطر إلى منهج استباقي يقوم على التنبؤ بالمخاطر وتقييمها والاستعداد لها قبل وقوعها. كما تسهم في ترسيخ ثقافة مؤسسية تقوم على الوعي بالمخاطر، وربط القرارات التقنية بالأهداف الاستراتيجية، وتعزيز ثقة العملاء والمستثمرين والجهات التنظيمية</w:t>
      </w:r>
      <w:r w:rsidRPr="00545ABB">
        <w:rPr>
          <w:rFonts w:ascii="Traditional Arabic" w:hAnsi="Traditional Arabic" w:cs="Traditional Arabic"/>
          <w:b/>
          <w:bCs/>
          <w:color w:val="000000" w:themeColor="text1"/>
        </w:rPr>
        <w:t>.</w:t>
      </w:r>
    </w:p>
    <w:p w14:paraId="284E2B3A" w14:textId="4ED69BB9" w:rsidR="00290052" w:rsidRPr="00545ABB" w:rsidRDefault="00525661"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وعليه، فإن الإدارة الفعالة للمخاطر في شركات الأمن السيبراني الناشئة تعتمد على وجود حوكمة واضحة ومتكاملة لأمن المعلومات والأمن السيبراني، بحيث يتم التعامل مع المخاطر ضمن إطار مؤسسي يربط بين المسؤوليات والسياسات والضوابط والمراجعة والمتابعة المستمرة، بما يدعم الاستدامة ويحد من الآثار المحتملة للمخاطر التشغيلية والتنظيمية والسيبرانية</w:t>
      </w:r>
      <w:r w:rsidRPr="00545ABB">
        <w:rPr>
          <w:rFonts w:ascii="Traditional Arabic" w:hAnsi="Traditional Arabic" w:cs="Traditional Arabic"/>
          <w:b/>
          <w:bCs/>
          <w:color w:val="000000" w:themeColor="text1"/>
        </w:rPr>
        <w:t>.</w:t>
      </w:r>
    </w:p>
    <w:p w14:paraId="59DD2291" w14:textId="77777777" w:rsidR="00290052" w:rsidRPr="00545ABB" w:rsidRDefault="00290052" w:rsidP="00290052">
      <w:pPr>
        <w:pStyle w:val="Heading2"/>
        <w:bidi/>
        <w:spacing w:line="360" w:lineRule="auto"/>
        <w:rPr>
          <w:rFonts w:ascii="Traditional Arabic" w:hAnsi="Traditional Arabic" w:cs="Traditional Arabic"/>
          <w:b/>
          <w:bCs/>
          <w:color w:val="000000" w:themeColor="text1"/>
        </w:rPr>
      </w:pPr>
      <w:bookmarkStart w:id="61" w:name="_Toc242325222"/>
      <w:r w:rsidRPr="00545ABB">
        <w:rPr>
          <w:rFonts w:ascii="Traditional Arabic" w:hAnsi="Traditional Arabic" w:cs="Traditional Arabic"/>
          <w:b/>
          <w:bCs/>
          <w:color w:val="000000" w:themeColor="text1"/>
          <w:rtl/>
        </w:rPr>
        <w:lastRenderedPageBreak/>
        <w:t>الإصدارات الدولية الخاصة بالحوكمة المستخدمة عالميًا</w:t>
      </w:r>
      <w:bookmarkEnd w:id="61"/>
    </w:p>
    <w:p w14:paraId="1383EDFE" w14:textId="1514356B"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توجد مجموعة من الأطر والنماذج الدولية التي تستخدمها المؤسسات في مجال الحوكمة وإدارة المعلومات والتقنية والأمن السيبراني، وتهدف هذه الأطر إلى تنظيم المسؤوليات، وتحسين إدارة المخاطر، ورفع كفاءة استخدام الموارد، وتعزيز الرقابة وقياس الأداء، وربط القرارات التقنية بالأهداف الاستراتيجية للمؤسسة. ومن أبرز هذه الأطر إطار </w:t>
      </w:r>
      <w:r w:rsidRPr="00545ABB">
        <w:rPr>
          <w:rStyle w:val="Strong"/>
          <w:rFonts w:ascii="Traditional Arabic" w:hAnsi="Traditional Arabic" w:cs="Traditional Arabic"/>
          <w:color w:val="000000" w:themeColor="text1"/>
        </w:rPr>
        <w:t>COBIT</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لحوكمة وإدارة المعلومات والتقنية، وإطار </w:t>
      </w:r>
      <w:r w:rsidRPr="00545ABB">
        <w:rPr>
          <w:rStyle w:val="Strong"/>
          <w:rFonts w:ascii="Traditional Arabic" w:hAnsi="Traditional Arabic" w:cs="Traditional Arabic"/>
          <w:color w:val="000000" w:themeColor="text1"/>
        </w:rPr>
        <w:t xml:space="preserve">NIST Cybersecurity </w:t>
      </w:r>
      <w:r w:rsidRPr="00545ABB">
        <w:rPr>
          <w:rStyle w:val="Strong"/>
          <w:rFonts w:ascii="Traditional Arabic" w:hAnsi="Traditional Arabic" w:cs="Traditional Arabic" w:hint="cs"/>
          <w:color w:val="000000" w:themeColor="text1"/>
          <w:rtl/>
        </w:rPr>
        <w:t xml:space="preserve"> </w:t>
      </w:r>
      <w:r w:rsidRPr="00545ABB">
        <w:rPr>
          <w:rStyle w:val="Strong"/>
          <w:rFonts w:ascii="Traditional Arabic" w:hAnsi="Traditional Arabic" w:cs="Traditional Arabic"/>
          <w:color w:val="000000" w:themeColor="text1"/>
        </w:rPr>
        <w:t>Framework</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لإدارة مخاطر الأمن السيبراني</w:t>
      </w:r>
      <w:r w:rsidRPr="00545ABB">
        <w:rPr>
          <w:rFonts w:ascii="Traditional Arabic" w:hAnsi="Traditional Arabic" w:cs="Traditional Arabic"/>
          <w:b/>
          <w:bCs/>
          <w:color w:val="000000" w:themeColor="text1"/>
        </w:rPr>
        <w:t>.</w:t>
      </w:r>
    </w:p>
    <w:p w14:paraId="474DF088" w14:textId="0F60DB86" w:rsidR="00290052" w:rsidRPr="00545ABB" w:rsidRDefault="00290052" w:rsidP="00290052">
      <w:pPr>
        <w:pStyle w:val="Heading3"/>
        <w:bidi/>
        <w:spacing w:line="360" w:lineRule="auto"/>
        <w:rPr>
          <w:rFonts w:ascii="Traditional Arabic" w:hAnsi="Traditional Arabic" w:cs="Traditional Arabic"/>
          <w:b/>
          <w:bCs/>
          <w:color w:val="000000" w:themeColor="text1"/>
        </w:rPr>
      </w:pPr>
      <w:bookmarkStart w:id="62" w:name="_Toc242325223"/>
      <w:r w:rsidRPr="00545ABB">
        <w:rPr>
          <w:rFonts w:ascii="Traditional Arabic" w:hAnsi="Traditional Arabic" w:cs="Traditional Arabic" w:hint="cs"/>
          <w:b/>
          <w:bCs/>
          <w:color w:val="000000" w:themeColor="text1"/>
          <w:rtl/>
        </w:rPr>
        <w:t>(أ)</w:t>
      </w:r>
      <w:r w:rsidRPr="00545ABB">
        <w:rPr>
          <w:rFonts w:ascii="Traditional Arabic" w:hAnsi="Traditional Arabic" w:cs="Traditional Arabic"/>
          <w:b/>
          <w:bCs/>
          <w:color w:val="000000" w:themeColor="text1"/>
          <w:rtl/>
        </w:rPr>
        <w:t xml:space="preserve"> نموذج</w:t>
      </w:r>
      <w:r w:rsidRPr="00545ABB">
        <w:rPr>
          <w:rFonts w:ascii="Traditional Arabic" w:hAnsi="Traditional Arabic" w:cs="Traditional Arabic"/>
          <w:b/>
          <w:bCs/>
          <w:color w:val="000000" w:themeColor="text1"/>
        </w:rPr>
        <w:t xml:space="preserve"> COBIT </w:t>
      </w:r>
      <w:r w:rsidRPr="00545ABB">
        <w:rPr>
          <w:rFonts w:ascii="Traditional Arabic" w:hAnsi="Traditional Arabic" w:cs="Traditional Arabic"/>
          <w:b/>
          <w:bCs/>
          <w:color w:val="000000" w:themeColor="text1"/>
          <w:rtl/>
        </w:rPr>
        <w:t>كمرجعية لحوكمة تكنولوجيا المعلومات</w:t>
      </w:r>
      <w:bookmarkEnd w:id="62"/>
    </w:p>
    <w:p w14:paraId="14116148"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في ظل تزايد الاعتماد على المعلومات والتقنية في دعم العمليات المؤسسية وتحقيق الأهداف الاستراتيجية، برزت الحاجة إلى أطر متخصصة تساعد المؤسسات على حوكمة وإدارة تقنية المعلومات بصورة أكثر كفاءة وفاعلية. ويُعد إطار </w:t>
      </w:r>
      <w:r w:rsidRPr="00545ABB">
        <w:rPr>
          <w:rStyle w:val="Strong"/>
          <w:rFonts w:ascii="Traditional Arabic" w:hAnsi="Traditional Arabic" w:cs="Traditional Arabic"/>
          <w:color w:val="000000" w:themeColor="text1"/>
        </w:rPr>
        <w:t>COBIT</w:t>
      </w:r>
      <w:r w:rsidRPr="00545ABB">
        <w:rPr>
          <w:rFonts w:ascii="Traditional Arabic" w:hAnsi="Traditional Arabic" w:cs="Traditional Arabic"/>
          <w:b/>
          <w:bCs/>
          <w:color w:val="000000" w:themeColor="text1"/>
          <w:rtl/>
        </w:rPr>
        <w:t xml:space="preserve">، الصادر عن جمعية تدقيق ومراقبة نظم المعلومات </w:t>
      </w:r>
      <w:r w:rsidRPr="00545ABB">
        <w:rPr>
          <w:rStyle w:val="Strong"/>
          <w:rFonts w:ascii="Traditional Arabic" w:hAnsi="Traditional Arabic" w:cs="Traditional Arabic"/>
          <w:color w:val="000000" w:themeColor="text1"/>
        </w:rPr>
        <w:t>ISACA</w:t>
      </w:r>
      <w:r w:rsidRPr="00545ABB">
        <w:rPr>
          <w:rFonts w:ascii="Traditional Arabic" w:hAnsi="Traditional Arabic" w:cs="Traditional Arabic"/>
          <w:b/>
          <w:bCs/>
          <w:color w:val="000000" w:themeColor="text1"/>
          <w:rtl/>
        </w:rPr>
        <w:t>، من أبرز الأطر الدولية المستخدمة في مجال حوكمة وإدارة المعلومات والتقنية</w:t>
      </w:r>
      <w:r w:rsidRPr="00545ABB">
        <w:rPr>
          <w:rFonts w:ascii="Traditional Arabic" w:hAnsi="Traditional Arabic" w:cs="Traditional Arabic"/>
          <w:b/>
          <w:bCs/>
          <w:color w:val="000000" w:themeColor="text1"/>
        </w:rPr>
        <w:t>.</w:t>
      </w:r>
    </w:p>
    <w:p w14:paraId="79CDD2C1" w14:textId="32DFB186"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ظهر الإصدار الأول من</w:t>
      </w:r>
      <w:r w:rsidRPr="00545ABB">
        <w:rPr>
          <w:rFonts w:ascii="Traditional Arabic" w:hAnsi="Traditional Arabic" w:cs="Traditional Arabic"/>
          <w:b/>
          <w:bCs/>
          <w:color w:val="000000" w:themeColor="text1"/>
        </w:rPr>
        <w:t xml:space="preserve"> COBIT </w:t>
      </w:r>
      <w:r w:rsidRPr="00545ABB">
        <w:rPr>
          <w:rFonts w:ascii="Traditional Arabic" w:hAnsi="Traditional Arabic" w:cs="Traditional Arabic"/>
          <w:b/>
          <w:bCs/>
          <w:color w:val="000000" w:themeColor="text1"/>
          <w:rtl/>
        </w:rPr>
        <w:t xml:space="preserve">عام </w:t>
      </w:r>
      <w:r w:rsidRPr="00545ABB">
        <w:rPr>
          <w:rStyle w:val="Strong"/>
          <w:rFonts w:ascii="Traditional Arabic" w:hAnsi="Traditional Arabic" w:cs="Traditional Arabic"/>
          <w:color w:val="000000" w:themeColor="text1"/>
        </w:rPr>
        <w:t>1996</w:t>
      </w:r>
      <w:r w:rsidRPr="00545ABB">
        <w:rPr>
          <w:rFonts w:ascii="Traditional Arabic" w:hAnsi="Traditional Arabic" w:cs="Traditional Arabic"/>
          <w:b/>
          <w:bCs/>
          <w:color w:val="000000" w:themeColor="text1"/>
          <w:rtl/>
        </w:rPr>
        <w:t xml:space="preserve">، وكان يركز في بدايته بصورة رئيسة على الرقابة والتدقيق في نظم المعلومات، ثم تطور تدريجيًا ليشمل نطاقًا أوسع من ممارسات الحوكمة وإدارة تقنية المعلومات. وقد صدر </w:t>
      </w:r>
      <w:r w:rsidRPr="00545ABB">
        <w:rPr>
          <w:rStyle w:val="Strong"/>
          <w:rFonts w:ascii="Traditional Arabic" w:hAnsi="Traditional Arabic" w:cs="Traditional Arabic"/>
          <w:color w:val="000000" w:themeColor="text1"/>
        </w:rPr>
        <w:t>COBIT 5</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في عام </w:t>
      </w:r>
      <w:r w:rsidRPr="00545ABB">
        <w:rPr>
          <w:rStyle w:val="Strong"/>
          <w:rFonts w:ascii="Traditional Arabic" w:hAnsi="Traditional Arabic" w:cs="Traditional Arabic"/>
          <w:color w:val="000000" w:themeColor="text1"/>
        </w:rPr>
        <w:t>2012</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بوصفه إطارًا متكاملًا يساعد المؤسسات على تحقيق القيمة من المعلومات والتقنية من خلال الموازنة بين تحقيق المنافع، وإدارة المخاطر، وتحسين استخدام الموارد. وفي عام 2018 أطلقت</w:t>
      </w:r>
      <w:r w:rsidRPr="00545ABB">
        <w:rPr>
          <w:rFonts w:ascii="Traditional Arabic" w:hAnsi="Traditional Arabic" w:cs="Traditional Arabic"/>
          <w:b/>
          <w:bCs/>
          <w:color w:val="000000" w:themeColor="text1"/>
        </w:rPr>
        <w:t xml:space="preserve"> ISACA </w:t>
      </w:r>
      <w:r w:rsidRPr="00545ABB">
        <w:rPr>
          <w:rFonts w:ascii="Traditional Arabic" w:hAnsi="Traditional Arabic" w:cs="Traditional Arabic"/>
          <w:b/>
          <w:bCs/>
          <w:color w:val="000000" w:themeColor="text1"/>
          <w:rtl/>
        </w:rPr>
        <w:t xml:space="preserve">إصدار </w:t>
      </w:r>
      <w:r w:rsidRPr="00545ABB">
        <w:rPr>
          <w:rStyle w:val="Strong"/>
          <w:rFonts w:ascii="Traditional Arabic" w:hAnsi="Traditional Arabic" w:cs="Traditional Arabic"/>
          <w:color w:val="000000" w:themeColor="text1"/>
        </w:rPr>
        <w:t>COBIT 2019</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لتطوير الإطار ومواكبته للتحولات الرقمية والتقنية الحديثة </w:t>
      </w:r>
      <w:r w:rsidRPr="00545ABB">
        <w:rPr>
          <w:rFonts w:ascii="Traditional Arabic" w:hAnsi="Traditional Arabic" w:cs="Traditional Arabic"/>
          <w:b/>
          <w:bCs/>
          <w:color w:val="000000" w:themeColor="text1"/>
        </w:rPr>
        <w:t xml:space="preserve">(ISACA, 2020). </w:t>
      </w:r>
    </w:p>
    <w:p w14:paraId="681B40E1" w14:textId="61117871" w:rsidR="00290052" w:rsidRPr="00545ABB" w:rsidRDefault="00290052" w:rsidP="00F461C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وفر</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 xml:space="preserve">قدرًا أكبر من المرونة في تصميم نظم الحوكمة، بحيث يمكن لكل مؤسسة تصميم نظام يتناسب مع طبيعة أعمالها وأهدافها واستراتيجيتها وملف مخاطرها ومتطلباتها التنظيمية، بدلًا من تطبيق نموذج موحد على جميع المؤسسات. ويؤكد دليل التصميم الخاص بالإطار أن نظام الحوكمة ينبغي أن يُكيَّف وفق مجموعة من عوامل التصميم التي تعكس سياق المؤسسة واحتياجاتها الفعلية </w:t>
      </w:r>
      <w:r w:rsidRPr="00545ABB">
        <w:rPr>
          <w:rFonts w:ascii="Traditional Arabic" w:hAnsi="Traditional Arabic" w:cs="Traditional Arabic"/>
          <w:b/>
          <w:bCs/>
          <w:color w:val="000000" w:themeColor="text1"/>
        </w:rPr>
        <w:t xml:space="preserve">(ISACA, 2019). </w:t>
      </w:r>
    </w:p>
    <w:p w14:paraId="7894E0DC"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ويُعرف</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بوصفه إطارًا لحوكمة وإدارة المعلومات والتقنية على مستوى المؤسسة ككل، وليس فقط داخل إدارة تقنية المعلومات. ويهدف إلى مساعدة المؤسسات على تحقيق قيمة أفضل من استثماراتها التقنية، وربط أهداف المعلومات والتقنية بالأهداف المؤسسية، وإدارة المخاطر، وتحسين استخدام الموارد، ورفع مستوى الرقابة والأداء</w:t>
      </w:r>
      <w:r w:rsidRPr="00545ABB">
        <w:rPr>
          <w:rFonts w:ascii="Traditional Arabic" w:hAnsi="Traditional Arabic" w:cs="Traditional Arabic"/>
          <w:b/>
          <w:bCs/>
          <w:color w:val="000000" w:themeColor="text1"/>
        </w:rPr>
        <w:t>.</w:t>
      </w:r>
    </w:p>
    <w:p w14:paraId="0283520F" w14:textId="5E9F818D" w:rsidR="00290052" w:rsidRPr="00545ABB" w:rsidRDefault="00290052" w:rsidP="00F461C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ويتكون نظام الحوكمة وفق</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من مجموعة من المكونات المترابطة، من أبرزها: العمليات، والهياكل التنظيمية، والسياسات والإجراءات، وتدفقات المعلومات، والثقافة والسلوك، والمهارات والكفاءات، والخدمات والبنية التحتية والتطبيقات. وتعمل هذه المكونات بصورة متكاملة لبناء نظام حوكمة قادر على تحقيق أهداف المؤسسة ومراقبة مستوى الأداء والالتزام</w:t>
      </w:r>
      <w:r w:rsidRPr="00545ABB">
        <w:rPr>
          <w:rFonts w:ascii="Traditional Arabic" w:hAnsi="Traditional Arabic" w:cs="Traditional Arabic"/>
          <w:b/>
          <w:bCs/>
          <w:color w:val="000000" w:themeColor="text1"/>
        </w:rPr>
        <w:t xml:space="preserve">. </w:t>
      </w:r>
    </w:p>
    <w:p w14:paraId="02EFBFED" w14:textId="7F6885A3"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يشتمل النموذج الأساسي لـ</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 xml:space="preserve">على </w:t>
      </w:r>
      <w:r w:rsidRPr="00545ABB">
        <w:rPr>
          <w:rStyle w:val="Strong"/>
          <w:rFonts w:ascii="Traditional Arabic" w:hAnsi="Traditional Arabic" w:cs="Traditional Arabic"/>
          <w:color w:val="000000" w:themeColor="text1"/>
        </w:rPr>
        <w:t xml:space="preserve">40 </w:t>
      </w:r>
      <w:r w:rsidR="00F461C7" w:rsidRPr="00545ABB">
        <w:rPr>
          <w:rStyle w:val="Strong"/>
          <w:rFonts w:ascii="Traditional Arabic" w:hAnsi="Traditional Arabic" w:cs="Traditional Arabic" w:hint="cs"/>
          <w:color w:val="000000" w:themeColor="text1"/>
          <w:rtl/>
        </w:rPr>
        <w:t xml:space="preserve"> </w:t>
      </w:r>
      <w:r w:rsidRPr="00545ABB">
        <w:rPr>
          <w:rStyle w:val="Strong"/>
          <w:rFonts w:ascii="Traditional Arabic" w:hAnsi="Traditional Arabic" w:cs="Traditional Arabic"/>
          <w:color w:val="000000" w:themeColor="text1"/>
          <w:rtl/>
        </w:rPr>
        <w:t>هدفًا للحوكمة والإدارة</w:t>
      </w:r>
      <w:r w:rsidRPr="00545ABB">
        <w:rPr>
          <w:rFonts w:ascii="Traditional Arabic" w:hAnsi="Traditional Arabic" w:cs="Traditional Arabic"/>
          <w:b/>
          <w:bCs/>
          <w:color w:val="000000" w:themeColor="text1"/>
          <w:rtl/>
        </w:rPr>
        <w:t xml:space="preserve">، موزعة على </w:t>
      </w:r>
      <w:r w:rsidRPr="00545ABB">
        <w:rPr>
          <w:rFonts w:ascii="Traditional Arabic" w:hAnsi="Traditional Arabic" w:cs="Traditional Arabic"/>
          <w:b/>
          <w:bCs/>
          <w:color w:val="000000" w:themeColor="text1"/>
          <w:sz w:val="28"/>
          <w:szCs w:val="28"/>
          <w:rtl/>
        </w:rPr>
        <w:t>خمسة مجالات رئيسة هي</w:t>
      </w:r>
      <w:r w:rsidRPr="00545ABB">
        <w:rPr>
          <w:rFonts w:ascii="Traditional Arabic" w:hAnsi="Traditional Arabic" w:cs="Traditional Arabic"/>
          <w:b/>
          <w:bCs/>
          <w:color w:val="000000" w:themeColor="text1"/>
          <w:sz w:val="28"/>
          <w:szCs w:val="28"/>
        </w:rPr>
        <w:t>:</w:t>
      </w:r>
    </w:p>
    <w:p w14:paraId="42A29C99" w14:textId="77777777" w:rsidR="00290052" w:rsidRPr="00545ABB" w:rsidRDefault="00290052" w:rsidP="00D95153">
      <w:pPr>
        <w:numPr>
          <w:ilvl w:val="0"/>
          <w:numId w:val="3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التقييم والتوجيه والمراقبة </w:t>
      </w:r>
      <w:r w:rsidRPr="00545ABB">
        <w:rPr>
          <w:rStyle w:val="Strong"/>
          <w:rFonts w:ascii="Traditional Arabic" w:hAnsi="Traditional Arabic" w:cs="Traditional Arabic"/>
          <w:color w:val="000000" w:themeColor="text1"/>
          <w:sz w:val="24"/>
          <w:szCs w:val="24"/>
        </w:rPr>
        <w:t>Evaluate, Direct and Monitor (EDM)</w:t>
      </w:r>
      <w:r w:rsidRPr="00545ABB">
        <w:rPr>
          <w:rFonts w:ascii="Traditional Arabic" w:hAnsi="Traditional Arabic" w:cs="Traditional Arabic"/>
          <w:b/>
          <w:bCs/>
          <w:color w:val="000000" w:themeColor="text1"/>
          <w:sz w:val="24"/>
          <w:szCs w:val="24"/>
        </w:rPr>
        <w:t>.</w:t>
      </w:r>
    </w:p>
    <w:p w14:paraId="735E7E94" w14:textId="77777777" w:rsidR="00290052" w:rsidRPr="00545ABB" w:rsidRDefault="00290052" w:rsidP="00D95153">
      <w:pPr>
        <w:numPr>
          <w:ilvl w:val="0"/>
          <w:numId w:val="3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المواءمة والتخطيط والتنظيم </w:t>
      </w:r>
      <w:r w:rsidRPr="00545ABB">
        <w:rPr>
          <w:rStyle w:val="Strong"/>
          <w:rFonts w:ascii="Traditional Arabic" w:hAnsi="Traditional Arabic" w:cs="Traditional Arabic"/>
          <w:color w:val="000000" w:themeColor="text1"/>
          <w:sz w:val="24"/>
          <w:szCs w:val="24"/>
        </w:rPr>
        <w:t>Align, Plan and Organize (APO)</w:t>
      </w:r>
      <w:r w:rsidRPr="00545ABB">
        <w:rPr>
          <w:rFonts w:ascii="Traditional Arabic" w:hAnsi="Traditional Arabic" w:cs="Traditional Arabic"/>
          <w:b/>
          <w:bCs/>
          <w:color w:val="000000" w:themeColor="text1"/>
          <w:sz w:val="24"/>
          <w:szCs w:val="24"/>
        </w:rPr>
        <w:t>.</w:t>
      </w:r>
    </w:p>
    <w:p w14:paraId="0B2AE6A2" w14:textId="77777777" w:rsidR="00290052" w:rsidRPr="00545ABB" w:rsidRDefault="00290052" w:rsidP="00D95153">
      <w:pPr>
        <w:numPr>
          <w:ilvl w:val="0"/>
          <w:numId w:val="3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البناء والاقتناء والتنفيذ </w:t>
      </w:r>
      <w:r w:rsidRPr="00545ABB">
        <w:rPr>
          <w:rStyle w:val="Strong"/>
          <w:rFonts w:ascii="Traditional Arabic" w:hAnsi="Traditional Arabic" w:cs="Traditional Arabic"/>
          <w:color w:val="000000" w:themeColor="text1"/>
          <w:sz w:val="24"/>
          <w:szCs w:val="24"/>
        </w:rPr>
        <w:t>Build, Acquire and Implement (BAI)</w:t>
      </w:r>
      <w:r w:rsidRPr="00545ABB">
        <w:rPr>
          <w:rFonts w:ascii="Traditional Arabic" w:hAnsi="Traditional Arabic" w:cs="Traditional Arabic"/>
          <w:b/>
          <w:bCs/>
          <w:color w:val="000000" w:themeColor="text1"/>
          <w:sz w:val="24"/>
          <w:szCs w:val="24"/>
        </w:rPr>
        <w:t>.</w:t>
      </w:r>
    </w:p>
    <w:p w14:paraId="07DE99DD" w14:textId="77777777" w:rsidR="00290052" w:rsidRPr="00545ABB" w:rsidRDefault="00290052" w:rsidP="00D95153">
      <w:pPr>
        <w:numPr>
          <w:ilvl w:val="0"/>
          <w:numId w:val="3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التسليم والخدمة والدعم </w:t>
      </w:r>
      <w:r w:rsidRPr="00545ABB">
        <w:rPr>
          <w:rStyle w:val="Strong"/>
          <w:rFonts w:ascii="Traditional Arabic" w:hAnsi="Traditional Arabic" w:cs="Traditional Arabic"/>
          <w:color w:val="000000" w:themeColor="text1"/>
          <w:sz w:val="24"/>
          <w:szCs w:val="24"/>
        </w:rPr>
        <w:t>Deliver, Service and Support (DSS)</w:t>
      </w:r>
      <w:r w:rsidRPr="00545ABB">
        <w:rPr>
          <w:rFonts w:ascii="Traditional Arabic" w:hAnsi="Traditional Arabic" w:cs="Traditional Arabic"/>
          <w:b/>
          <w:bCs/>
          <w:color w:val="000000" w:themeColor="text1"/>
          <w:sz w:val="24"/>
          <w:szCs w:val="24"/>
        </w:rPr>
        <w:t>.</w:t>
      </w:r>
    </w:p>
    <w:p w14:paraId="01C171EE" w14:textId="77777777" w:rsidR="00290052" w:rsidRPr="00545ABB" w:rsidRDefault="00290052" w:rsidP="00D95153">
      <w:pPr>
        <w:numPr>
          <w:ilvl w:val="0"/>
          <w:numId w:val="3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المراقبة والتقييم والتقدير </w:t>
      </w:r>
      <w:r w:rsidRPr="00545ABB">
        <w:rPr>
          <w:rStyle w:val="Strong"/>
          <w:rFonts w:ascii="Traditional Arabic" w:hAnsi="Traditional Arabic" w:cs="Traditional Arabic"/>
          <w:color w:val="000000" w:themeColor="text1"/>
          <w:sz w:val="24"/>
          <w:szCs w:val="24"/>
        </w:rPr>
        <w:t>Monitor, Evaluate and Assess (MEA)</w:t>
      </w:r>
      <w:r w:rsidRPr="00545ABB">
        <w:rPr>
          <w:rFonts w:ascii="Traditional Arabic" w:hAnsi="Traditional Arabic" w:cs="Traditional Arabic"/>
          <w:b/>
          <w:bCs/>
          <w:color w:val="000000" w:themeColor="text1"/>
          <w:sz w:val="24"/>
          <w:szCs w:val="24"/>
        </w:rPr>
        <w:t>.</w:t>
      </w:r>
    </w:p>
    <w:p w14:paraId="753C653D" w14:textId="1A412B20" w:rsidR="00290052" w:rsidRPr="00545ABB" w:rsidRDefault="00290052" w:rsidP="00F461C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ويمثل مجال </w:t>
      </w:r>
      <w:r w:rsidRPr="00545ABB">
        <w:rPr>
          <w:rStyle w:val="Strong"/>
          <w:rFonts w:ascii="Traditional Arabic" w:hAnsi="Traditional Arabic" w:cs="Traditional Arabic"/>
          <w:color w:val="000000" w:themeColor="text1"/>
        </w:rPr>
        <w:t>EDM</w:t>
      </w:r>
      <w:r w:rsidRPr="00545ABB">
        <w:rPr>
          <w:rFonts w:ascii="Traditional Arabic" w:hAnsi="Traditional Arabic" w:cs="Traditional Arabic"/>
          <w:b/>
          <w:bCs/>
          <w:color w:val="000000" w:themeColor="text1"/>
        </w:rPr>
        <w:t xml:space="preserve"> </w:t>
      </w:r>
      <w:r w:rsidR="00F461C7"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مجال الحوكمة، في حين تمثل المجالات الأربعة الأخرى مجالات الإدارة. ويساعد هذا التقسيم على توضيح الفرق بين مسؤوليات التوجيه والرقابة على المستوى الأعلى وبين أنشطة التخطيط والتنفيذ والتشغيل والمتابعة التي تضطلع بها الإدارة </w:t>
      </w:r>
      <w:r w:rsidRPr="00545ABB">
        <w:rPr>
          <w:rFonts w:ascii="Traditional Arabic" w:hAnsi="Traditional Arabic" w:cs="Traditional Arabic"/>
          <w:b/>
          <w:bCs/>
          <w:color w:val="000000" w:themeColor="text1"/>
        </w:rPr>
        <w:t xml:space="preserve">(ISACA, 2019). </w:t>
      </w:r>
    </w:p>
    <w:p w14:paraId="2904D4B1" w14:textId="535514DE" w:rsidR="00290052" w:rsidRPr="00545ABB" w:rsidRDefault="00290052" w:rsidP="0012229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يقوم</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 xml:space="preserve">على </w:t>
      </w:r>
      <w:r w:rsidRPr="00545ABB">
        <w:rPr>
          <w:rStyle w:val="Strong"/>
          <w:rFonts w:ascii="Traditional Arabic" w:hAnsi="Traditional Arabic" w:cs="Traditional Arabic"/>
          <w:color w:val="000000" w:themeColor="text1"/>
          <w:rtl/>
        </w:rPr>
        <w:t>ستة مبادئ لنظام الحوكمة</w:t>
      </w:r>
      <w:r w:rsidRPr="00545ABB">
        <w:rPr>
          <w:rFonts w:ascii="Traditional Arabic" w:hAnsi="Traditional Arabic" w:cs="Traditional Arabic"/>
          <w:b/>
          <w:bCs/>
          <w:color w:val="000000" w:themeColor="text1"/>
          <w:rtl/>
        </w:rPr>
        <w:t xml:space="preserve"> مقارنة بخمسة مبادئ في</w:t>
      </w:r>
      <w:r w:rsidRPr="00545ABB">
        <w:rPr>
          <w:rFonts w:ascii="Traditional Arabic" w:hAnsi="Traditional Arabic" w:cs="Traditional Arabic"/>
          <w:b/>
          <w:bCs/>
          <w:color w:val="000000" w:themeColor="text1"/>
        </w:rPr>
        <w:t xml:space="preserve"> COBIT 5</w:t>
      </w:r>
      <w:r w:rsidRPr="00545ABB">
        <w:rPr>
          <w:rFonts w:ascii="Traditional Arabic" w:hAnsi="Traditional Arabic" w:cs="Traditional Arabic"/>
          <w:b/>
          <w:bCs/>
          <w:color w:val="000000" w:themeColor="text1"/>
          <w:rtl/>
        </w:rPr>
        <w:t>، وهو ما يعكس تطور الإطار باتجاه نظم حوكمة أكثر مرونة وقابلية للتخصيص وفق طبيعة كل مؤسسة واحتياجاتها. ويؤكد الإطار أهمية تحقيق قيمة لأصحاب المصالح، وتكامل مكونات نظام الحوكمة، والتكيف مع الظروف المتغيرة، والفصل بين الحوكمة والإدارة، وتخصيص نظام الحوكمة وفق احتياجات المؤسسة، وتطبيق الحوكمة على مستوى المؤسسة ككل</w:t>
      </w:r>
      <w:r w:rsidRPr="00545ABB">
        <w:rPr>
          <w:rFonts w:ascii="Traditional Arabic" w:hAnsi="Traditional Arabic" w:cs="Traditional Arabic"/>
          <w:b/>
          <w:bCs/>
          <w:color w:val="000000" w:themeColor="text1"/>
        </w:rPr>
        <w:t xml:space="preserve">. </w:t>
      </w:r>
    </w:p>
    <w:p w14:paraId="39605AB3" w14:textId="77777777" w:rsidR="00290052" w:rsidRPr="00545ABB" w:rsidRDefault="00290052" w:rsidP="00290052">
      <w:pPr>
        <w:pStyle w:val="Heading3"/>
        <w:bidi/>
        <w:spacing w:line="360" w:lineRule="auto"/>
        <w:rPr>
          <w:rFonts w:ascii="Traditional Arabic" w:hAnsi="Traditional Arabic" w:cs="Traditional Arabic"/>
          <w:b/>
          <w:bCs/>
          <w:color w:val="000000" w:themeColor="text1"/>
        </w:rPr>
      </w:pPr>
      <w:bookmarkStart w:id="63" w:name="_Toc242325224"/>
      <w:r w:rsidRPr="00545ABB">
        <w:rPr>
          <w:rFonts w:ascii="Traditional Arabic" w:hAnsi="Traditional Arabic" w:cs="Traditional Arabic"/>
          <w:b/>
          <w:bCs/>
          <w:color w:val="000000" w:themeColor="text1"/>
          <w:rtl/>
        </w:rPr>
        <w:t xml:space="preserve">مراحل تصميم نظام الحوكمة وفق </w:t>
      </w:r>
      <w:r w:rsidRPr="00545ABB">
        <w:rPr>
          <w:rFonts w:ascii="Traditional Arabic" w:hAnsi="Traditional Arabic" w:cs="Traditional Arabic"/>
          <w:b/>
          <w:bCs/>
          <w:color w:val="000000" w:themeColor="text1"/>
        </w:rPr>
        <w:t>COBIT 2019</w:t>
      </w:r>
      <w:bookmarkEnd w:id="63"/>
    </w:p>
    <w:p w14:paraId="40845B0C" w14:textId="63867EB5" w:rsidR="00290052" w:rsidRPr="00545ABB" w:rsidRDefault="00290052" w:rsidP="0012229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يوفر</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منهجية لتصميم نظام الحوكمة بصورة تتناسب مع خصائص المؤسسة وسياقها الفعلي. وتتكون عملية التصميم من أربع مراحل رئيسة تبدأ بفهم السياق والاستراتيجية وتنتهي باستكمال تصميم نظام الحوكمة بعد معالجة تعارضات الأولويات</w:t>
      </w:r>
      <w:r w:rsidRPr="00545ABB">
        <w:rPr>
          <w:rFonts w:ascii="Traditional Arabic" w:hAnsi="Traditional Arabic" w:cs="Traditional Arabic"/>
          <w:b/>
          <w:bCs/>
          <w:color w:val="000000" w:themeColor="text1"/>
        </w:rPr>
        <w:t xml:space="preserve">. </w:t>
      </w:r>
    </w:p>
    <w:p w14:paraId="30A5A2EB" w14:textId="77777777" w:rsidR="00290052" w:rsidRPr="00545ABB" w:rsidRDefault="00290052" w:rsidP="00290052">
      <w:pPr>
        <w:pStyle w:val="Heading3"/>
        <w:bidi/>
        <w:spacing w:line="360" w:lineRule="auto"/>
        <w:rPr>
          <w:rFonts w:ascii="Traditional Arabic" w:hAnsi="Traditional Arabic" w:cs="Traditional Arabic"/>
          <w:b/>
          <w:bCs/>
          <w:color w:val="000000" w:themeColor="text1"/>
          <w:sz w:val="24"/>
          <w:szCs w:val="24"/>
        </w:rPr>
      </w:pPr>
      <w:bookmarkStart w:id="64" w:name="_Toc242325225"/>
      <w:r w:rsidRPr="00545ABB">
        <w:rPr>
          <w:rFonts w:ascii="Traditional Arabic" w:hAnsi="Traditional Arabic" w:cs="Traditional Arabic"/>
          <w:b/>
          <w:bCs/>
          <w:color w:val="000000" w:themeColor="text1"/>
          <w:sz w:val="24"/>
          <w:szCs w:val="24"/>
          <w:rtl/>
        </w:rPr>
        <w:lastRenderedPageBreak/>
        <w:t xml:space="preserve">جدول رقم </w:t>
      </w:r>
      <w:r w:rsidRPr="00545ABB">
        <w:rPr>
          <w:rFonts w:ascii="Traditional Arabic" w:hAnsi="Traditional Arabic" w:cs="Traditional Arabic"/>
          <w:b/>
          <w:bCs/>
          <w:color w:val="000000" w:themeColor="text1"/>
          <w:sz w:val="24"/>
          <w:szCs w:val="24"/>
        </w:rPr>
        <w:t>(2-2)</w:t>
      </w:r>
      <w:bookmarkEnd w:id="64"/>
    </w:p>
    <w:p w14:paraId="5D67D6C1"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مراحل تصميم نظام الحوكمة وفق </w:t>
      </w:r>
      <w:r w:rsidRPr="00545ABB">
        <w:rPr>
          <w:rStyle w:val="Strong"/>
          <w:rFonts w:ascii="Traditional Arabic" w:hAnsi="Traditional Arabic" w:cs="Traditional Arabic"/>
          <w:color w:val="000000" w:themeColor="text1"/>
        </w:rPr>
        <w:t>COBIT 2019</w:t>
      </w:r>
    </w:p>
    <w:tbl>
      <w:tblPr>
        <w:tblStyle w:val="TableGrid"/>
        <w:bidiVisual/>
        <w:tblW w:w="0" w:type="auto"/>
        <w:tblLook w:val="04A0" w:firstRow="1" w:lastRow="0" w:firstColumn="1" w:lastColumn="0" w:noHBand="0" w:noVBand="1"/>
      </w:tblPr>
      <w:tblGrid>
        <w:gridCol w:w="1924"/>
        <w:gridCol w:w="7426"/>
      </w:tblGrid>
      <w:tr w:rsidR="00290052" w:rsidRPr="00545ABB" w14:paraId="3A177C4D" w14:textId="77777777" w:rsidTr="00122295">
        <w:tc>
          <w:tcPr>
            <w:tcW w:w="0" w:type="auto"/>
            <w:shd w:val="clear" w:color="auto" w:fill="F2F2F2" w:themeFill="background1" w:themeFillShade="F2"/>
            <w:hideMark/>
          </w:tcPr>
          <w:p w14:paraId="73A68B98" w14:textId="77777777" w:rsidR="00290052" w:rsidRPr="00545ABB" w:rsidRDefault="00290052" w:rsidP="00290052">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المرحلة</w:t>
            </w:r>
          </w:p>
        </w:tc>
        <w:tc>
          <w:tcPr>
            <w:tcW w:w="0" w:type="auto"/>
            <w:shd w:val="clear" w:color="auto" w:fill="F2F2F2" w:themeFill="background1" w:themeFillShade="F2"/>
            <w:hideMark/>
          </w:tcPr>
          <w:p w14:paraId="57462C1F" w14:textId="77777777" w:rsidR="00290052" w:rsidRPr="00545ABB" w:rsidRDefault="00290052" w:rsidP="00290052">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الخطوات الرئيسة</w:t>
            </w:r>
          </w:p>
        </w:tc>
      </w:tr>
      <w:tr w:rsidR="00290052" w:rsidRPr="00545ABB" w14:paraId="3401F65A" w14:textId="77777777" w:rsidTr="00122295">
        <w:tc>
          <w:tcPr>
            <w:tcW w:w="0" w:type="auto"/>
            <w:hideMark/>
          </w:tcPr>
          <w:p w14:paraId="3208640D"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المرحلة الأولى: فهم السياق والاستراتيجية</w:t>
            </w:r>
          </w:p>
        </w:tc>
        <w:tc>
          <w:tcPr>
            <w:tcW w:w="0" w:type="auto"/>
            <w:hideMark/>
          </w:tcPr>
          <w:p w14:paraId="06F3048B"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Pr>
              <w:t>1.1</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فهم استراتيجية المؤسسة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1.2</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فهم أهداف المؤسسة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1.3</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فهم ملف المخاطر</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1.4</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فهم القضايا الحالية ذات الصلة بالمعلومات والتقنية </w:t>
            </w:r>
            <w:r w:rsidRPr="00545ABB">
              <w:rPr>
                <w:rFonts w:ascii="Traditional Arabic" w:hAnsi="Traditional Arabic" w:cs="Traditional Arabic"/>
                <w:b/>
                <w:bCs/>
                <w:color w:val="000000" w:themeColor="text1"/>
              </w:rPr>
              <w:t>(I&amp;T).</w:t>
            </w:r>
          </w:p>
        </w:tc>
      </w:tr>
      <w:tr w:rsidR="00290052" w:rsidRPr="00545ABB" w14:paraId="49F13041" w14:textId="77777777" w:rsidTr="00122295">
        <w:tc>
          <w:tcPr>
            <w:tcW w:w="0" w:type="auto"/>
            <w:hideMark/>
          </w:tcPr>
          <w:p w14:paraId="4A54BAD4"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المرحلة الثانية: تحديد النطاق الأولي لنظام الحوكمة</w:t>
            </w:r>
          </w:p>
        </w:tc>
        <w:tc>
          <w:tcPr>
            <w:tcW w:w="0" w:type="auto"/>
            <w:hideMark/>
          </w:tcPr>
          <w:p w14:paraId="2F903294"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Pr>
              <w:t>2.1</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استراتيجية المؤسسة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2.2</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النظر في أهداف المؤسسة وتطبيق سلسلة أهداف </w:t>
            </w:r>
            <w:r w:rsidRPr="00545ABB">
              <w:rPr>
                <w:rFonts w:ascii="Traditional Arabic" w:hAnsi="Traditional Arabic" w:cs="Traditional Arabic"/>
                <w:b/>
                <w:bCs/>
                <w:color w:val="000000" w:themeColor="text1"/>
              </w:rPr>
              <w:t xml:space="preserve">COBIT. </w:t>
            </w:r>
            <w:r w:rsidRPr="00545ABB">
              <w:rPr>
                <w:rStyle w:val="Strong"/>
                <w:rFonts w:ascii="Traditional Arabic" w:hAnsi="Traditional Arabic" w:cs="Traditional Arabic"/>
                <w:color w:val="000000" w:themeColor="text1"/>
              </w:rPr>
              <w:t>2.3</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ملف مخاطر المؤسسة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2.4</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النظر في القضايا الحالية ذات الصلة بالمعلومات والتقنية </w:t>
            </w:r>
            <w:r w:rsidRPr="00545ABB">
              <w:rPr>
                <w:rFonts w:ascii="Traditional Arabic" w:hAnsi="Traditional Arabic" w:cs="Traditional Arabic"/>
                <w:b/>
                <w:bCs/>
                <w:color w:val="000000" w:themeColor="text1"/>
              </w:rPr>
              <w:t>(I&amp;T).</w:t>
            </w:r>
          </w:p>
        </w:tc>
      </w:tr>
      <w:tr w:rsidR="00290052" w:rsidRPr="00545ABB" w14:paraId="2207A7FB" w14:textId="77777777" w:rsidTr="00122295">
        <w:tc>
          <w:tcPr>
            <w:tcW w:w="0" w:type="auto"/>
            <w:hideMark/>
          </w:tcPr>
          <w:p w14:paraId="44D51B4F"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المرحلة الثالثة: تحسين نطاق نظام الحوكمة</w:t>
            </w:r>
          </w:p>
        </w:tc>
        <w:tc>
          <w:tcPr>
            <w:tcW w:w="0" w:type="auto"/>
            <w:hideMark/>
          </w:tcPr>
          <w:p w14:paraId="3E857C8B"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Pr>
              <w:t>3.1</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مشهد التهديدات</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3.2</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متطلبات الامتثال</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3.3</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دور المعلومات والتقنية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3.4</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نموذج التوريد أو المصادر</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3.5</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أساليب تنفيذ المعلومات والتقنية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3.6</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استراتيجية اعتماد التكنولوجيا</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3.7</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النظر في حجم المؤسسة</w:t>
            </w:r>
            <w:r w:rsidRPr="00545ABB">
              <w:rPr>
                <w:rFonts w:ascii="Traditional Arabic" w:hAnsi="Traditional Arabic" w:cs="Traditional Arabic"/>
                <w:b/>
                <w:bCs/>
                <w:color w:val="000000" w:themeColor="text1"/>
              </w:rPr>
              <w:t>.</w:t>
            </w:r>
          </w:p>
        </w:tc>
      </w:tr>
      <w:tr w:rsidR="00290052" w:rsidRPr="00545ABB" w14:paraId="7EC04D99" w14:textId="77777777" w:rsidTr="00122295">
        <w:tc>
          <w:tcPr>
            <w:tcW w:w="0" w:type="auto"/>
            <w:hideMark/>
          </w:tcPr>
          <w:p w14:paraId="1AC4069A"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المرحلة الرابعة: استكمال تصميم نظام الحوكمة</w:t>
            </w:r>
          </w:p>
        </w:tc>
        <w:tc>
          <w:tcPr>
            <w:tcW w:w="0" w:type="auto"/>
            <w:hideMark/>
          </w:tcPr>
          <w:p w14:paraId="6D3E012F"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Pr>
              <w:t>4.1</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حل تعارضات الأولويات المحتملة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Pr>
              <w:t>4.2</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استكمال تصميم نظام الحوكمة</w:t>
            </w:r>
            <w:r w:rsidRPr="00545ABB">
              <w:rPr>
                <w:rFonts w:ascii="Traditional Arabic" w:hAnsi="Traditional Arabic" w:cs="Traditional Arabic"/>
                <w:b/>
                <w:bCs/>
                <w:color w:val="000000" w:themeColor="text1"/>
              </w:rPr>
              <w:t>.</w:t>
            </w:r>
          </w:p>
        </w:tc>
      </w:tr>
    </w:tbl>
    <w:p w14:paraId="326DEB95" w14:textId="59CD9BDD" w:rsidR="00290052" w:rsidRPr="00545ABB" w:rsidRDefault="00290052" w:rsidP="00122295">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المصدر: إعداد الباحث بالاعتماد على</w:t>
      </w:r>
      <w:r w:rsidRPr="00545ABB">
        <w:rPr>
          <w:rStyle w:val="Strong"/>
          <w:rFonts w:ascii="Traditional Arabic" w:hAnsi="Traditional Arabic" w:cs="Traditional Arabic"/>
          <w:color w:val="000000" w:themeColor="text1"/>
        </w:rPr>
        <w:t xml:space="preserve"> ISACA (2019) </w:t>
      </w:r>
      <w:r w:rsidRPr="00545ABB">
        <w:rPr>
          <w:rStyle w:val="Strong"/>
          <w:rFonts w:ascii="Traditional Arabic" w:hAnsi="Traditional Arabic" w:cs="Traditional Arabic"/>
          <w:color w:val="000000" w:themeColor="text1"/>
          <w:rtl/>
        </w:rPr>
        <w:t>وصدقي (2023، ص</w:t>
      </w:r>
      <w:r w:rsidRPr="00545ABB">
        <w:rPr>
          <w:rStyle w:val="Strong"/>
          <w:rFonts w:ascii="Traditional Arabic" w:hAnsi="Traditional Arabic" w:cs="Traditional Arabic"/>
          <w:color w:val="000000" w:themeColor="text1"/>
        </w:rPr>
        <w:t>. 248</w:t>
      </w:r>
      <w:r w:rsidR="00122295" w:rsidRPr="00545ABB">
        <w:rPr>
          <w:rStyle w:val="Strong"/>
          <w:rFonts w:ascii="Traditional Arabic" w:hAnsi="Traditional Arabic" w:cs="Traditional Arabic" w:hint="cs"/>
          <w:color w:val="000000" w:themeColor="text1"/>
          <w:rtl/>
        </w:rPr>
        <w:t>)</w:t>
      </w:r>
      <w:r w:rsidRPr="00545ABB">
        <w:rPr>
          <w:rStyle w:val="Strong"/>
          <w:rFonts w:ascii="Traditional Arabic" w:hAnsi="Traditional Arabic" w:cs="Traditional Arabic"/>
          <w:color w:val="000000" w:themeColor="text1"/>
        </w:rPr>
        <w:t>.</w:t>
      </w:r>
    </w:p>
    <w:p w14:paraId="3DF3767D"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وتوضح المراحل السابقة أن</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لا يقدم نموذجًا جامدًا أو موحدًا للحوكمة، وإنما يسمح بتصميم نظام يتناسب مع ظروف كل مؤسسة. وتبدأ عملية التصميم بفهم استراتيجية المؤسسة وأهدافها وملف مخاطرها والقضايا المرتبطة بالمعلومات والتقنية، ثم تحديد النطاق الأولي لنظام الحوكمة، وتحسينه وفق عوامل مثل مشهد التهديدات ومتطلبات الامتثال ونموذج التوريد وحجم المؤسسة، وصولًا إلى معالجة تعارضات الأولويات واستكمال التصميم النهائي</w:t>
      </w:r>
      <w:r w:rsidRPr="00545ABB">
        <w:rPr>
          <w:rFonts w:ascii="Traditional Arabic" w:hAnsi="Traditional Arabic" w:cs="Traditional Arabic"/>
          <w:b/>
          <w:bCs/>
          <w:color w:val="000000" w:themeColor="text1"/>
        </w:rPr>
        <w:t>.</w:t>
      </w:r>
    </w:p>
    <w:p w14:paraId="40157E90"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ويمكن توضيح سير عمل تصميم نظام الحوكمة في</w:t>
      </w:r>
      <w:r w:rsidRPr="00545ABB">
        <w:rPr>
          <w:rFonts w:ascii="Traditional Arabic" w:hAnsi="Traditional Arabic" w:cs="Traditional Arabic"/>
          <w:b/>
          <w:bCs/>
          <w:color w:val="000000" w:themeColor="text1"/>
        </w:rPr>
        <w:t xml:space="preserve"> COBIT 2019 </w:t>
      </w:r>
      <w:r w:rsidRPr="00545ABB">
        <w:rPr>
          <w:rFonts w:ascii="Traditional Arabic" w:hAnsi="Traditional Arabic" w:cs="Traditional Arabic"/>
          <w:b/>
          <w:bCs/>
          <w:color w:val="000000" w:themeColor="text1"/>
          <w:rtl/>
        </w:rPr>
        <w:t>من خلال الشكل الآتي</w:t>
      </w:r>
      <w:r w:rsidRPr="00545ABB">
        <w:rPr>
          <w:rFonts w:ascii="Traditional Arabic" w:hAnsi="Traditional Arabic" w:cs="Traditional Arabic"/>
          <w:b/>
          <w:bCs/>
          <w:color w:val="000000" w:themeColor="text1"/>
        </w:rPr>
        <w:t>:</w:t>
      </w:r>
    </w:p>
    <w:p w14:paraId="13A53C66" w14:textId="4DAFA3CB" w:rsidR="00290052" w:rsidRPr="00545ABB" w:rsidRDefault="00903EC6" w:rsidP="00290052">
      <w:pPr>
        <w:pStyle w:val="NormalWeb"/>
        <w:bidi/>
        <w:spacing w:line="360" w:lineRule="auto"/>
        <w:rPr>
          <w:rFonts w:ascii="Traditional Arabic" w:hAnsi="Traditional Arabic" w:cs="Traditional Arabic"/>
          <w:b/>
          <w:bCs/>
          <w:color w:val="000000" w:themeColor="text1"/>
        </w:rPr>
      </w:pPr>
      <w:r>
        <w:rPr>
          <w:rStyle w:val="Strong"/>
          <w:rFonts w:ascii="Traditional Arabic" w:hAnsi="Traditional Arabic" w:cs="Traditional Arabic"/>
          <w:color w:val="000000" w:themeColor="text1"/>
          <w:rtl/>
        </w:rPr>
        <w:t>ال</w:t>
      </w:r>
      <w:r w:rsidRPr="00903EC6">
        <w:rPr>
          <w:rStyle w:val="Strong"/>
          <w:rFonts w:ascii="Traditional Arabic" w:hAnsi="Traditional Arabic" w:cs="Traditional Arabic"/>
          <w:color w:val="000000" w:themeColor="text1"/>
          <w:rtl/>
        </w:rPr>
        <w:t>شكل (2-3)</w:t>
      </w:r>
      <w:r w:rsidR="00290052" w:rsidRPr="00545ABB">
        <w:rPr>
          <w:rStyle w:val="Strong"/>
          <w:rFonts w:ascii="Traditional Arabic" w:hAnsi="Traditional Arabic" w:cs="Traditional Arabic"/>
          <w:color w:val="000000" w:themeColor="text1"/>
          <w:rtl/>
        </w:rPr>
        <w:t xml:space="preserve">: تصميم وسير عمل نظام الحوكمة وفق </w:t>
      </w:r>
      <w:r w:rsidR="00290052" w:rsidRPr="00545ABB">
        <w:rPr>
          <w:rStyle w:val="Strong"/>
          <w:rFonts w:ascii="Traditional Arabic" w:hAnsi="Traditional Arabic" w:cs="Traditional Arabic"/>
          <w:color w:val="000000" w:themeColor="text1"/>
        </w:rPr>
        <w:t>COBIT 2019</w:t>
      </w:r>
    </w:p>
    <w:p w14:paraId="450ABF9D"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lastRenderedPageBreak/>
        <w:t>المصدر</w:t>
      </w:r>
      <w:r w:rsidRPr="00545ABB">
        <w:rPr>
          <w:rStyle w:val="Strong"/>
          <w:rFonts w:ascii="Traditional Arabic" w:hAnsi="Traditional Arabic" w:cs="Traditional Arabic"/>
          <w:color w:val="000000" w:themeColor="text1"/>
        </w:rPr>
        <w:t xml:space="preserve">: ISACA, </w:t>
      </w:r>
      <w:r w:rsidRPr="00545ABB">
        <w:rPr>
          <w:rStyle w:val="Emphasis"/>
          <w:rFonts w:ascii="Traditional Arabic" w:hAnsi="Traditional Arabic" w:cs="Traditional Arabic"/>
          <w:b/>
          <w:bCs/>
          <w:color w:val="000000" w:themeColor="text1"/>
        </w:rPr>
        <w:t>COBIT 2019 Design Guide: Designing an Information and Technology Governance Solution</w:t>
      </w:r>
      <w:r w:rsidRPr="00545ABB">
        <w:rPr>
          <w:rStyle w:val="Strong"/>
          <w:rFonts w:ascii="Traditional Arabic" w:hAnsi="Traditional Arabic" w:cs="Traditional Arabic"/>
          <w:color w:val="000000" w:themeColor="text1"/>
        </w:rPr>
        <w:t>.</w:t>
      </w:r>
    </w:p>
    <w:p w14:paraId="04152EAC"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الاستفادة من</w:t>
      </w:r>
      <w:r w:rsidRPr="00545ABB">
        <w:rPr>
          <w:rFonts w:ascii="Traditional Arabic" w:hAnsi="Traditional Arabic" w:cs="Traditional Arabic"/>
          <w:b/>
          <w:bCs/>
          <w:color w:val="000000" w:themeColor="text1"/>
        </w:rPr>
        <w:t xml:space="preserve"> COBIT </w:t>
      </w:r>
      <w:r w:rsidRPr="00545ABB">
        <w:rPr>
          <w:rFonts w:ascii="Traditional Arabic" w:hAnsi="Traditional Arabic" w:cs="Traditional Arabic"/>
          <w:b/>
          <w:bCs/>
          <w:color w:val="000000" w:themeColor="text1"/>
          <w:rtl/>
        </w:rPr>
        <w:t>أهمية خاصة بالنسبة لشركات الأمن السيبراني، نظرًا إلى اعتماده على الربط بين الأهداف المؤسسية والتقنية، وإدارة المخاطر، وقياس الأداء، وتحديد المسؤوليات، وتحقيق القيمة من الاستثمارات التقنية. كما يساعد على تنظيم العلاقة بين الإدارة العليا والوظائف التقنية، وتحديد الأولويات، ومتابعة الالتزام والأداء</w:t>
      </w:r>
      <w:r w:rsidRPr="00545ABB">
        <w:rPr>
          <w:rFonts w:ascii="Traditional Arabic" w:hAnsi="Traditional Arabic" w:cs="Traditional Arabic"/>
          <w:b/>
          <w:bCs/>
          <w:color w:val="000000" w:themeColor="text1"/>
        </w:rPr>
        <w:t>.</w:t>
      </w:r>
    </w:p>
    <w:p w14:paraId="3BAC1E21"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لشركات الأمن السيبراني الناشئة، فإن تطبيق</w:t>
      </w:r>
      <w:r w:rsidRPr="00545ABB">
        <w:rPr>
          <w:rFonts w:ascii="Traditional Arabic" w:hAnsi="Traditional Arabic" w:cs="Traditional Arabic"/>
          <w:b/>
          <w:bCs/>
          <w:color w:val="000000" w:themeColor="text1"/>
        </w:rPr>
        <w:t xml:space="preserve"> COBIT </w:t>
      </w:r>
      <w:r w:rsidRPr="00545ABB">
        <w:rPr>
          <w:rFonts w:ascii="Traditional Arabic" w:hAnsi="Traditional Arabic" w:cs="Traditional Arabic"/>
          <w:b/>
          <w:bCs/>
          <w:color w:val="000000" w:themeColor="text1"/>
          <w:rtl/>
        </w:rPr>
        <w:t>لا يعني ضرورة تبني جميع مكونات الإطار بصورة كاملة منذ مرحلة التأسيس، وإنما يمكن الاستفادة منه بصورة تدريجية تتناسب مع حجم الشركة ومرحلة نموها ومستوى المخاطر والموارد المتاحة لديها. ويساعد هذا النهج على تحقيق التوازن بين المرونة وسرعة الابتكار من جهة، ومتطلبات الرقابة وإدارة المخاطر والانضباط المؤسسي من جهة أخرى، بما يدعم النمو والاستدامة على المدى الطويل</w:t>
      </w:r>
      <w:r w:rsidRPr="00545ABB">
        <w:rPr>
          <w:rFonts w:ascii="Traditional Arabic" w:hAnsi="Traditional Arabic" w:cs="Traditional Arabic"/>
          <w:b/>
          <w:bCs/>
          <w:color w:val="000000" w:themeColor="text1"/>
        </w:rPr>
        <w:t>.</w:t>
      </w:r>
    </w:p>
    <w:p w14:paraId="550CA0D1" w14:textId="7D34FD94" w:rsidR="00290052" w:rsidRPr="00545ABB" w:rsidRDefault="00290052" w:rsidP="00290052">
      <w:pPr>
        <w:spacing w:line="360" w:lineRule="auto"/>
        <w:rPr>
          <w:rFonts w:ascii="Traditional Arabic" w:hAnsi="Traditional Arabic" w:cs="Traditional Arabic"/>
          <w:b/>
          <w:bCs/>
          <w:color w:val="000000" w:themeColor="text1"/>
          <w:sz w:val="24"/>
          <w:szCs w:val="24"/>
        </w:rPr>
      </w:pPr>
    </w:p>
    <w:p w14:paraId="6082610B" w14:textId="31784087" w:rsidR="00290052" w:rsidRPr="00545ABB" w:rsidRDefault="003A3A5B" w:rsidP="003A3A5B">
      <w:pPr>
        <w:pStyle w:val="Heading3"/>
        <w:bidi/>
        <w:spacing w:line="360" w:lineRule="auto"/>
        <w:rPr>
          <w:rFonts w:ascii="Traditional Arabic" w:hAnsi="Traditional Arabic" w:cs="Traditional Arabic"/>
          <w:b/>
          <w:bCs/>
          <w:color w:val="000000" w:themeColor="text1"/>
          <w:sz w:val="32"/>
          <w:szCs w:val="32"/>
        </w:rPr>
      </w:pPr>
      <w:bookmarkStart w:id="65" w:name="_Toc242325226"/>
      <w:r w:rsidRPr="00545ABB">
        <w:rPr>
          <w:rFonts w:ascii="Traditional Arabic" w:hAnsi="Traditional Arabic" w:cs="Traditional Arabic" w:hint="cs"/>
          <w:b/>
          <w:bCs/>
          <w:color w:val="000000" w:themeColor="text1"/>
          <w:sz w:val="32"/>
          <w:szCs w:val="32"/>
          <w:rtl/>
        </w:rPr>
        <w:t>(</w:t>
      </w:r>
      <w:r w:rsidR="00290052" w:rsidRPr="00545ABB">
        <w:rPr>
          <w:rFonts w:ascii="Traditional Arabic" w:hAnsi="Traditional Arabic" w:cs="Traditional Arabic"/>
          <w:b/>
          <w:bCs/>
          <w:color w:val="000000" w:themeColor="text1"/>
          <w:sz w:val="32"/>
          <w:szCs w:val="32"/>
          <w:rtl/>
        </w:rPr>
        <w:t>ب</w:t>
      </w:r>
      <w:r w:rsidRPr="00545ABB">
        <w:rPr>
          <w:rFonts w:ascii="Traditional Arabic" w:hAnsi="Traditional Arabic" w:cs="Traditional Arabic" w:hint="cs"/>
          <w:b/>
          <w:bCs/>
          <w:color w:val="000000" w:themeColor="text1"/>
          <w:sz w:val="32"/>
          <w:szCs w:val="32"/>
          <w:rtl/>
        </w:rPr>
        <w:t>)</w:t>
      </w:r>
      <w:r w:rsidR="00290052" w:rsidRPr="00545ABB">
        <w:rPr>
          <w:rFonts w:ascii="Traditional Arabic" w:hAnsi="Traditional Arabic" w:cs="Traditional Arabic"/>
          <w:b/>
          <w:bCs/>
          <w:color w:val="000000" w:themeColor="text1"/>
          <w:sz w:val="32"/>
          <w:szCs w:val="32"/>
          <w:rtl/>
        </w:rPr>
        <w:t xml:space="preserve"> نموذج</w:t>
      </w:r>
      <w:r w:rsidR="00290052" w:rsidRPr="00545ABB">
        <w:rPr>
          <w:rFonts w:ascii="Traditional Arabic" w:hAnsi="Traditional Arabic" w:cs="Traditional Arabic"/>
          <w:b/>
          <w:bCs/>
          <w:color w:val="000000" w:themeColor="text1"/>
          <w:sz w:val="32"/>
          <w:szCs w:val="32"/>
        </w:rPr>
        <w:t xml:space="preserve"> NIST </w:t>
      </w:r>
      <w:r w:rsidR="00290052" w:rsidRPr="00545ABB">
        <w:rPr>
          <w:rFonts w:ascii="Traditional Arabic" w:hAnsi="Traditional Arabic" w:cs="Traditional Arabic"/>
          <w:b/>
          <w:bCs/>
          <w:color w:val="000000" w:themeColor="text1"/>
          <w:sz w:val="32"/>
          <w:szCs w:val="32"/>
          <w:rtl/>
        </w:rPr>
        <w:t>كمرجعية لحوكمة الأمن السيبراني</w:t>
      </w:r>
      <w:bookmarkEnd w:id="65"/>
    </w:p>
    <w:p w14:paraId="04D1CB26"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يُعد إطار الأمن السيبراني الصادر عن </w:t>
      </w:r>
      <w:r w:rsidRPr="00545ABB">
        <w:rPr>
          <w:rStyle w:val="Strong"/>
          <w:rFonts w:ascii="Traditional Arabic" w:hAnsi="Traditional Arabic" w:cs="Traditional Arabic"/>
          <w:color w:val="000000" w:themeColor="text1"/>
          <w:rtl/>
        </w:rPr>
        <w:t xml:space="preserve">المعهد الوطني الأمريكي للمعايير والتقنية </w:t>
      </w:r>
      <w:r w:rsidRPr="00545ABB">
        <w:rPr>
          <w:rStyle w:val="Strong"/>
          <w:rFonts w:ascii="Traditional Arabic" w:hAnsi="Traditional Arabic" w:cs="Traditional Arabic"/>
          <w:color w:val="000000" w:themeColor="text1"/>
        </w:rPr>
        <w:t>National Institute of Standards and Technology (NIST)</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من أبرز الأطر الدولية المستخدمة في إدارة مخاطر الأمن السيبراني وتحسين مستوى الحوكمة والممارسات الأمنية داخل المؤسسات</w:t>
      </w:r>
      <w:r w:rsidRPr="00545ABB">
        <w:rPr>
          <w:rFonts w:ascii="Traditional Arabic" w:hAnsi="Traditional Arabic" w:cs="Traditional Arabic"/>
          <w:b/>
          <w:bCs/>
          <w:color w:val="000000" w:themeColor="text1"/>
        </w:rPr>
        <w:t>.</w:t>
      </w:r>
    </w:p>
    <w:p w14:paraId="7F6B36B6" w14:textId="3D478877" w:rsidR="00290052" w:rsidRPr="00545ABB" w:rsidRDefault="00290052" w:rsidP="003A3A5B">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بدأ تطوير الإطار في عام </w:t>
      </w:r>
      <w:r w:rsidRPr="00545ABB">
        <w:rPr>
          <w:rStyle w:val="Strong"/>
          <w:rFonts w:ascii="Traditional Arabic" w:hAnsi="Traditional Arabic" w:cs="Traditional Arabic"/>
          <w:color w:val="000000" w:themeColor="text1"/>
        </w:rPr>
        <w:t>2013</w:t>
      </w:r>
      <w:r w:rsidRPr="00545ABB">
        <w:rPr>
          <w:rFonts w:ascii="Traditional Arabic" w:hAnsi="Traditional Arabic" w:cs="Traditional Arabic"/>
          <w:b/>
          <w:bCs/>
          <w:color w:val="000000" w:themeColor="text1"/>
        </w:rPr>
        <w:t xml:space="preserve"> </w:t>
      </w:r>
      <w:r w:rsidR="003A3A5B"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استجابةً لتوجيه تنفيذي أمريكي دعا إلى تطوير إطار قائم على المخاطر لتحسين حماية البنية التحتية الحرجة. وفي فبراير </w:t>
      </w:r>
      <w:r w:rsidRPr="00545ABB">
        <w:rPr>
          <w:rStyle w:val="Strong"/>
          <w:rFonts w:ascii="Traditional Arabic" w:hAnsi="Traditional Arabic" w:cs="Traditional Arabic"/>
          <w:color w:val="000000" w:themeColor="text1"/>
        </w:rPr>
        <w:t>2014</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أصدر</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 xml:space="preserve">النسخة الأولى </w:t>
      </w:r>
      <w:r w:rsidRPr="00545ABB">
        <w:rPr>
          <w:rStyle w:val="Strong"/>
          <w:rFonts w:ascii="Traditional Arabic" w:hAnsi="Traditional Arabic" w:cs="Traditional Arabic"/>
          <w:color w:val="000000" w:themeColor="text1"/>
        </w:rPr>
        <w:t>CSF 1.0</w:t>
      </w:r>
      <w:r w:rsidRPr="00545ABB">
        <w:rPr>
          <w:rFonts w:ascii="Traditional Arabic" w:hAnsi="Traditional Arabic" w:cs="Traditional Arabic"/>
          <w:b/>
          <w:bCs/>
          <w:color w:val="000000" w:themeColor="text1"/>
          <w:rtl/>
        </w:rPr>
        <w:t xml:space="preserve">، ثم تم تحديث الإطار إلى </w:t>
      </w:r>
      <w:r w:rsidRPr="00545ABB">
        <w:rPr>
          <w:rStyle w:val="Strong"/>
          <w:rFonts w:ascii="Traditional Arabic" w:hAnsi="Traditional Arabic" w:cs="Traditional Arabic"/>
          <w:color w:val="000000" w:themeColor="text1"/>
        </w:rPr>
        <w:t>CSF 1.1</w:t>
      </w:r>
      <w:r w:rsidRPr="00545ABB">
        <w:rPr>
          <w:rFonts w:ascii="Traditional Arabic" w:hAnsi="Traditional Arabic" w:cs="Traditional Arabic"/>
          <w:b/>
          <w:bCs/>
          <w:color w:val="000000" w:themeColor="text1"/>
        </w:rPr>
        <w:t xml:space="preserve"> </w:t>
      </w:r>
      <w:r w:rsidR="003A3A5B"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في أبريل </w:t>
      </w:r>
      <w:r w:rsidRPr="00545ABB">
        <w:rPr>
          <w:rStyle w:val="Strong"/>
          <w:rFonts w:ascii="Traditional Arabic" w:hAnsi="Traditional Arabic" w:cs="Traditional Arabic"/>
          <w:color w:val="000000" w:themeColor="text1"/>
        </w:rPr>
        <w:t>2018</w:t>
      </w:r>
      <w:r w:rsidRPr="00545ABB">
        <w:rPr>
          <w:rFonts w:ascii="Traditional Arabic" w:hAnsi="Traditional Arabic" w:cs="Traditional Arabic"/>
          <w:b/>
          <w:bCs/>
          <w:color w:val="000000" w:themeColor="text1"/>
        </w:rPr>
        <w:t xml:space="preserve">. </w:t>
      </w:r>
      <w:r w:rsidR="003A3A5B"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وفي فبراير </w:t>
      </w:r>
      <w:r w:rsidRPr="00545ABB">
        <w:rPr>
          <w:rStyle w:val="Strong"/>
          <w:rFonts w:ascii="Traditional Arabic" w:hAnsi="Traditional Arabic" w:cs="Traditional Arabic"/>
          <w:color w:val="000000" w:themeColor="text1"/>
        </w:rPr>
        <w:t>2024</w:t>
      </w:r>
      <w:r w:rsidRPr="00545ABB">
        <w:rPr>
          <w:rFonts w:ascii="Traditional Arabic" w:hAnsi="Traditional Arabic" w:cs="Traditional Arabic"/>
          <w:b/>
          <w:bCs/>
          <w:color w:val="000000" w:themeColor="text1"/>
        </w:rPr>
        <w:t xml:space="preserve"> </w:t>
      </w:r>
      <w:r w:rsidR="003A3A5B"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أصدر</w:t>
      </w:r>
      <w:r w:rsidRPr="00545ABB">
        <w:rPr>
          <w:rFonts w:ascii="Traditional Arabic" w:hAnsi="Traditional Arabic" w:cs="Traditional Arabic"/>
          <w:b/>
          <w:bCs/>
          <w:color w:val="000000" w:themeColor="text1"/>
        </w:rPr>
        <w:t xml:space="preserve"> </w:t>
      </w:r>
      <w:r w:rsidR="003A3A5B"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Pr>
        <w:t xml:space="preserve">NIST </w:t>
      </w:r>
      <w:r w:rsidR="003A3A5B"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النسخة </w:t>
      </w:r>
      <w:r w:rsidRPr="00545ABB">
        <w:rPr>
          <w:rStyle w:val="Strong"/>
          <w:rFonts w:ascii="Traditional Arabic" w:hAnsi="Traditional Arabic" w:cs="Traditional Arabic"/>
          <w:color w:val="000000" w:themeColor="text1"/>
        </w:rPr>
        <w:t>CSF 2.0</w:t>
      </w:r>
      <w:r w:rsidRPr="00545ABB">
        <w:rPr>
          <w:rFonts w:ascii="Traditional Arabic" w:hAnsi="Traditional Arabic" w:cs="Traditional Arabic"/>
          <w:b/>
          <w:bCs/>
          <w:color w:val="000000" w:themeColor="text1"/>
          <w:rtl/>
        </w:rPr>
        <w:t xml:space="preserve">، التي تمثل أول تحديث رئيس للإطار، ووسع نطاقها لتشمل جميع أنواع المؤسسات وليس فقط مؤسسات البنية التحتية الحرجة </w:t>
      </w:r>
      <w:r w:rsidRPr="00545ABB">
        <w:rPr>
          <w:rFonts w:ascii="Traditional Arabic" w:hAnsi="Traditional Arabic" w:cs="Traditional Arabic"/>
          <w:b/>
          <w:bCs/>
          <w:color w:val="000000" w:themeColor="text1"/>
        </w:rPr>
        <w:t xml:space="preserve">(NIST, 2014, 2018, 2024). </w:t>
      </w:r>
    </w:p>
    <w:p w14:paraId="4F1ED003"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وينظر إطار</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إلى مخاطر الأمن السيبراني بوصفها جزءًا من منظومة إدارة المخاطر المؤسسية، وليس باعتبارها مخاطر تقنية منفصلة. ويساعد المؤسسات على فهم المخاطر وتقييمها وترتيب أولوياتها والتواصل بشأنها، كما يوفر لغة مشتركة يمكن استخدامها بين الإدارات التنفيذية والتقنية والأطراف ذات العلاقة</w:t>
      </w:r>
      <w:r w:rsidRPr="00545ABB">
        <w:rPr>
          <w:rFonts w:ascii="Traditional Arabic" w:hAnsi="Traditional Arabic" w:cs="Traditional Arabic"/>
          <w:b/>
          <w:bCs/>
          <w:color w:val="000000" w:themeColor="text1"/>
        </w:rPr>
        <w:t>.</w:t>
      </w:r>
    </w:p>
    <w:p w14:paraId="6C1EF281" w14:textId="242CA580" w:rsidR="00290052" w:rsidRPr="00545ABB" w:rsidRDefault="00290052" w:rsidP="000127B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ويتميز الإطار بالمرونة وعدم الفرض، حيث يحدد نتائج أمنية مستهدفة دون إلزام المؤسسات بطريقة تنفيذ واحدة، بما يسمح لكل مؤسسة بتطبيقه وفق طبيعة نشاطها، وحجمها، ومستوى نضجها، وبيئة المخاطر التي تعمل فيها. ويؤكد</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أن وظائف الإطار تمثل أنشطة متزامنة ومستمرة تشكل رؤية متكاملة لدورة حياة إدارة مخاطر الأمن السيبراني</w:t>
      </w:r>
      <w:r w:rsidRPr="00545ABB">
        <w:rPr>
          <w:rFonts w:ascii="Traditional Arabic" w:hAnsi="Traditional Arabic" w:cs="Traditional Arabic"/>
          <w:b/>
          <w:bCs/>
          <w:color w:val="000000" w:themeColor="text1"/>
        </w:rPr>
        <w:t xml:space="preserve">. </w:t>
      </w:r>
    </w:p>
    <w:p w14:paraId="7A4A42E2" w14:textId="74B585C6" w:rsidR="00290052" w:rsidRPr="00545ABB" w:rsidRDefault="00290052" w:rsidP="000127B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كان إصدار </w:t>
      </w:r>
      <w:r w:rsidRPr="00545ABB">
        <w:rPr>
          <w:rStyle w:val="Strong"/>
          <w:rFonts w:ascii="Traditional Arabic" w:hAnsi="Traditional Arabic" w:cs="Traditional Arabic"/>
          <w:color w:val="000000" w:themeColor="text1"/>
        </w:rPr>
        <w:t>NIST CSF 1.1</w:t>
      </w:r>
      <w:r w:rsidRPr="00545ABB">
        <w:rPr>
          <w:rFonts w:ascii="Traditional Arabic" w:hAnsi="Traditional Arabic" w:cs="Traditional Arabic"/>
          <w:b/>
          <w:bCs/>
          <w:color w:val="000000" w:themeColor="text1"/>
        </w:rPr>
        <w:t xml:space="preserve"> </w:t>
      </w:r>
      <w:r w:rsidR="000127B1"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يتكون من خمس وظائف رئيسة هي: التحديد، والحماية، والاكتشاف، والاستجابة، والاستعادة. أما إصدار </w:t>
      </w:r>
      <w:r w:rsidRPr="00545ABB">
        <w:rPr>
          <w:rStyle w:val="Strong"/>
          <w:rFonts w:ascii="Traditional Arabic" w:hAnsi="Traditional Arabic" w:cs="Traditional Arabic"/>
          <w:color w:val="000000" w:themeColor="text1"/>
        </w:rPr>
        <w:t>NIST CSF 2.0</w:t>
      </w:r>
      <w:r w:rsidRPr="00545ABB">
        <w:rPr>
          <w:rFonts w:ascii="Traditional Arabic" w:hAnsi="Traditional Arabic" w:cs="Traditional Arabic"/>
          <w:b/>
          <w:bCs/>
          <w:color w:val="000000" w:themeColor="text1"/>
        </w:rPr>
        <w:t xml:space="preserve"> </w:t>
      </w:r>
      <w:r w:rsidR="000127B1"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فقد أضاف وظيفة سادسة هي </w:t>
      </w:r>
      <w:r w:rsidRPr="00545ABB">
        <w:rPr>
          <w:rStyle w:val="Strong"/>
          <w:rFonts w:ascii="Traditional Arabic" w:hAnsi="Traditional Arabic" w:cs="Traditional Arabic"/>
          <w:color w:val="000000" w:themeColor="text1"/>
          <w:rtl/>
        </w:rPr>
        <w:t xml:space="preserve">الحوكمة </w:t>
      </w:r>
      <w:r w:rsidRPr="00545ABB">
        <w:rPr>
          <w:rStyle w:val="Strong"/>
          <w:rFonts w:ascii="Traditional Arabic" w:hAnsi="Traditional Arabic" w:cs="Traditional Arabic"/>
          <w:color w:val="000000" w:themeColor="text1"/>
        </w:rPr>
        <w:t>(Govern)</w:t>
      </w:r>
      <w:r w:rsidRPr="00545ABB">
        <w:rPr>
          <w:rFonts w:ascii="Traditional Arabic" w:hAnsi="Traditional Arabic" w:cs="Traditional Arabic"/>
          <w:b/>
          <w:bCs/>
          <w:color w:val="000000" w:themeColor="text1"/>
          <w:rtl/>
        </w:rPr>
        <w:t>، فأصبح الإطار يتكون من ست وظائف رئيسة مترابطة</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الحوكمة، والتحديد، والحماية، والاكتشاف، والاستجابة، والاستعادة</w:t>
      </w:r>
      <w:r w:rsidRPr="00545ABB">
        <w:rPr>
          <w:rFonts w:ascii="Traditional Arabic" w:hAnsi="Traditional Arabic" w:cs="Traditional Arabic"/>
          <w:b/>
          <w:bCs/>
          <w:color w:val="000000" w:themeColor="text1"/>
        </w:rPr>
        <w:t xml:space="preserve">. </w:t>
      </w:r>
      <w:hyperlink r:id="rId18" w:history="1"/>
    </w:p>
    <w:p w14:paraId="0DF4DA68" w14:textId="77777777" w:rsidR="00290052" w:rsidRPr="00545ABB" w:rsidRDefault="00290052" w:rsidP="00290052">
      <w:pPr>
        <w:pStyle w:val="Heading3"/>
        <w:bidi/>
        <w:spacing w:line="360" w:lineRule="auto"/>
        <w:rPr>
          <w:rFonts w:ascii="Traditional Arabic" w:hAnsi="Traditional Arabic" w:cs="Traditional Arabic"/>
          <w:b/>
          <w:bCs/>
          <w:color w:val="000000" w:themeColor="text1"/>
          <w:sz w:val="24"/>
          <w:szCs w:val="24"/>
        </w:rPr>
      </w:pPr>
      <w:bookmarkStart w:id="66" w:name="_Toc242325227"/>
      <w:r w:rsidRPr="00545ABB">
        <w:rPr>
          <w:rFonts w:ascii="Traditional Arabic" w:hAnsi="Traditional Arabic" w:cs="Traditional Arabic"/>
          <w:b/>
          <w:bCs/>
          <w:color w:val="000000" w:themeColor="text1"/>
          <w:sz w:val="24"/>
          <w:szCs w:val="24"/>
          <w:rtl/>
        </w:rPr>
        <w:t xml:space="preserve">جدول رقم </w:t>
      </w:r>
      <w:r w:rsidRPr="00545ABB">
        <w:rPr>
          <w:rFonts w:ascii="Traditional Arabic" w:hAnsi="Traditional Arabic" w:cs="Traditional Arabic"/>
          <w:b/>
          <w:bCs/>
          <w:color w:val="000000" w:themeColor="text1"/>
          <w:sz w:val="24"/>
          <w:szCs w:val="24"/>
        </w:rPr>
        <w:t>(2-3)</w:t>
      </w:r>
      <w:bookmarkEnd w:id="66"/>
    </w:p>
    <w:p w14:paraId="056B7677"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الوظائف الرئيسة لإطار</w:t>
      </w:r>
      <w:r w:rsidRPr="00545ABB">
        <w:rPr>
          <w:rStyle w:val="Strong"/>
          <w:rFonts w:ascii="Traditional Arabic" w:hAnsi="Traditional Arabic" w:cs="Traditional Arabic"/>
          <w:color w:val="000000" w:themeColor="text1"/>
        </w:rPr>
        <w:t xml:space="preserve"> NIST </w:t>
      </w:r>
      <w:r w:rsidRPr="00545ABB">
        <w:rPr>
          <w:rStyle w:val="Strong"/>
          <w:rFonts w:ascii="Traditional Arabic" w:hAnsi="Traditional Arabic" w:cs="Traditional Arabic"/>
          <w:color w:val="000000" w:themeColor="text1"/>
          <w:rtl/>
        </w:rPr>
        <w:t xml:space="preserve">للأمن السيبراني </w:t>
      </w:r>
      <w:r w:rsidRPr="00545ABB">
        <w:rPr>
          <w:rStyle w:val="Strong"/>
          <w:rFonts w:ascii="Traditional Arabic" w:hAnsi="Traditional Arabic" w:cs="Traditional Arabic"/>
          <w:color w:val="000000" w:themeColor="text1"/>
        </w:rPr>
        <w:t>(CSF 2.0)</w:t>
      </w:r>
    </w:p>
    <w:tbl>
      <w:tblPr>
        <w:tblStyle w:val="TableGrid"/>
        <w:bidiVisual/>
        <w:tblW w:w="0" w:type="auto"/>
        <w:tblLook w:val="04A0" w:firstRow="1" w:lastRow="0" w:firstColumn="1" w:lastColumn="0" w:noHBand="0" w:noVBand="1"/>
      </w:tblPr>
      <w:tblGrid>
        <w:gridCol w:w="1655"/>
        <w:gridCol w:w="7695"/>
      </w:tblGrid>
      <w:tr w:rsidR="00290052" w:rsidRPr="00545ABB" w14:paraId="45E426EA" w14:textId="77777777" w:rsidTr="000127B1">
        <w:tc>
          <w:tcPr>
            <w:tcW w:w="0" w:type="auto"/>
            <w:shd w:val="clear" w:color="auto" w:fill="F2F2F2" w:themeFill="background1" w:themeFillShade="F2"/>
            <w:hideMark/>
          </w:tcPr>
          <w:p w14:paraId="06AC6CEE" w14:textId="77777777" w:rsidR="00290052" w:rsidRPr="00545ABB" w:rsidRDefault="00290052" w:rsidP="00290052">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الوظيفة</w:t>
            </w:r>
          </w:p>
        </w:tc>
        <w:tc>
          <w:tcPr>
            <w:tcW w:w="0" w:type="auto"/>
            <w:shd w:val="clear" w:color="auto" w:fill="F2F2F2" w:themeFill="background1" w:themeFillShade="F2"/>
            <w:hideMark/>
          </w:tcPr>
          <w:p w14:paraId="1FDB94B2" w14:textId="77777777" w:rsidR="00290052" w:rsidRPr="00545ABB" w:rsidRDefault="00290052" w:rsidP="00290052">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المفهوم والهدف</w:t>
            </w:r>
          </w:p>
        </w:tc>
      </w:tr>
      <w:tr w:rsidR="00290052" w:rsidRPr="00545ABB" w14:paraId="6391A7CE" w14:textId="77777777" w:rsidTr="000127B1">
        <w:tc>
          <w:tcPr>
            <w:tcW w:w="0" w:type="auto"/>
            <w:hideMark/>
          </w:tcPr>
          <w:p w14:paraId="5CB5A5F7"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الحوكمة </w:t>
            </w:r>
            <w:r w:rsidRPr="00545ABB">
              <w:rPr>
                <w:rStyle w:val="Strong"/>
                <w:rFonts w:ascii="Traditional Arabic" w:hAnsi="Traditional Arabic" w:cs="Traditional Arabic"/>
                <w:color w:val="000000" w:themeColor="text1"/>
              </w:rPr>
              <w:t>(Govern)</w:t>
            </w:r>
          </w:p>
        </w:tc>
        <w:tc>
          <w:tcPr>
            <w:tcW w:w="0" w:type="auto"/>
            <w:hideMark/>
          </w:tcPr>
          <w:p w14:paraId="3FACCF18"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تحديد استراتيجية إدارة مخاطر الأمن السيبراني، ووضع السياسات والتوقعات والأدوار والمسؤوليات، وربط إدارة المخاطر السيبرانية بأهداف المؤسسة ومتطلبات أصحاب المصالح والالتزامات القانونية والتنظيمية</w:t>
            </w:r>
            <w:r w:rsidRPr="00545ABB">
              <w:rPr>
                <w:rFonts w:ascii="Traditional Arabic" w:hAnsi="Traditional Arabic" w:cs="Traditional Arabic"/>
                <w:b/>
                <w:bCs/>
                <w:color w:val="000000" w:themeColor="text1"/>
              </w:rPr>
              <w:t>.</w:t>
            </w:r>
          </w:p>
        </w:tc>
      </w:tr>
      <w:tr w:rsidR="00290052" w:rsidRPr="00545ABB" w14:paraId="1D2B957B" w14:textId="77777777" w:rsidTr="000127B1">
        <w:tc>
          <w:tcPr>
            <w:tcW w:w="0" w:type="auto"/>
            <w:hideMark/>
          </w:tcPr>
          <w:p w14:paraId="65DF6CBD"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التحديد </w:t>
            </w:r>
            <w:r w:rsidRPr="00545ABB">
              <w:rPr>
                <w:rStyle w:val="Strong"/>
                <w:rFonts w:ascii="Traditional Arabic" w:hAnsi="Traditional Arabic" w:cs="Traditional Arabic"/>
                <w:color w:val="000000" w:themeColor="text1"/>
              </w:rPr>
              <w:t>(Identify)</w:t>
            </w:r>
          </w:p>
        </w:tc>
        <w:tc>
          <w:tcPr>
            <w:tcW w:w="0" w:type="auto"/>
            <w:hideMark/>
          </w:tcPr>
          <w:p w14:paraId="475B85DF"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فهم الأصول والأنظمة والبيانات والخدمات والمخاطر المرتبطة بها، وتحديد الأولويات اللازمة لإدارة المخاطر وفق أهداف المؤسسة واحتياجاتها</w:t>
            </w:r>
            <w:r w:rsidRPr="00545ABB">
              <w:rPr>
                <w:rFonts w:ascii="Traditional Arabic" w:hAnsi="Traditional Arabic" w:cs="Traditional Arabic"/>
                <w:b/>
                <w:bCs/>
                <w:color w:val="000000" w:themeColor="text1"/>
              </w:rPr>
              <w:t>.</w:t>
            </w:r>
          </w:p>
        </w:tc>
      </w:tr>
      <w:tr w:rsidR="00290052" w:rsidRPr="00545ABB" w14:paraId="1F49E7D9" w14:textId="77777777" w:rsidTr="000127B1">
        <w:tc>
          <w:tcPr>
            <w:tcW w:w="0" w:type="auto"/>
            <w:hideMark/>
          </w:tcPr>
          <w:p w14:paraId="2C123E84"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الحماية </w:t>
            </w:r>
            <w:r w:rsidRPr="00545ABB">
              <w:rPr>
                <w:rStyle w:val="Strong"/>
                <w:rFonts w:ascii="Traditional Arabic" w:hAnsi="Traditional Arabic" w:cs="Traditional Arabic"/>
                <w:color w:val="000000" w:themeColor="text1"/>
              </w:rPr>
              <w:t>(Protect)</w:t>
            </w:r>
          </w:p>
        </w:tc>
        <w:tc>
          <w:tcPr>
            <w:tcW w:w="0" w:type="auto"/>
            <w:hideMark/>
          </w:tcPr>
          <w:p w14:paraId="52F51595"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تطوير وتنفيذ الضمانات والضوابط المناسبة لحماية الأصول والأنظمة والبيانات، وتقليل احتمالية وقوع الحوادث السيبرانية أو الحد من آثارها</w:t>
            </w:r>
            <w:r w:rsidRPr="00545ABB">
              <w:rPr>
                <w:rFonts w:ascii="Traditional Arabic" w:hAnsi="Traditional Arabic" w:cs="Traditional Arabic"/>
                <w:b/>
                <w:bCs/>
                <w:color w:val="000000" w:themeColor="text1"/>
              </w:rPr>
              <w:t>.</w:t>
            </w:r>
          </w:p>
        </w:tc>
      </w:tr>
      <w:tr w:rsidR="00290052" w:rsidRPr="00545ABB" w14:paraId="19B009D7" w14:textId="77777777" w:rsidTr="000127B1">
        <w:tc>
          <w:tcPr>
            <w:tcW w:w="0" w:type="auto"/>
            <w:hideMark/>
          </w:tcPr>
          <w:p w14:paraId="715026D4"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الاكتشاف </w:t>
            </w:r>
            <w:r w:rsidRPr="00545ABB">
              <w:rPr>
                <w:rStyle w:val="Strong"/>
                <w:rFonts w:ascii="Traditional Arabic" w:hAnsi="Traditional Arabic" w:cs="Traditional Arabic"/>
                <w:color w:val="000000" w:themeColor="text1"/>
              </w:rPr>
              <w:t>(Detect)</w:t>
            </w:r>
          </w:p>
        </w:tc>
        <w:tc>
          <w:tcPr>
            <w:tcW w:w="0" w:type="auto"/>
            <w:hideMark/>
          </w:tcPr>
          <w:p w14:paraId="2AEE794B"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تطوير وتنفيذ الأنشطة والقدرات التي تمكن المؤسسة من اكتشاف الأحداث والأنشطة السيبرانية غير الطبيعية وتحليلها في الوقت المناسب</w:t>
            </w:r>
            <w:r w:rsidRPr="00545ABB">
              <w:rPr>
                <w:rFonts w:ascii="Traditional Arabic" w:hAnsi="Traditional Arabic" w:cs="Traditional Arabic"/>
                <w:b/>
                <w:bCs/>
                <w:color w:val="000000" w:themeColor="text1"/>
              </w:rPr>
              <w:t>.</w:t>
            </w:r>
          </w:p>
        </w:tc>
      </w:tr>
      <w:tr w:rsidR="00290052" w:rsidRPr="00545ABB" w14:paraId="7B3F41F2" w14:textId="77777777" w:rsidTr="000127B1">
        <w:tc>
          <w:tcPr>
            <w:tcW w:w="0" w:type="auto"/>
            <w:hideMark/>
          </w:tcPr>
          <w:p w14:paraId="11763D8C"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lastRenderedPageBreak/>
              <w:t xml:space="preserve">الاستجابة </w:t>
            </w:r>
            <w:r w:rsidRPr="00545ABB">
              <w:rPr>
                <w:rStyle w:val="Strong"/>
                <w:rFonts w:ascii="Traditional Arabic" w:hAnsi="Traditional Arabic" w:cs="Traditional Arabic"/>
                <w:color w:val="000000" w:themeColor="text1"/>
              </w:rPr>
              <w:t>(Respond)</w:t>
            </w:r>
          </w:p>
        </w:tc>
        <w:tc>
          <w:tcPr>
            <w:tcW w:w="0" w:type="auto"/>
            <w:hideMark/>
          </w:tcPr>
          <w:p w14:paraId="0023DF6E"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اتخاذ الإجراءات المناسبة للتعامل مع الحوادث السيبرانية المكتشفة، بما يشمل الإدارة والتحليل والاحتواء والتواصل والتخفيف من آثار الحادث</w:t>
            </w:r>
            <w:r w:rsidRPr="00545ABB">
              <w:rPr>
                <w:rFonts w:ascii="Traditional Arabic" w:hAnsi="Traditional Arabic" w:cs="Traditional Arabic"/>
                <w:b/>
                <w:bCs/>
                <w:color w:val="000000" w:themeColor="text1"/>
              </w:rPr>
              <w:t>.</w:t>
            </w:r>
          </w:p>
        </w:tc>
      </w:tr>
      <w:tr w:rsidR="00290052" w:rsidRPr="00545ABB" w14:paraId="1D0058CE" w14:textId="77777777" w:rsidTr="000127B1">
        <w:tc>
          <w:tcPr>
            <w:tcW w:w="0" w:type="auto"/>
            <w:hideMark/>
          </w:tcPr>
          <w:p w14:paraId="44D1C997"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الاستعادة </w:t>
            </w:r>
            <w:r w:rsidRPr="00545ABB">
              <w:rPr>
                <w:rStyle w:val="Strong"/>
                <w:rFonts w:ascii="Traditional Arabic" w:hAnsi="Traditional Arabic" w:cs="Traditional Arabic"/>
                <w:color w:val="000000" w:themeColor="text1"/>
              </w:rPr>
              <w:t>(Recover)</w:t>
            </w:r>
          </w:p>
        </w:tc>
        <w:tc>
          <w:tcPr>
            <w:tcW w:w="0" w:type="auto"/>
            <w:hideMark/>
          </w:tcPr>
          <w:p w14:paraId="3F2F84A4" w14:textId="77777777" w:rsidR="00290052" w:rsidRPr="00545ABB" w:rsidRDefault="00290052" w:rsidP="00290052">
            <w:pPr>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استعادة الأنظمة والخدمات والقدرات المتأثرة بالحوادث السيبرانية، وتعزيز المرونة واستمرارية الأعمال، والاستفادة من الدروس المستخلصة لتحسين القدرة المستقبلية على التعافي</w:t>
            </w:r>
            <w:r w:rsidRPr="00545ABB">
              <w:rPr>
                <w:rFonts w:ascii="Traditional Arabic" w:hAnsi="Traditional Arabic" w:cs="Traditional Arabic"/>
                <w:b/>
                <w:bCs/>
                <w:color w:val="000000" w:themeColor="text1"/>
              </w:rPr>
              <w:t>.</w:t>
            </w:r>
          </w:p>
        </w:tc>
      </w:tr>
    </w:tbl>
    <w:p w14:paraId="315B866B"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المصدر: إعداد الباحث بالاعتماد على </w:t>
      </w:r>
      <w:r w:rsidRPr="00545ABB">
        <w:rPr>
          <w:rStyle w:val="Strong"/>
          <w:rFonts w:ascii="Traditional Arabic" w:hAnsi="Traditional Arabic" w:cs="Traditional Arabic"/>
          <w:color w:val="000000" w:themeColor="text1"/>
        </w:rPr>
        <w:t>NIST (2024).</w:t>
      </w:r>
    </w:p>
    <w:p w14:paraId="1F407776"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وتمثل الوظائف الست السابقة منظورًا متكاملًا لدورة حياة إدارة مخاطر الأمن السيبراني، حيث توجه وظيفة الحوكمة بقية الوظائف من خلال تحديد الاستراتيجية والسياسات والأدوار والمسؤوليات، في حين تساعد وظيفة التحديد على فهم المخاطر والأصول ذات الأولوية، وتعمل وظيفة الحماية على تقليل احتمالية وقوع الحوادث أو آثارها، بينما تركز وظيفة الاكتشاف على التعرف على الأحداث السيبرانية، ثم تأتي الاستجابة لمعالجة الحوادث، والاستعادة لإعادة الخدمات والقدرات المتأثرة إلى حالتها المناسبة</w:t>
      </w:r>
      <w:r w:rsidRPr="00545ABB">
        <w:rPr>
          <w:rFonts w:ascii="Traditional Arabic" w:hAnsi="Traditional Arabic" w:cs="Traditional Arabic"/>
          <w:b/>
          <w:bCs/>
          <w:color w:val="000000" w:themeColor="text1"/>
        </w:rPr>
        <w:t>.</w:t>
      </w:r>
    </w:p>
    <w:p w14:paraId="0733B360" w14:textId="20525297" w:rsidR="00290052" w:rsidRPr="00545ABB" w:rsidRDefault="00290052" w:rsidP="000127B1">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وتكتسب إضافة وظيفة </w:t>
      </w:r>
      <w:r w:rsidRPr="00545ABB">
        <w:rPr>
          <w:rStyle w:val="Strong"/>
          <w:rFonts w:ascii="Traditional Arabic" w:hAnsi="Traditional Arabic" w:cs="Traditional Arabic"/>
          <w:color w:val="000000" w:themeColor="text1"/>
          <w:rtl/>
        </w:rPr>
        <w:t xml:space="preserve">الحوكمة </w:t>
      </w:r>
      <w:r w:rsidRPr="00545ABB">
        <w:rPr>
          <w:rStyle w:val="Strong"/>
          <w:rFonts w:ascii="Traditional Arabic" w:hAnsi="Traditional Arabic" w:cs="Traditional Arabic"/>
          <w:color w:val="000000" w:themeColor="text1"/>
        </w:rPr>
        <w:t>(Govern)</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في الإصدار</w:t>
      </w:r>
      <w:r w:rsidRPr="00545ABB">
        <w:rPr>
          <w:rFonts w:ascii="Traditional Arabic" w:hAnsi="Traditional Arabic" w:cs="Traditional Arabic"/>
          <w:b/>
          <w:bCs/>
          <w:color w:val="000000" w:themeColor="text1"/>
        </w:rPr>
        <w:t xml:space="preserve"> NIST CSF 2.0 </w:t>
      </w:r>
      <w:r w:rsidRPr="00545ABB">
        <w:rPr>
          <w:rFonts w:ascii="Traditional Arabic" w:hAnsi="Traditional Arabic" w:cs="Traditional Arabic"/>
          <w:b/>
          <w:bCs/>
          <w:color w:val="000000" w:themeColor="text1"/>
          <w:rtl/>
        </w:rPr>
        <w:t>أهمية خاصة في سياق هذه الدراسة، لأنها تعكس تحولًا مهمًا في مفهوم الأمن السيبراني من كونه شأنًا تقنيًا يتركز داخل إدارات تقنية المعلومات إلى كونه جزءًا من الحوكمة المؤسسية وإدارة المخاطر على مستوى المؤسسة ككل. وقد أوضح</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أن الإصدار 2.0 أضاف تركيزًا أكبر على الحوكمة وإدارة مخاطر سلسلة الإمداد، ووسع نطاق تطبيق الإطار ليشمل مختلف المؤسسات</w:t>
      </w:r>
      <w:r w:rsidRPr="00545ABB">
        <w:rPr>
          <w:rFonts w:ascii="Traditional Arabic" w:hAnsi="Traditional Arabic" w:cs="Traditional Arabic"/>
          <w:b/>
          <w:bCs/>
          <w:color w:val="000000" w:themeColor="text1"/>
        </w:rPr>
        <w:t>.</w:t>
      </w:r>
      <w:r w:rsidR="000127B1" w:rsidRPr="00545ABB">
        <w:rPr>
          <w:rFonts w:ascii="Traditional Arabic" w:hAnsi="Traditional Arabic" w:cs="Traditional Arabic"/>
          <w:b/>
          <w:bCs/>
          <w:color w:val="000000" w:themeColor="text1"/>
        </w:rPr>
        <w:t xml:space="preserve"> </w:t>
      </w:r>
    </w:p>
    <w:p w14:paraId="6575249E"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وتساعد وظيفة الحوكمة على تحديد الأدوار والمسؤوليات، ومتابعة الالتزام بالسياسات والمتطلبات التنظيمية، وربط المخاطر السيبرانية بالأهداف الاستراتيجية، وتحسين عملية اتخاذ القرار وتحديد مستوى المخاطر المقبول لدى المؤسسة</w:t>
      </w:r>
      <w:r w:rsidRPr="00545ABB">
        <w:rPr>
          <w:rFonts w:ascii="Traditional Arabic" w:hAnsi="Traditional Arabic" w:cs="Traditional Arabic"/>
          <w:b/>
          <w:bCs/>
          <w:color w:val="000000" w:themeColor="text1"/>
        </w:rPr>
        <w:t>.</w:t>
      </w:r>
    </w:p>
    <w:p w14:paraId="5A0AAAD2"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لشركات الأمن السيبراني الناشئة، يوفر إطار</w:t>
      </w:r>
      <w:r w:rsidRPr="00545ABB">
        <w:rPr>
          <w:rFonts w:ascii="Traditional Arabic" w:hAnsi="Traditional Arabic" w:cs="Traditional Arabic"/>
          <w:b/>
          <w:bCs/>
          <w:color w:val="000000" w:themeColor="text1"/>
        </w:rPr>
        <w:t xml:space="preserve"> NIST CSF 2.0 </w:t>
      </w:r>
      <w:r w:rsidRPr="00545ABB">
        <w:rPr>
          <w:rFonts w:ascii="Traditional Arabic" w:hAnsi="Traditional Arabic" w:cs="Traditional Arabic"/>
          <w:b/>
          <w:bCs/>
          <w:color w:val="000000" w:themeColor="text1"/>
          <w:rtl/>
        </w:rPr>
        <w:t>مرجعية مرنة يمكن الاستفادة منها في بناء ممارسات الحوكمة وإدارة المخاطر بصورة تدريجية تتناسب مع حجم الشركة ومرحلة نموها. كما يمكن أن يساعد على تحديد الأولويات، وحماية الأصول والبيانات، ورفع الجاهزية للحوادث، وتعزيز المرونة التشغيلية واستمرارية الأعمال</w:t>
      </w:r>
      <w:r w:rsidRPr="00545ABB">
        <w:rPr>
          <w:rFonts w:ascii="Traditional Arabic" w:hAnsi="Traditional Arabic" w:cs="Traditional Arabic"/>
          <w:b/>
          <w:bCs/>
          <w:color w:val="000000" w:themeColor="text1"/>
        </w:rPr>
        <w:t>.</w:t>
      </w:r>
    </w:p>
    <w:p w14:paraId="664829EE" w14:textId="77777777" w:rsidR="00290052" w:rsidRPr="00545ABB" w:rsidRDefault="00290052" w:rsidP="00290052">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ويرى الباحث أن تطور إطار</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 xml:space="preserve">من نموذج يعتمد على خمس وظائف رئيسة إلى نموذج يتضمن </w:t>
      </w:r>
      <w:r w:rsidRPr="00545ABB">
        <w:rPr>
          <w:rStyle w:val="Strong"/>
          <w:rFonts w:ascii="Traditional Arabic" w:hAnsi="Traditional Arabic" w:cs="Traditional Arabic"/>
          <w:color w:val="000000" w:themeColor="text1"/>
          <w:rtl/>
        </w:rPr>
        <w:t>الحوكمة بوصفها الوظيفة السادسة</w:t>
      </w:r>
      <w:r w:rsidRPr="00545ABB">
        <w:rPr>
          <w:rFonts w:ascii="Traditional Arabic" w:hAnsi="Traditional Arabic" w:cs="Traditional Arabic"/>
          <w:b/>
          <w:bCs/>
          <w:color w:val="000000" w:themeColor="text1"/>
          <w:rtl/>
        </w:rPr>
        <w:t xml:space="preserve"> يعكس التطور في النظرة إلى الأمن السيبراني عالميًا، حيث أصبحت إدارة المخاطر السيبرانية مرتبطة بصورة مباشرة بالإدارة العليا والاستراتيجية والمسؤوليات </w:t>
      </w:r>
      <w:r w:rsidRPr="00545ABB">
        <w:rPr>
          <w:rFonts w:ascii="Traditional Arabic" w:hAnsi="Traditional Arabic" w:cs="Traditional Arabic"/>
          <w:b/>
          <w:bCs/>
          <w:color w:val="000000" w:themeColor="text1"/>
          <w:rtl/>
        </w:rPr>
        <w:lastRenderedPageBreak/>
        <w:t>المؤسسية. ومن ثم، فإن</w:t>
      </w:r>
      <w:r w:rsidRPr="00545ABB">
        <w:rPr>
          <w:rFonts w:ascii="Traditional Arabic" w:hAnsi="Traditional Arabic" w:cs="Traditional Arabic"/>
          <w:b/>
          <w:bCs/>
          <w:color w:val="000000" w:themeColor="text1"/>
        </w:rPr>
        <w:t xml:space="preserve"> NIST CSF 2.0 </w:t>
      </w:r>
      <w:r w:rsidRPr="00545ABB">
        <w:rPr>
          <w:rFonts w:ascii="Traditional Arabic" w:hAnsi="Traditional Arabic" w:cs="Traditional Arabic"/>
          <w:b/>
          <w:bCs/>
          <w:color w:val="000000" w:themeColor="text1"/>
          <w:rtl/>
        </w:rPr>
        <w:t>يمثل مرجعية مهمة يمكن الاستفادة منها في دعم شركات الأمن السيبراني الناشئة في بناء ممارسات حوكمة أكثر نضجًا، وتحقيق التوازن بين إدارة المخاطر والنمو والاستدامة</w:t>
      </w:r>
      <w:r w:rsidRPr="00545ABB">
        <w:rPr>
          <w:rFonts w:ascii="Traditional Arabic" w:hAnsi="Traditional Arabic" w:cs="Traditional Arabic"/>
          <w:b/>
          <w:bCs/>
          <w:color w:val="000000" w:themeColor="text1"/>
        </w:rPr>
        <w:t>.</w:t>
      </w:r>
    </w:p>
    <w:p w14:paraId="797D8206" w14:textId="091ACF33" w:rsidR="00290052" w:rsidRPr="00545ABB" w:rsidRDefault="00290052" w:rsidP="004B0FDB">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المصدر العام</w:t>
      </w:r>
      <w:r w:rsidRPr="00545ABB">
        <w:rPr>
          <w:rStyle w:val="Strong"/>
          <w:rFonts w:ascii="Traditional Arabic" w:hAnsi="Traditional Arabic" w:cs="Traditional Arabic"/>
          <w:color w:val="000000" w:themeColor="text1"/>
        </w:rPr>
        <w:t xml:space="preserve">: NIST </w:t>
      </w:r>
      <w:r w:rsidR="004B0FDB" w:rsidRPr="00545ABB">
        <w:rPr>
          <w:rStyle w:val="Strong"/>
          <w:rFonts w:ascii="Traditional Arabic" w:hAnsi="Traditional Arabic" w:cs="Traditional Arabic" w:hint="cs"/>
          <w:color w:val="000000" w:themeColor="text1"/>
          <w:rtl/>
        </w:rPr>
        <w:t>(</w:t>
      </w:r>
      <w:r w:rsidRPr="00545ABB">
        <w:rPr>
          <w:rStyle w:val="Strong"/>
          <w:rFonts w:ascii="Traditional Arabic" w:hAnsi="Traditional Arabic" w:cs="Traditional Arabic"/>
          <w:color w:val="000000" w:themeColor="text1"/>
        </w:rPr>
        <w:t>2018</w:t>
      </w:r>
      <w:r w:rsidRPr="00545ABB">
        <w:rPr>
          <w:rStyle w:val="Strong"/>
          <w:rFonts w:ascii="Traditional Arabic" w:hAnsi="Traditional Arabic" w:cs="Traditional Arabic"/>
          <w:color w:val="000000" w:themeColor="text1"/>
          <w:rtl/>
        </w:rPr>
        <w:t>، 2024</w:t>
      </w:r>
      <w:r w:rsidR="000127B1" w:rsidRPr="00545ABB">
        <w:rPr>
          <w:rStyle w:val="Strong"/>
          <w:rFonts w:ascii="Traditional Arabic" w:hAnsi="Traditional Arabic" w:cs="Traditional Arabic" w:hint="cs"/>
          <w:color w:val="000000" w:themeColor="text1"/>
          <w:rtl/>
        </w:rPr>
        <w:t>)</w:t>
      </w:r>
      <w:r w:rsidRPr="00545ABB">
        <w:rPr>
          <w:rStyle w:val="Strong"/>
          <w:rFonts w:ascii="Traditional Arabic" w:hAnsi="Traditional Arabic" w:cs="Traditional Arabic"/>
          <w:color w:val="000000" w:themeColor="text1"/>
          <w:rtl/>
        </w:rPr>
        <w:t xml:space="preserve">، والهلسة </w:t>
      </w:r>
      <w:r w:rsidRPr="00545ABB">
        <w:rPr>
          <w:rStyle w:val="Strong"/>
          <w:rFonts w:ascii="Traditional Arabic" w:hAnsi="Traditional Arabic" w:cs="Traditional Arabic"/>
          <w:color w:val="000000" w:themeColor="text1"/>
        </w:rPr>
        <w:t>(2022).</w:t>
      </w:r>
    </w:p>
    <w:p w14:paraId="61106475" w14:textId="77777777" w:rsidR="004B0FDB" w:rsidRPr="00545ABB" w:rsidRDefault="004B0FDB" w:rsidP="004B0FDB">
      <w:pPr>
        <w:pStyle w:val="Heading2"/>
        <w:bidi/>
        <w:spacing w:line="360" w:lineRule="auto"/>
        <w:rPr>
          <w:rFonts w:ascii="Traditional Arabic" w:hAnsi="Traditional Arabic" w:cs="Traditional Arabic"/>
          <w:bCs/>
          <w:color w:val="000000" w:themeColor="text1"/>
        </w:rPr>
      </w:pPr>
    </w:p>
    <w:p w14:paraId="071B76D1" w14:textId="5699B061" w:rsidR="004B0FDB" w:rsidRPr="00545ABB" w:rsidRDefault="004B0FDB" w:rsidP="004B0FDB">
      <w:pPr>
        <w:pStyle w:val="Heading2"/>
        <w:bidi/>
        <w:spacing w:line="360" w:lineRule="auto"/>
        <w:rPr>
          <w:rFonts w:ascii="Traditional Arabic" w:hAnsi="Traditional Arabic" w:cs="Traditional Arabic"/>
          <w:bCs/>
          <w:color w:val="000000" w:themeColor="text1"/>
        </w:rPr>
      </w:pPr>
      <w:bookmarkStart w:id="67" w:name="_Toc242325228"/>
      <w:r w:rsidRPr="00545ABB">
        <w:rPr>
          <w:rFonts w:ascii="Traditional Arabic" w:hAnsi="Traditional Arabic" w:cs="Traditional Arabic"/>
          <w:bCs/>
          <w:color w:val="000000" w:themeColor="text1"/>
          <w:rtl/>
        </w:rPr>
        <w:t>الخلفية النظرية لعلاقة الحوكمة بالأمن السيبراني</w:t>
      </w:r>
      <w:bookmarkEnd w:id="67"/>
    </w:p>
    <w:p w14:paraId="43A9F370" w14:textId="77777777" w:rsidR="004B0FDB" w:rsidRPr="00545ABB" w:rsidRDefault="004B0FDB" w:rsidP="004B0FDB">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أصبح الأمن السيبراني أحد المكونات الأساسية في بيئة الأعمال المعاصرة، نتيجة التوسع المتسارع في استخدام التقنيات الرقمية، وزيادة الاعتماد على الأنظمة والشبكات والمنصات الإلكترونية في تنفيذ العمليات وتقديم الخدمات وإدارة البيانات. ولم يعد الأمن السيبراني مقتصرًا على حماية أجهزة الحاسب الآلي والشبكات فقط، وإنما أصبح يشمل منظومة متكاملة من السياسات والإجراءات والتقنيات والموارد البشرية التي تهدف إلى حماية المعلومات والأنظمة والخدمات الرقمية من التهديدات والمخاطر السيبرانية، سواء كانت ناتجة عن أعمال متعمدة أو أخطاء غير مقصودة</w:t>
      </w:r>
      <w:r w:rsidRPr="00545ABB">
        <w:rPr>
          <w:rFonts w:ascii="Traditional Arabic" w:hAnsi="Traditional Arabic" w:cs="Traditional Arabic"/>
          <w:bCs/>
          <w:color w:val="000000" w:themeColor="text1"/>
        </w:rPr>
        <w:t>.</w:t>
      </w:r>
    </w:p>
    <w:p w14:paraId="69ECDC69" w14:textId="77777777" w:rsidR="004B0FDB" w:rsidRPr="00545ABB" w:rsidRDefault="004B0FDB" w:rsidP="004B0FDB">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ويشمل الأمن السيبراني حماية سرية المعلومات وسلامتها وتوافرها، إلى جانب حماية الأنظمة والشبكات والتطبيقات والخدمات الرقمية من الوصول غير المصرح به، أو التغيير، أو التعطيل، أو الإتلاف، بما يضمن المحافظة على استمرارية الأعمال وتقليل الآثار التشغيلية والمالية والتنظيمية التي قد تنتج عن الحوادث السيبرانية</w:t>
      </w:r>
      <w:r w:rsidRPr="00545ABB">
        <w:rPr>
          <w:rFonts w:ascii="Traditional Arabic" w:hAnsi="Traditional Arabic" w:cs="Traditional Arabic"/>
          <w:bCs/>
          <w:color w:val="000000" w:themeColor="text1"/>
        </w:rPr>
        <w:t>.</w:t>
      </w:r>
    </w:p>
    <w:p w14:paraId="3ED0A859" w14:textId="77777777" w:rsidR="004B0FDB" w:rsidRPr="00545ABB" w:rsidRDefault="004B0FDB" w:rsidP="004B0FDB">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ومع تزايد الاعتماد على التحول الرقمي، أصبحت المخاطر السيبرانية من المخاطر المؤسسية التي يمكن أن تؤثر بصورة مباشرة في قدرة المنظمة على تحقيق أهدافها واستمرارية عملياتها وسمعتها وعلاقاتها مع العملاء وأصحاب المصالح. ومن ثم، لم يعد التعامل مع الأمن السيبراني مسؤولية فنية تقتصر على إدارات تقنية المعلومات أو فرق الأمن السيبراني، وإنما أصبح مسؤولية مؤسسية تتطلب مشاركة مجلس الإدارة والإدارة التنفيذية والوظائف الرقابية والتشغيلية المختلفة</w:t>
      </w:r>
      <w:r w:rsidRPr="00545ABB">
        <w:rPr>
          <w:rFonts w:ascii="Traditional Arabic" w:hAnsi="Traditional Arabic" w:cs="Traditional Arabic"/>
          <w:bCs/>
          <w:color w:val="000000" w:themeColor="text1"/>
        </w:rPr>
        <w:t>.</w:t>
      </w:r>
    </w:p>
    <w:p w14:paraId="65D73000" w14:textId="77777777" w:rsidR="004B0FDB" w:rsidRPr="00545ABB" w:rsidRDefault="004B0FDB" w:rsidP="004B0FDB">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 xml:space="preserve">ومن هنا تظهر العلاقة الوثيقة بين </w:t>
      </w:r>
      <w:r w:rsidRPr="00545ABB">
        <w:rPr>
          <w:rStyle w:val="Strong"/>
          <w:rFonts w:ascii="Traditional Arabic" w:hAnsi="Traditional Arabic" w:cs="Traditional Arabic"/>
          <w:bCs w:val="0"/>
          <w:color w:val="000000" w:themeColor="text1"/>
          <w:rtl/>
        </w:rPr>
        <w:t>الحوكمة والأمن السيبراني</w:t>
      </w:r>
      <w:r w:rsidRPr="00545ABB">
        <w:rPr>
          <w:rFonts w:ascii="Traditional Arabic" w:hAnsi="Traditional Arabic" w:cs="Traditional Arabic"/>
          <w:bCs/>
          <w:color w:val="000000" w:themeColor="text1"/>
          <w:rtl/>
        </w:rPr>
        <w:t>؛ إذ توفر الحوكمة الإطار الذي يتم من خلاله تحديد التوجهات الاستراتيجية، وتوزيع الأدوار والمسؤوليات والصلاحيات، واعتماد السياسات، وإدارة المخاطر، ومراقبة الأداء، ومتابعة الالتزام. وفي المقابل، يمثل الأمن السيبراني أحد المجالات التي تتطلب تطبيق هذه المبادئ بصورة فعالة لضمان حماية الأصول الرقمية وتحقيق التوازن بين متطلبات الحماية وأهداف الأعمال</w:t>
      </w:r>
      <w:r w:rsidRPr="00545ABB">
        <w:rPr>
          <w:rFonts w:ascii="Traditional Arabic" w:hAnsi="Traditional Arabic" w:cs="Traditional Arabic"/>
          <w:bCs/>
          <w:color w:val="000000" w:themeColor="text1"/>
        </w:rPr>
        <w:t>.</w:t>
      </w:r>
    </w:p>
    <w:p w14:paraId="0B596FC2" w14:textId="77777777" w:rsidR="004B0FDB" w:rsidRPr="00545ABB" w:rsidRDefault="004B0FDB" w:rsidP="004B0FDB">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lastRenderedPageBreak/>
        <w:t>كما تساعد الحوكمة الفعالة للأمن السيبراني على انتقال المؤسسة من المعالجة الفنية وردود الأفعال بعد وقوع الحوادث إلى نهج استباقي يقوم على تحديد المخاطر وتقييمها، وتحديد مستوى المخاطر المقبول، وتخصيص الموارد، ومراقبة فعالية الضوابط، وقياس مستوى الأداء والنضج، والتحسين المستمر لممارسات الأمن السيبراني</w:t>
      </w:r>
      <w:r w:rsidRPr="00545ABB">
        <w:rPr>
          <w:rFonts w:ascii="Traditional Arabic" w:hAnsi="Traditional Arabic" w:cs="Traditional Arabic"/>
          <w:bCs/>
          <w:color w:val="000000" w:themeColor="text1"/>
        </w:rPr>
        <w:t>.</w:t>
      </w:r>
    </w:p>
    <w:p w14:paraId="01210D58" w14:textId="77777777" w:rsidR="004B0FDB" w:rsidRPr="00545ABB" w:rsidRDefault="004B0FDB" w:rsidP="004B0FDB">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وتكتسب هذه العلاقة أهمية خاصة بالنسبة لشركات الأمن السيبراني الناشئة؛ إذ تعتمد هذه الشركات بصورة كبيرة على المعرفة والتقنية والكفاءات المتخصصة، وتعمل في بيئة تتسم بسرعة تطور التهديدات والمتطلبات التنظيمية واحتياجات العملاء. ومن ثم، فإن وجود حوكمة فعالة يساعدها على تنظيم عملياتها، وإدارة المخاطر، وتحديد المسؤوليات، وتحسين استخدام مواردها، وتعزيز ثقة العملاء والمستثمرين وأصحاب المصالح، بما يدعم فرص نموها واستدامتها</w:t>
      </w:r>
      <w:r w:rsidRPr="00545ABB">
        <w:rPr>
          <w:rFonts w:ascii="Traditional Arabic" w:hAnsi="Traditional Arabic" w:cs="Traditional Arabic"/>
          <w:bCs/>
          <w:color w:val="000000" w:themeColor="text1"/>
        </w:rPr>
        <w:t>.</w:t>
      </w:r>
    </w:p>
    <w:p w14:paraId="6C098E5B" w14:textId="77777777" w:rsidR="004B0FDB" w:rsidRPr="00545ABB" w:rsidRDefault="004B0FDB" w:rsidP="004B0FDB">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 xml:space="preserve">وانطلاقًا من ذلك، يتناول هذا المبحث الخلفية النظرية للأمن السيبراني من خلال عرض </w:t>
      </w:r>
      <w:r w:rsidRPr="00545ABB">
        <w:rPr>
          <w:rStyle w:val="Strong"/>
          <w:rFonts w:ascii="Traditional Arabic" w:hAnsi="Traditional Arabic" w:cs="Traditional Arabic"/>
          <w:bCs w:val="0"/>
          <w:color w:val="000000" w:themeColor="text1"/>
          <w:rtl/>
        </w:rPr>
        <w:t>مفهومه، ونشأته وتطوره، وأهميته، وخصائصه وأبعاده ومكوناته</w:t>
      </w:r>
      <w:r w:rsidRPr="00545ABB">
        <w:rPr>
          <w:rFonts w:ascii="Traditional Arabic" w:hAnsi="Traditional Arabic" w:cs="Traditional Arabic"/>
          <w:bCs/>
          <w:color w:val="000000" w:themeColor="text1"/>
          <w:rtl/>
        </w:rPr>
        <w:t>، إلى جانب توضيح علاقته بالحوكمة ودورها في دعم إدارة المخاطر وتعزيز الحماية والاستدامة المؤسسية</w:t>
      </w:r>
      <w:r w:rsidRPr="00545ABB">
        <w:rPr>
          <w:rFonts w:ascii="Traditional Arabic" w:hAnsi="Traditional Arabic" w:cs="Traditional Arabic"/>
          <w:bCs/>
          <w:color w:val="000000" w:themeColor="text1"/>
        </w:rPr>
        <w:t>.</w:t>
      </w:r>
    </w:p>
    <w:p w14:paraId="2F0282EE" w14:textId="77777777" w:rsidR="007070B0" w:rsidRPr="00545ABB" w:rsidRDefault="007070B0" w:rsidP="007070B0">
      <w:pPr>
        <w:spacing w:line="360" w:lineRule="auto"/>
        <w:rPr>
          <w:rFonts w:ascii="Traditional Arabic" w:hAnsi="Traditional Arabic" w:cs="Traditional Arabic"/>
          <w:b/>
          <w:bCs/>
          <w:color w:val="000000" w:themeColor="text1"/>
          <w:sz w:val="32"/>
          <w:szCs w:val="32"/>
        </w:rPr>
      </w:pPr>
      <w:r w:rsidRPr="00545ABB">
        <w:rPr>
          <w:rFonts w:ascii="Traditional Arabic" w:hAnsi="Traditional Arabic" w:cs="Traditional Arabic"/>
          <w:b/>
          <w:bCs/>
          <w:color w:val="000000" w:themeColor="text1"/>
          <w:sz w:val="32"/>
          <w:szCs w:val="32"/>
          <w:rtl/>
        </w:rPr>
        <w:t>مفهوم الأمن السيبراني</w:t>
      </w:r>
    </w:p>
    <w:p w14:paraId="0E65AEF1" w14:textId="77777777"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تعددت تعريفات الأمن السيبراني بتعدد الجهات والباحثين واختلاف الزوايا التي تناولت هذا المفهوم؛ فبعض التعريفات ركز على الجانب التقني المتعلق بحماية الأنظمة والشبكات والمعلومات، في حين توسعت تعريفات أخرى لتشمل الجوانب التنظيمية والإدارية وإدارة المخاطر واستمرارية الخدمات الرقمية</w:t>
      </w:r>
      <w:r w:rsidRPr="00545ABB">
        <w:rPr>
          <w:rFonts w:ascii="Traditional Arabic" w:hAnsi="Traditional Arabic" w:cs="Traditional Arabic"/>
          <w:b/>
          <w:bCs/>
          <w:color w:val="000000" w:themeColor="text1"/>
          <w:sz w:val="24"/>
          <w:szCs w:val="24"/>
        </w:rPr>
        <w:t>.</w:t>
      </w:r>
    </w:p>
    <w:p w14:paraId="6DF51C27" w14:textId="3C29919B"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وقد عرّف </w:t>
      </w:r>
      <w:r w:rsidRPr="00545ABB">
        <w:rPr>
          <w:rFonts w:ascii="Traditional Arabic" w:hAnsi="Traditional Arabic" w:cs="Traditional Arabic"/>
          <w:b/>
          <w:bCs/>
          <w:color w:val="000000" w:themeColor="text1"/>
          <w:sz w:val="24"/>
          <w:szCs w:val="24"/>
        </w:rPr>
        <w:t xml:space="preserve">Lehto </w:t>
      </w:r>
      <w:r w:rsidRPr="00545ABB">
        <w:rPr>
          <w:rFonts w:ascii="Traditional Arabic" w:hAnsi="Traditional Arabic" w:cs="Traditional Arabic"/>
          <w:b/>
          <w:bCs/>
          <w:color w:val="000000" w:themeColor="text1"/>
          <w:sz w:val="24"/>
          <w:szCs w:val="24"/>
          <w:rtl/>
        </w:rPr>
        <w:t>و</w:t>
      </w:r>
      <w:r w:rsidRPr="00545ABB">
        <w:rPr>
          <w:rFonts w:ascii="Traditional Arabic" w:hAnsi="Traditional Arabic" w:cs="Traditional Arabic"/>
          <w:b/>
          <w:bCs/>
          <w:color w:val="000000" w:themeColor="text1"/>
          <w:sz w:val="24"/>
          <w:szCs w:val="24"/>
        </w:rPr>
        <w:t xml:space="preserve">Neittaanmäki </w:t>
      </w:r>
      <w:r w:rsidRPr="00545ABB">
        <w:rPr>
          <w:rFonts w:ascii="Traditional Arabic" w:hAnsi="Traditional Arabic" w:cs="Traditional Arabic" w:hint="cs"/>
          <w:b/>
          <w:bCs/>
          <w:color w:val="000000" w:themeColor="text1"/>
          <w:sz w:val="24"/>
          <w:szCs w:val="24"/>
          <w:rtl/>
        </w:rPr>
        <w:t xml:space="preserve"> </w:t>
      </w:r>
      <w:r w:rsidRPr="00545ABB">
        <w:rPr>
          <w:rFonts w:ascii="Traditional Arabic" w:hAnsi="Traditional Arabic" w:cs="Traditional Arabic"/>
          <w:b/>
          <w:bCs/>
          <w:color w:val="000000" w:themeColor="text1"/>
          <w:sz w:val="24"/>
          <w:szCs w:val="24"/>
          <w:rtl/>
        </w:rPr>
        <w:t xml:space="preserve">الأمن السيبراني بأنه مجموعة من الإجراءات والتدابير التي يتم اتخاذها للدفاع ضد الهجمات الإلكترونية وما قد يترتب عليها من آثار ونتائج، إلى جانب اتخاذ التدابير الأمنية اللازمة لحماية المعلومات والأنظمة من تلك الهجمات </w:t>
      </w:r>
      <w:r w:rsidRPr="00545ABB">
        <w:rPr>
          <w:rFonts w:ascii="Traditional Arabic" w:hAnsi="Traditional Arabic" w:cs="Traditional Arabic"/>
          <w:b/>
          <w:bCs/>
          <w:color w:val="000000" w:themeColor="text1"/>
          <w:sz w:val="24"/>
          <w:szCs w:val="24"/>
        </w:rPr>
        <w:t>(Lehto &amp; Neittaanmäki, 2015).</w:t>
      </w:r>
    </w:p>
    <w:p w14:paraId="6F4604BE" w14:textId="0F91FDEB"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كما عُرّف الأمن السيبراني في سياق المؤسسات الحكومية والعسكرية بأنه مجموعة من الإجراءات التنظيمية والفنية التي تهدف إلى حماية المعلومات بمختلف أشكالها المادية والإلكترونية من الجرائم والهجمات الإلكترونية، بما في ذلك محاولات التخريب الرقمي وسرقة البيانات والتجسس والإضرار بالجهات الاقتصادية والحكومية (العمري، 2020، ص</w:t>
      </w:r>
      <w:r w:rsidRPr="00545ABB">
        <w:rPr>
          <w:rFonts w:ascii="Traditional Arabic" w:hAnsi="Traditional Arabic" w:cs="Traditional Arabic"/>
          <w:b/>
          <w:bCs/>
          <w:color w:val="000000" w:themeColor="text1"/>
          <w:sz w:val="24"/>
          <w:szCs w:val="24"/>
        </w:rPr>
        <w:t>. 18</w:t>
      </w:r>
      <w:r w:rsidRPr="00545ABB">
        <w:rPr>
          <w:rFonts w:ascii="Traditional Arabic" w:hAnsi="Traditional Arabic" w:cs="Traditional Arabic" w:hint="cs"/>
          <w:b/>
          <w:bCs/>
          <w:color w:val="000000" w:themeColor="text1"/>
          <w:sz w:val="24"/>
          <w:szCs w:val="24"/>
          <w:rtl/>
        </w:rPr>
        <w:t>)</w:t>
      </w:r>
      <w:r w:rsidRPr="00545ABB">
        <w:rPr>
          <w:rFonts w:ascii="Traditional Arabic" w:hAnsi="Traditional Arabic" w:cs="Traditional Arabic"/>
          <w:b/>
          <w:bCs/>
          <w:color w:val="000000" w:themeColor="text1"/>
          <w:sz w:val="24"/>
          <w:szCs w:val="24"/>
        </w:rPr>
        <w:t>.</w:t>
      </w:r>
    </w:p>
    <w:p w14:paraId="6C30E189" w14:textId="77777777"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lastRenderedPageBreak/>
        <w:t>ومن منظور أشمل، تناول الاتحاد الدولي للاتصالات الأمن السيبراني باعتباره مجموعة من الأدوات والسياسات والمفاهيم الأمنية والضمانات والإرشادات وأساليب إدارة المخاطر والإجراءات والتدريب وأفضل الممارسات والتقنيات التي يمكن استخدامها لحماية البيئة السيبرانية وأصول المؤسسات والمستخدمين. ويعكس هذا التعريف الطبيعة المتكاملة للأمن السيبراني، إذ لا يقتصر على الجانب التقني فقط، بل يمتد إلى السياسات والإجراءات والموارد البشرية وإدارة المخاطر</w:t>
      </w:r>
      <w:r w:rsidRPr="00545ABB">
        <w:rPr>
          <w:rFonts w:ascii="Traditional Arabic" w:hAnsi="Traditional Arabic" w:cs="Traditional Arabic"/>
          <w:b/>
          <w:bCs/>
          <w:color w:val="000000" w:themeColor="text1"/>
          <w:sz w:val="24"/>
          <w:szCs w:val="24"/>
        </w:rPr>
        <w:t>.</w:t>
      </w:r>
    </w:p>
    <w:p w14:paraId="2A492FFE" w14:textId="2D10F2B8"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وفي السياق الأوروبي، جرى تناول الأمن السيبراني من زاوية قدرة الأنظمة المعلوماتية على مقاومة المحاولات والأحداث التي تستهدف سرية البيانات أو سلامتها أو توافرها، بما يؤكد أهمية بناء الأنظمة القادرة على مواجهة الاختراقات والتهديدات والحفاظ على موثوقية المعلومات والخدمات الرقمية (جبور، 2016، ص</w:t>
      </w:r>
      <w:r w:rsidRPr="00545ABB">
        <w:rPr>
          <w:rFonts w:ascii="Traditional Arabic" w:hAnsi="Traditional Arabic" w:cs="Traditional Arabic"/>
          <w:b/>
          <w:bCs/>
          <w:color w:val="000000" w:themeColor="text1"/>
          <w:sz w:val="24"/>
          <w:szCs w:val="24"/>
        </w:rPr>
        <w:t>. 14</w:t>
      </w:r>
      <w:r w:rsidRPr="00545ABB">
        <w:rPr>
          <w:rFonts w:ascii="Traditional Arabic" w:hAnsi="Traditional Arabic" w:cs="Traditional Arabic" w:hint="cs"/>
          <w:b/>
          <w:bCs/>
          <w:color w:val="000000" w:themeColor="text1"/>
          <w:sz w:val="24"/>
          <w:szCs w:val="24"/>
          <w:rtl/>
        </w:rPr>
        <w:t>)</w:t>
      </w:r>
      <w:r w:rsidRPr="00545ABB">
        <w:rPr>
          <w:rFonts w:ascii="Traditional Arabic" w:hAnsi="Traditional Arabic" w:cs="Traditional Arabic"/>
          <w:b/>
          <w:bCs/>
          <w:color w:val="000000" w:themeColor="text1"/>
          <w:sz w:val="24"/>
          <w:szCs w:val="24"/>
        </w:rPr>
        <w:t>.</w:t>
      </w:r>
    </w:p>
    <w:p w14:paraId="54C2FA6A" w14:textId="56983E03"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ويرتبط مصطلح الأمن السيبراني بكلمة </w:t>
      </w:r>
      <w:r w:rsidRPr="00545ABB">
        <w:rPr>
          <w:rFonts w:ascii="Traditional Arabic" w:hAnsi="Traditional Arabic" w:cs="Traditional Arabic"/>
          <w:b/>
          <w:bCs/>
          <w:color w:val="000000" w:themeColor="text1"/>
          <w:sz w:val="24"/>
          <w:szCs w:val="24"/>
        </w:rPr>
        <w:t xml:space="preserve">Cyber </w:t>
      </w:r>
      <w:r w:rsidRPr="00545ABB">
        <w:rPr>
          <w:rFonts w:ascii="Traditional Arabic" w:hAnsi="Traditional Arabic" w:cs="Traditional Arabic" w:hint="cs"/>
          <w:b/>
          <w:bCs/>
          <w:color w:val="000000" w:themeColor="text1"/>
          <w:sz w:val="24"/>
          <w:szCs w:val="24"/>
          <w:rtl/>
        </w:rPr>
        <w:t xml:space="preserve"> </w:t>
      </w:r>
      <w:r w:rsidRPr="00545ABB">
        <w:rPr>
          <w:rFonts w:ascii="Traditional Arabic" w:hAnsi="Traditional Arabic" w:cs="Traditional Arabic"/>
          <w:b/>
          <w:bCs/>
          <w:color w:val="000000" w:themeColor="text1"/>
          <w:sz w:val="24"/>
          <w:szCs w:val="24"/>
          <w:rtl/>
        </w:rPr>
        <w:t>التي تستخدم للإشارة إلى ما يرتبط بالفضاء الرقمي والتقنيات الحاسوبية والشبكات والبيئات الافتراضية، ومن ثم أصبح المصطلح يستخدم للدلالة على حماية الأنظمة والبيانات والعمليات التي تعمل داخل هذه البيئة الرقمية</w:t>
      </w:r>
      <w:r w:rsidRPr="00545ABB">
        <w:rPr>
          <w:rFonts w:ascii="Traditional Arabic" w:hAnsi="Traditional Arabic" w:cs="Traditional Arabic"/>
          <w:b/>
          <w:bCs/>
          <w:color w:val="000000" w:themeColor="text1"/>
          <w:sz w:val="24"/>
          <w:szCs w:val="24"/>
        </w:rPr>
        <w:t>.</w:t>
      </w:r>
    </w:p>
    <w:p w14:paraId="570D97DD" w14:textId="10298B1D"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كما يُعرّف الأمن السيبراني بأنه مجموعة الوسائل التقنية والإدارية المستخدمة لمنع الوصول غير المصرح به إلى المعلومات والأنظمة، والحد من سوء استخدامها أو تعطيلها، واستعادة المعلومات والأنظمة عند تعرضها للحوادث، بما يضمن توافر نظم المعلومات واستمرارية عملها، والمحافظة على سرية البيانات وخصوصيتها، وحماية المستخدمين والمؤسسات في الفضاء السيبراني (غسان، </w:t>
      </w:r>
      <w:r w:rsidRPr="00545ABB">
        <w:rPr>
          <w:rFonts w:ascii="Traditional Arabic" w:hAnsi="Traditional Arabic" w:cs="Traditional Arabic"/>
          <w:b/>
          <w:bCs/>
          <w:color w:val="000000" w:themeColor="text1"/>
          <w:sz w:val="24"/>
          <w:szCs w:val="24"/>
        </w:rPr>
        <w:t>2019</w:t>
      </w:r>
      <w:r w:rsidRPr="00545ABB">
        <w:rPr>
          <w:rFonts w:ascii="Traditional Arabic" w:hAnsi="Traditional Arabic" w:cs="Traditional Arabic" w:hint="cs"/>
          <w:b/>
          <w:bCs/>
          <w:color w:val="000000" w:themeColor="text1"/>
          <w:sz w:val="24"/>
          <w:szCs w:val="24"/>
          <w:rtl/>
        </w:rPr>
        <w:t>)</w:t>
      </w:r>
      <w:r w:rsidRPr="00545ABB">
        <w:rPr>
          <w:rFonts w:ascii="Traditional Arabic" w:hAnsi="Traditional Arabic" w:cs="Traditional Arabic"/>
          <w:b/>
          <w:bCs/>
          <w:color w:val="000000" w:themeColor="text1"/>
          <w:sz w:val="24"/>
          <w:szCs w:val="24"/>
        </w:rPr>
        <w:t>.</w:t>
      </w:r>
    </w:p>
    <w:p w14:paraId="3F87CD94" w14:textId="77777777"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ويتضح من التعريفات السابقة أن مفهوم الأمن السيبراني لم يعد يقتصر على حماية الأجهزة والشبكات من الاختراق، بل أصبح مفهومًا أكثر شمولًا يجمع بين التقنية، والسياسات، والإجراءات، وإدارة المخاطر، والموارد البشرية، والحوكمة، والاستجابة للحوادث، واستمرارية الأعمال</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كما أن تحقيق الأمن السيبراني يتطلب تكامل هذه العناصر ضمن إطار مؤسسي واضح يحدد المسؤوليات ويوجه الموارد ويربط الإجراءات الأمنية بالأهداف الاستراتيجية للمنظمة</w:t>
      </w:r>
      <w:r w:rsidRPr="00545ABB">
        <w:rPr>
          <w:rFonts w:ascii="Traditional Arabic" w:hAnsi="Traditional Arabic" w:cs="Traditional Arabic"/>
          <w:b/>
          <w:bCs/>
          <w:color w:val="000000" w:themeColor="text1"/>
          <w:sz w:val="24"/>
          <w:szCs w:val="24"/>
        </w:rPr>
        <w:t>.</w:t>
      </w:r>
    </w:p>
    <w:p w14:paraId="57E68DDE" w14:textId="77777777"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وتبرز أهمية هذا المفهوم بصورة أكبر في شركات الأمن السيبراني، التي لا تقتصر مسؤوليتها على حماية أصولها وأنظمتها الداخلية، وإنما تقوم أيضًا بتقديم خدمات ومنتجات وحلول تهدف إلى حماية أصول عملائها وبياناتهم وأنظمتهم. ومن ثم، فإن مستوى الحوكمة وإدارة المخاطر والالتزام داخل هذه الشركات ينعكس بصورة مباشرة على جودة الخدمات التي تقدمها ومستوى الثقة التي تحظى بها لدى العملاء وأصحاب المصالح</w:t>
      </w:r>
      <w:r w:rsidRPr="00545ABB">
        <w:rPr>
          <w:rFonts w:ascii="Traditional Arabic" w:hAnsi="Traditional Arabic" w:cs="Traditional Arabic"/>
          <w:b/>
          <w:bCs/>
          <w:color w:val="000000" w:themeColor="text1"/>
          <w:sz w:val="24"/>
          <w:szCs w:val="24"/>
        </w:rPr>
        <w:t>.</w:t>
      </w:r>
    </w:p>
    <w:p w14:paraId="42DD5517" w14:textId="77777777" w:rsidR="007070B0" w:rsidRPr="00545ABB" w:rsidRDefault="007070B0" w:rsidP="007070B0">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lastRenderedPageBreak/>
        <w:t>وبعد استعراض التعريفات السابقة، يعرّف الباحث الأمن السيبراني إجرائيًا بأنه</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منظومة متكاملة من الاستراتيجيات والسياسات والإجراءات والتدابير التقنية والإدارية والتنظيمية التي تتبناها المؤسسات لحماية الأنظمة والشبكات والبرامج والبيانات والأجهزة والخدمات الرقمية من المخاطر والتهديدات السيبرانية، وضمان سريتها وسلامتها وتوافرها واستمرارية عملها، بما يدعم تحقيق أهداف المؤسسة ويحمي مصالح أصحاب العلاقة</w:t>
      </w:r>
      <w:r w:rsidRPr="00545ABB">
        <w:rPr>
          <w:rFonts w:ascii="Traditional Arabic" w:hAnsi="Traditional Arabic" w:cs="Traditional Arabic"/>
          <w:b/>
          <w:bCs/>
          <w:color w:val="000000" w:themeColor="text1"/>
          <w:sz w:val="24"/>
          <w:szCs w:val="24"/>
        </w:rPr>
        <w:t>.</w:t>
      </w:r>
    </w:p>
    <w:p w14:paraId="24268F42" w14:textId="77777777" w:rsidR="00A26168" w:rsidRPr="00545ABB" w:rsidRDefault="00A26168" w:rsidP="00A26168">
      <w:pPr>
        <w:pStyle w:val="NormalWeb"/>
        <w:rPr>
          <w:color w:val="000000" w:themeColor="text1"/>
        </w:rPr>
      </w:pPr>
      <w:r w:rsidRPr="00545ABB">
        <w:rPr>
          <w:color w:val="000000" w:themeColor="text1"/>
          <w:rtl/>
        </w:rPr>
        <w:t xml:space="preserve">أكيد، وهذا هو القسم كاملًا بعد تحديثه </w:t>
      </w:r>
      <w:r w:rsidRPr="00545ABB">
        <w:rPr>
          <w:rStyle w:val="Strong"/>
          <w:color w:val="000000" w:themeColor="text1"/>
          <w:rtl/>
        </w:rPr>
        <w:t>مع مصادر داخل المتن</w:t>
      </w:r>
      <w:r w:rsidRPr="00545ABB">
        <w:rPr>
          <w:color w:val="000000" w:themeColor="text1"/>
          <w:rtl/>
        </w:rPr>
        <w:t xml:space="preserve"> وبصياغة أكاديمية أنسب للرسالة، مع تجنب المعلومات التاريخية غير الدقيقة</w:t>
      </w:r>
      <w:r w:rsidRPr="00545ABB">
        <w:rPr>
          <w:color w:val="000000" w:themeColor="text1"/>
        </w:rPr>
        <w:t>:</w:t>
      </w:r>
    </w:p>
    <w:p w14:paraId="7652AF3D" w14:textId="77777777" w:rsidR="00A26168" w:rsidRPr="00545ABB" w:rsidRDefault="00A26168" w:rsidP="00A26168">
      <w:pPr>
        <w:pStyle w:val="Heading2"/>
        <w:bidi/>
        <w:spacing w:line="360" w:lineRule="auto"/>
        <w:rPr>
          <w:rFonts w:ascii="Traditional Arabic" w:hAnsi="Traditional Arabic" w:cs="Traditional Arabic"/>
          <w:b/>
          <w:bCs/>
          <w:color w:val="000000" w:themeColor="text1"/>
        </w:rPr>
      </w:pPr>
      <w:bookmarkStart w:id="68" w:name="_Toc242325229"/>
      <w:r w:rsidRPr="00545ABB">
        <w:rPr>
          <w:rFonts w:ascii="Traditional Arabic" w:hAnsi="Traditional Arabic" w:cs="Traditional Arabic"/>
          <w:b/>
          <w:bCs/>
          <w:color w:val="000000" w:themeColor="text1"/>
          <w:rtl/>
        </w:rPr>
        <w:t>نشأة وبداية الأمن السيبراني</w:t>
      </w:r>
      <w:bookmarkEnd w:id="68"/>
    </w:p>
    <w:p w14:paraId="5D19B650"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ترتبط نشأة الأمن السيبراني بالتطور المتسارع في استخدام الحواسيب والشبكات الرقمية، ولا سيما مع ظهور شبكات الاتصال المبكرة التي مهدت لاحقًا لظهور الإنترنت. ففي المراحل الأولى، كان استخدام الشبكات الحاسوبية محدودًا إلى حد كبير في المؤسسات الحكومية والعسكرية والأكاديمية ومراكز الأبحاث، ثم اتسع نطاق استخدامها تدريجيًا ليشمل القطاعات التجارية والخاصة والأفراد في مختلف أنحاء العالم. ومع هذا التوسع، بدأت تظهر تحديات وتهديدات جديدة تراوحت بين التجارب التقنية المحدودة والبرمجيات ذاتية الانتشار، ثم تطورت لاحقًا إلى هجمات أكثر تعقيدًا تستهدف الأنظمة والبيانات والخدمات الرقمية</w:t>
      </w:r>
      <w:r w:rsidRPr="00545ABB">
        <w:rPr>
          <w:rFonts w:ascii="Traditional Arabic" w:hAnsi="Traditional Arabic" w:cs="Traditional Arabic"/>
          <w:b/>
          <w:bCs/>
          <w:color w:val="000000" w:themeColor="text1"/>
        </w:rPr>
        <w:t>.</w:t>
      </w:r>
    </w:p>
    <w:p w14:paraId="3E73FE58"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ومن أبرز الأحداث المبكرة في تاريخ أمن الحاسب ظهور برنامج </w:t>
      </w:r>
      <w:r w:rsidRPr="00545ABB">
        <w:rPr>
          <w:rStyle w:val="Strong"/>
          <w:rFonts w:ascii="Traditional Arabic" w:hAnsi="Traditional Arabic" w:cs="Traditional Arabic"/>
          <w:b w:val="0"/>
          <w:bCs w:val="0"/>
          <w:color w:val="000000" w:themeColor="text1"/>
        </w:rPr>
        <w:t>Creeper</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عام 1971، الذي طُوّر في شركة</w:t>
      </w:r>
      <w:r w:rsidRPr="00545ABB">
        <w:rPr>
          <w:rFonts w:ascii="Traditional Arabic" w:hAnsi="Traditional Arabic" w:cs="Traditional Arabic"/>
          <w:b/>
          <w:bCs/>
          <w:color w:val="000000" w:themeColor="text1"/>
        </w:rPr>
        <w:t xml:space="preserve"> BBN Technologies</w:t>
      </w:r>
      <w:r w:rsidRPr="00545ABB">
        <w:rPr>
          <w:rFonts w:ascii="Traditional Arabic" w:hAnsi="Traditional Arabic" w:cs="Traditional Arabic"/>
          <w:b/>
          <w:bCs/>
          <w:color w:val="000000" w:themeColor="text1"/>
          <w:rtl/>
        </w:rPr>
        <w:t>، ويُعد من أوائل البرامج التي أظهرت إمكانية انتقال برنامج عبر الأجهزة المتصلة بشبكة</w:t>
      </w:r>
      <w:r w:rsidRPr="00545ABB">
        <w:rPr>
          <w:rFonts w:ascii="Traditional Arabic" w:hAnsi="Traditional Arabic" w:cs="Traditional Arabic"/>
          <w:b/>
          <w:bCs/>
          <w:color w:val="000000" w:themeColor="text1"/>
        </w:rPr>
        <w:t xml:space="preserve"> ARPANET. </w:t>
      </w:r>
      <w:r w:rsidRPr="00545ABB">
        <w:rPr>
          <w:rFonts w:ascii="Traditional Arabic" w:hAnsi="Traditional Arabic" w:cs="Traditional Arabic"/>
          <w:b/>
          <w:bCs/>
          <w:color w:val="000000" w:themeColor="text1"/>
          <w:rtl/>
        </w:rPr>
        <w:t>وكان البرنامج يعرض رسالة شهيرة على الأجهزة التي يصل إليها، ولم يكن مصممًا أساسًا لإحداث أضرار مادية أو تدمير البيانات، إلا أن أهميته التاريخية تمثلت في إظهار إمكانية انتقال البرامج بين الأنظمة عبر الشبكات، وهو ما أسهم في لفت الانتباه إلى الحاجة إلى التفكير في وسائل الحماية والاستجابة للبرمجيات المتنقلة عبر الشبكات</w:t>
      </w:r>
      <w:r w:rsidRPr="00545ABB">
        <w:rPr>
          <w:rFonts w:ascii="Traditional Arabic" w:hAnsi="Traditional Arabic" w:cs="Traditional Arabic"/>
          <w:b/>
          <w:bCs/>
          <w:color w:val="000000" w:themeColor="text1"/>
        </w:rPr>
        <w:t>.</w:t>
      </w:r>
    </w:p>
    <w:p w14:paraId="02F1434C"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مرحلة لاحقة، تطورت فكرة البرامج ذاتية الانتشار، وأصبح من الممكن للبرنامج أن ينسخ نفسه وينتقل بين الأجهزة، وهو ما مثل تحولًا مهمًا في طبيعة المخاطر المرتبطة بالشبكات الحاسوبية. ومع توسع استخدام الشبكات، لم تعد المخاطر تقتصر على التجارب التقنية، بل بدأت تظهر حوادث كان لها أثر فعلي في الأنظمة والخدمات</w:t>
      </w:r>
      <w:r w:rsidRPr="00545ABB">
        <w:rPr>
          <w:rFonts w:ascii="Traditional Arabic" w:hAnsi="Traditional Arabic" w:cs="Traditional Arabic"/>
          <w:b/>
          <w:bCs/>
          <w:color w:val="000000" w:themeColor="text1"/>
        </w:rPr>
        <w:t>.</w:t>
      </w:r>
    </w:p>
    <w:p w14:paraId="7CAF7F77"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ومن أبرز هذه الحوادث </w:t>
      </w:r>
      <w:r w:rsidRPr="00545ABB">
        <w:rPr>
          <w:rStyle w:val="Strong"/>
          <w:rFonts w:ascii="Traditional Arabic" w:hAnsi="Traditional Arabic" w:cs="Traditional Arabic"/>
          <w:b w:val="0"/>
          <w:bCs w:val="0"/>
          <w:color w:val="000000" w:themeColor="text1"/>
          <w:rtl/>
        </w:rPr>
        <w:t xml:space="preserve">دودة </w:t>
      </w:r>
      <w:r w:rsidRPr="00545ABB">
        <w:rPr>
          <w:rStyle w:val="Strong"/>
          <w:rFonts w:ascii="Traditional Arabic" w:hAnsi="Traditional Arabic" w:cs="Traditional Arabic"/>
          <w:b w:val="0"/>
          <w:bCs w:val="0"/>
          <w:color w:val="000000" w:themeColor="text1"/>
        </w:rPr>
        <w:t>Morris</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التي ظهرت في الثاني من نوفمبر عام 1988، وطوّرها</w:t>
      </w:r>
      <w:r w:rsidRPr="00545ABB">
        <w:rPr>
          <w:rFonts w:ascii="Traditional Arabic" w:hAnsi="Traditional Arabic" w:cs="Traditional Arabic"/>
          <w:b/>
          <w:bCs/>
          <w:color w:val="000000" w:themeColor="text1"/>
        </w:rPr>
        <w:t xml:space="preserve"> Robert Tappan Morris</w:t>
      </w:r>
      <w:r w:rsidRPr="00545ABB">
        <w:rPr>
          <w:rFonts w:ascii="Traditional Arabic" w:hAnsi="Traditional Arabic" w:cs="Traditional Arabic"/>
          <w:b/>
          <w:bCs/>
          <w:color w:val="000000" w:themeColor="text1"/>
          <w:rtl/>
        </w:rPr>
        <w:t>، الذي كان طالب دراسات عليا في علوم الحاسب بجامعة</w:t>
      </w:r>
      <w:r w:rsidRPr="00545ABB">
        <w:rPr>
          <w:rFonts w:ascii="Traditional Arabic" w:hAnsi="Traditional Arabic" w:cs="Traditional Arabic"/>
          <w:b/>
          <w:bCs/>
          <w:color w:val="000000" w:themeColor="text1"/>
        </w:rPr>
        <w:t xml:space="preserve"> Cornell. </w:t>
      </w:r>
      <w:r w:rsidRPr="00545ABB">
        <w:rPr>
          <w:rFonts w:ascii="Traditional Arabic" w:hAnsi="Traditional Arabic" w:cs="Traditional Arabic"/>
          <w:b/>
          <w:bCs/>
          <w:color w:val="000000" w:themeColor="text1"/>
          <w:rtl/>
        </w:rPr>
        <w:t xml:space="preserve">وقد انتشرت الدودة عبر الإنترنت المبكر وأثرت في عدد كبير من الأجهزة المتصلة به، </w:t>
      </w:r>
      <w:r w:rsidRPr="00545ABB">
        <w:rPr>
          <w:rFonts w:ascii="Traditional Arabic" w:hAnsi="Traditional Arabic" w:cs="Traditional Arabic"/>
          <w:b/>
          <w:bCs/>
          <w:color w:val="000000" w:themeColor="text1"/>
          <w:rtl/>
        </w:rPr>
        <w:lastRenderedPageBreak/>
        <w:t xml:space="preserve">وتسبب انتشارها في تعطيل نسبة مهمة من الأنظمة المتصلة بالشبكة في ذلك الوقت. وقد أصبحت هذه الحادثة من أبرز الأحداث التي أظهرت بصورة عملية المخاطر الناتجة عن البرمجيات ذاتية الانتشار، وأسهمت في رفع مستوى الاهتمام بأمن الشبكات والأنظمة </w:t>
      </w:r>
      <w:r w:rsidRPr="00545ABB">
        <w:rPr>
          <w:rFonts w:ascii="Traditional Arabic" w:hAnsi="Traditional Arabic" w:cs="Traditional Arabic"/>
          <w:b/>
          <w:bCs/>
          <w:color w:val="000000" w:themeColor="text1"/>
        </w:rPr>
        <w:t>(Cornell University, 2023).</w:t>
      </w:r>
    </w:p>
    <w:p w14:paraId="73B9F5A9" w14:textId="3744C0D4"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وفي الوقت نفسه، شهدت ثمانينيات القرن العشرين تطورًا ملحوظًا في تقنيات حماية الشبكات وإدارة الهوية والمصادقة. ومن أبرز هذه التطورات تطوير بروتوكول </w:t>
      </w:r>
      <w:r w:rsidRPr="00545ABB">
        <w:rPr>
          <w:rStyle w:val="Strong"/>
          <w:rFonts w:ascii="Traditional Arabic" w:hAnsi="Traditional Arabic" w:cs="Traditional Arabic"/>
          <w:b w:val="0"/>
          <w:bCs w:val="0"/>
          <w:color w:val="000000" w:themeColor="text1"/>
        </w:rPr>
        <w:t>Kerberos</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في معهد ماساتشوستس للتقنية</w:t>
      </w:r>
      <w:r w:rsidRPr="00545ABB">
        <w:rPr>
          <w:rFonts w:ascii="Traditional Arabic" w:hAnsi="Traditional Arabic" w:cs="Traditional Arabic"/>
          <w:b/>
          <w:bCs/>
          <w:color w:val="000000" w:themeColor="text1"/>
        </w:rPr>
        <w:t xml:space="preserve"> MIT </w:t>
      </w:r>
      <w:r w:rsidRPr="00545ABB">
        <w:rPr>
          <w:rFonts w:ascii="Traditional Arabic" w:hAnsi="Traditional Arabic" w:cs="Traditional Arabic"/>
          <w:b/>
          <w:bCs/>
          <w:color w:val="000000" w:themeColor="text1"/>
          <w:rtl/>
        </w:rPr>
        <w:t>ضمن مشروع</w:t>
      </w:r>
      <w:r w:rsidRPr="00545ABB">
        <w:rPr>
          <w:rFonts w:ascii="Traditional Arabic" w:hAnsi="Traditional Arabic" w:cs="Traditional Arabic"/>
          <w:b/>
          <w:bCs/>
          <w:color w:val="000000" w:themeColor="text1"/>
        </w:rPr>
        <w:t xml:space="preserve"> Athena. </w:t>
      </w:r>
      <w:r w:rsidRPr="00545ABB">
        <w:rPr>
          <w:rFonts w:ascii="Traditional Arabic" w:hAnsi="Traditional Arabic" w:cs="Traditional Arabic"/>
          <w:b/>
          <w:bCs/>
          <w:color w:val="000000" w:themeColor="text1"/>
          <w:rtl/>
        </w:rPr>
        <w:t xml:space="preserve">وقد بدأ تصميم البروتوكول في أوائل الثمانينيات، ثم اكتمل تطبيقه الأولي في منتصف ذلك العقد، واعتمد على تقنيات التشفير لتوفير آلية تحقق آمنة بين المستخدمين والخدمات عبر الشبكات غير الموثوقة، وهو ما جعله لاحقًا من أكثر تقنيات المصادقة استخدامًا في الأنظمة والشبكات </w:t>
      </w:r>
      <w:r w:rsidRPr="00545ABB">
        <w:rPr>
          <w:rFonts w:ascii="Traditional Arabic" w:hAnsi="Traditional Arabic" w:cs="Traditional Arabic"/>
          <w:b/>
          <w:bCs/>
          <w:color w:val="000000" w:themeColor="text1"/>
        </w:rPr>
        <w:t xml:space="preserve">(MIT, 2008; Saltzer, 2020). </w:t>
      </w:r>
    </w:p>
    <w:p w14:paraId="401247DC"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ومع اتساع استخدام الإنترنت خلال التسعينيات وما بعدها، تطورت طبيعة التهديدات السيبرانية بصورة كبيرة، وأصبحت تشمل سرقة البيانات، والبرمجيات الخبيثة، والتجسس الإلكتروني، والاحتيال، وتعطيل الخدمات، والاختراقات الموجهة إلى المؤسسات والبنية التحتية. ونتيجة لذلك، تطور مفهوم الحماية من أمن الحاسب وأمن المعلومات إلى مفهوم أكثر شمولًا </w:t>
      </w:r>
      <w:r w:rsidRPr="00545ABB">
        <w:rPr>
          <w:rFonts w:ascii="Traditional Arabic" w:hAnsi="Traditional Arabic" w:cs="Traditional Arabic"/>
          <w:color w:val="000000" w:themeColor="text1"/>
          <w:rtl/>
        </w:rPr>
        <w:t xml:space="preserve">هو </w:t>
      </w:r>
      <w:r w:rsidRPr="00545ABB">
        <w:rPr>
          <w:rStyle w:val="Strong"/>
          <w:rFonts w:ascii="Traditional Arabic" w:hAnsi="Traditional Arabic" w:cs="Traditional Arabic"/>
          <w:color w:val="000000" w:themeColor="text1"/>
          <w:rtl/>
        </w:rPr>
        <w:t>الأمن السيبراني</w:t>
      </w:r>
      <w:r w:rsidRPr="00545ABB">
        <w:rPr>
          <w:rFonts w:ascii="Traditional Arabic" w:hAnsi="Traditional Arabic" w:cs="Traditional Arabic"/>
          <w:b/>
          <w:bCs/>
          <w:color w:val="000000" w:themeColor="text1"/>
          <w:rtl/>
        </w:rPr>
        <w:t>، الذي يجمع بين الجوانب التقنية والتنظيمية والإدارية والبشرية وإدارة المخاطر</w:t>
      </w:r>
      <w:r w:rsidRPr="00545ABB">
        <w:rPr>
          <w:rFonts w:ascii="Traditional Arabic" w:hAnsi="Traditional Arabic" w:cs="Traditional Arabic"/>
          <w:b/>
          <w:bCs/>
          <w:color w:val="000000" w:themeColor="text1"/>
        </w:rPr>
        <w:t>.</w:t>
      </w:r>
    </w:p>
    <w:p w14:paraId="185B9951" w14:textId="4C167531"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ويؤكد الاتحاد الدولي للاتصالات أن الأمن السيبراني لا يقتصر على استخدام التقنيات الأمنية، بل يشمل مجموعة من الأدوات والسياسات والمفاهيم والضمانات والإرشادات ومناهج إدارة المخاطر والتدريب وأفضل الممارسات والتقنيات التي تستخدم لحماية البيئة السيبرانية وأصول المؤسسات والمستخدمين، بما في ذلك الأجهزة المتصلة والبنية التحتية والتطبيقات والخدمات والمعلومات المخزنة أو المنقولة </w:t>
      </w:r>
      <w:r w:rsidRPr="00545ABB">
        <w:rPr>
          <w:rFonts w:ascii="Traditional Arabic" w:hAnsi="Traditional Arabic" w:cs="Traditional Arabic"/>
          <w:b/>
          <w:bCs/>
          <w:color w:val="000000" w:themeColor="text1"/>
        </w:rPr>
        <w:t xml:space="preserve">(ITU-T X.1205). </w:t>
      </w:r>
    </w:p>
    <w:p w14:paraId="0D157C77"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ومع استمرار التحول الرقمي وزيادة الاعتماد على الحوسبة السحابية، والأجهزة المتصلة، والتطبيقات الرقمية، والأنظمة الصناعية، اتسع نطاق الأمن السيبراني ليشمل حماية البيئة الرقمية بصورة متكاملة، ولم يعد مقتصرًا على حماية أجهزة الحاسب أو الشبكات فقط. كما أصبح مرتبطًا بصورة مباشرة بإدارة المخاطر المؤسسية، واستمرارية الأعمال، وحماية الخصوصية، وتأمين الأصول الرقمية والخدمات الحيوية</w:t>
      </w:r>
      <w:r w:rsidRPr="00545ABB">
        <w:rPr>
          <w:rFonts w:ascii="Traditional Arabic" w:hAnsi="Traditional Arabic" w:cs="Traditional Arabic"/>
          <w:b/>
          <w:bCs/>
          <w:color w:val="000000" w:themeColor="text1"/>
        </w:rPr>
        <w:t>.</w:t>
      </w:r>
    </w:p>
    <w:p w14:paraId="0C549203"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وتوضح هذه التطورات أن الأمن السيبراني لم ينشأ في نقطة زمنية واحدة، وإنما تطور تدريجيًا بالتوازي مع تطور تقنيات الحاسب والشبكات وطبيعة التهديدات المرتبطة بها. فكل مرحلة من مراحل التطور التقني صاحبتها أشكال جديدة من المخاطر، الأمر الذي استدعى تطوير وسائل أكثر تقدمًا للحماية والرقابة والمصادقة والاستجابة للحوادث</w:t>
      </w:r>
      <w:r w:rsidRPr="00545ABB">
        <w:rPr>
          <w:rFonts w:ascii="Traditional Arabic" w:hAnsi="Traditional Arabic" w:cs="Traditional Arabic"/>
          <w:b/>
          <w:bCs/>
          <w:color w:val="000000" w:themeColor="text1"/>
        </w:rPr>
        <w:t>.</w:t>
      </w:r>
    </w:p>
    <w:p w14:paraId="23723A15"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ومن منظور الحوكمة، أسهم هذا التطور في تغيير النظرة إلى مسؤولية الأمن السيبراني؛ فلم تعد حماية الأنظمة والمعلومات مسؤولية فنية مقتصرة على المتخصصين في تقنية المعلومات، وإنما أصبحت مسؤولية مؤسسية تشارك فيها الإدارة العليا ومجالس الإدارة وإدارات المخاطر والالتزام والمراجعة الداخلية. ويعكس ذلك الترابط المتزايد بين الأمن السيبراني والحوكمة المؤسسية، حيث أصبحت إدارة المخاطر السيبرانية جزءًا من عملية اتخاذ القرار الاستراتيجي</w:t>
      </w:r>
      <w:r w:rsidRPr="00545ABB">
        <w:rPr>
          <w:rFonts w:ascii="Traditional Arabic" w:hAnsi="Traditional Arabic" w:cs="Traditional Arabic"/>
          <w:b/>
          <w:bCs/>
          <w:color w:val="000000" w:themeColor="text1"/>
        </w:rPr>
        <w:t>.</w:t>
      </w:r>
    </w:p>
    <w:p w14:paraId="702B0BEC" w14:textId="77777777" w:rsidR="00A26168" w:rsidRPr="00545ABB" w:rsidRDefault="00A26168" w:rsidP="00A2616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لشركات الأمن السيبراني الناشئة، يمثل فهم هذا التطور أهمية خاصة، لأن قطاع الأمن السيبراني يتسم بسرعة تغير التقنيات والتهديدات والمتطلبات التنظيمية. ومن ثم، فإن قدرة هذه الشركات على الاستمرار والنمو تعتمد على قدرتها على التكيف مع هذه المتغيرات، وبناء ممارسات حوكمة فعالة، وإدارة المخاطر بصورة منهجية، والمحافظة على ثقة العملاء والمستثمرين وأصحاب المصالح</w:t>
      </w:r>
      <w:r w:rsidRPr="00545ABB">
        <w:rPr>
          <w:rFonts w:ascii="Traditional Arabic" w:hAnsi="Traditional Arabic" w:cs="Traditional Arabic"/>
          <w:b/>
          <w:bCs/>
          <w:color w:val="000000" w:themeColor="text1"/>
        </w:rPr>
        <w:t>.</w:t>
      </w:r>
    </w:p>
    <w:p w14:paraId="4DDBC06C" w14:textId="77777777" w:rsidR="00A26168" w:rsidRPr="00545ABB" w:rsidRDefault="00A26168" w:rsidP="0036585F">
      <w:pPr>
        <w:pStyle w:val="a"/>
        <w:spacing w:line="360" w:lineRule="auto"/>
        <w:rPr>
          <w:rFonts w:ascii="Traditional Arabic" w:hAnsi="Traditional Arabic" w:cs="Traditional Arabic"/>
          <w:b w:val="0"/>
          <w:bCs/>
          <w:sz w:val="24"/>
          <w:szCs w:val="24"/>
          <w:rtl/>
        </w:rPr>
      </w:pPr>
    </w:p>
    <w:p w14:paraId="505B0396" w14:textId="77777777" w:rsidR="0036585F" w:rsidRPr="00545ABB" w:rsidRDefault="0036585F" w:rsidP="0036585F">
      <w:pPr>
        <w:pStyle w:val="Heading2"/>
        <w:bidi/>
        <w:spacing w:line="360" w:lineRule="auto"/>
        <w:rPr>
          <w:rFonts w:ascii="Traditional Arabic" w:hAnsi="Traditional Arabic" w:cs="Traditional Arabic"/>
          <w:bCs/>
          <w:color w:val="000000" w:themeColor="text1"/>
        </w:rPr>
      </w:pPr>
      <w:bookmarkStart w:id="69" w:name="_Toc242325230"/>
      <w:r w:rsidRPr="00545ABB">
        <w:rPr>
          <w:rFonts w:ascii="Traditional Arabic" w:hAnsi="Traditional Arabic" w:cs="Traditional Arabic"/>
          <w:bCs/>
          <w:color w:val="000000" w:themeColor="text1"/>
          <w:rtl/>
        </w:rPr>
        <w:t>مكونات نظام الحوكمة</w:t>
      </w:r>
      <w:bookmarkEnd w:id="69"/>
    </w:p>
    <w:p w14:paraId="4EA583FB"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 xml:space="preserve">لتحقيق أهداف الحوكمة والإدارة بفاعلية، تحتاج كل مؤسسة إلى إنشاء وتصميم واستدامة نظام حوكمة متكامل يتكون من مجموعة من المكونات التي تعمل بصورة مترابطة ومتكاملة. ووفقًا لإطار </w:t>
      </w:r>
      <w:r w:rsidRPr="00545ABB">
        <w:rPr>
          <w:rStyle w:val="Strong"/>
          <w:rFonts w:ascii="Traditional Arabic" w:hAnsi="Traditional Arabic" w:cs="Traditional Arabic"/>
          <w:b w:val="0"/>
          <w:color w:val="000000" w:themeColor="text1"/>
        </w:rPr>
        <w:t>COBIT 2019</w:t>
      </w:r>
      <w:r w:rsidRPr="00545ABB">
        <w:rPr>
          <w:rFonts w:ascii="Traditional Arabic" w:hAnsi="Traditional Arabic" w:cs="Traditional Arabic"/>
          <w:bCs/>
          <w:color w:val="000000" w:themeColor="text1"/>
          <w:rtl/>
        </w:rPr>
        <w:t>، تمثل هذه المكونات عوامل تسهم بصورة فردية وجماعية في دعم التشغيل الفعال لنظام حوكمة وإدارة المعلومات والتقنية داخل المؤسسة</w:t>
      </w:r>
      <w:r w:rsidRPr="00545ABB">
        <w:rPr>
          <w:rFonts w:ascii="Traditional Arabic" w:hAnsi="Traditional Arabic" w:cs="Traditional Arabic"/>
          <w:bCs/>
          <w:color w:val="000000" w:themeColor="text1"/>
        </w:rPr>
        <w:t>.</w:t>
      </w:r>
    </w:p>
    <w:p w14:paraId="3EC52301"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 xml:space="preserve">وتتفاعل مكونات نظام الحوكمة فيما بينها لتشكيل منظومة متكاملة تساعد المؤسسة على تحقيق أهدافها، وإدارة المخاطر، وتحسين استخدام الموارد، ورفع مستوى الأداء والالتزام. ولا تقتصر هذه المكونات على العمليات فقط، بل تشمل كذلك الهياكل التنظيمية، والمبادئ والسياسات والإجراءات، والمعلومات، والثقافة والأخلاقيات والسلوك، والأشخاص والمهارات والكفاءات، إضافة إلى الخدمات والبنية التحتية والتطبيقات </w:t>
      </w:r>
      <w:r w:rsidRPr="00545ABB">
        <w:rPr>
          <w:rFonts w:ascii="Traditional Arabic" w:hAnsi="Traditional Arabic" w:cs="Traditional Arabic"/>
          <w:bCs/>
          <w:color w:val="000000" w:themeColor="text1"/>
        </w:rPr>
        <w:t>(ISACA, 2019).</w:t>
      </w:r>
    </w:p>
    <w:p w14:paraId="2BDCA9A4" w14:textId="23489C57" w:rsidR="0036585F" w:rsidRPr="00545ABB" w:rsidRDefault="0036585F" w:rsidP="00D95153">
      <w:pPr>
        <w:pStyle w:val="Heading3"/>
        <w:numPr>
          <w:ilvl w:val="0"/>
          <w:numId w:val="32"/>
        </w:numPr>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Pr>
        <w:t xml:space="preserve"> </w:t>
      </w:r>
      <w:bookmarkStart w:id="70" w:name="_Toc242325231"/>
      <w:r w:rsidRPr="00545ABB">
        <w:rPr>
          <w:rFonts w:ascii="Traditional Arabic" w:hAnsi="Traditional Arabic" w:cs="Traditional Arabic"/>
          <w:bCs/>
          <w:color w:val="000000" w:themeColor="text1"/>
          <w:rtl/>
        </w:rPr>
        <w:t xml:space="preserve">العمليات </w:t>
      </w:r>
      <w:r w:rsidRPr="00545ABB">
        <w:rPr>
          <w:rFonts w:ascii="Traditional Arabic" w:hAnsi="Traditional Arabic" w:cs="Traditional Arabic"/>
          <w:bCs/>
          <w:color w:val="000000" w:themeColor="text1"/>
        </w:rPr>
        <w:t>(Processes)</w:t>
      </w:r>
      <w:bookmarkEnd w:id="70"/>
    </w:p>
    <w:p w14:paraId="4B64CEF8"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تمثل العمليات مجموعة منظمة من الممارسات والأنشطة التي يتم تنفيذها لتحقيق أهداف محددة وإنتاج مخرجات تسهم في تحقيق الأهداف العامة للمؤسسة المرتبطة بالمعلومات والتقنية</w:t>
      </w:r>
      <w:r w:rsidRPr="00545ABB">
        <w:rPr>
          <w:rFonts w:ascii="Traditional Arabic" w:hAnsi="Traditional Arabic" w:cs="Traditional Arabic"/>
          <w:bCs/>
          <w:color w:val="000000" w:themeColor="text1"/>
        </w:rPr>
        <w:t>.</w:t>
      </w:r>
    </w:p>
    <w:p w14:paraId="7564EA7D"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lastRenderedPageBreak/>
        <w:t>وتساعد العمليات على تحويل متطلبات الحوكمة والسياسات إلى أنشطة قابلة للتنفيذ والقياس والمتابعة، كما تسهم في توضيح المسؤوليات وتحديد نقاط الرقابة وتحسين مستوى الاتساق في تنفيذ الأعمال</w:t>
      </w:r>
      <w:r w:rsidRPr="00545ABB">
        <w:rPr>
          <w:rFonts w:ascii="Traditional Arabic" w:hAnsi="Traditional Arabic" w:cs="Traditional Arabic"/>
          <w:bCs/>
          <w:color w:val="000000" w:themeColor="text1"/>
        </w:rPr>
        <w:t>.</w:t>
      </w:r>
    </w:p>
    <w:p w14:paraId="3B84BAEA" w14:textId="6EA804AF" w:rsidR="0036585F" w:rsidRPr="00545ABB" w:rsidRDefault="0036585F" w:rsidP="00D95153">
      <w:pPr>
        <w:pStyle w:val="Heading3"/>
        <w:numPr>
          <w:ilvl w:val="0"/>
          <w:numId w:val="32"/>
        </w:numPr>
        <w:bidi/>
        <w:spacing w:line="360" w:lineRule="auto"/>
        <w:rPr>
          <w:rFonts w:ascii="Traditional Arabic" w:hAnsi="Traditional Arabic" w:cs="Traditional Arabic"/>
          <w:bCs/>
          <w:color w:val="000000" w:themeColor="text1"/>
        </w:rPr>
      </w:pPr>
      <w:bookmarkStart w:id="71" w:name="_Toc242325232"/>
      <w:r w:rsidRPr="00545ABB">
        <w:rPr>
          <w:rFonts w:ascii="Traditional Arabic" w:hAnsi="Traditional Arabic" w:cs="Traditional Arabic"/>
          <w:bCs/>
          <w:color w:val="000000" w:themeColor="text1"/>
          <w:rtl/>
        </w:rPr>
        <w:t xml:space="preserve">الهياكل التنظيمية </w:t>
      </w:r>
      <w:r w:rsidRPr="00545ABB">
        <w:rPr>
          <w:rFonts w:ascii="Traditional Arabic" w:hAnsi="Traditional Arabic" w:cs="Traditional Arabic"/>
          <w:bCs/>
          <w:color w:val="000000" w:themeColor="text1"/>
        </w:rPr>
        <w:t>(Organizational Structures)</w:t>
      </w:r>
      <w:bookmarkEnd w:id="71"/>
    </w:p>
    <w:p w14:paraId="6E03866F"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تمثل الهياكل التنظيمية الكيانات الرئيسة المسؤولة عن اتخاذ القرارات داخل المؤسسة، مثل مجلس الإدارة، واللجان المتخصصة، والإدارة التنفيذية، والإدارات الفنية والرقابية</w:t>
      </w:r>
      <w:r w:rsidRPr="00545ABB">
        <w:rPr>
          <w:rFonts w:ascii="Traditional Arabic" w:hAnsi="Traditional Arabic" w:cs="Traditional Arabic"/>
          <w:bCs/>
          <w:color w:val="000000" w:themeColor="text1"/>
        </w:rPr>
        <w:t>.</w:t>
      </w:r>
    </w:p>
    <w:p w14:paraId="184951F4"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ويؤدي وضوح الهيكل التنظيمي إلى تحديد خطوط السلطة والمسؤولية والمساءلة، ويساعد على منع التداخل في الصلاحيات وتحسين سرعة وكفاءة اتخاذ القرار</w:t>
      </w:r>
      <w:r w:rsidRPr="00545ABB">
        <w:rPr>
          <w:rFonts w:ascii="Traditional Arabic" w:hAnsi="Traditional Arabic" w:cs="Traditional Arabic"/>
          <w:bCs/>
          <w:color w:val="000000" w:themeColor="text1"/>
        </w:rPr>
        <w:t>.</w:t>
      </w:r>
    </w:p>
    <w:p w14:paraId="4FD9BA68" w14:textId="40D62384" w:rsidR="0036585F" w:rsidRPr="00545ABB" w:rsidRDefault="0036585F" w:rsidP="00D95153">
      <w:pPr>
        <w:pStyle w:val="Heading3"/>
        <w:numPr>
          <w:ilvl w:val="0"/>
          <w:numId w:val="32"/>
        </w:numPr>
        <w:bidi/>
        <w:spacing w:line="360" w:lineRule="auto"/>
        <w:rPr>
          <w:rFonts w:ascii="Traditional Arabic" w:hAnsi="Traditional Arabic" w:cs="Traditional Arabic"/>
          <w:bCs/>
          <w:color w:val="000000" w:themeColor="text1"/>
        </w:rPr>
      </w:pPr>
      <w:bookmarkStart w:id="72" w:name="_Toc242325233"/>
      <w:r w:rsidRPr="00545ABB">
        <w:rPr>
          <w:rFonts w:ascii="Traditional Arabic" w:hAnsi="Traditional Arabic" w:cs="Traditional Arabic"/>
          <w:bCs/>
          <w:color w:val="000000" w:themeColor="text1"/>
          <w:rtl/>
        </w:rPr>
        <w:t xml:space="preserve">المبادئ والسياسات والإجراءات </w:t>
      </w:r>
      <w:r w:rsidRPr="00545ABB">
        <w:rPr>
          <w:rFonts w:ascii="Traditional Arabic" w:hAnsi="Traditional Arabic" w:cs="Traditional Arabic"/>
          <w:bCs/>
          <w:color w:val="000000" w:themeColor="text1"/>
        </w:rPr>
        <w:t>(Principles, Policies and Procedures)</w:t>
      </w:r>
      <w:bookmarkEnd w:id="72"/>
    </w:p>
    <w:p w14:paraId="6ED10D88"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تعمل المبادئ والسياسات والإجراءات على ترجمة التوجهات العامة والسلوك المطلوب إلى إرشادات وضوابط عملية يمكن تطبيقها في الإدارة اليومية للمؤسسة</w:t>
      </w:r>
      <w:r w:rsidRPr="00545ABB">
        <w:rPr>
          <w:rFonts w:ascii="Traditional Arabic" w:hAnsi="Traditional Arabic" w:cs="Traditional Arabic"/>
          <w:bCs/>
          <w:color w:val="000000" w:themeColor="text1"/>
        </w:rPr>
        <w:t>.</w:t>
      </w:r>
    </w:p>
    <w:p w14:paraId="65010DDE"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وتحدد المبادئ التوجه العام، بينما تضع السياسات القواعد والالتزامات التي يجب اتباعها، في حين توضح الإجراءات الكيفية العملية لتنفيذ تلك السياسات بصورة متسقة وقابلة للمتابعة</w:t>
      </w:r>
      <w:r w:rsidRPr="00545ABB">
        <w:rPr>
          <w:rFonts w:ascii="Traditional Arabic" w:hAnsi="Traditional Arabic" w:cs="Traditional Arabic"/>
          <w:bCs/>
          <w:color w:val="000000" w:themeColor="text1"/>
        </w:rPr>
        <w:t>.</w:t>
      </w:r>
    </w:p>
    <w:p w14:paraId="747DFA67" w14:textId="78A21011" w:rsidR="0036585F" w:rsidRPr="00545ABB" w:rsidRDefault="0036585F" w:rsidP="00D95153">
      <w:pPr>
        <w:pStyle w:val="Heading3"/>
        <w:numPr>
          <w:ilvl w:val="0"/>
          <w:numId w:val="32"/>
        </w:numPr>
        <w:bidi/>
        <w:spacing w:line="360" w:lineRule="auto"/>
        <w:rPr>
          <w:rFonts w:ascii="Traditional Arabic" w:hAnsi="Traditional Arabic" w:cs="Traditional Arabic"/>
          <w:bCs/>
          <w:color w:val="000000" w:themeColor="text1"/>
        </w:rPr>
      </w:pPr>
      <w:bookmarkStart w:id="73" w:name="_Toc242325234"/>
      <w:r w:rsidRPr="00545ABB">
        <w:rPr>
          <w:rFonts w:ascii="Traditional Arabic" w:hAnsi="Traditional Arabic" w:cs="Traditional Arabic"/>
          <w:bCs/>
          <w:color w:val="000000" w:themeColor="text1"/>
          <w:rtl/>
        </w:rPr>
        <w:t xml:space="preserve">المعلومات </w:t>
      </w:r>
      <w:r w:rsidRPr="00545ABB">
        <w:rPr>
          <w:rFonts w:ascii="Traditional Arabic" w:hAnsi="Traditional Arabic" w:cs="Traditional Arabic"/>
          <w:bCs/>
          <w:color w:val="000000" w:themeColor="text1"/>
        </w:rPr>
        <w:t>(Information)</w:t>
      </w:r>
      <w:bookmarkEnd w:id="73"/>
    </w:p>
    <w:p w14:paraId="1FFC2BD2"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تمثل المعلومات أحد العناصر الأساسية في أي مؤسسة، وتشمل البيانات والمعلومات التي يتم إنتاجها واستخدامها وتبادلها لدعم العمليات والقرارات. ويركز</w:t>
      </w:r>
      <w:r w:rsidRPr="00545ABB">
        <w:rPr>
          <w:rFonts w:ascii="Traditional Arabic" w:hAnsi="Traditional Arabic" w:cs="Traditional Arabic"/>
          <w:bCs/>
          <w:color w:val="000000" w:themeColor="text1"/>
        </w:rPr>
        <w:t xml:space="preserve"> COBIT </w:t>
      </w:r>
      <w:r w:rsidRPr="00545ABB">
        <w:rPr>
          <w:rFonts w:ascii="Traditional Arabic" w:hAnsi="Traditional Arabic" w:cs="Traditional Arabic"/>
          <w:bCs/>
          <w:color w:val="000000" w:themeColor="text1"/>
          <w:rtl/>
        </w:rPr>
        <w:t>بصورة خاصة على المعلومات اللازمة لتحقيق الأداء الفعال لنظام الحوكمة والإدارة</w:t>
      </w:r>
      <w:r w:rsidRPr="00545ABB">
        <w:rPr>
          <w:rFonts w:ascii="Traditional Arabic" w:hAnsi="Traditional Arabic" w:cs="Traditional Arabic"/>
          <w:bCs/>
          <w:color w:val="000000" w:themeColor="text1"/>
        </w:rPr>
        <w:t>.</w:t>
      </w:r>
    </w:p>
    <w:p w14:paraId="2829C812"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وتساعد جودة المعلومات من حيث الدقة، والاكتمال، والتوقيت، والموثوقية، وسهولة الوصول، على دعم اتخاذ القرار وتحسين الرقابة ورفع مستوى المساءلة والشفافية داخل المؤسسة</w:t>
      </w:r>
      <w:r w:rsidRPr="00545ABB">
        <w:rPr>
          <w:rFonts w:ascii="Traditional Arabic" w:hAnsi="Traditional Arabic" w:cs="Traditional Arabic"/>
          <w:bCs/>
          <w:color w:val="000000" w:themeColor="text1"/>
        </w:rPr>
        <w:t>.</w:t>
      </w:r>
    </w:p>
    <w:p w14:paraId="65ED1787" w14:textId="5EAF6186" w:rsidR="0036585F" w:rsidRPr="00545ABB" w:rsidRDefault="0036585F" w:rsidP="00D95153">
      <w:pPr>
        <w:pStyle w:val="Heading3"/>
        <w:numPr>
          <w:ilvl w:val="0"/>
          <w:numId w:val="32"/>
        </w:numPr>
        <w:bidi/>
        <w:spacing w:line="360" w:lineRule="auto"/>
        <w:rPr>
          <w:rFonts w:ascii="Traditional Arabic" w:hAnsi="Traditional Arabic" w:cs="Traditional Arabic"/>
          <w:bCs/>
          <w:color w:val="000000" w:themeColor="text1"/>
        </w:rPr>
      </w:pPr>
      <w:bookmarkStart w:id="74" w:name="_Toc242325235"/>
      <w:r w:rsidRPr="00545ABB">
        <w:rPr>
          <w:rFonts w:ascii="Traditional Arabic" w:hAnsi="Traditional Arabic" w:cs="Traditional Arabic"/>
          <w:bCs/>
          <w:color w:val="000000" w:themeColor="text1"/>
          <w:rtl/>
        </w:rPr>
        <w:lastRenderedPageBreak/>
        <w:t xml:space="preserve">الثقافة والأخلاقيات والسلوك </w:t>
      </w:r>
      <w:r w:rsidRPr="00545ABB">
        <w:rPr>
          <w:rFonts w:ascii="Traditional Arabic" w:hAnsi="Traditional Arabic" w:cs="Traditional Arabic"/>
          <w:bCs/>
          <w:color w:val="000000" w:themeColor="text1"/>
        </w:rPr>
        <w:t>(Culture, Ethics and Behavior)</w:t>
      </w:r>
      <w:bookmarkEnd w:id="74"/>
    </w:p>
    <w:p w14:paraId="53AC90B3"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تمثل الثقافة المؤسسية والأخلاقيات وسلوك الأفراد عناصر مؤثرة بصورة كبيرة في نجاح الحوكمة والإدارة، رغم أنه قد يتم التقليل من أهميتها مقارنة بالعناصر التقنية أو التنظيمية</w:t>
      </w:r>
      <w:r w:rsidRPr="00545ABB">
        <w:rPr>
          <w:rFonts w:ascii="Traditional Arabic" w:hAnsi="Traditional Arabic" w:cs="Traditional Arabic"/>
          <w:bCs/>
          <w:color w:val="000000" w:themeColor="text1"/>
        </w:rPr>
        <w:t>.</w:t>
      </w:r>
    </w:p>
    <w:p w14:paraId="1E380A22"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وتؤثر الثقافة التنظيمية في مدى التزام العاملين بالسياسات والإجراءات، وفي مستوى تحمل المسؤولية، والشفافية، وإدارة المخاطر، والاستجابة للتغيير. ولذلك فإن وجود ثقافة مؤسسية تدعم الحوكمة والالتزام يمثل عنصرًا أساسيًا في نجاح النظام ككل</w:t>
      </w:r>
      <w:r w:rsidRPr="00545ABB">
        <w:rPr>
          <w:rFonts w:ascii="Traditional Arabic" w:hAnsi="Traditional Arabic" w:cs="Traditional Arabic"/>
          <w:bCs/>
          <w:color w:val="000000" w:themeColor="text1"/>
        </w:rPr>
        <w:t>.</w:t>
      </w:r>
    </w:p>
    <w:p w14:paraId="66E96B6D" w14:textId="709E98FC" w:rsidR="0036585F" w:rsidRPr="00545ABB" w:rsidRDefault="0036585F" w:rsidP="00D95153">
      <w:pPr>
        <w:pStyle w:val="Heading3"/>
        <w:numPr>
          <w:ilvl w:val="0"/>
          <w:numId w:val="32"/>
        </w:numPr>
        <w:bidi/>
        <w:spacing w:line="360" w:lineRule="auto"/>
        <w:rPr>
          <w:rFonts w:ascii="Traditional Arabic" w:hAnsi="Traditional Arabic" w:cs="Traditional Arabic"/>
          <w:bCs/>
          <w:color w:val="000000" w:themeColor="text1"/>
        </w:rPr>
      </w:pPr>
      <w:bookmarkStart w:id="75" w:name="_Toc242325236"/>
      <w:r w:rsidRPr="00545ABB">
        <w:rPr>
          <w:rFonts w:ascii="Traditional Arabic" w:hAnsi="Traditional Arabic" w:cs="Traditional Arabic"/>
          <w:bCs/>
          <w:color w:val="000000" w:themeColor="text1"/>
          <w:rtl/>
        </w:rPr>
        <w:t xml:space="preserve">الأشخاص والمهارات والكفاءات </w:t>
      </w:r>
      <w:r w:rsidRPr="00545ABB">
        <w:rPr>
          <w:rFonts w:ascii="Traditional Arabic" w:hAnsi="Traditional Arabic" w:cs="Traditional Arabic"/>
          <w:bCs/>
          <w:color w:val="000000" w:themeColor="text1"/>
        </w:rPr>
        <w:t>(People, Skills and Competencies)</w:t>
      </w:r>
      <w:bookmarkEnd w:id="75"/>
    </w:p>
    <w:p w14:paraId="23CB33D4"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يمثل الأفراد والمهارات والكفاءات عنصرًا رئيسًا في قدرة المؤسسة على اتخاذ القرارات السليمة وتنفيذ الأنشطة وتحقيق الأهداف. ويتطلب نظام الحوكمة الفعال توافر كوادر تمتلك المعرفة والخبرة والقدرات اللازمة للقيام بالمسؤوليات الموكلة إليها</w:t>
      </w:r>
      <w:r w:rsidRPr="00545ABB">
        <w:rPr>
          <w:rFonts w:ascii="Traditional Arabic" w:hAnsi="Traditional Arabic" w:cs="Traditional Arabic"/>
          <w:bCs/>
          <w:color w:val="000000" w:themeColor="text1"/>
        </w:rPr>
        <w:t>.</w:t>
      </w:r>
    </w:p>
    <w:p w14:paraId="45900FD3"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كما تسهم الكفاءات البشرية في اكتشاف المشكلات واتخاذ الإجراءات التصحيحية وتنفيذ المهام ومتابعة الأداء، وهو ما يجعل تنمية المهارات والتدريب المستمر جزءًا أساسيًا من نجاح الحوكمة</w:t>
      </w:r>
      <w:r w:rsidRPr="00545ABB">
        <w:rPr>
          <w:rFonts w:ascii="Traditional Arabic" w:hAnsi="Traditional Arabic" w:cs="Traditional Arabic"/>
          <w:bCs/>
          <w:color w:val="000000" w:themeColor="text1"/>
        </w:rPr>
        <w:t>.</w:t>
      </w:r>
    </w:p>
    <w:p w14:paraId="42BBFA41" w14:textId="348BF4CC" w:rsidR="0036585F" w:rsidRPr="00545ABB" w:rsidRDefault="0036585F" w:rsidP="00D95153">
      <w:pPr>
        <w:pStyle w:val="Heading3"/>
        <w:numPr>
          <w:ilvl w:val="0"/>
          <w:numId w:val="32"/>
        </w:numPr>
        <w:bidi/>
        <w:spacing w:line="360" w:lineRule="auto"/>
        <w:rPr>
          <w:rFonts w:ascii="Traditional Arabic" w:hAnsi="Traditional Arabic" w:cs="Traditional Arabic"/>
          <w:bCs/>
          <w:color w:val="000000" w:themeColor="text1"/>
        </w:rPr>
      </w:pPr>
      <w:bookmarkStart w:id="76" w:name="_Toc242325237"/>
      <w:r w:rsidRPr="00545ABB">
        <w:rPr>
          <w:rFonts w:ascii="Traditional Arabic" w:hAnsi="Traditional Arabic" w:cs="Traditional Arabic"/>
          <w:bCs/>
          <w:color w:val="000000" w:themeColor="text1"/>
          <w:rtl/>
        </w:rPr>
        <w:t xml:space="preserve">الخدمات والبنية التحتية والتطبيقات </w:t>
      </w:r>
      <w:r w:rsidRPr="00545ABB">
        <w:rPr>
          <w:rFonts w:ascii="Traditional Arabic" w:hAnsi="Traditional Arabic" w:cs="Traditional Arabic"/>
          <w:bCs/>
          <w:color w:val="000000" w:themeColor="text1"/>
        </w:rPr>
        <w:t>(Services, Infrastructure and Applications)</w:t>
      </w:r>
      <w:bookmarkEnd w:id="76"/>
    </w:p>
    <w:p w14:paraId="407C58F8"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تشمل هذه المكونات الخدمات التقنية والبنية التحتية والتطبيقات والأنظمة التي تستخدمها المؤسسة في تنفيذ أعمالها وتحقيق أهدافها. وتمثل البيئة التقنية التي تدعم تطبيق نظام الحوكمة وإدارة المعلومات والتقنية</w:t>
      </w:r>
      <w:r w:rsidRPr="00545ABB">
        <w:rPr>
          <w:rFonts w:ascii="Traditional Arabic" w:hAnsi="Traditional Arabic" w:cs="Traditional Arabic"/>
          <w:bCs/>
          <w:color w:val="000000" w:themeColor="text1"/>
        </w:rPr>
        <w:t>.</w:t>
      </w:r>
    </w:p>
    <w:p w14:paraId="7D6DF543"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 xml:space="preserve">وتساعد كفاءة هذه الخدمات والبنى والتطبيقات على ضمان استمرارية الأعمال، وتحسين الأداء، وتقليل المخاطر، ودعم قدرة المؤسسة على تنفيذ السياسات والضوابط والعمليات بطريقة فعالة </w:t>
      </w:r>
      <w:r w:rsidRPr="00545ABB">
        <w:rPr>
          <w:rFonts w:ascii="Traditional Arabic" w:hAnsi="Traditional Arabic" w:cs="Traditional Arabic"/>
          <w:bCs/>
          <w:color w:val="000000" w:themeColor="text1"/>
        </w:rPr>
        <w:t>(ISACA, 2019).</w:t>
      </w:r>
    </w:p>
    <w:p w14:paraId="7E66FD01"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وتوضح هذه المكونات أن نظام الحوكمة لا يعتمد على عنصر واحد بصورة منفردة، بل يقوم على التكامل بين العناصر التنظيمية والبشرية والتقنية والمعلوماتية. فوجود عمليات واضحة دون هياكل تنظيمية مناسبة أو كوادر مؤهلة قد يحد من فاعلية الحوكمة، كما أن توفر التقنيات المتقدمة دون سياسات وثقافة مؤسسية داعمة قد لا يحقق النتائج المطلوبة</w:t>
      </w:r>
      <w:r w:rsidRPr="00545ABB">
        <w:rPr>
          <w:rFonts w:ascii="Traditional Arabic" w:hAnsi="Traditional Arabic" w:cs="Traditional Arabic"/>
          <w:bCs/>
          <w:color w:val="000000" w:themeColor="text1"/>
        </w:rPr>
        <w:t>.</w:t>
      </w:r>
    </w:p>
    <w:p w14:paraId="5004FE55"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lastRenderedPageBreak/>
        <w:t>وتكتسب مكونات نظام الحوكمة أهمية خاصة في شركات الأمن السيبراني، نظرًا لاعتماد هذه الشركات بدرجة كبيرة على الكفاءات المتخصصة والتقنيات الحديثة والمعلومات الحساسة. ولذلك فإن تحقيق التكامل بين العمليات، والهياكل التنظيمية، والسياسات، والمعلومات، والثقافة المؤسسية، والمهارات، والبنية التحتية التقنية يمثل أساسًا مهمًا لبناء حوكمة فعالة</w:t>
      </w:r>
      <w:r w:rsidRPr="00545ABB">
        <w:rPr>
          <w:rFonts w:ascii="Traditional Arabic" w:hAnsi="Traditional Arabic" w:cs="Traditional Arabic"/>
          <w:bCs/>
          <w:color w:val="000000" w:themeColor="text1"/>
        </w:rPr>
        <w:t>.</w:t>
      </w:r>
    </w:p>
    <w:p w14:paraId="6A9DDD2A"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Fonts w:ascii="Traditional Arabic" w:hAnsi="Traditional Arabic" w:cs="Traditional Arabic"/>
          <w:bCs/>
          <w:color w:val="000000" w:themeColor="text1"/>
          <w:rtl/>
        </w:rPr>
        <w:t>وبالنسبة لشركات الأمن السيبراني الناشئة، يمكن تطبيق هذه المكونات بصورة تدريجية تتناسب مع حجم الشركة ومرحلة نموها، بحيث تبدأ بتحديد الهياكل والمسؤوليات والسياسات الأساسية، ثم تتوسع في تطوير العمليات والضوابط والمهارات والبنية التقنية مع تطور الأعمال. ويساعد هذا النهج على تجنب التعقيد الإداري في المراحل المبكرة، وفي الوقت نفسه يوفر أساسًا منظمًا يمكن البناء عليه مع نمو الشركة وتوسعها</w:t>
      </w:r>
      <w:r w:rsidRPr="00545ABB">
        <w:rPr>
          <w:rFonts w:ascii="Traditional Arabic" w:hAnsi="Traditional Arabic" w:cs="Traditional Arabic"/>
          <w:bCs/>
          <w:color w:val="000000" w:themeColor="text1"/>
        </w:rPr>
        <w:t>.</w:t>
      </w:r>
    </w:p>
    <w:p w14:paraId="453A8FBD" w14:textId="77777777" w:rsidR="0036585F" w:rsidRPr="00545ABB" w:rsidRDefault="0036585F" w:rsidP="0036585F">
      <w:pPr>
        <w:pStyle w:val="NormalWeb"/>
        <w:bidi/>
        <w:spacing w:line="360" w:lineRule="auto"/>
        <w:rPr>
          <w:rFonts w:ascii="Traditional Arabic" w:hAnsi="Traditional Arabic" w:cs="Traditional Arabic"/>
          <w:bCs/>
          <w:color w:val="000000" w:themeColor="text1"/>
        </w:rPr>
      </w:pPr>
      <w:r w:rsidRPr="00545ABB">
        <w:rPr>
          <w:rStyle w:val="Strong"/>
          <w:rFonts w:ascii="Traditional Arabic" w:hAnsi="Traditional Arabic" w:cs="Traditional Arabic"/>
          <w:b w:val="0"/>
          <w:color w:val="000000" w:themeColor="text1"/>
          <w:rtl/>
        </w:rPr>
        <w:t xml:space="preserve">المصدر: إعداد الباحث بالاعتماد على </w:t>
      </w:r>
      <w:r w:rsidRPr="00545ABB">
        <w:rPr>
          <w:rStyle w:val="Strong"/>
          <w:rFonts w:ascii="Traditional Arabic" w:hAnsi="Traditional Arabic" w:cs="Traditional Arabic"/>
          <w:b w:val="0"/>
          <w:color w:val="000000" w:themeColor="text1"/>
        </w:rPr>
        <w:t>ISACA (2019).</w:t>
      </w:r>
    </w:p>
    <w:p w14:paraId="5BE6D9C8" w14:textId="77777777" w:rsidR="0036585F" w:rsidRPr="00545ABB" w:rsidRDefault="0036585F" w:rsidP="00022590">
      <w:pPr>
        <w:spacing w:after="0" w:line="360" w:lineRule="auto"/>
        <w:ind w:left="360"/>
        <w:jc w:val="center"/>
        <w:rPr>
          <w:rFonts w:ascii="Traditional Arabic" w:eastAsia="Times New Roman" w:hAnsi="Traditional Arabic" w:cs="Traditional Arabic"/>
          <w:b/>
          <w:bCs/>
          <w:color w:val="000000" w:themeColor="text1"/>
          <w:sz w:val="28"/>
          <w:szCs w:val="28"/>
          <w:rtl/>
        </w:rPr>
      </w:pPr>
    </w:p>
    <w:p w14:paraId="633C12F3" w14:textId="5F2CFCB0" w:rsidR="00FE45D5" w:rsidRPr="00545ABB" w:rsidRDefault="00FE45D5" w:rsidP="00022590">
      <w:pPr>
        <w:spacing w:after="0" w:line="360" w:lineRule="auto"/>
        <w:ind w:left="360"/>
        <w:jc w:val="center"/>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noProof/>
          <w:color w:val="000000" w:themeColor="text1"/>
          <w:sz w:val="28"/>
          <w:szCs w:val="28"/>
          <w:rtl/>
        </w:rPr>
        <w:drawing>
          <wp:inline distT="0" distB="0" distL="0" distR="0" wp14:anchorId="5BDB6C44" wp14:editId="20EAB17A">
            <wp:extent cx="4603750" cy="3258185"/>
            <wp:effectExtent l="0" t="0" r="0" b="18415"/>
            <wp:docPr id="74198144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A31FFA2" w14:textId="621F58BD" w:rsidR="006D0EBD" w:rsidRPr="00545ABB" w:rsidRDefault="00903EC6" w:rsidP="00022590">
      <w:pPr>
        <w:tabs>
          <w:tab w:val="right" w:pos="180"/>
        </w:tabs>
        <w:spacing w:after="0" w:line="360" w:lineRule="auto"/>
        <w:jc w:val="center"/>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ال</w:t>
      </w:r>
      <w:r w:rsidRPr="00903EC6">
        <w:rPr>
          <w:rFonts w:ascii="Traditional Arabic" w:eastAsia="Times New Roman" w:hAnsi="Traditional Arabic" w:cs="Traditional Arabic"/>
          <w:b/>
          <w:bCs/>
          <w:color w:val="000000" w:themeColor="text1"/>
          <w:sz w:val="28"/>
          <w:szCs w:val="28"/>
          <w:rtl/>
        </w:rPr>
        <w:t>شكل (2-4)</w:t>
      </w:r>
      <w:r w:rsidR="006D0EBD" w:rsidRPr="00545ABB">
        <w:rPr>
          <w:rFonts w:ascii="Traditional Arabic" w:eastAsia="Times New Roman" w:hAnsi="Traditional Arabic" w:cs="Traditional Arabic"/>
          <w:b/>
          <w:bCs/>
          <w:color w:val="000000" w:themeColor="text1"/>
          <w:sz w:val="28"/>
          <w:szCs w:val="28"/>
          <w:rtl/>
        </w:rPr>
        <w:t>مكونات نظام الحوكمة</w:t>
      </w:r>
    </w:p>
    <w:p w14:paraId="12AFE400" w14:textId="6835942E" w:rsidR="00FE45D5" w:rsidRPr="00545ABB" w:rsidRDefault="006D0EBD" w:rsidP="00022590">
      <w:pPr>
        <w:spacing w:after="0" w:line="360" w:lineRule="auto"/>
        <w:jc w:val="center"/>
        <w:rPr>
          <w:rFonts w:ascii="Traditional Arabic" w:eastAsia="Times New Roman" w:hAnsi="Traditional Arabic" w:cs="Traditional Arabic"/>
          <w:color w:val="000000" w:themeColor="text1"/>
          <w:rtl/>
        </w:rPr>
      </w:pPr>
      <w:r w:rsidRPr="00545ABB">
        <w:rPr>
          <w:rFonts w:ascii="Traditional Arabic" w:eastAsia="Times New Roman" w:hAnsi="Traditional Arabic" w:cs="Traditional Arabic"/>
          <w:color w:val="000000" w:themeColor="text1"/>
          <w:rtl/>
        </w:rPr>
        <w:t>المصدر:</w:t>
      </w:r>
      <w:r w:rsidRPr="00545ABB">
        <w:rPr>
          <w:rFonts w:ascii="Traditional Arabic" w:eastAsia="Times New Roman" w:hAnsi="Traditional Arabic" w:cs="Traditional Arabic"/>
          <w:color w:val="000000" w:themeColor="text1"/>
        </w:rPr>
        <w:t xml:space="preserve"> </w:t>
      </w:r>
      <w:r w:rsidRPr="00545ABB">
        <w:rPr>
          <w:rFonts w:ascii="Traditional Arabic" w:eastAsia="Times New Roman" w:hAnsi="Traditional Arabic" w:cs="Traditional Arabic"/>
          <w:color w:val="000000" w:themeColor="text1"/>
          <w:rtl/>
        </w:rPr>
        <w:t>2018,</w:t>
      </w:r>
      <w:r w:rsidRPr="00545ABB">
        <w:rPr>
          <w:rFonts w:ascii="Traditional Arabic" w:eastAsia="Times New Roman" w:hAnsi="Traditional Arabic" w:cs="Traditional Arabic"/>
          <w:color w:val="000000" w:themeColor="text1"/>
        </w:rPr>
        <w:t xml:space="preserve"> ISACA</w:t>
      </w:r>
      <w:r w:rsidR="00FE45D5" w:rsidRPr="00545ABB">
        <w:rPr>
          <w:rFonts w:ascii="Traditional Arabic" w:eastAsia="Times New Roman" w:hAnsi="Traditional Arabic" w:cs="Traditional Arabic"/>
          <w:color w:val="000000" w:themeColor="text1"/>
        </w:rPr>
        <w:t>®</w:t>
      </w:r>
      <w:r w:rsidRPr="00545ABB">
        <w:rPr>
          <w:rFonts w:ascii="Traditional Arabic" w:eastAsia="Times New Roman" w:hAnsi="Traditional Arabic" w:cs="Traditional Arabic"/>
          <w:color w:val="000000" w:themeColor="text1"/>
        </w:rPr>
        <w:t>, COBIT® 2019</w:t>
      </w:r>
      <w:r w:rsidR="00FE45D5" w:rsidRPr="00545ABB">
        <w:rPr>
          <w:rFonts w:ascii="Traditional Arabic" w:eastAsia="Times New Roman" w:hAnsi="Traditional Arabic" w:cs="Traditional Arabic"/>
          <w:color w:val="000000" w:themeColor="text1"/>
        </w:rPr>
        <w:t xml:space="preserve"> Framework: Introduction and Methodology, USA</w:t>
      </w:r>
    </w:p>
    <w:p w14:paraId="2BF9C499" w14:textId="77777777" w:rsidR="00FD02DA" w:rsidRPr="00545ABB" w:rsidRDefault="00FD02DA" w:rsidP="00FD02DA">
      <w:pPr>
        <w:pStyle w:val="Heading2"/>
        <w:bidi/>
        <w:spacing w:line="360" w:lineRule="auto"/>
        <w:rPr>
          <w:rFonts w:ascii="Traditional Arabic" w:hAnsi="Traditional Arabic" w:cs="Traditional Arabic"/>
          <w:b/>
          <w:bCs/>
          <w:color w:val="000000" w:themeColor="text1"/>
        </w:rPr>
      </w:pPr>
      <w:bookmarkStart w:id="77" w:name="_Toc242325238"/>
      <w:r w:rsidRPr="00545ABB">
        <w:rPr>
          <w:rFonts w:ascii="Traditional Arabic" w:hAnsi="Traditional Arabic" w:cs="Traditional Arabic"/>
          <w:b/>
          <w:bCs/>
          <w:color w:val="000000" w:themeColor="text1"/>
          <w:rtl/>
        </w:rPr>
        <w:lastRenderedPageBreak/>
        <w:t>خصائص حوكمة الشركات</w:t>
      </w:r>
      <w:bookmarkEnd w:id="77"/>
    </w:p>
    <w:p w14:paraId="27F7EC10"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يشير مفهوم حوكمة الشركات إلى مجموعة من الخصائص والممارسات التي تهدف إلى تعزيز الانضباط المؤسسي، ورفع مستوى الشفافية والمساءلة، وتحسين جودة القرارات، وضمان وجود قدر مناسب من الاستقلالية في عمليات الرقابة والإدارة. ومن أبرز هذه الخصائص ما يلي</w:t>
      </w:r>
      <w:r w:rsidRPr="00545ABB">
        <w:rPr>
          <w:rFonts w:ascii="Traditional Arabic" w:hAnsi="Traditional Arabic" w:cs="Traditional Arabic"/>
          <w:b/>
          <w:bCs/>
          <w:color w:val="000000" w:themeColor="text1"/>
        </w:rPr>
        <w:t>:</w:t>
      </w:r>
    </w:p>
    <w:p w14:paraId="6D27EA6A"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الانضباط</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ويقصد به التزام أعضاء مجلس الإدارة والإدارة التنفيذية والعاملين بالسلوك المهني والأخلاقي، واحترام الأنظمة والسياسات والإجراءات المعتمدة، بما يضمن تنفيذ الأعمال بطريقة منظمة ومسؤولة</w:t>
      </w:r>
      <w:r w:rsidRPr="00545ABB">
        <w:rPr>
          <w:rFonts w:ascii="Traditional Arabic" w:hAnsi="Traditional Arabic" w:cs="Traditional Arabic"/>
          <w:b/>
          <w:bCs/>
          <w:color w:val="000000" w:themeColor="text1"/>
        </w:rPr>
        <w:t>.</w:t>
      </w:r>
    </w:p>
    <w:p w14:paraId="2F58E516"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الشفافية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وتعني توفير معلومات واضحة ودقيقة وفي الوقت المناسب عن أوضاع الشركة وقراراتها وأدائها، بما يتيح للمساهمين وأصحاب المصالح تكوين صورة حقيقية عن وضع الشركة ومستوى أدائها</w:t>
      </w:r>
      <w:r w:rsidRPr="00545ABB">
        <w:rPr>
          <w:rFonts w:ascii="Traditional Arabic" w:hAnsi="Traditional Arabic" w:cs="Traditional Arabic"/>
          <w:b/>
          <w:bCs/>
          <w:color w:val="000000" w:themeColor="text1"/>
        </w:rPr>
        <w:t>.</w:t>
      </w:r>
    </w:p>
    <w:p w14:paraId="00594B26"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الاستقلالية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وتشير إلى قدرة مجلس الإدارة والجهات الرقابية على ممارسة مهامها واتخاذ قراراتها بعيدًا عن الضغوط أو التأثيرات غير المناسبة التي قد تؤثر في موضوعية القرارات أو نزاهتها</w:t>
      </w:r>
      <w:r w:rsidRPr="00545ABB">
        <w:rPr>
          <w:rFonts w:ascii="Traditional Arabic" w:hAnsi="Traditional Arabic" w:cs="Traditional Arabic"/>
          <w:b/>
          <w:bCs/>
          <w:color w:val="000000" w:themeColor="text1"/>
        </w:rPr>
        <w:t>.</w:t>
      </w:r>
    </w:p>
    <w:p w14:paraId="7CA48F39"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المساءلة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وتعني خضوع مجلس الإدارة والإدارة التنفيذية للمراجعة والتقييم عن القرارات والأعمال والنتائج التي يتم تحقيقها، مع وجود آليات واضحة لتحديد المسؤوليات ومتابعة الأداء واتخاذ الإجراءات التصحيحية عند الحاجة</w:t>
      </w:r>
      <w:r w:rsidRPr="00545ABB">
        <w:rPr>
          <w:rFonts w:ascii="Traditional Arabic" w:hAnsi="Traditional Arabic" w:cs="Traditional Arabic"/>
          <w:b/>
          <w:bCs/>
          <w:color w:val="000000" w:themeColor="text1"/>
        </w:rPr>
        <w:t>.</w:t>
      </w:r>
    </w:p>
    <w:p w14:paraId="5017742B" w14:textId="76B10BE5"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ولا تقتصر خصائص الحوكمة على الجوانب السلوكية والتنظيمية، بل تمتد إلى عدد من الخصائص الهيكلية التي تعكس مستوى نضج نظام الحوكمة داخل الشركة. ومن أبرز هذه الخصائص: حجم مجلس الإدارة، واستقلالية أعضائه، والفصل بين وظيفة رئيس مجلس الإدارة والرئيس التنفيذي، وحجم مكتب المراجعة، إضافة إلى خصائص هيكل الملكية مثل ملكية المؤسسات، وملكية أعضاء مجلس الإدارة، والملكية الحكومية (سليمان، 2016، ص</w:t>
      </w:r>
      <w:r w:rsidRPr="00545ABB">
        <w:rPr>
          <w:rFonts w:ascii="Traditional Arabic" w:hAnsi="Traditional Arabic" w:cs="Traditional Arabic"/>
          <w:b/>
          <w:bCs/>
          <w:color w:val="000000" w:themeColor="text1"/>
        </w:rPr>
        <w:t>. 14</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2ED08497"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وتساعد هذه الخصائص على رفع مستوى الرقابة وتقليل احتمالات تضارب المصالح، كما تسهم في تحسين جودة القرارات وزيادة الثقة بين الشركة والمساهمين وأصحاب المصالح</w:t>
      </w:r>
      <w:r w:rsidRPr="00545ABB">
        <w:rPr>
          <w:rFonts w:ascii="Traditional Arabic" w:hAnsi="Traditional Arabic" w:cs="Traditional Arabic"/>
          <w:b/>
          <w:bCs/>
          <w:color w:val="000000" w:themeColor="text1"/>
        </w:rPr>
        <w:t>.</w:t>
      </w:r>
    </w:p>
    <w:p w14:paraId="107B6F13"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هذه الخصائص أهمية خاصة في شركات الأمن السيبراني الناشئة، حيث يمكن أن يؤدي النمو السريع ومحدودية الموارد وتركيز الصلاحيات لدى المؤسسين إلى زيادة احتمالات التداخل بين الملكية والإدارة واتخاذ القرار. ومن ثم، فإن وجود مستويات مناسبة من الاستقلالية والشفافية والمساءلة يساعد على بناء هيكل مؤسسي أكثر توازنًا واستدامة</w:t>
      </w:r>
      <w:r w:rsidRPr="00545ABB">
        <w:rPr>
          <w:rFonts w:ascii="Traditional Arabic" w:hAnsi="Traditional Arabic" w:cs="Traditional Arabic"/>
          <w:b/>
          <w:bCs/>
          <w:color w:val="000000" w:themeColor="text1"/>
        </w:rPr>
        <w:t>.</w:t>
      </w:r>
    </w:p>
    <w:p w14:paraId="6A60D3B0"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أن طبيعة شركات الأمن السيبراني تتطلب مستوى مرتفعًا من الانضباط المؤسسي نظرًا لتعاملها مع معلومات وبيانات وأنظمة حساسة، الأمر الذي يجعل الالتزام بالسياسات والمعايير والضوابط عنصرًا مهمًا في تعزيز الثقة وتقليل المخاطر التشغيلية والتنظيمية</w:t>
      </w:r>
      <w:r w:rsidRPr="00545ABB">
        <w:rPr>
          <w:rFonts w:ascii="Traditional Arabic" w:hAnsi="Traditional Arabic" w:cs="Traditional Arabic"/>
          <w:b/>
          <w:bCs/>
          <w:color w:val="000000" w:themeColor="text1"/>
        </w:rPr>
        <w:t>.</w:t>
      </w:r>
    </w:p>
    <w:p w14:paraId="1FA5F216" w14:textId="77777777" w:rsidR="00FD02DA" w:rsidRPr="00545ABB" w:rsidRDefault="00FD02DA" w:rsidP="00FD02DA">
      <w:pPr>
        <w:pStyle w:val="Heading2"/>
        <w:bidi/>
        <w:spacing w:line="360" w:lineRule="auto"/>
        <w:rPr>
          <w:rFonts w:ascii="Traditional Arabic" w:hAnsi="Traditional Arabic" w:cs="Traditional Arabic"/>
          <w:b/>
          <w:bCs/>
          <w:color w:val="000000" w:themeColor="text1"/>
          <w:sz w:val="28"/>
          <w:szCs w:val="28"/>
        </w:rPr>
      </w:pPr>
      <w:bookmarkStart w:id="78" w:name="_Toc242325239"/>
      <w:r w:rsidRPr="00545ABB">
        <w:rPr>
          <w:rFonts w:ascii="Traditional Arabic" w:hAnsi="Traditional Arabic" w:cs="Traditional Arabic"/>
          <w:b/>
          <w:bCs/>
          <w:color w:val="000000" w:themeColor="text1"/>
          <w:sz w:val="28"/>
          <w:szCs w:val="28"/>
          <w:rtl/>
        </w:rPr>
        <w:t>محددات الحوكمة</w:t>
      </w:r>
      <w:bookmarkEnd w:id="78"/>
    </w:p>
    <w:p w14:paraId="3C450617" w14:textId="2D26C231"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تتأثر فعالية الحوكمة بمجموعة من المحددات التي تشكل البيئة التي يعمل في إطارها نظام الحوكمة، ويمكن تقسيمها إلى محددات داخلية ومحددات خارجية (النوباني وصدقي، 2016، ص</w:t>
      </w:r>
      <w:r w:rsidRPr="00545ABB">
        <w:rPr>
          <w:rFonts w:ascii="Traditional Arabic" w:hAnsi="Traditional Arabic" w:cs="Traditional Arabic"/>
          <w:b/>
          <w:bCs/>
          <w:color w:val="000000" w:themeColor="text1"/>
        </w:rPr>
        <w:t>. 17</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3F0780DD" w14:textId="77777777" w:rsidR="00FD02DA" w:rsidRPr="00545ABB" w:rsidRDefault="00FD02DA" w:rsidP="00FD02DA">
      <w:pPr>
        <w:pStyle w:val="Heading3"/>
        <w:bidi/>
        <w:spacing w:line="360" w:lineRule="auto"/>
        <w:rPr>
          <w:rFonts w:ascii="Traditional Arabic" w:hAnsi="Traditional Arabic" w:cs="Traditional Arabic"/>
          <w:b/>
          <w:bCs/>
          <w:color w:val="000000" w:themeColor="text1"/>
        </w:rPr>
      </w:pPr>
      <w:bookmarkStart w:id="79" w:name="_Toc242325240"/>
      <w:r w:rsidRPr="00545ABB">
        <w:rPr>
          <w:rFonts w:ascii="Traditional Arabic" w:hAnsi="Traditional Arabic" w:cs="Traditional Arabic"/>
          <w:b/>
          <w:bCs/>
          <w:color w:val="000000" w:themeColor="text1"/>
          <w:rtl/>
        </w:rPr>
        <w:t>أولًا: المحددات الداخلية</w:t>
      </w:r>
      <w:bookmarkEnd w:id="79"/>
    </w:p>
    <w:p w14:paraId="1DE77654"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تشير المحددات الداخلية إلى القواعد والأسس والهياكل والممارسات التي يتم تطبيقها داخل المؤسسة، والتي تحدد أسلوب اتخاذ القرار، وتوزيع السلطات والصلاحيات، وآليات الرقابة الداخلية، ومستوى المساءلة والشفافية</w:t>
      </w:r>
      <w:r w:rsidRPr="00545ABB">
        <w:rPr>
          <w:rFonts w:ascii="Traditional Arabic" w:hAnsi="Traditional Arabic" w:cs="Traditional Arabic"/>
          <w:b/>
          <w:bCs/>
          <w:color w:val="000000" w:themeColor="text1"/>
        </w:rPr>
        <w:t>.</w:t>
      </w:r>
    </w:p>
    <w:p w14:paraId="53B33866"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وتشمل هذه المحددات على سبيل المثال الهيكل التنظيمي، وسياسات الشركة، وتوزيع المسؤوليات، ونظم الرقابة الداخلية، وثقافة المؤسسة، وكفاءة الإدارة، ومستوى استقلالية مجلس الإدارة، وطبيعة العلاقة بين المالكين والإدارة التنفيذية</w:t>
      </w:r>
      <w:r w:rsidRPr="00545ABB">
        <w:rPr>
          <w:rFonts w:ascii="Traditional Arabic" w:hAnsi="Traditional Arabic" w:cs="Traditional Arabic"/>
          <w:b/>
          <w:bCs/>
          <w:color w:val="000000" w:themeColor="text1"/>
        </w:rPr>
        <w:t>.</w:t>
      </w:r>
    </w:p>
    <w:p w14:paraId="1D8790A0"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وتكمن أهمية هذه المحددات في قدرتها على تنظيم العمل الداخلي وضمان عدم تعارض القرارات مع مصالح مختلف الأطراف، إلى جانب تحقيق قدر مناسب من العدالة والحياد في التعامل مع أصحاب المصالح</w:t>
      </w:r>
      <w:r w:rsidRPr="00545ABB">
        <w:rPr>
          <w:rFonts w:ascii="Traditional Arabic" w:hAnsi="Traditional Arabic" w:cs="Traditional Arabic"/>
          <w:b/>
          <w:bCs/>
          <w:color w:val="000000" w:themeColor="text1"/>
        </w:rPr>
        <w:t>.</w:t>
      </w:r>
    </w:p>
    <w:p w14:paraId="74C40F5B" w14:textId="77777777" w:rsidR="00FD02DA" w:rsidRPr="00545ABB" w:rsidRDefault="00FD02DA" w:rsidP="00FD02DA">
      <w:pPr>
        <w:pStyle w:val="Heading3"/>
        <w:bidi/>
        <w:spacing w:line="360" w:lineRule="auto"/>
        <w:rPr>
          <w:rFonts w:ascii="Traditional Arabic" w:hAnsi="Traditional Arabic" w:cs="Traditional Arabic"/>
          <w:b/>
          <w:bCs/>
          <w:color w:val="000000" w:themeColor="text1"/>
        </w:rPr>
      </w:pPr>
      <w:bookmarkStart w:id="80" w:name="_Toc242325241"/>
      <w:r w:rsidRPr="00545ABB">
        <w:rPr>
          <w:rFonts w:ascii="Traditional Arabic" w:hAnsi="Traditional Arabic" w:cs="Traditional Arabic"/>
          <w:b/>
          <w:bCs/>
          <w:color w:val="000000" w:themeColor="text1"/>
          <w:rtl/>
        </w:rPr>
        <w:lastRenderedPageBreak/>
        <w:t>ثانيًا: المحددات الخارجية</w:t>
      </w:r>
      <w:bookmarkEnd w:id="80"/>
    </w:p>
    <w:p w14:paraId="208E0FF8"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تشير المحددات الخارجية إلى العوامل التي تنشأ من البيئة المحيطة بالمؤسسة والتي لا تخضع لسيطرتها المباشرة. وقد تختلف هذه المحددات من دولة إلى أخرى ومن قطاع إلى آخر حسب طبيعة البيئة القانونية والتنظيمية والاقتصادية والسوقية</w:t>
      </w:r>
      <w:r w:rsidRPr="00545ABB">
        <w:rPr>
          <w:rFonts w:ascii="Traditional Arabic" w:hAnsi="Traditional Arabic" w:cs="Traditional Arabic"/>
          <w:b/>
          <w:bCs/>
          <w:color w:val="000000" w:themeColor="text1"/>
        </w:rPr>
        <w:t>.</w:t>
      </w:r>
    </w:p>
    <w:p w14:paraId="050764F4"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وتشمل المحددات الخارجية الأنظمة والتشريعات، والجهات التنظيمية والرقابية، والظروف الاقتصادية، ومستوى المنافسة في السوق، ومتطلبات المستثمرين، ومستوى تطور القطاع، والمعايير والممارسات المهنية ذات العلاقة</w:t>
      </w:r>
      <w:r w:rsidRPr="00545ABB">
        <w:rPr>
          <w:rFonts w:ascii="Traditional Arabic" w:hAnsi="Traditional Arabic" w:cs="Traditional Arabic"/>
          <w:b/>
          <w:bCs/>
          <w:color w:val="000000" w:themeColor="text1"/>
        </w:rPr>
        <w:t>.</w:t>
      </w:r>
    </w:p>
    <w:p w14:paraId="07B89F8A"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لشركات الأمن السيبراني الناشئة، تزداد أهمية المحددات الخارجية نتيجة عملها في بيئة تتسم بالتغير السريع في المتطلبات التنظيمية والتقنية، إلى جانب ارتفاع مستوى المنافسة والحاجة المستمرة إلى مواكبة الأطر والضوابط والمعايير ذات الصلة بالأمن السيبراني</w:t>
      </w:r>
      <w:r w:rsidRPr="00545ABB">
        <w:rPr>
          <w:rFonts w:ascii="Traditional Arabic" w:hAnsi="Traditional Arabic" w:cs="Traditional Arabic"/>
          <w:b/>
          <w:bCs/>
          <w:color w:val="000000" w:themeColor="text1"/>
        </w:rPr>
        <w:t>.</w:t>
      </w:r>
    </w:p>
    <w:p w14:paraId="50CD1BC4" w14:textId="77777777" w:rsidR="00FD02DA" w:rsidRPr="00545ABB" w:rsidRDefault="00FD02DA" w:rsidP="00FD02D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ثم، فإن فعالية الحوكمة تعتمد على قدرة الشركة على تحقيق التوازن بين محدداتها الداخلية، مثل الهيكل التنظيمي والسياسات والرقابة، وبين المحددات الخارجية، مثل الأنظمة والمتطلبات التنظيمية والتغيرات السوقية. ويسهم هذا التوازن في بناء نظام حوكمة أكثر مرونة وقدرة على دعم النمو والاستدامة</w:t>
      </w:r>
      <w:r w:rsidRPr="00545ABB">
        <w:rPr>
          <w:rFonts w:ascii="Traditional Arabic" w:hAnsi="Traditional Arabic" w:cs="Traditional Arabic"/>
          <w:b/>
          <w:bCs/>
          <w:color w:val="000000" w:themeColor="text1"/>
        </w:rPr>
        <w:t>.</w:t>
      </w:r>
    </w:p>
    <w:p w14:paraId="759E8DFD" w14:textId="77777777" w:rsidR="00FE45D5" w:rsidRPr="00545ABB" w:rsidRDefault="00FE45D5" w:rsidP="00022590">
      <w:pPr>
        <w:spacing w:after="0" w:line="360" w:lineRule="auto"/>
        <w:ind w:left="360"/>
        <w:jc w:val="both"/>
        <w:rPr>
          <w:rFonts w:ascii="Traditional Arabic" w:eastAsia="Times New Roman" w:hAnsi="Traditional Arabic" w:cs="Traditional Arabic"/>
          <w:color w:val="000000" w:themeColor="text1"/>
          <w:sz w:val="28"/>
          <w:szCs w:val="28"/>
        </w:rPr>
      </w:pPr>
      <w:r w:rsidRPr="00545ABB">
        <w:rPr>
          <w:rFonts w:ascii="Traditional Arabic" w:eastAsia="Times New Roman" w:hAnsi="Traditional Arabic" w:cs="Traditional Arabic"/>
          <w:noProof/>
          <w:color w:val="000000" w:themeColor="text1"/>
          <w:sz w:val="28"/>
          <w:szCs w:val="28"/>
        </w:rPr>
        <w:drawing>
          <wp:inline distT="0" distB="0" distL="0" distR="0" wp14:anchorId="138F4B2D" wp14:editId="7B43AE59">
            <wp:extent cx="5486400" cy="3231943"/>
            <wp:effectExtent l="0" t="0" r="19050" b="6985"/>
            <wp:docPr id="17829533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EBA0FEE" w14:textId="289DC762" w:rsidR="00FE45D5" w:rsidRPr="00545ABB" w:rsidRDefault="00A276C3" w:rsidP="00022590">
      <w:pPr>
        <w:spacing w:before="240" w:after="0" w:line="360" w:lineRule="auto"/>
        <w:ind w:left="360"/>
        <w:jc w:val="center"/>
        <w:rPr>
          <w:rFonts w:ascii="Traditional Arabic" w:eastAsia="Times New Roman" w:hAnsi="Traditional Arabic" w:cs="Traditional Arabic"/>
          <w:color w:val="000000" w:themeColor="text1"/>
          <w:sz w:val="28"/>
          <w:szCs w:val="28"/>
          <w:rtl/>
        </w:rPr>
      </w:pPr>
      <w:r w:rsidRPr="00A276C3">
        <w:rPr>
          <w:rFonts w:ascii="Traditional Arabic" w:eastAsia="Times New Roman" w:hAnsi="Traditional Arabic" w:cs="Traditional Arabic"/>
          <w:color w:val="000000" w:themeColor="text1"/>
          <w:sz w:val="28"/>
          <w:szCs w:val="28"/>
          <w:rtl/>
        </w:rPr>
        <w:lastRenderedPageBreak/>
        <w:t>شكل (2-5)</w:t>
      </w:r>
      <w:r w:rsidR="00FE45D5" w:rsidRPr="00545ABB">
        <w:rPr>
          <w:rFonts w:ascii="Traditional Arabic" w:eastAsia="Times New Roman" w:hAnsi="Traditional Arabic" w:cs="Traditional Arabic"/>
          <w:color w:val="000000" w:themeColor="text1"/>
          <w:sz w:val="28"/>
          <w:szCs w:val="28"/>
          <w:rtl/>
        </w:rPr>
        <w:t xml:space="preserve"> محددات الحوكمة (أبو حمام، 2009، 29)     </w:t>
      </w:r>
    </w:p>
    <w:p w14:paraId="0FC5621C" w14:textId="77777777" w:rsidR="00AF26E8" w:rsidRPr="00545ABB" w:rsidRDefault="00AF26E8" w:rsidP="00AF26E8">
      <w:pPr>
        <w:pStyle w:val="Heading2"/>
        <w:bidi/>
        <w:rPr>
          <w:rFonts w:ascii="Traditional Arabic" w:hAnsi="Traditional Arabic" w:cs="Traditional Arabic"/>
          <w:b/>
          <w:bCs/>
          <w:color w:val="000000" w:themeColor="text1"/>
          <w:sz w:val="24"/>
          <w:szCs w:val="24"/>
        </w:rPr>
      </w:pPr>
      <w:bookmarkStart w:id="81" w:name="_Toc242325242"/>
      <w:r w:rsidRPr="00545ABB">
        <w:rPr>
          <w:rFonts w:ascii="Traditional Arabic" w:hAnsi="Traditional Arabic" w:cs="Traditional Arabic"/>
          <w:b/>
          <w:bCs/>
          <w:color w:val="000000" w:themeColor="text1"/>
          <w:sz w:val="24"/>
          <w:szCs w:val="24"/>
          <w:rtl/>
        </w:rPr>
        <w:t>الحوكمة في دعم استدامة ونجاح الشركات الناشئة</w:t>
      </w:r>
      <w:bookmarkEnd w:id="81"/>
    </w:p>
    <w:p w14:paraId="22517F0D"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تؤدي الحوكمة دورًا محوريًا في دعم استدامة الشركات الناشئة وتعزيز قدرتها على النجاح والنمو، وذلك من خلال تنظيم عمليات اتخاذ القرار، وتحديد الأدوار والمسؤوليات، وإدارة المخاطر، وتحسين استخدام الموارد، وتعزيز الشفافية والمساءلة. وتزداد أهمية الحوكمة في الشركات الناشئة نظرًا لما تتسم به من سرعة النمو، ومحدودية الموارد، وارتفاع مستويات عدم اليقين، والحاجة المستمرة إلى استقطاب التمويل وبناء الثقة مع المستثمرين والعملاء وأصحاب المصالح</w:t>
      </w:r>
      <w:r w:rsidRPr="00545ABB">
        <w:rPr>
          <w:rFonts w:ascii="Traditional Arabic" w:hAnsi="Traditional Arabic" w:cs="Traditional Arabic"/>
          <w:b/>
          <w:bCs/>
          <w:color w:val="000000" w:themeColor="text1"/>
        </w:rPr>
        <w:t>.</w:t>
      </w:r>
    </w:p>
    <w:p w14:paraId="2B83D603"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شركات الأمن السيبراني الناشئة، تتضاعف أهمية الحوكمة نتيجة ارتباط طبيعة أعمالها بالمخاطر التقنية والتنظيمية، والتعامل مع بيانات وأصول رقمية حساسة، والحاجة إلى المحافظة على ثقة العملاء والجهات التنظيمية. ومن ثم، فإن الحوكمة الفعالة تمثل أحد العوامل التي يمكن أن تدعم كفاءة الأداء التنظيمي، وتعزز القدرة على جذب الاستثمار، وتسهم في تحقيق الاستدامة الاستراتيجية للشركة</w:t>
      </w:r>
      <w:r w:rsidRPr="00545ABB">
        <w:rPr>
          <w:rFonts w:ascii="Traditional Arabic" w:hAnsi="Traditional Arabic" w:cs="Traditional Arabic"/>
          <w:b/>
          <w:bCs/>
          <w:color w:val="000000" w:themeColor="text1"/>
        </w:rPr>
        <w:t>.</w:t>
      </w:r>
    </w:p>
    <w:p w14:paraId="7BB60515" w14:textId="77777777" w:rsidR="00AF26E8" w:rsidRPr="00545ABB" w:rsidRDefault="00AF26E8" w:rsidP="00AF26E8">
      <w:pPr>
        <w:pStyle w:val="Heading3"/>
        <w:bidi/>
        <w:rPr>
          <w:rFonts w:ascii="Traditional Arabic" w:hAnsi="Traditional Arabic" w:cs="Traditional Arabic"/>
          <w:b/>
          <w:bCs/>
          <w:color w:val="000000" w:themeColor="text1"/>
          <w:sz w:val="24"/>
          <w:szCs w:val="24"/>
        </w:rPr>
      </w:pPr>
      <w:bookmarkStart w:id="82" w:name="_Toc242325243"/>
      <w:r w:rsidRPr="00545ABB">
        <w:rPr>
          <w:rFonts w:ascii="Traditional Arabic" w:hAnsi="Traditional Arabic" w:cs="Traditional Arabic"/>
          <w:b/>
          <w:bCs/>
          <w:color w:val="000000" w:themeColor="text1"/>
          <w:sz w:val="24"/>
          <w:szCs w:val="24"/>
        </w:rPr>
        <w:t>(</w:t>
      </w:r>
      <w:r w:rsidRPr="00545ABB">
        <w:rPr>
          <w:rFonts w:ascii="Traditional Arabic" w:hAnsi="Traditional Arabic" w:cs="Traditional Arabic"/>
          <w:b/>
          <w:bCs/>
          <w:color w:val="000000" w:themeColor="text1"/>
          <w:sz w:val="24"/>
          <w:szCs w:val="24"/>
          <w:rtl/>
        </w:rPr>
        <w:t>أ) كيف تعزز الحوكمة من كفاءة الأداء التنظيمي</w:t>
      </w:r>
      <w:bookmarkEnd w:id="82"/>
    </w:p>
    <w:p w14:paraId="10EDE839"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تسهم الحوكمة في تعزيز كفاءة الأداء التنظيمي من خلال توفير إطار مؤسسي واضح يساعد على توجيه القرارات، وتحديد المسؤوليات والصلاحيات، وإدارة المخاطر، ومتابعة مستوى الأداء، وتحسين استخدام الموارد. وتظهر أهمية ذلك بصورة خاصة في بيئات العمل المعتمدة على التقنيات المتقدمة، ومنها قطاع الأمن السيبراني، الذي يتسم بسرعة التغير وارتفاع مستوى المخاطر</w:t>
      </w:r>
      <w:r w:rsidRPr="00545ABB">
        <w:rPr>
          <w:rFonts w:ascii="Traditional Arabic" w:hAnsi="Traditional Arabic" w:cs="Traditional Arabic"/>
          <w:b/>
          <w:bCs/>
          <w:color w:val="000000" w:themeColor="text1"/>
        </w:rPr>
        <w:t>.</w:t>
      </w:r>
    </w:p>
    <w:p w14:paraId="11F29446"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أجل بناء برنامج حوكمة فعال للأمن السيبراني، يمكن الاستناد إلى مجموعة من الخطوات والممارسات الاستراتيجية التي تساعد المؤسسة على الانتقال من التعامل التفاعلي مع المخاطر إلى نهج استباقي وأكثر تنظيمًا، ومن أبرزها ما يلي</w:t>
      </w:r>
      <w:r w:rsidRPr="00545ABB">
        <w:rPr>
          <w:rFonts w:ascii="Traditional Arabic" w:hAnsi="Traditional Arabic" w:cs="Traditional Arabic"/>
          <w:b/>
          <w:bCs/>
          <w:color w:val="000000" w:themeColor="text1"/>
        </w:rPr>
        <w:t>:</w:t>
      </w:r>
    </w:p>
    <w:p w14:paraId="222EF26F"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أ- تحديد الوضع الحالي</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تبدأ الحوكمة الفعالة بتقييم الوضع الراهن للمؤسسة من حيث المخاطر السيبرانية ومستوى النضج والضوابط المطبقة، وذلك بهدف تحديد نقاط القوة والفجوات ومجالات التحسين. ويساعد هذا التقييم على بناء خارطة طريق واضحة لمعالجة أوجه القصور ورفع مستوى الحماية والأداء</w:t>
      </w:r>
      <w:r w:rsidRPr="00545ABB">
        <w:rPr>
          <w:rFonts w:ascii="Traditional Arabic" w:hAnsi="Traditional Arabic" w:cs="Traditional Arabic"/>
          <w:b/>
          <w:bCs/>
          <w:color w:val="000000" w:themeColor="text1"/>
        </w:rPr>
        <w:t>.</w:t>
      </w:r>
    </w:p>
    <w:p w14:paraId="7E175E38"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ب- مراجعة وتطوير إطار الحوكمة</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تتطلب الحوكمة الفعالة مراجعة السياسات والمعايير والإجراءات والعمليات المتعلقة بالأمن السيبراني بصورة دورية، والتأكد من ملاءمتها لطبيعة المؤسسة والتغيرات التي تطرأ على بيئة الأعمال والتقنيات والمخاطر. كما تشمل هذه الخطوة تحديد هيكل الحوكمة والأدوار والمسؤوليات والتوقعات المتعلقة بالأداء</w:t>
      </w:r>
      <w:r w:rsidRPr="00545ABB">
        <w:rPr>
          <w:rFonts w:ascii="Traditional Arabic" w:hAnsi="Traditional Arabic" w:cs="Traditional Arabic"/>
          <w:b/>
          <w:bCs/>
          <w:color w:val="000000" w:themeColor="text1"/>
        </w:rPr>
        <w:t>.</w:t>
      </w:r>
    </w:p>
    <w:p w14:paraId="618678A3"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ج- التعامل مع الأمن السيبراني من منظور مؤسسي</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ينبغي ألا ينظر إلى الأمن السيبراني باعتباره مسألة تقنية منفصلة، وإنما باعتباره جزءًا من منظومة إدارة المخاطر المؤسسية. ويتطلب ذلك تحديد الأصول والبيانات ذات الأولوية، وبيان مستوى المخاطر المقبول، وربط الاستثمارات في الأمن السيبراني بالأهداف الاستراتيجية للمؤسسة، وتحديد الأولويات مقارنة بالاستثمارات والاحتياجات الأخرى</w:t>
      </w:r>
      <w:r w:rsidRPr="00545ABB">
        <w:rPr>
          <w:rFonts w:ascii="Traditional Arabic" w:hAnsi="Traditional Arabic" w:cs="Traditional Arabic"/>
          <w:b/>
          <w:bCs/>
          <w:color w:val="000000" w:themeColor="text1"/>
        </w:rPr>
        <w:t>.</w:t>
      </w:r>
    </w:p>
    <w:p w14:paraId="7ECEED70"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lastRenderedPageBreak/>
        <w:t>د- رفع مستوى الوعي والتدريب في مجال الأمن السيبراني</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يمثل العنصر البشري أحد المكونات الرئيسة في منظومة الأمن السيبراني، ولذلك تتطلب الحوكمة الفعالة رفع مستوى الوعي لدى العاملين وتطوير مهاراتهم من خلال برامج التدريب والتوعية المستمرة. وقد ساهمت جائحة</w:t>
      </w:r>
      <w:r w:rsidRPr="00545ABB">
        <w:rPr>
          <w:rFonts w:ascii="Traditional Arabic" w:hAnsi="Traditional Arabic" w:cs="Traditional Arabic"/>
          <w:b/>
          <w:bCs/>
          <w:color w:val="000000" w:themeColor="text1"/>
        </w:rPr>
        <w:t xml:space="preserve"> COVID-19 </w:t>
      </w:r>
      <w:r w:rsidRPr="00545ABB">
        <w:rPr>
          <w:rFonts w:ascii="Traditional Arabic" w:hAnsi="Traditional Arabic" w:cs="Traditional Arabic"/>
          <w:b/>
          <w:bCs/>
          <w:color w:val="000000" w:themeColor="text1"/>
          <w:rtl/>
        </w:rPr>
        <w:t xml:space="preserve">وانتشار العمل والتعليم عن بُعد في زيادة الاهتمام بممارسات الأمن السيبراني اليومية، وبرز في هذا السياق مفهوم </w:t>
      </w:r>
      <w:r w:rsidRPr="00545ABB">
        <w:rPr>
          <w:rStyle w:val="Strong"/>
          <w:rFonts w:ascii="Traditional Arabic" w:hAnsi="Traditional Arabic" w:cs="Traditional Arabic"/>
          <w:color w:val="000000" w:themeColor="text1"/>
          <w:rtl/>
        </w:rPr>
        <w:t xml:space="preserve">النظافة السيبرانية </w:t>
      </w:r>
      <w:r w:rsidRPr="00545ABB">
        <w:rPr>
          <w:rStyle w:val="Strong"/>
          <w:rFonts w:ascii="Traditional Arabic" w:hAnsi="Traditional Arabic" w:cs="Traditional Arabic"/>
          <w:color w:val="000000" w:themeColor="text1"/>
        </w:rPr>
        <w:t>(Cyber Hygiene)</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باعتباره مجموعة من الممارسات الأساسية التي تساعد الأفراد والمؤسسات على الحد من المخاطر السيبرانية </w:t>
      </w:r>
      <w:r w:rsidRPr="00545ABB">
        <w:rPr>
          <w:rFonts w:ascii="Traditional Arabic" w:hAnsi="Traditional Arabic" w:cs="Traditional Arabic"/>
          <w:b/>
          <w:bCs/>
          <w:color w:val="000000" w:themeColor="text1"/>
        </w:rPr>
        <w:t>(Abi Tyas, 2021).</w:t>
      </w:r>
    </w:p>
    <w:p w14:paraId="6377D4ED"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هـ- تحليل وتقييم المخاطر السيبرانية</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يتطلب تطوير حوكمة فعالة إعداد نماذج مناسبة لتحديد المخاطر والتهديدات الداخلية والخارجية وتحليلها وتقييمها وترتيب أولوياتها، مع تحديد السيناريوهات المحتملة وطرق معالجتها. ويساعد ذلك متخذي القرار على تخصيص الموارد وفق مستوى المخاطر وأهميتها بالنسبة لأهداف المؤسسة</w:t>
      </w:r>
      <w:r w:rsidRPr="00545ABB">
        <w:rPr>
          <w:rFonts w:ascii="Traditional Arabic" w:hAnsi="Traditional Arabic" w:cs="Traditional Arabic"/>
          <w:b/>
          <w:bCs/>
          <w:color w:val="000000" w:themeColor="text1"/>
        </w:rPr>
        <w:t>.</w:t>
      </w:r>
    </w:p>
    <w:p w14:paraId="07307007"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 المراقبة والقياس والتحسين المستمر</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تتطلب الحوكمة الفعالة وجود آليات دورية لمراقبة الأداء السيبراني وقياسه باستخدام مؤشرات مناسبة، وتحليل النتائج، وتحديد أوجه التحسين. كما ينبغي رفع تقارير منتظمة إلى متخذي القرار توضح مستوى النضج السيبراني، وموقف المخاطر، ومدى فاعلية الضوابط والإجراءات المطبقة</w:t>
      </w:r>
      <w:r w:rsidRPr="00545ABB">
        <w:rPr>
          <w:rFonts w:ascii="Traditional Arabic" w:hAnsi="Traditional Arabic" w:cs="Traditional Arabic"/>
          <w:b/>
          <w:bCs/>
          <w:color w:val="000000" w:themeColor="text1"/>
        </w:rPr>
        <w:t>.</w:t>
      </w:r>
    </w:p>
    <w:p w14:paraId="68466D8B"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 xml:space="preserve">ز- القيادة الفعالة والتوجه من القمة </w:t>
      </w:r>
      <w:r w:rsidRPr="00545ABB">
        <w:rPr>
          <w:rStyle w:val="Strong"/>
          <w:rFonts w:ascii="Traditional Arabic" w:hAnsi="Traditional Arabic" w:cs="Traditional Arabic"/>
          <w:color w:val="000000" w:themeColor="text1"/>
        </w:rPr>
        <w:t>(Tone at the Top):</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 xml:space="preserve">يعد التزام الإدارة العليا من العوامل الأساسية في نجاح الحوكمة. ويعني مفهوم </w:t>
      </w:r>
      <w:r w:rsidRPr="00545ABB">
        <w:rPr>
          <w:rStyle w:val="Strong"/>
          <w:rFonts w:ascii="Traditional Arabic" w:hAnsi="Traditional Arabic" w:cs="Traditional Arabic"/>
          <w:color w:val="000000" w:themeColor="text1"/>
        </w:rPr>
        <w:t>Tone at the Top</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أن تتبنى القيادة العليا مبادئ الأمن السيبراني والحوكمة بصورة فعلية، وأن تعكس السياسات والقرارات والسلوك الإداري هذا الالتزام. ويساعد ذلك على ترسيخ ثقافة مؤسسية تدعم المسؤولية والالتزام وربط الأمن السيبراني باستراتيجية المؤسسة وأهدافها </w:t>
      </w:r>
      <w:r w:rsidRPr="00545ABB">
        <w:rPr>
          <w:rFonts w:ascii="Traditional Arabic" w:hAnsi="Traditional Arabic" w:cs="Traditional Arabic"/>
          <w:b/>
          <w:bCs/>
          <w:color w:val="000000" w:themeColor="text1"/>
        </w:rPr>
        <w:t>(Pam Nigro, 2020).</w:t>
      </w:r>
    </w:p>
    <w:p w14:paraId="70E565C1"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وتتكامل هذه الممارسات فيما بينها لتشكيل منظومة تساعد المؤسسة على رفع مستوى الكفاءة التنظيمية وتقليل الاختلالات وتحسين جودة القرارات. وبالنسبة لشركات الأمن السيبراني الناشئة، فإن تبني هذه الممارسات بصورة تدريجية يساعد على المحافظة على المرونة وسرعة الابتكار دون التضحية بالرقابة أو إدارة المخاطر أو الانضباط المؤسسي</w:t>
      </w:r>
      <w:r w:rsidRPr="00545ABB">
        <w:rPr>
          <w:rFonts w:ascii="Traditional Arabic" w:hAnsi="Traditional Arabic" w:cs="Traditional Arabic"/>
          <w:b/>
          <w:bCs/>
          <w:color w:val="000000" w:themeColor="text1"/>
        </w:rPr>
        <w:t>.</w:t>
      </w:r>
    </w:p>
    <w:p w14:paraId="2B7D8B69" w14:textId="77777777" w:rsidR="00AF26E8" w:rsidRPr="00545ABB" w:rsidRDefault="00AF26E8" w:rsidP="00AF26E8">
      <w:pPr>
        <w:pStyle w:val="Heading3"/>
        <w:bidi/>
        <w:rPr>
          <w:rFonts w:ascii="Traditional Arabic" w:hAnsi="Traditional Arabic" w:cs="Traditional Arabic"/>
          <w:b/>
          <w:bCs/>
          <w:color w:val="000000" w:themeColor="text1"/>
          <w:sz w:val="24"/>
          <w:szCs w:val="24"/>
        </w:rPr>
      </w:pPr>
      <w:bookmarkStart w:id="83" w:name="_Toc242325244"/>
      <w:r w:rsidRPr="00545ABB">
        <w:rPr>
          <w:rFonts w:ascii="Traditional Arabic" w:hAnsi="Traditional Arabic" w:cs="Traditional Arabic"/>
          <w:b/>
          <w:bCs/>
          <w:color w:val="000000" w:themeColor="text1"/>
          <w:sz w:val="24"/>
          <w:szCs w:val="24"/>
        </w:rPr>
        <w:t>(</w:t>
      </w:r>
      <w:r w:rsidRPr="00545ABB">
        <w:rPr>
          <w:rFonts w:ascii="Traditional Arabic" w:hAnsi="Traditional Arabic" w:cs="Traditional Arabic"/>
          <w:b/>
          <w:bCs/>
          <w:color w:val="000000" w:themeColor="text1"/>
          <w:sz w:val="24"/>
          <w:szCs w:val="24"/>
          <w:rtl/>
        </w:rPr>
        <w:t>ب) أثر الحوكمة على جذب الاستثمار وبناء الثقة</w:t>
      </w:r>
      <w:bookmarkEnd w:id="83"/>
    </w:p>
    <w:p w14:paraId="0A59FD03"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تؤدي الحوكمة دورًا مهمًا في تعزيز ثقة المستثمرين والعملاء وأصحاب المصالح، إذ تساعد على توفير بيئة أكثر وضوحًا من حيث المسؤوليات والصلاحيات وآليات اتخاذ القرار وإدارة المخاطر والرقابة. وكلما ارتفع مستوى الشفافية والمساءلة والتنظيم داخل الشركة، أصبح من الأسهل على الأطراف الخارجية تقييم مستوى أدائها ومخاطرها وقدرتها على الاستمرار والنمو</w:t>
      </w:r>
      <w:r w:rsidRPr="00545ABB">
        <w:rPr>
          <w:rFonts w:ascii="Traditional Arabic" w:hAnsi="Traditional Arabic" w:cs="Traditional Arabic"/>
          <w:b/>
          <w:bCs/>
          <w:color w:val="000000" w:themeColor="text1"/>
        </w:rPr>
        <w:t>.</w:t>
      </w:r>
    </w:p>
    <w:p w14:paraId="394C029B"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مجال الأمن السيبراني، تهدف حوكمة أمن المعلومات إلى إنشاء بيئة رقابية مناسبة تحافظ على سرية المعلومات وسلامتها وتوافرها، وتدعم العمليات والأنظمة المرتبطة بها، وتحمي الأصول الرقمية من المخاطر المختلفة. ومن هذا المنطلق، يمكن لحوكمة الأمن السيبراني أن تضيف قيمة للشركة من خلال عدد من الجوانب، من أبرزها</w:t>
      </w:r>
      <w:r w:rsidRPr="00545ABB">
        <w:rPr>
          <w:rFonts w:ascii="Traditional Arabic" w:hAnsi="Traditional Arabic" w:cs="Traditional Arabic"/>
          <w:b/>
          <w:bCs/>
          <w:color w:val="000000" w:themeColor="text1"/>
        </w:rPr>
        <w:t>:</w:t>
      </w:r>
    </w:p>
    <w:p w14:paraId="340CB5B9" w14:textId="77777777" w:rsidR="00AF26E8" w:rsidRPr="00545ABB" w:rsidRDefault="00AF26E8" w:rsidP="00D95153">
      <w:pPr>
        <w:numPr>
          <w:ilvl w:val="0"/>
          <w:numId w:val="33"/>
        </w:numPr>
        <w:spacing w:before="100" w:beforeAutospacing="1" w:after="100" w:afterAutospacing="1" w:line="24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تعزيز ثقة العملاء في التعاملات والخدمات التي تقدمها الشركة</w:t>
      </w:r>
      <w:r w:rsidRPr="00545ABB">
        <w:rPr>
          <w:rFonts w:ascii="Traditional Arabic" w:hAnsi="Traditional Arabic" w:cs="Traditional Arabic"/>
          <w:b/>
          <w:bCs/>
          <w:color w:val="000000" w:themeColor="text1"/>
          <w:sz w:val="24"/>
          <w:szCs w:val="24"/>
        </w:rPr>
        <w:t>.</w:t>
      </w:r>
    </w:p>
    <w:p w14:paraId="66A443A2" w14:textId="77777777" w:rsidR="00AF26E8" w:rsidRPr="00545ABB" w:rsidRDefault="00AF26E8" w:rsidP="00D95153">
      <w:pPr>
        <w:numPr>
          <w:ilvl w:val="0"/>
          <w:numId w:val="33"/>
        </w:numPr>
        <w:spacing w:before="100" w:beforeAutospacing="1" w:after="100" w:afterAutospacing="1" w:line="24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حماية سمعة الشركة وتقليل احتمالية تعرضها لأضرار ناتجة عن الحوادث السيبرانية</w:t>
      </w:r>
      <w:r w:rsidRPr="00545ABB">
        <w:rPr>
          <w:rFonts w:ascii="Traditional Arabic" w:hAnsi="Traditional Arabic" w:cs="Traditional Arabic"/>
          <w:b/>
          <w:bCs/>
          <w:color w:val="000000" w:themeColor="text1"/>
          <w:sz w:val="24"/>
          <w:szCs w:val="24"/>
        </w:rPr>
        <w:t>.</w:t>
      </w:r>
    </w:p>
    <w:p w14:paraId="46C39E5A" w14:textId="77777777" w:rsidR="00AF26E8" w:rsidRPr="00545ABB" w:rsidRDefault="00AF26E8" w:rsidP="00D95153">
      <w:pPr>
        <w:numPr>
          <w:ilvl w:val="0"/>
          <w:numId w:val="33"/>
        </w:numPr>
        <w:spacing w:before="100" w:beforeAutospacing="1" w:after="100" w:afterAutospacing="1" w:line="24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الحد من احتمالية انتهاكات الخصوصية وتسرب البيانات</w:t>
      </w:r>
      <w:r w:rsidRPr="00545ABB">
        <w:rPr>
          <w:rFonts w:ascii="Traditional Arabic" w:hAnsi="Traditional Arabic" w:cs="Traditional Arabic"/>
          <w:b/>
          <w:bCs/>
          <w:color w:val="000000" w:themeColor="text1"/>
          <w:sz w:val="24"/>
          <w:szCs w:val="24"/>
        </w:rPr>
        <w:t>.</w:t>
      </w:r>
    </w:p>
    <w:p w14:paraId="599ED03D" w14:textId="77777777" w:rsidR="00AF26E8" w:rsidRPr="00545ABB" w:rsidRDefault="00AF26E8" w:rsidP="00D95153">
      <w:pPr>
        <w:numPr>
          <w:ilvl w:val="0"/>
          <w:numId w:val="33"/>
        </w:numPr>
        <w:spacing w:before="100" w:beforeAutospacing="1" w:after="100" w:afterAutospacing="1" w:line="24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lastRenderedPageBreak/>
        <w:t>تعزيز ثقة الأطراف الخارجية والشركاء والمستثمرين</w:t>
      </w:r>
      <w:r w:rsidRPr="00545ABB">
        <w:rPr>
          <w:rFonts w:ascii="Traditional Arabic" w:hAnsi="Traditional Arabic" w:cs="Traditional Arabic"/>
          <w:b/>
          <w:bCs/>
          <w:color w:val="000000" w:themeColor="text1"/>
          <w:sz w:val="24"/>
          <w:szCs w:val="24"/>
        </w:rPr>
        <w:t>.</w:t>
      </w:r>
    </w:p>
    <w:p w14:paraId="3CA7A36E" w14:textId="77777777" w:rsidR="00AF26E8" w:rsidRPr="00545ABB" w:rsidRDefault="00AF26E8" w:rsidP="00D95153">
      <w:pPr>
        <w:numPr>
          <w:ilvl w:val="0"/>
          <w:numId w:val="33"/>
        </w:numPr>
        <w:spacing w:before="100" w:beforeAutospacing="1" w:after="100" w:afterAutospacing="1" w:line="24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دعم تطوير أساليب أكثر أمانًا وكفاءة لتنفيذ المعاملات الإلكترونية</w:t>
      </w:r>
      <w:r w:rsidRPr="00545ABB">
        <w:rPr>
          <w:rFonts w:ascii="Traditional Arabic" w:hAnsi="Traditional Arabic" w:cs="Traditional Arabic"/>
          <w:b/>
          <w:bCs/>
          <w:color w:val="000000" w:themeColor="text1"/>
          <w:sz w:val="24"/>
          <w:szCs w:val="24"/>
        </w:rPr>
        <w:t>.</w:t>
      </w:r>
    </w:p>
    <w:p w14:paraId="063582B0" w14:textId="77777777" w:rsidR="00AF26E8" w:rsidRPr="00545ABB" w:rsidRDefault="00AF26E8" w:rsidP="00D95153">
      <w:pPr>
        <w:numPr>
          <w:ilvl w:val="0"/>
          <w:numId w:val="33"/>
        </w:numPr>
        <w:spacing w:before="100" w:beforeAutospacing="1" w:after="100" w:afterAutospacing="1" w:line="24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خفض بعض التكاليف التشغيلية الناتجة عن الحوادث والاضطرابات غير المتوقعة</w:t>
      </w:r>
      <w:r w:rsidRPr="00545ABB">
        <w:rPr>
          <w:rFonts w:ascii="Traditional Arabic" w:hAnsi="Traditional Arabic" w:cs="Traditional Arabic"/>
          <w:b/>
          <w:bCs/>
          <w:color w:val="000000" w:themeColor="text1"/>
          <w:sz w:val="24"/>
          <w:szCs w:val="24"/>
        </w:rPr>
        <w:t>.</w:t>
      </w:r>
    </w:p>
    <w:p w14:paraId="4DE3579A" w14:textId="77777777" w:rsidR="00AF26E8" w:rsidRPr="00545ABB" w:rsidRDefault="00AF26E8" w:rsidP="00D95153">
      <w:pPr>
        <w:numPr>
          <w:ilvl w:val="0"/>
          <w:numId w:val="33"/>
        </w:numPr>
        <w:spacing w:before="100" w:beforeAutospacing="1" w:after="100" w:afterAutospacing="1" w:line="24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تقليل المخاطر التي قد تؤدي إلى توقف العمليات أو تعطل الخدمات </w:t>
      </w:r>
      <w:r w:rsidRPr="00545ABB">
        <w:rPr>
          <w:rFonts w:ascii="Traditional Arabic" w:hAnsi="Traditional Arabic" w:cs="Traditional Arabic"/>
          <w:b/>
          <w:bCs/>
          <w:color w:val="000000" w:themeColor="text1"/>
          <w:sz w:val="24"/>
          <w:szCs w:val="24"/>
        </w:rPr>
        <w:t>(ITGI, 2006).</w:t>
      </w:r>
    </w:p>
    <w:p w14:paraId="25A49B98"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هذه الجوانب أهمية خاصة بالنسبة للشركات الناشئة، حيث تعد الثقة أحد الأصول المهمة التي تساعد الشركة على بناء علاقاتها مع العملاء والمستثمرين والشركاء. كما أن وجود نظام حوكمة واضح يمكن أن يخفف من مخاوف المستثمرين المتعلقة بتركيز الصلاحيات لدى المؤسسين، أو ضعف الرقابة، أو عدم وضوح المسؤوليات، أو ارتفاع المخاطر التشغيلية والتنظيمية</w:t>
      </w:r>
      <w:r w:rsidRPr="00545ABB">
        <w:rPr>
          <w:rFonts w:ascii="Traditional Arabic" w:hAnsi="Traditional Arabic" w:cs="Traditional Arabic"/>
          <w:b/>
          <w:bCs/>
          <w:color w:val="000000" w:themeColor="text1"/>
        </w:rPr>
        <w:t>.</w:t>
      </w:r>
    </w:p>
    <w:p w14:paraId="36F1D83B"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لشركات الأمن السيبراني الناشئة، فإن الثقة تكتسب بعدًا إضافيًا، لأن الشركة تطلب من عملائها الاعتماد عليها في حماية أصولهم الرقمية ومعلوماتهم الحساسة. ومن ثم، فإن قدرة الشركة على إظهار مستوى مرتفع من الحوكمة والالتزام وإدارة المخاطر تمثل عاملًا مهمًا في تعزيز مصداقيتها ومكانتها في السوق</w:t>
      </w:r>
      <w:r w:rsidRPr="00545ABB">
        <w:rPr>
          <w:rFonts w:ascii="Traditional Arabic" w:hAnsi="Traditional Arabic" w:cs="Traditional Arabic"/>
          <w:b/>
          <w:bCs/>
          <w:color w:val="000000" w:themeColor="text1"/>
        </w:rPr>
        <w:t>.</w:t>
      </w:r>
    </w:p>
    <w:p w14:paraId="77012A3E"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ويرى الباحث</w:t>
      </w:r>
      <w:r w:rsidRPr="00545ABB">
        <w:rPr>
          <w:rFonts w:ascii="Traditional Arabic" w:hAnsi="Traditional Arabic" w:cs="Traditional Arabic"/>
          <w:b/>
          <w:bCs/>
          <w:color w:val="000000" w:themeColor="text1"/>
          <w:rtl/>
        </w:rPr>
        <w:t xml:space="preserve"> أن حوكمة الأمن السيبراني تؤدي دورًا مهمًا في بناء الثقة والشفافية في البيئة الرقمية، من خلال تحديد المسؤوليات، وتعزيز حماية البيانات والأنظمة، ورفع مستوى الالتزام، وتحسين القدرة على إدارة المخاطر. كما أن انعكاس هذه الممارسات على سمعة الشركة وثقة العملاء والمستثمرين يمكن أن يسهم في دعم فرص نموها واستدامتها</w:t>
      </w:r>
      <w:r w:rsidRPr="00545ABB">
        <w:rPr>
          <w:rFonts w:ascii="Traditional Arabic" w:hAnsi="Traditional Arabic" w:cs="Traditional Arabic"/>
          <w:b/>
          <w:bCs/>
          <w:color w:val="000000" w:themeColor="text1"/>
        </w:rPr>
        <w:t>.</w:t>
      </w:r>
    </w:p>
    <w:p w14:paraId="02BE926D" w14:textId="77777777" w:rsidR="00AF26E8" w:rsidRPr="00545ABB" w:rsidRDefault="00AF26E8" w:rsidP="00AF26E8">
      <w:pPr>
        <w:pStyle w:val="Heading3"/>
        <w:bidi/>
        <w:rPr>
          <w:rFonts w:ascii="Traditional Arabic" w:hAnsi="Traditional Arabic" w:cs="Traditional Arabic"/>
          <w:b/>
          <w:bCs/>
          <w:color w:val="000000" w:themeColor="text1"/>
          <w:sz w:val="24"/>
          <w:szCs w:val="24"/>
        </w:rPr>
      </w:pPr>
      <w:bookmarkStart w:id="84" w:name="_Toc242325245"/>
      <w:r w:rsidRPr="00545ABB">
        <w:rPr>
          <w:rFonts w:ascii="Traditional Arabic" w:hAnsi="Traditional Arabic" w:cs="Traditional Arabic"/>
          <w:b/>
          <w:bCs/>
          <w:color w:val="000000" w:themeColor="text1"/>
          <w:sz w:val="24"/>
          <w:szCs w:val="24"/>
        </w:rPr>
        <w:t>(</w:t>
      </w:r>
      <w:r w:rsidRPr="00545ABB">
        <w:rPr>
          <w:rFonts w:ascii="Traditional Arabic" w:hAnsi="Traditional Arabic" w:cs="Traditional Arabic"/>
          <w:b/>
          <w:bCs/>
          <w:color w:val="000000" w:themeColor="text1"/>
          <w:sz w:val="24"/>
          <w:szCs w:val="24"/>
          <w:rtl/>
        </w:rPr>
        <w:t>ج) العلاقة بين الحوكمة والاستدامة الاستراتيجية</w:t>
      </w:r>
      <w:bookmarkEnd w:id="84"/>
    </w:p>
    <w:p w14:paraId="6404037D"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لا تقتصر آثار الحوكمة على تحسين الإجراءات والعمليات الداخلية، بل تمتد إلى قدرة المؤسسة على تحقيق الاستدامة على المدى الطويل. وتسهم الحوكمة في دعم الاستدامة من خلال تحسين جودة القرارات، وإدارة المخاطر، ورفع مستوى الشفافية والمساءلة، وحماية حقوق أصحاب المصالح، وتحسين استخدام الموارد، وتعزيز قدرة المؤسسة على التكيف مع المتغيرات</w:t>
      </w:r>
      <w:r w:rsidRPr="00545ABB">
        <w:rPr>
          <w:rFonts w:ascii="Traditional Arabic" w:hAnsi="Traditional Arabic" w:cs="Traditional Arabic"/>
          <w:b/>
          <w:bCs/>
          <w:color w:val="000000" w:themeColor="text1"/>
        </w:rPr>
        <w:t>.</w:t>
      </w:r>
    </w:p>
    <w:p w14:paraId="0906AC7B"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تؤثر ممارسات الحوكمة في قدرة الشركات على جذب الاستثمار وتعزيز المنافسة وتقليل المخاطر وتحسين العلاقة بين الإدارة والمساهمين وأصحاب المصالح. ومن هذا المنطلق، تمثل الحوكمة أحد الأسس التي تساعد المؤسسات على الانتقال من التركيز على النتائج قصيرة الأجل إلى بناء قيمة مؤسسية مستدامة</w:t>
      </w:r>
      <w:r w:rsidRPr="00545ABB">
        <w:rPr>
          <w:rFonts w:ascii="Traditional Arabic" w:hAnsi="Traditional Arabic" w:cs="Traditional Arabic"/>
          <w:b/>
          <w:bCs/>
          <w:color w:val="000000" w:themeColor="text1"/>
        </w:rPr>
        <w:t>.</w:t>
      </w:r>
    </w:p>
    <w:p w14:paraId="60139B89"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ويؤدي مجلس الإدارة دورًا محوريًا في هذه العلاقة، باعتباره إحدى أهم آليات الحوكمة، حيث يسهم في تحديد التوجهات الاستراتيجية ومتابعة أداء الإدارة التنفيذية والإشراف على إدارة المخاطر وتخصيص الموارد. كما يمكن أن يسهم في ضمان مراعاة الاعتبارات المتعلقة بالاستدامة عند اتخاذ القرارات الاستراتيجية، بما يحقق التوازن بين مصالح المساهمين وبقية أصحاب المصالح</w:t>
      </w:r>
      <w:r w:rsidRPr="00545ABB">
        <w:rPr>
          <w:rFonts w:ascii="Traditional Arabic" w:hAnsi="Traditional Arabic" w:cs="Traditional Arabic"/>
          <w:b/>
          <w:bCs/>
          <w:color w:val="000000" w:themeColor="text1"/>
        </w:rPr>
        <w:t>.</w:t>
      </w:r>
    </w:p>
    <w:p w14:paraId="6B42C117"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وتتطلب الاستدامة المؤسسية قدرة الشركة على المحافظة على استمرارية أعمالها وتحقيق قيمة طويلة الأجل، وعدم الاكتفاء بالتركيز على الربحية قصيرة المدى. ويعتمد ذلك على بناء علاقات مستقرة مع العملاء والموردين والعاملين والمستثمرين، ومراعاة المتغيرات والظروف التي يمكن أن تؤثر في استمرارية الشركة ونموها</w:t>
      </w:r>
      <w:r w:rsidRPr="00545ABB">
        <w:rPr>
          <w:rFonts w:ascii="Traditional Arabic" w:hAnsi="Traditional Arabic" w:cs="Traditional Arabic"/>
          <w:b/>
          <w:bCs/>
          <w:color w:val="000000" w:themeColor="text1"/>
        </w:rPr>
        <w:t>.</w:t>
      </w:r>
    </w:p>
    <w:p w14:paraId="7AF685E4"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كما ترتبط الحوكمة بالاستدامة من خلال دورها في تعزيز المسؤولية المؤسسية؛ إذ تساعد نظم الحوكمة الفعالة على إدماج الاعتبارات الاقتصادية والاجتماعية والبيئية ضمن القرارات والسياسات المؤسسية، بما يسهم في تعزيز القدرة على الاستمرار والمحافظة على القيمة التي تحققها الشركة على المدى الطويل</w:t>
      </w:r>
      <w:r w:rsidRPr="00545ABB">
        <w:rPr>
          <w:rFonts w:ascii="Traditional Arabic" w:hAnsi="Traditional Arabic" w:cs="Traditional Arabic"/>
          <w:b/>
          <w:bCs/>
          <w:color w:val="000000" w:themeColor="text1"/>
        </w:rPr>
        <w:t>.</w:t>
      </w:r>
    </w:p>
    <w:p w14:paraId="5E7B6374"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ويمكن تفسير جانب من هذه العلاقة بالاستناد إلى </w:t>
      </w:r>
      <w:r w:rsidRPr="00545ABB">
        <w:rPr>
          <w:rStyle w:val="Strong"/>
          <w:rFonts w:ascii="Traditional Arabic" w:hAnsi="Traditional Arabic" w:cs="Traditional Arabic"/>
          <w:color w:val="000000" w:themeColor="text1"/>
          <w:rtl/>
        </w:rPr>
        <w:t xml:space="preserve">نظرية الموارد الفائضة </w:t>
      </w:r>
      <w:r w:rsidRPr="00545ABB">
        <w:rPr>
          <w:rStyle w:val="Strong"/>
          <w:rFonts w:ascii="Traditional Arabic" w:hAnsi="Traditional Arabic" w:cs="Traditional Arabic"/>
          <w:color w:val="000000" w:themeColor="text1"/>
        </w:rPr>
        <w:t>(Slack Resources Theory)</w:t>
      </w:r>
      <w:r w:rsidRPr="00545ABB">
        <w:rPr>
          <w:rFonts w:ascii="Traditional Arabic" w:hAnsi="Traditional Arabic" w:cs="Traditional Arabic"/>
          <w:b/>
          <w:bCs/>
          <w:color w:val="000000" w:themeColor="text1"/>
          <w:rtl/>
        </w:rPr>
        <w:t>، التي تفترض أن تحسن الأداء المالي وتوافر الموارد يمنحان المؤسسة قدرة أكبر على الاستثمار في مجالات إضافية مثل المسؤولية الاجتماعية والاستدامة وتطوير القدرات المؤسسية. وفي المقابل، قد تسهم هذه الاستثمارات في تعزيز السمعة والثقة والقيمة المؤسسية على المدى الطويل</w:t>
      </w:r>
      <w:r w:rsidRPr="00545ABB">
        <w:rPr>
          <w:rFonts w:ascii="Traditional Arabic" w:hAnsi="Traditional Arabic" w:cs="Traditional Arabic"/>
          <w:b/>
          <w:bCs/>
          <w:color w:val="000000" w:themeColor="text1"/>
        </w:rPr>
        <w:t>.</w:t>
      </w:r>
    </w:p>
    <w:p w14:paraId="3EA33B13"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تؤثر آليات الحوكمة، ومنها خصائص مجلس الإدارة وهيكل الملكية والرقابة، في توجه الشركة نحو الاستدامة وفي جودة الإفصاح عن أدائها. فمجلس الإدارة الفعال يمكن أن يؤدي دورًا مهمًا في تحديد استراتيجية الاستدامة، والإشراف على ممارسات الإدارة التنفيذية، ومتابعة مدى توافق الأنشطة المؤسسية مع الأهداف طويلة الأجل</w:t>
      </w:r>
      <w:r w:rsidRPr="00545ABB">
        <w:rPr>
          <w:rFonts w:ascii="Traditional Arabic" w:hAnsi="Traditional Arabic" w:cs="Traditional Arabic"/>
          <w:b/>
          <w:bCs/>
          <w:color w:val="000000" w:themeColor="text1"/>
        </w:rPr>
        <w:t>.</w:t>
      </w:r>
    </w:p>
    <w:p w14:paraId="171E0AE4"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وتُعد تقارير الاستدامة إحدى الوسائل التي تستخدمها المؤسسات للإفصاح عن أدائها وممارساتها في المجالات الاقتصادية والاجتماعية والبيئية، كما يمكن أن تسهم في زيادة مستوى الشفافية وتوفير معلومات إضافية للمستثمرين وأصحاب المصالح. ويساعد الإفصاح الموثوق والواضح على تعزيز الثقة ودعم قدرة الأطراف الخارجية على تقييم أداء المؤسسة وتوجهاتها طويلة الأجل</w:t>
      </w:r>
      <w:r w:rsidRPr="00545ABB">
        <w:rPr>
          <w:rFonts w:ascii="Traditional Arabic" w:hAnsi="Traditional Arabic" w:cs="Traditional Arabic"/>
          <w:b/>
          <w:bCs/>
          <w:color w:val="000000" w:themeColor="text1"/>
        </w:rPr>
        <w:t>.</w:t>
      </w:r>
    </w:p>
    <w:p w14:paraId="76948F23"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وبالنسبة للشركات الناشئة، ينبغي التعامل مع مفهوم الاستدامة بصورة تتناسب مع طبيعتها ومرحلة نموها؛ إذ لا يقتصر الأمر على إعداد تقارير رسمية واسعة النطاق، وإنما يبدأ من بناء نموذج أعمال قابل للاستمرار، وإدارة الموارد بكفاءة، والمحافظة على العملاء والكفاءات، وإدارة المخاطر، وتطوير هياكل الحوكمة بالتوازي مع نمو الشركة</w:t>
      </w:r>
      <w:r w:rsidRPr="00545ABB">
        <w:rPr>
          <w:rFonts w:ascii="Traditional Arabic" w:hAnsi="Traditional Arabic" w:cs="Traditional Arabic"/>
          <w:b/>
          <w:bCs/>
          <w:color w:val="000000" w:themeColor="text1"/>
        </w:rPr>
        <w:t>.</w:t>
      </w:r>
    </w:p>
    <w:p w14:paraId="3C442867"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وتظهر هذه العلاقة بصورة أكثر وضوحًا في شركات الأمن السيبراني الناشئة، لأن استدامتها لا تعتمد فقط على قدرتها على تطوير حلول ومنتجات تقنية، بل تعتمد كذلك على المحافظة على ثقة العملاء، واستقطاب الكفاءات المتخصصة، ومواكبة التطورات التقنية والتنظيمية، وإدارة المخاطر، والحفاظ على جودة الخدمات. ومن ثم، فإن الحوكمة تساعد على تحويل النمو التقني والتجاري إلى نمو مؤسسي أكثر استقرارًا واستدامة</w:t>
      </w:r>
      <w:r w:rsidRPr="00545ABB">
        <w:rPr>
          <w:rFonts w:ascii="Traditional Arabic" w:hAnsi="Traditional Arabic" w:cs="Traditional Arabic"/>
          <w:b/>
          <w:bCs/>
          <w:color w:val="000000" w:themeColor="text1"/>
        </w:rPr>
        <w:t>.</w:t>
      </w:r>
    </w:p>
    <w:p w14:paraId="1DCEC678"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وفي إطار توضيح العلاقة بين الحوكمة والاستدامة، يمكن الاستفادة من استراتيجية </w:t>
      </w:r>
      <w:r w:rsidRPr="00545ABB">
        <w:rPr>
          <w:rStyle w:val="Strong"/>
          <w:rFonts w:ascii="Traditional Arabic" w:hAnsi="Traditional Arabic" w:cs="Traditional Arabic"/>
          <w:color w:val="000000" w:themeColor="text1"/>
        </w:rPr>
        <w:t>GROW</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الخاصة بحوكمة الاستدامة، التي تقدم تصورًا تطبيقيًا لدمج ممارسات الحوكمة ضمن التوجهات المؤسسية المرتبطة بالاستدامة، وتبرز أهمية الانتقال من مجرد تبني مبادئ عامة إلى دمج الاستدامة ضمن الاستراتيجية، وآليات اتخاذ القرار، وعمليات المتابعة والتقييم</w:t>
      </w:r>
      <w:r w:rsidRPr="00545ABB">
        <w:rPr>
          <w:rFonts w:ascii="Traditional Arabic" w:hAnsi="Traditional Arabic" w:cs="Traditional Arabic"/>
          <w:b/>
          <w:bCs/>
          <w:color w:val="000000" w:themeColor="text1"/>
        </w:rPr>
        <w:t>.</w:t>
      </w:r>
    </w:p>
    <w:p w14:paraId="20A0B546" w14:textId="77777777" w:rsidR="00AF26E8" w:rsidRPr="00545ABB" w:rsidRDefault="00AF26E8" w:rsidP="00AF26E8">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وبناءً على ما سبق، يمكن القول إن العلاقة بين الحوكمة والاستدامة علاقة تكاملية؛ فالاستدامة تحتاج إلى بيئة مؤسسية تتسم بالشفافية والمساءلة وإدارة المخاطر وكفاءة استخدام الموارد، في حين تساعد الحوكمة على توفير الآليات التي تضمن استمرار هذه الممارسات وتحويلها إلى جزء من النظام المؤسسي. ومن ثم، فإن الحوكمة الفعالة تمثل أحد المرتكزات المهمة لدعم استدامة الشركات الناشئة وتعزيز قدرتها على النجاح والنمو على المدى الطويل</w:t>
      </w:r>
      <w:r w:rsidRPr="00545ABB">
        <w:rPr>
          <w:rFonts w:ascii="Traditional Arabic" w:hAnsi="Traditional Arabic" w:cs="Traditional Arabic"/>
          <w:b/>
          <w:bCs/>
          <w:color w:val="000000" w:themeColor="text1"/>
        </w:rPr>
        <w:t>.</w:t>
      </w:r>
    </w:p>
    <w:p w14:paraId="3B5A5DA7" w14:textId="77777777" w:rsidR="00823601" w:rsidRPr="00545ABB" w:rsidRDefault="00823601" w:rsidP="00823601">
      <w:pPr>
        <w:spacing w:after="0" w:line="360" w:lineRule="auto"/>
        <w:jc w:val="center"/>
        <w:rPr>
          <w:rFonts w:ascii="Traditional Arabic" w:eastAsia="Calibri" w:hAnsi="Traditional Arabic" w:cs="Traditional Arabic"/>
          <w:color w:val="000000" w:themeColor="text1"/>
          <w:sz w:val="28"/>
          <w:szCs w:val="28"/>
          <w:highlight w:val="yellow"/>
          <w:rtl/>
          <w:lang w:bidi="ar-EG"/>
        </w:rPr>
      </w:pPr>
      <w:r w:rsidRPr="00545ABB">
        <w:rPr>
          <w:rFonts w:ascii="Traditional Arabic" w:eastAsia="Calibri" w:hAnsi="Traditional Arabic" w:cs="Traditional Arabic"/>
          <w:b/>
          <w:bCs/>
          <w:noProof/>
          <w:color w:val="000000" w:themeColor="text1"/>
          <w:sz w:val="28"/>
          <w:szCs w:val="28"/>
          <w:highlight w:val="yellow"/>
          <w:rtl/>
        </w:rPr>
        <w:lastRenderedPageBreak/>
        <w:drawing>
          <wp:inline distT="0" distB="0" distL="0" distR="0" wp14:anchorId="219DF449" wp14:editId="0493C2C2">
            <wp:extent cx="5617028" cy="4773880"/>
            <wp:effectExtent l="0" t="0" r="3175" b="8255"/>
            <wp:docPr id="8" name="Picture 8" descr="A screenshot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book&#10;&#10;AI-generated content may be incorrect."/>
                    <pic:cNvPicPr/>
                  </pic:nvPicPr>
                  <pic:blipFill rotWithShape="1">
                    <a:blip r:embed="rId29" cstate="print">
                      <a:extLst>
                        <a:ext uri="{BEBA8EAE-BF5A-486C-A8C5-ECC9F3942E4B}">
                          <a14:imgProps xmlns:a14="http://schemas.microsoft.com/office/drawing/2010/main">
                            <a14:imgLayer r:embed="rId30">
                              <a14:imgEffect>
                                <a14:saturation sat="400000"/>
                              </a14:imgEffect>
                            </a14:imgLayer>
                          </a14:imgProps>
                        </a:ext>
                        <a:ext uri="{28A0092B-C50C-407E-A947-70E740481C1C}">
                          <a14:useLocalDpi xmlns:a14="http://schemas.microsoft.com/office/drawing/2010/main" val="0"/>
                        </a:ext>
                      </a:extLst>
                    </a:blip>
                    <a:srcRect l="4696" t="37005" r="53140" b="9918"/>
                    <a:stretch/>
                  </pic:blipFill>
                  <pic:spPr bwMode="auto">
                    <a:xfrm>
                      <a:off x="0" y="0"/>
                      <a:ext cx="5615962" cy="4772974"/>
                    </a:xfrm>
                    <a:prstGeom prst="rect">
                      <a:avLst/>
                    </a:prstGeom>
                    <a:ln>
                      <a:noFill/>
                    </a:ln>
                    <a:extLst>
                      <a:ext uri="{53640926-AAD7-44D8-BBD7-CCE9431645EC}">
                        <a14:shadowObscured xmlns:a14="http://schemas.microsoft.com/office/drawing/2010/main"/>
                      </a:ext>
                    </a:extLst>
                  </pic:spPr>
                </pic:pic>
              </a:graphicData>
            </a:graphic>
          </wp:inline>
        </w:drawing>
      </w:r>
    </w:p>
    <w:p w14:paraId="40EA639E" w14:textId="5B928C16" w:rsidR="00AF26E8" w:rsidRPr="00545ABB" w:rsidRDefault="00A276C3" w:rsidP="00AF26E8">
      <w:pPr>
        <w:spacing w:before="100" w:beforeAutospacing="1" w:after="100" w:afterAutospacing="1" w:line="240" w:lineRule="auto"/>
        <w:jc w:val="center"/>
        <w:rPr>
          <w:rFonts w:ascii="Times New Roman" w:eastAsia="Times New Roman" w:hAnsi="Times New Roman" w:cs="Times New Roman"/>
          <w:color w:val="000000" w:themeColor="text1"/>
          <w:sz w:val="24"/>
          <w:szCs w:val="24"/>
        </w:rPr>
      </w:pPr>
      <w:r w:rsidRPr="00A276C3">
        <w:rPr>
          <w:rFonts w:ascii="Times New Roman" w:eastAsia="Times New Roman" w:hAnsi="Times New Roman" w:cs="Times New Roman"/>
          <w:b/>
          <w:bCs/>
          <w:color w:val="000000" w:themeColor="text1"/>
          <w:sz w:val="24"/>
          <w:szCs w:val="24"/>
          <w:rtl/>
        </w:rPr>
        <w:t>شكل (2-6)</w:t>
      </w:r>
      <w:r>
        <w:rPr>
          <w:rFonts w:ascii="Times New Roman" w:eastAsia="Times New Roman" w:hAnsi="Times New Roman" w:cs="Times New Roman" w:hint="cs"/>
          <w:b/>
          <w:bCs/>
          <w:color w:val="000000" w:themeColor="text1"/>
          <w:sz w:val="24"/>
          <w:szCs w:val="24"/>
          <w:rtl/>
        </w:rPr>
        <w:t xml:space="preserve"> </w:t>
      </w:r>
      <w:r w:rsidR="00AF26E8" w:rsidRPr="00545ABB">
        <w:rPr>
          <w:rFonts w:ascii="Times New Roman" w:eastAsia="Times New Roman" w:hAnsi="Times New Roman" w:cs="Times New Roman"/>
          <w:b/>
          <w:bCs/>
          <w:color w:val="000000" w:themeColor="text1"/>
          <w:sz w:val="24"/>
          <w:szCs w:val="24"/>
          <w:rtl/>
        </w:rPr>
        <w:t>: استراتيجية</w:t>
      </w:r>
      <w:r w:rsidR="00AF26E8" w:rsidRPr="00545ABB">
        <w:rPr>
          <w:rFonts w:ascii="Times New Roman" w:eastAsia="Times New Roman" w:hAnsi="Times New Roman" w:cs="Times New Roman"/>
          <w:b/>
          <w:bCs/>
          <w:color w:val="000000" w:themeColor="text1"/>
          <w:sz w:val="24"/>
          <w:szCs w:val="24"/>
        </w:rPr>
        <w:t xml:space="preserve"> GROW </w:t>
      </w:r>
      <w:r w:rsidR="00AF26E8" w:rsidRPr="00545ABB">
        <w:rPr>
          <w:rFonts w:ascii="Times New Roman" w:eastAsia="Times New Roman" w:hAnsi="Times New Roman" w:cs="Times New Roman"/>
          <w:b/>
          <w:bCs/>
          <w:color w:val="000000" w:themeColor="text1"/>
          <w:sz w:val="24"/>
          <w:szCs w:val="24"/>
          <w:rtl/>
        </w:rPr>
        <w:t>الخاصة بحوكمة الاستدامة</w:t>
      </w:r>
    </w:p>
    <w:p w14:paraId="7AFC8188" w14:textId="6BF23B80" w:rsidR="00AF26E8" w:rsidRPr="00545ABB" w:rsidRDefault="00AF26E8" w:rsidP="00AF26E8">
      <w:pPr>
        <w:spacing w:before="100" w:beforeAutospacing="1" w:after="100" w:afterAutospacing="1" w:line="360" w:lineRule="auto"/>
        <w:jc w:val="center"/>
        <w:rPr>
          <w:rFonts w:ascii="Traditional Arabic" w:eastAsia="Times New Roman" w:hAnsi="Traditional Arabic" w:cs="Traditional Arabic"/>
          <w:b/>
          <w:bCs/>
          <w:color w:val="000000" w:themeColor="text1"/>
          <w:sz w:val="24"/>
          <w:szCs w:val="24"/>
        </w:rPr>
      </w:pPr>
      <w:r w:rsidRPr="00545ABB">
        <w:rPr>
          <w:rFonts w:ascii="Times New Roman" w:eastAsia="Times New Roman" w:hAnsi="Times New Roman" w:cs="Times New Roman"/>
          <w:b/>
          <w:bCs/>
          <w:color w:val="000000" w:themeColor="text1"/>
          <w:sz w:val="24"/>
          <w:szCs w:val="24"/>
          <w:rtl/>
        </w:rPr>
        <w:t>المصدر: شركة</w:t>
      </w:r>
      <w:r w:rsidRPr="00545ABB">
        <w:rPr>
          <w:rFonts w:ascii="Times New Roman" w:eastAsia="Times New Roman" w:hAnsi="Times New Roman" w:cs="Times New Roman" w:hint="cs"/>
          <w:b/>
          <w:bCs/>
          <w:color w:val="000000" w:themeColor="text1"/>
          <w:sz w:val="24"/>
          <w:szCs w:val="24"/>
          <w:rtl/>
        </w:rPr>
        <w:t xml:space="preserve"> </w:t>
      </w:r>
      <w:r w:rsidRPr="00545ABB">
        <w:rPr>
          <w:rFonts w:ascii="Times New Roman" w:eastAsia="Times New Roman" w:hAnsi="Times New Roman" w:cs="Times New Roman"/>
          <w:b/>
          <w:bCs/>
          <w:color w:val="000000" w:themeColor="text1"/>
          <w:sz w:val="24"/>
          <w:szCs w:val="24"/>
        </w:rPr>
        <w:t xml:space="preserve"> solutions by stc</w:t>
      </w:r>
      <w:r w:rsidRPr="00545ABB">
        <w:rPr>
          <w:rFonts w:ascii="Times New Roman" w:eastAsia="Times New Roman" w:hAnsi="Times New Roman" w:cs="Times New Roman"/>
          <w:b/>
          <w:bCs/>
          <w:color w:val="000000" w:themeColor="text1"/>
          <w:sz w:val="24"/>
          <w:szCs w:val="24"/>
          <w:rtl/>
        </w:rPr>
        <w:t>، تقرير الاستدامة لعام 2023، ص</w:t>
      </w:r>
      <w:r w:rsidRPr="00545ABB">
        <w:rPr>
          <w:rFonts w:ascii="Times New Roman" w:eastAsia="Times New Roman" w:hAnsi="Times New Roman" w:cs="Times New Roman"/>
          <w:b/>
          <w:bCs/>
          <w:color w:val="000000" w:themeColor="text1"/>
          <w:sz w:val="24"/>
          <w:szCs w:val="24"/>
        </w:rPr>
        <w:t>. 62.</w:t>
      </w:r>
    </w:p>
    <w:p w14:paraId="6ACA799A" w14:textId="26400837" w:rsidR="00AF26E8" w:rsidRPr="00545ABB" w:rsidRDefault="00AF26E8" w:rsidP="00AF26E8">
      <w:pPr>
        <w:spacing w:line="360" w:lineRule="auto"/>
        <w:rPr>
          <w:rFonts w:ascii="Traditional Arabic" w:hAnsi="Traditional Arabic" w:cs="Traditional Arabic"/>
          <w:b/>
          <w:bCs/>
          <w:color w:val="000000" w:themeColor="text1"/>
          <w:sz w:val="24"/>
          <w:szCs w:val="24"/>
        </w:rPr>
      </w:pPr>
      <w:bookmarkStart w:id="85" w:name="_Hlk204103600"/>
    </w:p>
    <w:p w14:paraId="60BAD4B2" w14:textId="391ABA44"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يوضح الشكل السابق نموذج حوكمة الاستدامة الذي تبنته شركة </w:t>
      </w:r>
      <w:r w:rsidRPr="00545ABB">
        <w:rPr>
          <w:rStyle w:val="Strong"/>
          <w:rFonts w:ascii="Traditional Arabic" w:hAnsi="Traditional Arabic" w:cs="Traditional Arabic"/>
          <w:color w:val="000000" w:themeColor="text1"/>
        </w:rPr>
        <w:t>solutions by stc</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في إطار استراتيجية </w:t>
      </w:r>
      <w:r w:rsidRPr="00545ABB">
        <w:rPr>
          <w:rStyle w:val="Strong"/>
          <w:rFonts w:ascii="Traditional Arabic" w:hAnsi="Traditional Arabic" w:cs="Traditional Arabic"/>
          <w:color w:val="000000" w:themeColor="text1"/>
        </w:rPr>
        <w:t>GROW</w:t>
      </w:r>
      <w:r w:rsidRPr="00545ABB">
        <w:rPr>
          <w:rFonts w:ascii="Traditional Arabic" w:hAnsi="Traditional Arabic" w:cs="Traditional Arabic"/>
          <w:b/>
          <w:bCs/>
          <w:color w:val="000000" w:themeColor="text1"/>
          <w:rtl/>
        </w:rPr>
        <w:t xml:space="preserve">، حيث يرتبط موضوع الاستدامة والابتكار بهيكل الحوكمة المؤسسية بدءًا من مجلس الإدارة، مرورًا بالرئيس التنفيذي ونائب رئيس مجلس الإدارة، ووصولًا إلى القيادات التنفيذية والوظائف المعنية بالاستدامة والابتكار. كما يوضح النموذج وجود شبكة للرواد في مجال الاستدامة، بما يعكس توزيع المسؤوليات ودمج الاستدامة في مستويات متعددة من الهيكل المؤسسي </w:t>
      </w:r>
      <w:r w:rsidRPr="00545ABB">
        <w:rPr>
          <w:rFonts w:ascii="Traditional Arabic" w:hAnsi="Traditional Arabic" w:cs="Traditional Arabic"/>
          <w:b/>
          <w:bCs/>
          <w:color w:val="000000" w:themeColor="text1"/>
        </w:rPr>
        <w:t>(solutions by stc, 2023, p. 62).</w:t>
      </w:r>
    </w:p>
    <w:p w14:paraId="7A7E9630"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ويظهر هذا النموذج أن حوكمة الاستدامة لا تقتصر على وجود سياسات أو مبادرات مستقلة، وإنما تمثل مدخلًا متكاملًا لربط الاستدامة بالقيادة والاستراتيجية واتخاذ القرار والمسؤوليات التنفيذية وآليات المتابعة. ويساعد هذا التكامل على تحويل أهداف الاستدامة من توجهات عامة إلى ممارسات قابلة للتنفيذ والقياس والمراجعة، بما يعزز قدرة المؤسسات على تحقيق أهدافها والمحافظة على استمراريتها وخلق قيمة على المدى الطويل</w:t>
      </w:r>
      <w:r w:rsidRPr="00545ABB">
        <w:rPr>
          <w:rFonts w:ascii="Traditional Arabic" w:hAnsi="Traditional Arabic" w:cs="Traditional Arabic"/>
          <w:b/>
          <w:bCs/>
          <w:color w:val="000000" w:themeColor="text1"/>
        </w:rPr>
        <w:t>.</w:t>
      </w:r>
    </w:p>
    <w:p w14:paraId="6554B45C"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هذه الممارسة أهمية بالنسبة للشركات الناشئة؛ إذ إن دمج الاستدامة ضمن هيكل الحوكمة منذ المراحل المبكرة يمكن أن يساعد على تجنب الفصل بين أهداف النمو قصيرة الأجل ومتطلبات الاستدامة طويلة الأجل. كما يساعد على تحديد المسؤولية عن المخاطر والفرص المرتبطة بالاستدامة، وتوفير معلومات أكثر وضوحًا لمجلس الإدارة والإدارة التنفيذية لدعم عملية اتخاذ القرار</w:t>
      </w:r>
      <w:r w:rsidRPr="00545ABB">
        <w:rPr>
          <w:rFonts w:ascii="Traditional Arabic" w:hAnsi="Traditional Arabic" w:cs="Traditional Arabic"/>
          <w:b/>
          <w:bCs/>
          <w:color w:val="000000" w:themeColor="text1"/>
        </w:rPr>
        <w:t>.</w:t>
      </w:r>
    </w:p>
    <w:p w14:paraId="7D981040"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ويرى الباحث</w:t>
      </w:r>
      <w:r w:rsidRPr="00545ABB">
        <w:rPr>
          <w:rFonts w:ascii="Traditional Arabic" w:hAnsi="Traditional Arabic" w:cs="Traditional Arabic"/>
          <w:b/>
          <w:bCs/>
          <w:color w:val="000000" w:themeColor="text1"/>
          <w:rtl/>
        </w:rPr>
        <w:t xml:space="preserve"> أن الاقتصار على الأبعاد الاقتصادية والاجتماعية والبيئية عند تناول استدامة الشركات قد لا يكون كافيًا لتحقيق الاستدامة بصورة عملية، ما لم يصاحب ذلك وجود </w:t>
      </w:r>
      <w:r w:rsidRPr="00545ABB">
        <w:rPr>
          <w:rStyle w:val="Strong"/>
          <w:rFonts w:ascii="Traditional Arabic" w:hAnsi="Traditional Arabic" w:cs="Traditional Arabic"/>
          <w:color w:val="000000" w:themeColor="text1"/>
          <w:rtl/>
        </w:rPr>
        <w:t>بعد حوكمي وإداري</w:t>
      </w:r>
      <w:r w:rsidRPr="00545ABB">
        <w:rPr>
          <w:rFonts w:ascii="Traditional Arabic" w:hAnsi="Traditional Arabic" w:cs="Traditional Arabic"/>
          <w:b/>
          <w:bCs/>
          <w:color w:val="000000" w:themeColor="text1"/>
          <w:rtl/>
        </w:rPr>
        <w:t xml:space="preserve"> يضمن تحديد المسؤوليات، ومتابعة المخاطر والفرص، وقياس الأداء، وربط نتائج الاستدامة بالقرارات الاستراتيجية. ومن ثم، فإن وجود مجلس إدارة وإدارة تنفيذية فاعلة وآليات واضحة للرقابة والمتابعة يمثل عنصرًا مهمًا في تحويل أهداف الاستدامة إلى نتائج مؤسسية قابلة للقياس</w:t>
      </w:r>
      <w:r w:rsidRPr="00545ABB">
        <w:rPr>
          <w:rFonts w:ascii="Traditional Arabic" w:hAnsi="Traditional Arabic" w:cs="Traditional Arabic"/>
          <w:b/>
          <w:bCs/>
          <w:color w:val="000000" w:themeColor="text1"/>
        </w:rPr>
        <w:t>.</w:t>
      </w:r>
    </w:p>
    <w:p w14:paraId="4DB4577E"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يتطلب ذلك أن تتم مناقشة المخاطر والفرص المتعلقة بالاستدامة بصورة دورية على مستوى القيادة العليا، وأن يتم تطوير مؤشرات أداء ملائمة تساعد على قياس النتائج الاقتصادية والاجتماعية والبيئية والحوكمية. ويمكن أن تسهم هذه المؤشرات في تقديم صورة أكثر تكاملًا عن أداء المؤسسة، بدلًا من الاقتصار على المؤشرات المالية التقليدية وحدها</w:t>
      </w:r>
      <w:r w:rsidRPr="00545ABB">
        <w:rPr>
          <w:rFonts w:ascii="Traditional Arabic" w:hAnsi="Traditional Arabic" w:cs="Traditional Arabic"/>
          <w:b/>
          <w:bCs/>
          <w:color w:val="000000" w:themeColor="text1"/>
        </w:rPr>
        <w:t>.</w:t>
      </w:r>
    </w:p>
    <w:p w14:paraId="1A8D5A83" w14:textId="77777777" w:rsidR="00AF26E8" w:rsidRPr="00545ABB" w:rsidRDefault="00AF26E8" w:rsidP="00AF26E8">
      <w:pPr>
        <w:pStyle w:val="Heading2"/>
        <w:bidi/>
        <w:spacing w:line="360" w:lineRule="auto"/>
        <w:rPr>
          <w:rFonts w:ascii="Traditional Arabic" w:hAnsi="Traditional Arabic" w:cs="Traditional Arabic"/>
          <w:b/>
          <w:bCs/>
          <w:color w:val="000000" w:themeColor="text1"/>
          <w:sz w:val="28"/>
          <w:szCs w:val="28"/>
        </w:rPr>
      </w:pPr>
      <w:bookmarkStart w:id="86" w:name="_Toc242325246"/>
      <w:r w:rsidRPr="00545ABB">
        <w:rPr>
          <w:rFonts w:ascii="Traditional Arabic" w:hAnsi="Traditional Arabic" w:cs="Traditional Arabic"/>
          <w:b/>
          <w:bCs/>
          <w:color w:val="000000" w:themeColor="text1"/>
          <w:sz w:val="28"/>
          <w:szCs w:val="28"/>
          <w:rtl/>
        </w:rPr>
        <w:t>انعكاس العلاقة بين آليات الحوكمة وتقارير الاستدامة على أداء الشركات</w:t>
      </w:r>
      <w:bookmarkEnd w:id="86"/>
    </w:p>
    <w:p w14:paraId="3BD60FFC"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ترتبط فعالية الحوكمة بجودة المعلومات التي تفصح عنها الشركات لأصحاب المصالح، إذ إن عدم قدرة المستثمرين والمساهمين وبقية الأطراف ذات العلاقة على فهم أداء الشركة ومخاطرها وقدرتها على خلق القيمة قد يشير إلى وجود قصور في نظام الإفصاح والتقارير. ويمكن أن يؤدي ضعف الإفصاح إلى زيادة عدم تماثل المعلومات وتقليل مستوى الثقة بين الشركة وأصحاب المصالح، الأمر الذي قد ينعكس على قدرتها على استقطاب التمويل والاستثمار وتحقيق الاستدامة</w:t>
      </w:r>
      <w:r w:rsidRPr="00545ABB">
        <w:rPr>
          <w:rFonts w:ascii="Traditional Arabic" w:hAnsi="Traditional Arabic" w:cs="Traditional Arabic"/>
          <w:b/>
          <w:bCs/>
          <w:color w:val="000000" w:themeColor="text1"/>
        </w:rPr>
        <w:t>.</w:t>
      </w:r>
    </w:p>
    <w:p w14:paraId="1E2FF976" w14:textId="348087E5"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وفي هذا السياق، ظهر مفهوم </w:t>
      </w:r>
      <w:r w:rsidRPr="00545ABB">
        <w:rPr>
          <w:rStyle w:val="Strong"/>
          <w:rFonts w:ascii="Traditional Arabic" w:hAnsi="Traditional Arabic" w:cs="Traditional Arabic"/>
          <w:color w:val="000000" w:themeColor="text1"/>
          <w:rtl/>
        </w:rPr>
        <w:t xml:space="preserve">التقرير المتكامل </w:t>
      </w:r>
      <w:r w:rsidRPr="00545ABB">
        <w:rPr>
          <w:rStyle w:val="Strong"/>
          <w:rFonts w:ascii="Traditional Arabic" w:hAnsi="Traditional Arabic" w:cs="Traditional Arabic"/>
          <w:color w:val="000000" w:themeColor="text1"/>
        </w:rPr>
        <w:t>(Integrated Report)</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بهدف تقديم صورة أكثر ترابطًا عن الأداء المؤسسي من خلال الجمع بين المعلومات المالية وغير المالية، وربط استراتيجية المؤسسة وحوكمتها وأدائها وآفاقها المستقبلية بقدرتها على خلق القيمة والمحافظة عليها بمرور الوقت</w:t>
      </w:r>
      <w:r w:rsidRPr="00545ABB">
        <w:rPr>
          <w:rFonts w:ascii="Traditional Arabic" w:hAnsi="Traditional Arabic" w:cs="Traditional Arabic"/>
          <w:b/>
          <w:bCs/>
          <w:color w:val="000000" w:themeColor="text1"/>
        </w:rPr>
        <w:t>.</w:t>
      </w:r>
    </w:p>
    <w:p w14:paraId="3181DF36" w14:textId="3BE1FB51"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طور المجلس الدولي للتقارير المتكاملة </w:t>
      </w:r>
      <w:r w:rsidRPr="00545ABB">
        <w:rPr>
          <w:rStyle w:val="Strong"/>
          <w:rFonts w:ascii="Traditional Arabic" w:hAnsi="Traditional Arabic" w:cs="Traditional Arabic"/>
          <w:color w:val="000000" w:themeColor="text1"/>
        </w:rPr>
        <w:t>International Integrated Reporting Council (IIRC)</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إطار التقارير المتكاملة، الذي صدر لأول مرة عام 2013 وتم تحديثه في عام 2021. ويهدف الإطار إلى تحسين جودة المعلومات المقدمة لموفري رأس المال، وتعزيز الترابط بين أشكال التقارير المختلفة، ودعم المساءلة والإشراف على الموارد التي تعتمد عليها المؤسسة، إلى جانب تشجيع التفكير المتكامل واتخاذ القرارات التي تركز على خلق القيمة على المدى القصير والمتوسط والطويل </w:t>
      </w:r>
      <w:r w:rsidRPr="00545ABB">
        <w:rPr>
          <w:rFonts w:ascii="Traditional Arabic" w:hAnsi="Traditional Arabic" w:cs="Traditional Arabic"/>
          <w:b/>
          <w:bCs/>
          <w:color w:val="000000" w:themeColor="text1"/>
        </w:rPr>
        <w:t>(IIRC, 2021).</w:t>
      </w:r>
    </w:p>
    <w:p w14:paraId="5E5CEF0F" w14:textId="0C0B4655"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وأصبح </w:t>
      </w:r>
      <w:r w:rsidRPr="00545ABB">
        <w:rPr>
          <w:rStyle w:val="Strong"/>
          <w:rFonts w:ascii="Traditional Arabic" w:hAnsi="Traditional Arabic" w:cs="Traditional Arabic"/>
          <w:color w:val="000000" w:themeColor="text1"/>
        </w:rPr>
        <w:t>Integrated Reporting Framework</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حاليًا تحت إشراف مؤسسة المعايير الدولية لإعداد التقارير المالية </w:t>
      </w:r>
      <w:r w:rsidRPr="00545ABB">
        <w:rPr>
          <w:rStyle w:val="Strong"/>
          <w:rFonts w:ascii="Traditional Arabic" w:hAnsi="Traditional Arabic" w:cs="Traditional Arabic"/>
          <w:color w:val="000000" w:themeColor="text1"/>
        </w:rPr>
        <w:t>IFRS Foundation</w:t>
      </w:r>
      <w:r w:rsidRPr="00545ABB">
        <w:rPr>
          <w:rFonts w:ascii="Traditional Arabic" w:hAnsi="Traditional Arabic" w:cs="Traditional Arabic"/>
          <w:b/>
          <w:bCs/>
          <w:color w:val="000000" w:themeColor="text1"/>
          <w:rtl/>
        </w:rPr>
        <w:t>، حيث يستخدم الإطار لربط المعلومات المالية ومعلومات الاستدامة وتوضيح العلاقة بين استراتيجية المؤسسة وحوكمتها وأدائها وآفاقها وقدرتها على خلق القيمة والمحافظة عليها أو تآكلها بمرور الوقت</w:t>
      </w:r>
      <w:r w:rsidRPr="00545ABB">
        <w:rPr>
          <w:rFonts w:ascii="Traditional Arabic" w:hAnsi="Traditional Arabic" w:cs="Traditional Arabic"/>
          <w:b/>
          <w:bCs/>
          <w:color w:val="000000" w:themeColor="text1"/>
        </w:rPr>
        <w:t xml:space="preserve">. </w:t>
      </w:r>
    </w:p>
    <w:p w14:paraId="2E4C077D"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وتتمثل أهمية التقرير المتكامل في أنه لا يجمع المعلومات المالية وغير المالية بصورة شكلية فحسب، وإنما يهدف إلى إظهار العلاقات بينها وكيف تؤثر الاستراتيجية والحوكمة والمخاطر والفرص والموارد المختلفة في قدرة المؤسسة على خلق القيمة. ولهذا فإن التقرير المتكامل يقدم تصورًا أكثر شمولًا من الاعتماد على القوائم المالية وحدها أو عرض معلومات الاستدامة بصورة منفصلة</w:t>
      </w:r>
      <w:r w:rsidRPr="00545ABB">
        <w:rPr>
          <w:rFonts w:ascii="Traditional Arabic" w:hAnsi="Traditional Arabic" w:cs="Traditional Arabic"/>
          <w:b/>
          <w:bCs/>
          <w:color w:val="000000" w:themeColor="text1"/>
        </w:rPr>
        <w:t>.</w:t>
      </w:r>
    </w:p>
    <w:p w14:paraId="35C8159C"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يساعد التقرير المتكامل على تقديم صورة أوضح عن الأداء الاقتصادي والاجتماعي والبيئي والحوكمي للمؤسسة، وكيفية استخدام الموارد المتاحة لتحقيق الأهداف والاستراتيجية. ويمكن أن يسهم هذا النوع من الإفصاح في تعزيز الشفافية وتحسين قدرة أصحاب المصالح على تقييم الأداء والمخاطر والفرص المستقبلية</w:t>
      </w:r>
      <w:r w:rsidRPr="00545ABB">
        <w:rPr>
          <w:rFonts w:ascii="Traditional Arabic" w:hAnsi="Traditional Arabic" w:cs="Traditional Arabic"/>
          <w:b/>
          <w:bCs/>
          <w:color w:val="000000" w:themeColor="text1"/>
        </w:rPr>
        <w:t>.</w:t>
      </w:r>
    </w:p>
    <w:p w14:paraId="57F1DB49" w14:textId="4A193096"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ويقوم مفهوم التقارير المتكاملة كذلك على </w:t>
      </w:r>
      <w:r w:rsidRPr="00545ABB">
        <w:rPr>
          <w:rStyle w:val="Strong"/>
          <w:rFonts w:ascii="Traditional Arabic" w:hAnsi="Traditional Arabic" w:cs="Traditional Arabic"/>
          <w:color w:val="000000" w:themeColor="text1"/>
          <w:rtl/>
        </w:rPr>
        <w:t xml:space="preserve">التفكير المتكامل </w:t>
      </w:r>
      <w:r w:rsidRPr="00545ABB">
        <w:rPr>
          <w:rStyle w:val="Strong"/>
          <w:rFonts w:ascii="Traditional Arabic" w:hAnsi="Traditional Arabic" w:cs="Traditional Arabic"/>
          <w:color w:val="000000" w:themeColor="text1"/>
        </w:rPr>
        <w:t>(Integrated Thinking)</w:t>
      </w:r>
      <w:r w:rsidRPr="00545ABB">
        <w:rPr>
          <w:rFonts w:ascii="Traditional Arabic" w:hAnsi="Traditional Arabic" w:cs="Traditional Arabic"/>
          <w:b/>
          <w:bCs/>
          <w:color w:val="000000" w:themeColor="text1"/>
          <w:rtl/>
        </w:rPr>
        <w:t>، الذي يشجع المؤسسة على النظر إلى العلاقات بين وحداتها المختلفة والموارد التي تعتمد عليها وكيف تؤثر القرارات في قدرة المؤسسة على خلق القيمة على المدى الطويل، بدلًا من التعامل مع الأداء المالي والاستدامة والحوكمة على أنها موضوعات منفصلة</w:t>
      </w:r>
      <w:r w:rsidRPr="00545ABB">
        <w:rPr>
          <w:rFonts w:ascii="Traditional Arabic" w:hAnsi="Traditional Arabic" w:cs="Traditional Arabic"/>
          <w:b/>
          <w:bCs/>
          <w:color w:val="000000" w:themeColor="text1"/>
        </w:rPr>
        <w:t xml:space="preserve">. </w:t>
      </w:r>
    </w:p>
    <w:p w14:paraId="747662A6"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وتغطي التقارير المتكاملة الأبعاد المالية وغير المالية بصورة مترابطة، بحيث يتم الربط بين الأداء المالي من جهة، والأداء المتعلق بالاستدامة والحوكمة والمخاطر والموارد البشرية والعلاقات مع أصحاب المصالح من جهة أخرى. ويساعد ذلك على تقديم صورة أكثر شمولًا عن الأداء الكلي للمؤسسة وقدرتها على الاستمرار وخلق القيمة</w:t>
      </w:r>
      <w:r w:rsidRPr="00545ABB">
        <w:rPr>
          <w:rFonts w:ascii="Traditional Arabic" w:hAnsi="Traditional Arabic" w:cs="Traditional Arabic"/>
          <w:b/>
          <w:bCs/>
          <w:color w:val="000000" w:themeColor="text1"/>
        </w:rPr>
        <w:t>.</w:t>
      </w:r>
    </w:p>
    <w:p w14:paraId="7CB3600E"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أشار غنيمي (2022، ص ص. 597–603) إلى أهمية التكامل بين آليات الحوكمة والإفصاح عن الاستدامة والأداء المالي، وأن الاعتماد على المؤشرات المالية وحدها لم يعد كافيًا لتقييم أداء المؤسسات في ظل تزايد أهمية المعلومات غير المالية لدى المستثمرين وأصحاب المصالح</w:t>
      </w:r>
      <w:r w:rsidRPr="00545ABB">
        <w:rPr>
          <w:rFonts w:ascii="Traditional Arabic" w:hAnsi="Traditional Arabic" w:cs="Traditional Arabic"/>
          <w:b/>
          <w:bCs/>
          <w:color w:val="000000" w:themeColor="text1"/>
        </w:rPr>
        <w:t>.</w:t>
      </w:r>
    </w:p>
    <w:p w14:paraId="0878ECB4"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هذا المنطلق، يمكن للحوكمة الجيدة أن تدعم جودة الإفصاح عن الاستدامة من خلال تحديد مسؤوليات إعداد المعلومات ومراجعتها واعتمادها، وتعزيز مستوى الرقابة على جودتها وموثوقيتها. كما يمكن أن يساعد الإفصاح الجيد عن المعلومات المالية وغير المالية المستثمرين على تكوين صورة أكثر وضوحًا عن قدرة الشركة على تحقيق أهدافها وإدارة مخاطرها والمحافظة على قيمتها في المستقبل</w:t>
      </w:r>
      <w:r w:rsidRPr="00545ABB">
        <w:rPr>
          <w:rFonts w:ascii="Traditional Arabic" w:hAnsi="Traditional Arabic" w:cs="Traditional Arabic"/>
          <w:b/>
          <w:bCs/>
          <w:color w:val="000000" w:themeColor="text1"/>
        </w:rPr>
        <w:t>.</w:t>
      </w:r>
    </w:p>
    <w:p w14:paraId="221D735C"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ويرى الباحث</w:t>
      </w:r>
      <w:r w:rsidRPr="00545ABB">
        <w:rPr>
          <w:rFonts w:ascii="Traditional Arabic" w:hAnsi="Traditional Arabic" w:cs="Traditional Arabic"/>
          <w:b/>
          <w:bCs/>
          <w:color w:val="000000" w:themeColor="text1"/>
          <w:rtl/>
        </w:rPr>
        <w:t xml:space="preserve"> أن العلاقة بين آليات الحوكمة وتقارير الاستدامة والأداء المؤسسي يمكن النظر إليها باعتبارها علاقة تكاملية؛ فالحوكمة الجيدة تساعد على تحسين جودة وموثوقية المعلومات التي يتم الإفصاح عنها، بينما يساعد الإفصاح عن الاستدامة والمعلومات غير المالية على تعزيز الشفافية وتمكين المستثمرين وأصحاب المصالح من تقييم الشركة بصورة أكثر شمولًا</w:t>
      </w:r>
      <w:r w:rsidRPr="00545ABB">
        <w:rPr>
          <w:rFonts w:ascii="Traditional Arabic" w:hAnsi="Traditional Arabic" w:cs="Traditional Arabic"/>
          <w:b/>
          <w:bCs/>
          <w:color w:val="000000" w:themeColor="text1"/>
        </w:rPr>
        <w:t>.</w:t>
      </w:r>
    </w:p>
    <w:p w14:paraId="5EDF4C37"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أن عملية تقييم أداء الاستدامة توفر مؤشرات إضافية لقياس مدى نجاح الشركة في تحقيق أهدافها طويلة الأجل، حيث لم تعد نماذج تقييم الأداء التي تعتمد على البيانات المالية وحدها كافية لتفسير جميع العوامل التي تؤثر في قدرة المؤسسة على الاستمرار والنمو. ومن ثم، تبرز الحاجة إلى الجمع بين المؤشرات المالية وغير المالية عند تقييم الأداء المؤسسي</w:t>
      </w:r>
      <w:r w:rsidRPr="00545ABB">
        <w:rPr>
          <w:rFonts w:ascii="Traditional Arabic" w:hAnsi="Traditional Arabic" w:cs="Traditional Arabic"/>
          <w:b/>
          <w:bCs/>
          <w:color w:val="000000" w:themeColor="text1"/>
        </w:rPr>
        <w:t>.</w:t>
      </w:r>
    </w:p>
    <w:p w14:paraId="377BB1DF"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هذه العلاقة أهمية أكبر بالنسبة للشركات الناشئة، نظرًا لحاجتها المستمرة إلى بناء الثقة واستقطاب التمويل وإثبات قدرتها على تحقيق النمو المستدام. فوجود هياكل حوكمة واضحة ومعلومات موثوقة عن الأداء والمخاطر والفرص يساعد المستثمرين على تقييم الشركة بصورة أفضل، كما يقلل من حالة عدم اليقين الناتجة عن محدودية التاريخ التشغيلي للشركات حديثة التأسيس</w:t>
      </w:r>
      <w:r w:rsidRPr="00545ABB">
        <w:rPr>
          <w:rFonts w:ascii="Traditional Arabic" w:hAnsi="Traditional Arabic" w:cs="Traditional Arabic"/>
          <w:b/>
          <w:bCs/>
          <w:color w:val="000000" w:themeColor="text1"/>
        </w:rPr>
        <w:t>.</w:t>
      </w:r>
    </w:p>
    <w:p w14:paraId="1F639453"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وبالنسبة لشركات الأمن السيبراني الناشئة على وجه الخصوص، لا يقتصر مفهوم الاستدامة على الجوانب الاقتصادية والاجتماعية والبيئية، بل يمتد إلى قدرتها على المحافظة على </w:t>
      </w:r>
      <w:r w:rsidRPr="00545ABB">
        <w:rPr>
          <w:rStyle w:val="Strong"/>
          <w:rFonts w:ascii="Traditional Arabic" w:hAnsi="Traditional Arabic" w:cs="Traditional Arabic"/>
          <w:color w:val="000000" w:themeColor="text1"/>
          <w:rtl/>
        </w:rPr>
        <w:t xml:space="preserve">استمرارية الأعمال، وثقة العملاء، والكفاءات المتخصصة، والامتثال للمتطلبات التنظيمية، وإدارة المخاطر السيبرانية، </w:t>
      </w:r>
      <w:r w:rsidRPr="00545ABB">
        <w:rPr>
          <w:rStyle w:val="Strong"/>
          <w:rFonts w:ascii="Traditional Arabic" w:hAnsi="Traditional Arabic" w:cs="Traditional Arabic"/>
          <w:color w:val="000000" w:themeColor="text1"/>
          <w:rtl/>
        </w:rPr>
        <w:lastRenderedPageBreak/>
        <w:t>والابتكار المستمر، وجودة الخدمات والمنتجات</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ومن ثم، فإن الحوكمة الفعالة توفر الإطار الذي يساعد هذه الشركات على تحقيق التوازن بين النمو السريع وإدارة المخاطر والمحافظة على القيمة على المدى الطويل</w:t>
      </w:r>
      <w:r w:rsidRPr="00545ABB">
        <w:rPr>
          <w:rFonts w:ascii="Traditional Arabic" w:hAnsi="Traditional Arabic" w:cs="Traditional Arabic"/>
          <w:b/>
          <w:bCs/>
          <w:color w:val="000000" w:themeColor="text1"/>
        </w:rPr>
        <w:t>.</w:t>
      </w:r>
    </w:p>
    <w:p w14:paraId="4A3E0599" w14:textId="77777777" w:rsidR="00AF26E8" w:rsidRPr="00545ABB" w:rsidRDefault="00AF26E8" w:rsidP="00AF26E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أن الإفصاح المنظم عن الجوانب المالية وغير المالية يمكن أن يسهم في تعزيز ثقة المستثمرين والعملاء والشركاء، خصوصًا في قطاع يعتمد بدرجة كبيرة على الثقة والسمعة والقدرة على حماية المعلومات والأصول الرقمية. وبالتالي، يمكن النظر إلى الحوكمة والتقارير المتعلقة بالاستدامة بوصفهما من الأدوات الداعمة لقدرة شركات الأمن السيبراني الناشئة على تحقيق النجاح والاستمرار</w:t>
      </w:r>
      <w:r w:rsidRPr="00545ABB">
        <w:rPr>
          <w:rFonts w:ascii="Traditional Arabic" w:hAnsi="Traditional Arabic" w:cs="Traditional Arabic"/>
          <w:b/>
          <w:bCs/>
          <w:color w:val="000000" w:themeColor="text1"/>
        </w:rPr>
        <w:t>.</w:t>
      </w:r>
    </w:p>
    <w:p w14:paraId="4869A96E" w14:textId="7CDD8FD6" w:rsidR="00AF26E8" w:rsidRPr="00545ABB" w:rsidRDefault="00AF26E8" w:rsidP="001E397C">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ويرى الباحث</w:t>
      </w:r>
      <w:r w:rsidRPr="00545ABB">
        <w:rPr>
          <w:rFonts w:ascii="Traditional Arabic" w:hAnsi="Traditional Arabic" w:cs="Traditional Arabic"/>
          <w:b/>
          <w:bCs/>
          <w:color w:val="000000" w:themeColor="text1"/>
          <w:rtl/>
        </w:rPr>
        <w:t xml:space="preserve"> أن التقارير المتكاملة تقدم تصورًا أكثر شمولًا لأداء الشركات؛ لأنها تساعد على الربط بين المعلومات المالية وغير المالية ومعلومات الحوكمة والاستدامة والمخاطر، بما يسمح بفهم أفضل للعوامل المؤثرة في قدرة المؤسسة على خلق القيمة والمحافظة عليها. كما أن جودة نظام الحوكمة تعد من العوامل المؤثرة في موثوقية هذه المعلومات وفي قدرة مجلس الإدارة وأصحاب المصالح على الاستفادة منها في عملية اتخاذ القرار (غنيمي، 2022، ص ص</w:t>
      </w:r>
      <w:r w:rsidRPr="00545ABB">
        <w:rPr>
          <w:rFonts w:ascii="Traditional Arabic" w:hAnsi="Traditional Arabic" w:cs="Traditional Arabic"/>
          <w:b/>
          <w:bCs/>
          <w:color w:val="000000" w:themeColor="text1"/>
        </w:rPr>
        <w:t>. 597–603</w:t>
      </w:r>
      <w:r w:rsidR="001E397C"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59A52C8F" w14:textId="6E48ACD1" w:rsidR="00AF26E8" w:rsidRPr="00545ABB" w:rsidRDefault="00AF26E8" w:rsidP="00A61863">
      <w:pPr>
        <w:pStyle w:val="NormalWeb"/>
        <w:bidi/>
        <w:spacing w:line="360" w:lineRule="auto"/>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وبناءً على ما سبق، يتضح أن الحوكمة الفعالة لا تؤثر في الاستدامة من خلال الرقابة والإدارة الداخلية فقط، وإنما يمتد أثرها إلى جودة المعلومات والإفصاح، وبناء الثقة مع أصحاب المصالح، وتحسين عملية اتخاذ القرار، ودعم قدرة الشركة على جذب الاستثمار وإدارة المخاطر وخلق قيمة مستدامة. وهو ما يعزز الفرضية النظرية التي تقوم عليها هذه الدراسة بشأن دور الحوكمة الفعالة في دعم استدامة ونجاح شركات الأمن السيبراني الناشئة</w:t>
      </w:r>
      <w:r w:rsidR="001E397C" w:rsidRPr="00545ABB">
        <w:rPr>
          <w:rFonts w:ascii="Traditional Arabic" w:hAnsi="Traditional Arabic" w:cs="Traditional Arabic"/>
          <w:b/>
          <w:bCs/>
          <w:color w:val="000000" w:themeColor="text1"/>
        </w:rPr>
        <w:t>.</w:t>
      </w:r>
    </w:p>
    <w:p w14:paraId="6F584F24" w14:textId="77777777" w:rsidR="00A61863" w:rsidRPr="00545ABB" w:rsidRDefault="00A61863" w:rsidP="00A61863">
      <w:pPr>
        <w:pStyle w:val="Heading2"/>
        <w:bidi/>
        <w:spacing w:line="360" w:lineRule="auto"/>
        <w:rPr>
          <w:rFonts w:ascii="Traditional Arabic" w:hAnsi="Traditional Arabic" w:cs="Traditional Arabic"/>
          <w:b/>
          <w:bCs/>
          <w:color w:val="000000" w:themeColor="text1"/>
        </w:rPr>
      </w:pPr>
      <w:bookmarkStart w:id="87" w:name="_Toc242325247"/>
      <w:bookmarkEnd w:id="85"/>
      <w:r w:rsidRPr="00545ABB">
        <w:rPr>
          <w:rFonts w:ascii="Traditional Arabic" w:hAnsi="Traditional Arabic" w:cs="Traditional Arabic"/>
          <w:b/>
          <w:bCs/>
          <w:color w:val="000000" w:themeColor="text1"/>
          <w:rtl/>
        </w:rPr>
        <w:t>واقع تطبيق الحوكمة في الشركات الناشئة بالمملكة العربية السعودية</w:t>
      </w:r>
      <w:bookmarkEnd w:id="87"/>
    </w:p>
    <w:p w14:paraId="29E102DA"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شهدت المملكة العربية السعودية خلال السنوات الأخيرة تطورًا ملحوظًا في البيئة التنظيمية والتشريعية الداعمة للقطاع الخاص وريادة الأعمال، بالتزامن مع تنفيذ برامج ومبادرات </w:t>
      </w:r>
      <w:r w:rsidRPr="00545ABB">
        <w:rPr>
          <w:rStyle w:val="Strong"/>
          <w:rFonts w:ascii="Traditional Arabic" w:hAnsi="Traditional Arabic" w:cs="Traditional Arabic"/>
          <w:color w:val="000000" w:themeColor="text1"/>
          <w:rtl/>
        </w:rPr>
        <w:t xml:space="preserve">رؤية المملكة </w:t>
      </w:r>
      <w:r w:rsidRPr="00545ABB">
        <w:rPr>
          <w:rStyle w:val="Strong"/>
          <w:rFonts w:ascii="Traditional Arabic" w:hAnsi="Traditional Arabic" w:cs="Traditional Arabic"/>
          <w:color w:val="000000" w:themeColor="text1"/>
        </w:rPr>
        <w:t>2030</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وقد أسهم هذا التطور في تعزيز الاهتمام بممارسات الحوكمة والشفافية والمساءلة، وتطوير الأطر النظامية التي تنظم تأسيس الشركات وإدارتها ونموها، إلى جانب وضع متطلبات أكثر وضوحًا لإدارة المخاطر والالتزام، ولا سيما في القطاعات التقنية والرقمية</w:t>
      </w:r>
      <w:r w:rsidRPr="00545ABB">
        <w:rPr>
          <w:rFonts w:ascii="Traditional Arabic" w:hAnsi="Traditional Arabic" w:cs="Traditional Arabic"/>
          <w:b/>
          <w:bCs/>
          <w:color w:val="000000" w:themeColor="text1"/>
        </w:rPr>
        <w:t>.</w:t>
      </w:r>
    </w:p>
    <w:p w14:paraId="383738E4"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وتكتسب الحوكمة أهمية خاصة بالنسبة للشركات الناشئة في المملكة؛ نظرًا إلى الدور المتنامي الذي تؤديه هذه الشركات في الابتكار والتحول الرقمي وتنويع الاقتصاد. كما تزداد أهميتها بالنسبة لشركات الأمن السيبراني الناشئة، التي تعمل في قطاع يتسم بحساسية المعلومات وسرعة تغير المخاطر والتقنيات وارتفاع مستوى المتطلبات التنظيمية</w:t>
      </w:r>
      <w:r w:rsidRPr="00545ABB">
        <w:rPr>
          <w:rFonts w:ascii="Traditional Arabic" w:hAnsi="Traditional Arabic" w:cs="Traditional Arabic"/>
          <w:b/>
          <w:bCs/>
          <w:color w:val="000000" w:themeColor="text1"/>
        </w:rPr>
        <w:t>.</w:t>
      </w:r>
    </w:p>
    <w:p w14:paraId="398E588C" w14:textId="403A0576" w:rsidR="00A61863" w:rsidRPr="00545ABB" w:rsidRDefault="00A61863" w:rsidP="00A61863">
      <w:pPr>
        <w:pStyle w:val="Heading3"/>
        <w:bidi/>
        <w:spacing w:line="360" w:lineRule="auto"/>
        <w:rPr>
          <w:rFonts w:ascii="Traditional Arabic" w:hAnsi="Traditional Arabic" w:cs="Traditional Arabic"/>
          <w:b/>
          <w:bCs/>
          <w:color w:val="000000" w:themeColor="text1"/>
        </w:rPr>
      </w:pPr>
      <w:bookmarkStart w:id="88" w:name="_Toc242325248"/>
      <w:r w:rsidRPr="00545ABB">
        <w:rPr>
          <w:rFonts w:ascii="Traditional Arabic" w:hAnsi="Traditional Arabic" w:cs="Traditional Arabic" w:hint="cs"/>
          <w:b/>
          <w:bCs/>
          <w:color w:val="000000" w:themeColor="text1"/>
          <w:rtl/>
        </w:rPr>
        <w:t xml:space="preserve">(أ) </w:t>
      </w:r>
      <w:r w:rsidRPr="00545ABB">
        <w:rPr>
          <w:rFonts w:ascii="Traditional Arabic" w:hAnsi="Traditional Arabic" w:cs="Traditional Arabic"/>
          <w:b/>
          <w:bCs/>
          <w:color w:val="000000" w:themeColor="text1"/>
          <w:rtl/>
        </w:rPr>
        <w:t xml:space="preserve"> جهود المملكة في تعزيز الحوكمة</w:t>
      </w:r>
      <w:bookmarkEnd w:id="88"/>
    </w:p>
    <w:p w14:paraId="24E7C4E8" w14:textId="1A3F9E62" w:rsidR="00A61863" w:rsidRPr="00545ABB" w:rsidRDefault="00A61863" w:rsidP="00A61863">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hint="cs"/>
          <w:b/>
          <w:bCs/>
          <w:i w:val="0"/>
          <w:iCs w:val="0"/>
          <w:color w:val="000000" w:themeColor="text1"/>
          <w:sz w:val="28"/>
          <w:szCs w:val="28"/>
          <w:rtl/>
        </w:rPr>
        <w:t>1-</w:t>
      </w:r>
      <w:r w:rsidRPr="00545ABB">
        <w:rPr>
          <w:rFonts w:ascii="Traditional Arabic" w:hAnsi="Traditional Arabic" w:cs="Traditional Arabic"/>
          <w:b/>
          <w:bCs/>
          <w:i w:val="0"/>
          <w:iCs w:val="0"/>
          <w:color w:val="000000" w:themeColor="text1"/>
          <w:sz w:val="28"/>
          <w:szCs w:val="28"/>
        </w:rPr>
        <w:t xml:space="preserve"> </w:t>
      </w:r>
      <w:r w:rsidRPr="00545ABB">
        <w:rPr>
          <w:rFonts w:ascii="Traditional Arabic" w:hAnsi="Traditional Arabic" w:cs="Traditional Arabic"/>
          <w:b/>
          <w:bCs/>
          <w:i w:val="0"/>
          <w:iCs w:val="0"/>
          <w:color w:val="000000" w:themeColor="text1"/>
          <w:sz w:val="28"/>
          <w:szCs w:val="28"/>
          <w:rtl/>
        </w:rPr>
        <w:t>رؤية المملكة 2030 ودعم مبادئ الحوكمة</w:t>
      </w:r>
    </w:p>
    <w:p w14:paraId="6A79CE26"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قامت </w:t>
      </w:r>
      <w:r w:rsidRPr="00545ABB">
        <w:rPr>
          <w:rStyle w:val="Strong"/>
          <w:rFonts w:ascii="Traditional Arabic" w:hAnsi="Traditional Arabic" w:cs="Traditional Arabic"/>
          <w:color w:val="000000" w:themeColor="text1"/>
          <w:rtl/>
        </w:rPr>
        <w:t xml:space="preserve">رؤية المملكة العربية السعودية </w:t>
      </w:r>
      <w:r w:rsidRPr="00545ABB">
        <w:rPr>
          <w:rStyle w:val="Strong"/>
          <w:rFonts w:ascii="Traditional Arabic" w:hAnsi="Traditional Arabic" w:cs="Traditional Arabic"/>
          <w:color w:val="000000" w:themeColor="text1"/>
        </w:rPr>
        <w:t>2030</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على ثلاثة محاور رئيسة 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مجتمع حيوي، واقتصاد مزدهر، ووطن طموح</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وتمثل هذه المحاور إطارًا شاملًا للتحول الاقتصادي والاجتماعي والمؤسسي في المملكة</w:t>
      </w:r>
      <w:r w:rsidRPr="00545ABB">
        <w:rPr>
          <w:rFonts w:ascii="Traditional Arabic" w:hAnsi="Traditional Arabic" w:cs="Traditional Arabic"/>
          <w:b/>
          <w:bCs/>
          <w:color w:val="000000" w:themeColor="text1"/>
        </w:rPr>
        <w:t>.</w:t>
      </w:r>
    </w:p>
    <w:p w14:paraId="5DE667C9" w14:textId="7AE91CBA"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وتبرز الحوكمة بصورة واضحة ضمن محور </w:t>
      </w:r>
      <w:r w:rsidRPr="00545ABB">
        <w:rPr>
          <w:rStyle w:val="Strong"/>
          <w:rFonts w:ascii="Traditional Arabic" w:hAnsi="Traditional Arabic" w:cs="Traditional Arabic"/>
          <w:color w:val="000000" w:themeColor="text1"/>
          <w:rtl/>
        </w:rPr>
        <w:t>وطن طموح</w:t>
      </w:r>
      <w:r w:rsidRPr="00545ABB">
        <w:rPr>
          <w:rFonts w:ascii="Traditional Arabic" w:hAnsi="Traditional Arabic" w:cs="Traditional Arabic"/>
          <w:b/>
          <w:bCs/>
          <w:color w:val="000000" w:themeColor="text1"/>
          <w:rtl/>
        </w:rPr>
        <w:t xml:space="preserve">، الذي يقوم على تعزيز الكفاءة والمسؤولية ورفع مستوى أداء الجهات وتحسين الشفافية والمساءلة. وتؤكد رؤية المملكة أهمية وجود حكومة فاعلة وعالية الأداء تتسم بالشفافية وتخضع للمساءلة على مختلف المستويات، بما يعزز كفاءة استخدام الموارد ويرفع مستوى الثقة في البيئة المؤسسية (رؤية السعودية </w:t>
      </w:r>
      <w:r w:rsidRPr="00545ABB">
        <w:rPr>
          <w:rFonts w:ascii="Traditional Arabic" w:hAnsi="Traditional Arabic" w:cs="Traditional Arabic"/>
          <w:b/>
          <w:bCs/>
          <w:color w:val="000000" w:themeColor="text1"/>
        </w:rPr>
        <w:t>2030</w:t>
      </w:r>
      <w:r w:rsidRPr="00545ABB">
        <w:rPr>
          <w:rFonts w:ascii="Traditional Arabic" w:hAnsi="Traditional Arabic" w:cs="Traditional Arabic"/>
          <w:b/>
          <w:bCs/>
          <w:color w:val="000000" w:themeColor="text1"/>
          <w:rtl/>
        </w:rPr>
        <w:t>، 2026</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6B287E02"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ولا يقتصر تأثير هذه التوجهات على القطاع الحكومي، بل يمتد إلى بيئة الأعمال والقطاع الخاص من خلال تطوير التشريعات والأنظمة وتحسين البيئة الاستثمارية ودعم ريادة الأعمال والمنشآت الصغيرة والمتوسطة. ومن ثم، يمكن النظر إلى الحوكمة باعتبارها أحد الممكنات المؤسسية الداعمة لتحقيق أهداف الرؤية المتعلقة بنمو القطاع الخاص واستدامته وزيادة مساهمته في الاقتصاد الوطني</w:t>
      </w:r>
      <w:r w:rsidRPr="00545ABB">
        <w:rPr>
          <w:rFonts w:ascii="Traditional Arabic" w:hAnsi="Traditional Arabic" w:cs="Traditional Arabic"/>
          <w:b/>
          <w:bCs/>
          <w:color w:val="000000" w:themeColor="text1"/>
        </w:rPr>
        <w:t>.</w:t>
      </w:r>
    </w:p>
    <w:p w14:paraId="0B76F376" w14:textId="3B10EEF1" w:rsidR="00A61863" w:rsidRPr="00545ABB" w:rsidRDefault="00316699" w:rsidP="00A61863">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hint="cs"/>
          <w:b/>
          <w:bCs/>
          <w:i w:val="0"/>
          <w:iCs w:val="0"/>
          <w:color w:val="000000" w:themeColor="text1"/>
          <w:sz w:val="28"/>
          <w:szCs w:val="28"/>
          <w:rtl/>
        </w:rPr>
        <w:t xml:space="preserve">2- </w:t>
      </w:r>
      <w:r w:rsidR="00A61863" w:rsidRPr="00545ABB">
        <w:rPr>
          <w:rFonts w:ascii="Traditional Arabic" w:hAnsi="Traditional Arabic" w:cs="Traditional Arabic"/>
          <w:b/>
          <w:bCs/>
          <w:i w:val="0"/>
          <w:iCs w:val="0"/>
          <w:color w:val="000000" w:themeColor="text1"/>
          <w:sz w:val="28"/>
          <w:szCs w:val="28"/>
        </w:rPr>
        <w:t xml:space="preserve"> </w:t>
      </w:r>
      <w:r w:rsidR="00A61863" w:rsidRPr="00545ABB">
        <w:rPr>
          <w:rFonts w:ascii="Traditional Arabic" w:hAnsi="Traditional Arabic" w:cs="Traditional Arabic"/>
          <w:b/>
          <w:bCs/>
          <w:i w:val="0"/>
          <w:iCs w:val="0"/>
          <w:color w:val="000000" w:themeColor="text1"/>
          <w:sz w:val="28"/>
          <w:szCs w:val="28"/>
          <w:rtl/>
        </w:rPr>
        <w:t>نظام الشركات ودوره في تعزيز الحوكمة</w:t>
      </w:r>
    </w:p>
    <w:p w14:paraId="6D66BC86" w14:textId="3EFE0DCA" w:rsidR="00A61863" w:rsidRPr="00545ABB" w:rsidRDefault="00A61863" w:rsidP="00CE053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يمثل </w:t>
      </w:r>
      <w:r w:rsidRPr="00545ABB">
        <w:rPr>
          <w:rStyle w:val="Strong"/>
          <w:rFonts w:ascii="Traditional Arabic" w:hAnsi="Traditional Arabic" w:cs="Traditional Arabic"/>
          <w:color w:val="000000" w:themeColor="text1"/>
          <w:rtl/>
        </w:rPr>
        <w:t>نظام الشركات الجديد</w:t>
      </w:r>
      <w:r w:rsidRPr="00545ABB">
        <w:rPr>
          <w:rFonts w:ascii="Traditional Arabic" w:hAnsi="Traditional Arabic" w:cs="Traditional Arabic"/>
          <w:b/>
          <w:bCs/>
          <w:color w:val="000000" w:themeColor="text1"/>
          <w:rtl/>
        </w:rPr>
        <w:t xml:space="preserve"> أحد أبرز التطورات النظامية التي دعمت بيئة الحوكمة في المملكة. وقد بدأ سريانه ولائحته التنفيذية في </w:t>
      </w:r>
      <w:r w:rsidRPr="00545ABB">
        <w:rPr>
          <w:rStyle w:val="Strong"/>
          <w:rFonts w:ascii="Traditional Arabic" w:hAnsi="Traditional Arabic" w:cs="Traditional Arabic"/>
          <w:color w:val="000000" w:themeColor="text1"/>
        </w:rPr>
        <w:t xml:space="preserve">19 </w:t>
      </w:r>
      <w:r w:rsidRPr="00545ABB">
        <w:rPr>
          <w:rStyle w:val="Strong"/>
          <w:rFonts w:ascii="Traditional Arabic" w:hAnsi="Traditional Arabic" w:cs="Traditional Arabic"/>
          <w:color w:val="000000" w:themeColor="text1"/>
          <w:rtl/>
        </w:rPr>
        <w:t xml:space="preserve">يناير </w:t>
      </w:r>
      <w:r w:rsidRPr="00545ABB">
        <w:rPr>
          <w:rStyle w:val="Strong"/>
          <w:rFonts w:ascii="Traditional Arabic" w:hAnsi="Traditional Arabic" w:cs="Traditional Arabic"/>
          <w:color w:val="000000" w:themeColor="text1"/>
        </w:rPr>
        <w:t>2023</w:t>
      </w:r>
      <w:r w:rsidRPr="00545ABB">
        <w:rPr>
          <w:rFonts w:ascii="Traditional Arabic" w:hAnsi="Traditional Arabic" w:cs="Traditional Arabic"/>
          <w:b/>
          <w:bCs/>
          <w:color w:val="000000" w:themeColor="text1"/>
          <w:rtl/>
        </w:rPr>
        <w:t xml:space="preserve">، بهدف تطوير البيئة التنظيمية للشركات، وتسهيل تأسيسها ونموها واستدامتها، ودعم الاستثمار وريادة الأعمال (وزارة التجارة، </w:t>
      </w:r>
      <w:r w:rsidRPr="00545ABB">
        <w:rPr>
          <w:rFonts w:ascii="Traditional Arabic" w:hAnsi="Traditional Arabic" w:cs="Traditional Arabic"/>
          <w:b/>
          <w:bCs/>
          <w:color w:val="000000" w:themeColor="text1"/>
        </w:rPr>
        <w:t>2023</w:t>
      </w:r>
      <w:r w:rsidR="00316699"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195B4589" w14:textId="14836BEC"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ويهدف النظام إلى توفير إطار فعال وعادل لحوكمة الشركات، وتحقيق التوازن بين مصالح الأطراف ذات العلاقة، وتعزيز العمل المؤسسي، ودعم استدامة الكيانات الاقتصادية، وجذب الاستثمارات المحلية والأجنبية، إلى جانب تلبية احتياجات قطاع ريادة الأعمال والمنشآت الصغيرة والمتوسطة</w:t>
      </w:r>
      <w:r w:rsidRPr="00545ABB">
        <w:rPr>
          <w:rFonts w:ascii="Traditional Arabic" w:hAnsi="Traditional Arabic" w:cs="Traditional Arabic"/>
          <w:b/>
          <w:bCs/>
          <w:color w:val="000000" w:themeColor="text1"/>
        </w:rPr>
        <w:t xml:space="preserve">. </w:t>
      </w:r>
    </w:p>
    <w:p w14:paraId="5D875F20" w14:textId="4AA602A0" w:rsidR="00A61863" w:rsidRPr="00545ABB" w:rsidRDefault="00A61863" w:rsidP="00513489">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كما قدم النظام درجة أكبر من المرونة للشركات الصغيرة ورواد الأعمال، ومن أبرز ذلك استحداث </w:t>
      </w:r>
      <w:r w:rsidRPr="00545ABB">
        <w:rPr>
          <w:rStyle w:val="Strong"/>
          <w:rFonts w:ascii="Traditional Arabic" w:hAnsi="Traditional Arabic" w:cs="Traditional Arabic"/>
          <w:color w:val="000000" w:themeColor="text1"/>
          <w:rtl/>
        </w:rPr>
        <w:t>شركة المساهمة المبسطة</w:t>
      </w:r>
      <w:r w:rsidRPr="00545ABB">
        <w:rPr>
          <w:rFonts w:ascii="Traditional Arabic" w:hAnsi="Traditional Arabic" w:cs="Traditional Arabic"/>
          <w:b/>
          <w:bCs/>
          <w:color w:val="000000" w:themeColor="text1"/>
          <w:rtl/>
        </w:rPr>
        <w:t xml:space="preserve"> بوصفها شكلًا قانونيًا يمكن أن يتناسب مع احتياجات الشركات الناشئة والاستثمار الجريء، مع مرونة أكبر في هيكل الإدارة واتخاذ القرارات وتنظيم العلاقة بين المؤسسين والمساهمين (وزارة التجارة، </w:t>
      </w:r>
      <w:r w:rsidRPr="00545ABB">
        <w:rPr>
          <w:rFonts w:ascii="Traditional Arabic" w:hAnsi="Traditional Arabic" w:cs="Traditional Arabic"/>
          <w:b/>
          <w:bCs/>
          <w:color w:val="000000" w:themeColor="text1"/>
        </w:rPr>
        <w:t>2023</w:t>
      </w:r>
      <w:r w:rsidR="00513489"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2D593DF8"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هذه المرونة أهمية للشركات الناشئة؛ لأنها تساعدها على تطوير هياكل إدارية وحوكمية تتناسب مع مرحلة نموها دون فرض مستويات من التعقيد التنظيمي قد لا تتناسب مع حجمها في المراحل المبكرة</w:t>
      </w:r>
      <w:r w:rsidRPr="00545ABB">
        <w:rPr>
          <w:rFonts w:ascii="Traditional Arabic" w:hAnsi="Traditional Arabic" w:cs="Traditional Arabic"/>
          <w:b/>
          <w:bCs/>
          <w:color w:val="000000" w:themeColor="text1"/>
        </w:rPr>
        <w:t>.</w:t>
      </w:r>
    </w:p>
    <w:p w14:paraId="53AB29C9" w14:textId="3F86D154" w:rsidR="00A61863" w:rsidRPr="00545ABB" w:rsidRDefault="005F6D9D" w:rsidP="005F6D9D">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hint="cs"/>
          <w:b/>
          <w:bCs/>
          <w:i w:val="0"/>
          <w:iCs w:val="0"/>
          <w:color w:val="000000" w:themeColor="text1"/>
          <w:sz w:val="28"/>
          <w:szCs w:val="28"/>
          <w:rtl/>
        </w:rPr>
        <w:t xml:space="preserve">3- </w:t>
      </w:r>
      <w:r w:rsidR="00A61863" w:rsidRPr="00545ABB">
        <w:rPr>
          <w:rFonts w:ascii="Traditional Arabic" w:hAnsi="Traditional Arabic" w:cs="Traditional Arabic"/>
          <w:b/>
          <w:bCs/>
          <w:i w:val="0"/>
          <w:iCs w:val="0"/>
          <w:color w:val="000000" w:themeColor="text1"/>
          <w:sz w:val="28"/>
          <w:szCs w:val="28"/>
        </w:rPr>
        <w:t xml:space="preserve"> </w:t>
      </w:r>
      <w:r w:rsidR="00A61863" w:rsidRPr="00545ABB">
        <w:rPr>
          <w:rFonts w:ascii="Traditional Arabic" w:hAnsi="Traditional Arabic" w:cs="Traditional Arabic"/>
          <w:b/>
          <w:bCs/>
          <w:i w:val="0"/>
          <w:iCs w:val="0"/>
          <w:color w:val="000000" w:themeColor="text1"/>
          <w:sz w:val="28"/>
          <w:szCs w:val="28"/>
          <w:rtl/>
        </w:rPr>
        <w:t xml:space="preserve">دور الهيئة العامة للمنشآت الصغيرة والمتوسطة </w:t>
      </w:r>
      <w:r w:rsidRPr="00545ABB">
        <w:rPr>
          <w:rFonts w:ascii="Traditional Arabic" w:hAnsi="Traditional Arabic" w:cs="Traditional Arabic" w:hint="cs"/>
          <w:b/>
          <w:bCs/>
          <w:i w:val="0"/>
          <w:iCs w:val="0"/>
          <w:color w:val="000000" w:themeColor="text1"/>
          <w:sz w:val="28"/>
          <w:szCs w:val="28"/>
          <w:rtl/>
        </w:rPr>
        <w:t>"</w:t>
      </w:r>
      <w:r w:rsidR="00A61863" w:rsidRPr="00545ABB">
        <w:rPr>
          <w:rFonts w:ascii="Traditional Arabic" w:hAnsi="Traditional Arabic" w:cs="Traditional Arabic"/>
          <w:b/>
          <w:bCs/>
          <w:i w:val="0"/>
          <w:iCs w:val="0"/>
          <w:color w:val="000000" w:themeColor="text1"/>
          <w:sz w:val="28"/>
          <w:szCs w:val="28"/>
          <w:rtl/>
        </w:rPr>
        <w:t>منشآت</w:t>
      </w:r>
      <w:r w:rsidRPr="00545ABB">
        <w:rPr>
          <w:rFonts w:ascii="Traditional Arabic" w:hAnsi="Traditional Arabic" w:cs="Traditional Arabic" w:hint="cs"/>
          <w:b/>
          <w:bCs/>
          <w:i w:val="0"/>
          <w:iCs w:val="0"/>
          <w:color w:val="000000" w:themeColor="text1"/>
          <w:sz w:val="28"/>
          <w:szCs w:val="28"/>
          <w:rtl/>
        </w:rPr>
        <w:t>"</w:t>
      </w:r>
    </w:p>
    <w:p w14:paraId="686EE3ED"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تؤدي الهيئة العامة للمنشآت الصغيرة والمتوسطة </w:t>
      </w:r>
      <w:r w:rsidRPr="00545ABB">
        <w:rPr>
          <w:rStyle w:val="Strong"/>
          <w:rFonts w:ascii="Traditional Arabic" w:hAnsi="Traditional Arabic" w:cs="Traditional Arabic"/>
          <w:color w:val="000000" w:themeColor="text1"/>
        </w:rPr>
        <w:t>«</w:t>
      </w:r>
      <w:r w:rsidRPr="00545ABB">
        <w:rPr>
          <w:rStyle w:val="Strong"/>
          <w:rFonts w:ascii="Traditional Arabic" w:hAnsi="Traditional Arabic" w:cs="Traditional Arabic"/>
          <w:color w:val="000000" w:themeColor="text1"/>
          <w:rtl/>
        </w:rPr>
        <w:t>منشآت</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دورًا داعمًا في رفع مستوى الوعي بممارسات الحوكمة لدى رواد الأعمال والمنشآت الصغيرة والمتوسطة. وقد أصدرت الهيئة </w:t>
      </w:r>
      <w:r w:rsidRPr="00545ABB">
        <w:rPr>
          <w:rStyle w:val="Strong"/>
          <w:rFonts w:ascii="Traditional Arabic" w:hAnsi="Traditional Arabic" w:cs="Traditional Arabic"/>
          <w:color w:val="000000" w:themeColor="text1"/>
          <w:rtl/>
        </w:rPr>
        <w:t>دليل حوكمة الشركات</w:t>
      </w:r>
      <w:r w:rsidRPr="00545ABB">
        <w:rPr>
          <w:rFonts w:ascii="Traditional Arabic" w:hAnsi="Traditional Arabic" w:cs="Traditional Arabic"/>
          <w:b/>
          <w:bCs/>
          <w:color w:val="000000" w:themeColor="text1"/>
          <w:rtl/>
        </w:rPr>
        <w:t xml:space="preserve"> بوصفه دليلًا استرشاديًا يساعد المنشآت على فهم كيفية بناء نظام حوكمة يحقق التوازن بين مصالح الأطراف المختلفة ويرفع مستوى الفاعلية والنزاهة في الأداء</w:t>
      </w:r>
      <w:r w:rsidRPr="00545ABB">
        <w:rPr>
          <w:rFonts w:ascii="Traditional Arabic" w:hAnsi="Traditional Arabic" w:cs="Traditional Arabic"/>
          <w:b/>
          <w:bCs/>
          <w:color w:val="000000" w:themeColor="text1"/>
        </w:rPr>
        <w:t>.</w:t>
      </w:r>
    </w:p>
    <w:p w14:paraId="012AE81F" w14:textId="3BF942A5" w:rsidR="00A61863" w:rsidRPr="00545ABB" w:rsidRDefault="00A61863" w:rsidP="005F6D9D">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وتؤكد «منشآت» أن حوكمة المؤسسات ليست مجرد التزام قانوني، وإنما تمثل نهجًا مؤسسيًا يدعم نجاح المنشأة واستدامتها، مع مراعاة أن الأدلة والنماذج المقدمة استرشادية ويجب تكييفها بما يتناسب مع طبيعة كل منشأة واحتياجاتها (منشآت، </w:t>
      </w:r>
      <w:r w:rsidRPr="00545ABB">
        <w:rPr>
          <w:rFonts w:ascii="Traditional Arabic" w:hAnsi="Traditional Arabic" w:cs="Traditional Arabic"/>
          <w:b/>
          <w:bCs/>
          <w:color w:val="000000" w:themeColor="text1"/>
        </w:rPr>
        <w:t>2025</w:t>
      </w:r>
      <w:r w:rsidR="005F6D9D"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6617ABC0"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ويتوافق هذا النهج مع طبيعة الشركات الناشئة، التي تحتاج إلى نماذج حوكمة مرنة وقابلة للتطور بالتوازي مع انتقالها من مرحلة التأسيس إلى مراحل النمو والتوسع واستقطاب المستثمرين</w:t>
      </w:r>
      <w:r w:rsidRPr="00545ABB">
        <w:rPr>
          <w:rFonts w:ascii="Traditional Arabic" w:hAnsi="Traditional Arabic" w:cs="Traditional Arabic"/>
          <w:b/>
          <w:bCs/>
          <w:color w:val="000000" w:themeColor="text1"/>
        </w:rPr>
        <w:t>.</w:t>
      </w:r>
    </w:p>
    <w:p w14:paraId="3524D153" w14:textId="6666DB07" w:rsidR="00A61863" w:rsidRPr="00545ABB" w:rsidRDefault="005F6D9D" w:rsidP="00A61863">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hint="cs"/>
          <w:b/>
          <w:bCs/>
          <w:i w:val="0"/>
          <w:iCs w:val="0"/>
          <w:color w:val="000000" w:themeColor="text1"/>
          <w:sz w:val="28"/>
          <w:szCs w:val="28"/>
          <w:rtl/>
        </w:rPr>
        <w:t xml:space="preserve">4- </w:t>
      </w:r>
      <w:r w:rsidR="00A61863" w:rsidRPr="00545ABB">
        <w:rPr>
          <w:rFonts w:ascii="Traditional Arabic" w:hAnsi="Traditional Arabic" w:cs="Traditional Arabic"/>
          <w:b/>
          <w:bCs/>
          <w:i w:val="0"/>
          <w:iCs w:val="0"/>
          <w:color w:val="000000" w:themeColor="text1"/>
          <w:sz w:val="28"/>
          <w:szCs w:val="28"/>
        </w:rPr>
        <w:t xml:space="preserve"> </w:t>
      </w:r>
      <w:r w:rsidR="00A61863" w:rsidRPr="00545ABB">
        <w:rPr>
          <w:rFonts w:ascii="Traditional Arabic" w:hAnsi="Traditional Arabic" w:cs="Traditional Arabic"/>
          <w:b/>
          <w:bCs/>
          <w:i w:val="0"/>
          <w:iCs w:val="0"/>
          <w:color w:val="000000" w:themeColor="text1"/>
          <w:sz w:val="28"/>
          <w:szCs w:val="28"/>
          <w:rtl/>
        </w:rPr>
        <w:t>دور الهيئة الوطنية للأمن السيبراني في تعزيز الحوكمة</w:t>
      </w:r>
    </w:p>
    <w:p w14:paraId="607F23A9"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تمثل </w:t>
      </w:r>
      <w:r w:rsidRPr="00545ABB">
        <w:rPr>
          <w:rStyle w:val="Strong"/>
          <w:rFonts w:ascii="Traditional Arabic" w:hAnsi="Traditional Arabic" w:cs="Traditional Arabic"/>
          <w:color w:val="000000" w:themeColor="text1"/>
          <w:rtl/>
        </w:rPr>
        <w:t>الهيئة الوطنية للأمن السيبراني</w:t>
      </w:r>
      <w:r w:rsidRPr="00545ABB">
        <w:rPr>
          <w:rFonts w:ascii="Traditional Arabic" w:hAnsi="Traditional Arabic" w:cs="Traditional Arabic"/>
          <w:b/>
          <w:bCs/>
          <w:color w:val="000000" w:themeColor="text1"/>
          <w:rtl/>
        </w:rPr>
        <w:t xml:space="preserve"> المرجع الوطني في شؤون الأمن السيبراني في المملكة، وتتولى وضع السياسات وآليات الحوكمة والأطر والمعايير والضوابط والإرشادات المتعلقة بالأمن السيبراني ومتابعة الالتزام بها</w:t>
      </w:r>
      <w:r w:rsidRPr="00545ABB">
        <w:rPr>
          <w:rFonts w:ascii="Traditional Arabic" w:hAnsi="Traditional Arabic" w:cs="Traditional Arabic"/>
          <w:b/>
          <w:bCs/>
          <w:color w:val="000000" w:themeColor="text1"/>
        </w:rPr>
        <w:t>.</w:t>
      </w:r>
    </w:p>
    <w:p w14:paraId="0887E151"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جهود الهيئة أهمية مباشرة بالنسبة لشركات الأمن السيبراني والشركات التقنية الناشئة، لأنها تسهم في تشكيل البيئة التنظيمية التي تعمل ضمنها هذه الشركات، وتحدد العديد من المتطلبات المتعلقة بحوكمة الأمن السيبراني، وإدارة المخاطر، وحماية المعلومات والأصول التقنية</w:t>
      </w:r>
      <w:r w:rsidRPr="00545ABB">
        <w:rPr>
          <w:rFonts w:ascii="Traditional Arabic" w:hAnsi="Traditional Arabic" w:cs="Traditional Arabic"/>
          <w:b/>
          <w:bCs/>
          <w:color w:val="000000" w:themeColor="text1"/>
        </w:rPr>
        <w:t>.</w:t>
      </w:r>
    </w:p>
    <w:p w14:paraId="5FDB8883" w14:textId="511BD03A" w:rsidR="00A61863" w:rsidRPr="00545ABB" w:rsidRDefault="00A61863" w:rsidP="003A172C">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وفي ديسمبر </w:t>
      </w:r>
      <w:r w:rsidRPr="00545ABB">
        <w:rPr>
          <w:rStyle w:val="Strong"/>
          <w:rFonts w:ascii="Traditional Arabic" w:hAnsi="Traditional Arabic" w:cs="Traditional Arabic"/>
          <w:color w:val="000000" w:themeColor="text1"/>
        </w:rPr>
        <w:t>2025</w:t>
      </w:r>
      <w:r w:rsidRPr="00545ABB">
        <w:rPr>
          <w:rFonts w:ascii="Traditional Arabic" w:hAnsi="Traditional Arabic" w:cs="Traditional Arabic"/>
          <w:b/>
          <w:bCs/>
          <w:color w:val="000000" w:themeColor="text1"/>
        </w:rPr>
        <w:t xml:space="preserve"> </w:t>
      </w:r>
      <w:r w:rsidR="00E90BA1" w:rsidRPr="00545ABB">
        <w:rPr>
          <w:rFonts w:ascii="Traditional Arabic" w:hAnsi="Traditional Arabic" w:cs="Traditional Arabic" w:hint="cs"/>
          <w:b/>
          <w:bCs/>
          <w:color w:val="000000" w:themeColor="text1"/>
          <w:rtl/>
        </w:rPr>
        <w:t xml:space="preserve"> </w:t>
      </w:r>
      <w:r w:rsidRPr="00545ABB">
        <w:rPr>
          <w:rFonts w:ascii="Traditional Arabic" w:hAnsi="Traditional Arabic" w:cs="Traditional Arabic"/>
          <w:b/>
          <w:bCs/>
          <w:color w:val="000000" w:themeColor="text1"/>
          <w:rtl/>
        </w:rPr>
        <w:t xml:space="preserve">أصدرت الهيئة </w:t>
      </w:r>
      <w:r w:rsidRPr="00545ABB">
        <w:rPr>
          <w:rStyle w:val="Strong"/>
          <w:rFonts w:ascii="Traditional Arabic" w:hAnsi="Traditional Arabic" w:cs="Traditional Arabic"/>
          <w:color w:val="000000" w:themeColor="text1"/>
          <w:rtl/>
        </w:rPr>
        <w:t xml:space="preserve">ضوابط الأمن السيبراني لجهات القطاع الخاص من غير ذوات البنى التحتية الحساسة </w:t>
      </w:r>
      <w:r w:rsidRPr="00545ABB">
        <w:rPr>
          <w:rStyle w:val="Strong"/>
          <w:rFonts w:ascii="Traditional Arabic" w:hAnsi="Traditional Arabic" w:cs="Traditional Arabic"/>
          <w:color w:val="000000" w:themeColor="text1"/>
        </w:rPr>
        <w:t>(NCNICC-1:2025)</w:t>
      </w:r>
      <w:r w:rsidRPr="00545ABB">
        <w:rPr>
          <w:rFonts w:ascii="Traditional Arabic" w:hAnsi="Traditional Arabic" w:cs="Traditional Arabic"/>
          <w:b/>
          <w:bCs/>
          <w:color w:val="000000" w:themeColor="text1"/>
          <w:rtl/>
        </w:rPr>
        <w:t>، بهدف وضع حد أدنى لمتطلبات الأمن السيبراني لدى جهات القطاع الخاص الصغيرة والمتوسطة والكبيرة. وترتكز هذه الضوابط على ثلاثة مكونات رئيسة 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حوكمة الأمن السيبراني، وتعزيز الأمن السيبراني، والأمن السيبراني المتعلق بالأطراف الخارجية</w:t>
      </w:r>
      <w:r w:rsidRPr="00545ABB">
        <w:rPr>
          <w:rFonts w:ascii="Traditional Arabic" w:hAnsi="Traditional Arabic" w:cs="Traditional Arabic"/>
          <w:b/>
          <w:bCs/>
          <w:color w:val="000000" w:themeColor="text1"/>
          <w:rtl/>
        </w:rPr>
        <w:t xml:space="preserve"> </w:t>
      </w:r>
      <w:r w:rsidRPr="00545ABB">
        <w:rPr>
          <w:rFonts w:ascii="Traditional Arabic" w:hAnsi="Traditional Arabic" w:cs="Traditional Arabic"/>
          <w:b/>
          <w:bCs/>
          <w:color w:val="000000" w:themeColor="text1"/>
        </w:rPr>
        <w:t>(</w:t>
      </w:r>
      <w:r w:rsidRPr="00545ABB">
        <w:rPr>
          <w:rFonts w:ascii="Traditional Arabic" w:hAnsi="Traditional Arabic" w:cs="Traditional Arabic"/>
          <w:b/>
          <w:bCs/>
          <w:color w:val="000000" w:themeColor="text1"/>
          <w:rtl/>
        </w:rPr>
        <w:t xml:space="preserve">الهيئة الوطنية للأمن السيبراني، </w:t>
      </w:r>
      <w:r w:rsidRPr="00545ABB">
        <w:rPr>
          <w:rFonts w:ascii="Traditional Arabic" w:hAnsi="Traditional Arabic" w:cs="Traditional Arabic"/>
          <w:b/>
          <w:bCs/>
          <w:color w:val="000000" w:themeColor="text1"/>
        </w:rPr>
        <w:t>2025</w:t>
      </w:r>
      <w:r w:rsidR="003A172C"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 xml:space="preserve">. </w:t>
      </w:r>
    </w:p>
    <w:p w14:paraId="0410EA40"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وتعد هذه الضوابط ذات أهمية خاصة في سياق الشركات الناشئة، لأنها تعكس توجهًا نحو دمج الحوكمة بصورة مباشرة ضمن متطلبات الأمن السيبراني في القطاع الخاص، وتربط بين حماية الأصول التقنية وتحديد المسؤوليات والسياسات وإدارة المخاطر والأطراف الخارجية</w:t>
      </w:r>
      <w:r w:rsidRPr="00545ABB">
        <w:rPr>
          <w:rFonts w:ascii="Traditional Arabic" w:hAnsi="Traditional Arabic" w:cs="Traditional Arabic"/>
          <w:b/>
          <w:bCs/>
          <w:color w:val="000000" w:themeColor="text1"/>
        </w:rPr>
        <w:t>.</w:t>
      </w:r>
    </w:p>
    <w:p w14:paraId="17F758DE" w14:textId="65BAC068" w:rsidR="00A61863" w:rsidRPr="00545ABB" w:rsidRDefault="00A61863" w:rsidP="003A172C">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تؤكد الوثيقة الصادرة عن الهيئة أهمية القطاع الخاص والمنشآت الصغيرة والمتوسطة في تحقيق مستهدفات رؤية المملكة 2030، وضرورة تعزيز الأمن السيبراني لدى مختلف جهات القطاع الخاص لدعم النمو والازدهار في البيئة الرقمية (الهيئة الوطنية للأمن السيبراني، </w:t>
      </w:r>
      <w:r w:rsidRPr="00545ABB">
        <w:rPr>
          <w:rFonts w:ascii="Traditional Arabic" w:hAnsi="Traditional Arabic" w:cs="Traditional Arabic"/>
          <w:b/>
          <w:bCs/>
          <w:color w:val="000000" w:themeColor="text1"/>
        </w:rPr>
        <w:t>2025</w:t>
      </w:r>
      <w:r w:rsidR="003A172C"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Pr>
        <w:t>.</w:t>
      </w:r>
    </w:p>
    <w:p w14:paraId="63FA1F33" w14:textId="454E40AF" w:rsidR="00A61863" w:rsidRPr="00545ABB" w:rsidRDefault="00A61863" w:rsidP="003A172C">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ومن ثم، يتضح أن البيئة السعودية أصبحت تجمع بين </w:t>
      </w:r>
      <w:r w:rsidRPr="00545ABB">
        <w:rPr>
          <w:rStyle w:val="Strong"/>
          <w:rFonts w:ascii="Traditional Arabic" w:hAnsi="Traditional Arabic" w:cs="Traditional Arabic"/>
          <w:color w:val="000000" w:themeColor="text1"/>
          <w:rtl/>
        </w:rPr>
        <w:t>التشريعات التجارية، وأدوات دعم المنشآت، والمتطلبات التنظيمية للأمن السيبراني</w:t>
      </w:r>
      <w:r w:rsidRPr="00545ABB">
        <w:rPr>
          <w:rFonts w:ascii="Traditional Arabic" w:hAnsi="Traditional Arabic" w:cs="Traditional Arabic"/>
          <w:b/>
          <w:bCs/>
          <w:color w:val="000000" w:themeColor="text1"/>
          <w:rtl/>
        </w:rPr>
        <w:t>، بما يوفر أساسًا متناميًا لتطوير ممارسات الحوكمة لدى الشركات الناشئة</w:t>
      </w:r>
      <w:r w:rsidRPr="00545ABB">
        <w:rPr>
          <w:rFonts w:ascii="Traditional Arabic" w:hAnsi="Traditional Arabic" w:cs="Traditional Arabic"/>
          <w:b/>
          <w:bCs/>
          <w:color w:val="000000" w:themeColor="text1"/>
        </w:rPr>
        <w:t>.</w:t>
      </w:r>
    </w:p>
    <w:p w14:paraId="0D8BCC16" w14:textId="4DF73B4D" w:rsidR="00A61863" w:rsidRPr="00545ABB" w:rsidRDefault="003A172C" w:rsidP="003A172C">
      <w:pPr>
        <w:pStyle w:val="Heading3"/>
        <w:bidi/>
        <w:spacing w:line="360" w:lineRule="auto"/>
        <w:rPr>
          <w:rFonts w:ascii="Traditional Arabic" w:hAnsi="Traditional Arabic" w:cs="Traditional Arabic"/>
          <w:b/>
          <w:bCs/>
          <w:color w:val="000000" w:themeColor="text1"/>
        </w:rPr>
      </w:pPr>
      <w:bookmarkStart w:id="89" w:name="_Toc242325249"/>
      <w:r w:rsidRPr="00545ABB">
        <w:rPr>
          <w:rFonts w:ascii="Traditional Arabic" w:hAnsi="Traditional Arabic" w:cs="Traditional Arabic" w:hint="cs"/>
          <w:b/>
          <w:bCs/>
          <w:color w:val="000000" w:themeColor="text1"/>
          <w:rtl/>
        </w:rPr>
        <w:t xml:space="preserve">(ب) </w:t>
      </w:r>
      <w:r w:rsidR="00A61863" w:rsidRPr="00545ABB">
        <w:rPr>
          <w:rFonts w:ascii="Traditional Arabic" w:hAnsi="Traditional Arabic" w:cs="Traditional Arabic"/>
          <w:b/>
          <w:bCs/>
          <w:color w:val="000000" w:themeColor="text1"/>
          <w:rtl/>
        </w:rPr>
        <w:t>التحديات التي تواجه الشركات الناشئة في تطبيق الحوكمة</w:t>
      </w:r>
      <w:bookmarkEnd w:id="89"/>
    </w:p>
    <w:p w14:paraId="47211254"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على الرغم من التطور التنظيمي الذي شهدته المملكة، فإن تطبيق الحوكمة داخل الشركات الناشئة قد يواجه عددًا من التحديات المرتبطة بطبيعتها ومرحلة نموها. ولا تعني هذه التحديات عدم ملاءمة الحوكمة للشركات الناشئة، وإنما تشير إلى ضرورة تصميم نموذج حوكمة يتناسب مع حجم الشركة ومواردها ومستوى نضجها</w:t>
      </w:r>
      <w:r w:rsidRPr="00545ABB">
        <w:rPr>
          <w:rFonts w:ascii="Traditional Arabic" w:hAnsi="Traditional Arabic" w:cs="Traditional Arabic"/>
          <w:b/>
          <w:bCs/>
          <w:color w:val="000000" w:themeColor="text1"/>
        </w:rPr>
        <w:t>.</w:t>
      </w:r>
    </w:p>
    <w:p w14:paraId="5AC8EC0B"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ومن أبرز هذه التحديات ما يلي</w:t>
      </w:r>
      <w:r w:rsidRPr="00545ABB">
        <w:rPr>
          <w:rFonts w:ascii="Traditional Arabic" w:hAnsi="Traditional Arabic" w:cs="Traditional Arabic"/>
          <w:b/>
          <w:bCs/>
          <w:color w:val="000000" w:themeColor="text1"/>
          <w:sz w:val="28"/>
          <w:szCs w:val="28"/>
        </w:rPr>
        <w:t>:</w:t>
      </w:r>
    </w:p>
    <w:p w14:paraId="69143F6E" w14:textId="74983C36" w:rsidR="00A61863" w:rsidRPr="00545ABB" w:rsidRDefault="00610957"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 xml:space="preserve">1-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تركّز الصلاحيات لدى المؤسسين</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تبدأ العديد من الشركات الناشئة بهيكل إداري محدود يعتمد بصورة كبيرة على المؤسسين، وقد يؤدي ذلك إلى الجمع بين الملكية والإدارة واتخاذ القرارات التنفيذية والاستراتيجية، مما قد يحد من الفصل الواضح بين الأدوار والمسؤوليات</w:t>
      </w:r>
      <w:r w:rsidR="00A61863" w:rsidRPr="00545ABB">
        <w:rPr>
          <w:rFonts w:ascii="Traditional Arabic" w:hAnsi="Traditional Arabic" w:cs="Traditional Arabic"/>
          <w:b/>
          <w:bCs/>
          <w:color w:val="000000" w:themeColor="text1"/>
        </w:rPr>
        <w:t>.</w:t>
      </w:r>
    </w:p>
    <w:p w14:paraId="48D24C35" w14:textId="1FD20835" w:rsidR="00A61863" w:rsidRPr="00545ABB" w:rsidRDefault="00610957"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lastRenderedPageBreak/>
        <w:t xml:space="preserve">2-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محدودية الموارد المالية والبشرية</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قد ترى بعض الشركات الناشئة أن بناء هياكل حوكمة أو وظائف متخصصة للمخاطر والالتزام والمراجعة يمثل تكلفة إضافية في المراحل المبكرة، خصوصًا في ظل التركيز على تطوير المنتجات وزيادة المبيعات واستقطاب العملاء</w:t>
      </w:r>
      <w:r w:rsidR="00A61863" w:rsidRPr="00545ABB">
        <w:rPr>
          <w:rFonts w:ascii="Traditional Arabic" w:hAnsi="Traditional Arabic" w:cs="Traditional Arabic"/>
          <w:b/>
          <w:bCs/>
          <w:color w:val="000000" w:themeColor="text1"/>
        </w:rPr>
        <w:t>.</w:t>
      </w:r>
    </w:p>
    <w:p w14:paraId="46C260A6" w14:textId="452AB6BB"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 xml:space="preserve">3-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سرعة النمو والتغير التنظيمي</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قد تنمو الشركة بصورة أسرع من تطور هيكلها الإداري، وهو ما يؤدي أحيانًا إلى استمرار استخدام آليات اتخاذ قرار أو صلاحيات كانت مناسبة في مرحلة التأسيس لكنها لا تتناسب مع حجم الشركة بعد توسعها</w:t>
      </w:r>
      <w:r w:rsidR="00A61863" w:rsidRPr="00545ABB">
        <w:rPr>
          <w:rFonts w:ascii="Traditional Arabic" w:hAnsi="Traditional Arabic" w:cs="Traditional Arabic"/>
          <w:b/>
          <w:bCs/>
          <w:color w:val="000000" w:themeColor="text1"/>
        </w:rPr>
        <w:t>.</w:t>
      </w:r>
    </w:p>
    <w:p w14:paraId="2A02A084" w14:textId="7BEB3954"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 xml:space="preserve">4- </w:t>
      </w:r>
      <w:r w:rsidR="00A61863" w:rsidRPr="00545ABB">
        <w:rPr>
          <w:rStyle w:val="Strong"/>
          <w:rFonts w:ascii="Traditional Arabic" w:hAnsi="Traditional Arabic" w:cs="Traditional Arabic"/>
          <w:color w:val="000000" w:themeColor="text1"/>
          <w:sz w:val="28"/>
          <w:szCs w:val="28"/>
          <w:rtl/>
        </w:rPr>
        <w:t>ضعف الفصل بين الملكية والإدارة</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يمكن أن يؤدي تداخل أدوار المؤسس والمساهم والمدير التنفيذي إلى ظهور تحديات في المساءلة والرقابة وتعارض المصالح، خصوصًا عند دخول مستثمرين جدد</w:t>
      </w:r>
      <w:r w:rsidR="00A61863" w:rsidRPr="00545ABB">
        <w:rPr>
          <w:rFonts w:ascii="Traditional Arabic" w:hAnsi="Traditional Arabic" w:cs="Traditional Arabic"/>
          <w:b/>
          <w:bCs/>
          <w:color w:val="000000" w:themeColor="text1"/>
        </w:rPr>
        <w:t>.</w:t>
      </w:r>
    </w:p>
    <w:p w14:paraId="41D4A41F" w14:textId="26C59D18"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 xml:space="preserve">5-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عدم وضوح الأدوار والمسؤوليات</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غياب التحديد الواضح للصلاحيات ومسارات الاعتماد قد يؤدي إلى تداخل المسؤوليات أو تأخر القرارات أو الاعتماد المفرط على أفراد محددين</w:t>
      </w:r>
      <w:r w:rsidR="00A61863" w:rsidRPr="00545ABB">
        <w:rPr>
          <w:rFonts w:ascii="Traditional Arabic" w:hAnsi="Traditional Arabic" w:cs="Traditional Arabic"/>
          <w:b/>
          <w:bCs/>
          <w:color w:val="000000" w:themeColor="text1"/>
        </w:rPr>
        <w:t>.</w:t>
      </w:r>
    </w:p>
    <w:p w14:paraId="15A90DA2" w14:textId="2DBDE834"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6-</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محدودية الخبرة في الحوكمة</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قد يمتلك مؤسسو الشركات الناشئة خبرات تقنية أو تجارية قوية، دون أن يصاحب ذلك بالضرورة مستوى مماثل من الخبرة في الحوكمة أو إدارة المخاطر أو الالتزام النظامي</w:t>
      </w:r>
      <w:r w:rsidR="00A61863" w:rsidRPr="00545ABB">
        <w:rPr>
          <w:rFonts w:ascii="Traditional Arabic" w:hAnsi="Traditional Arabic" w:cs="Traditional Arabic"/>
          <w:b/>
          <w:bCs/>
          <w:color w:val="000000" w:themeColor="text1"/>
        </w:rPr>
        <w:t>.</w:t>
      </w:r>
    </w:p>
    <w:p w14:paraId="117CC790" w14:textId="0711EF3A"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 xml:space="preserve">7-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الحاجة إلى الموازنة بين الحوكمة والمرونة</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تحتاج الشركات الناشئة إلى المحافظة على سرعة اتخاذ القرار والابتكار، وفي الوقت نفسه تحتاج إلى قدر مناسب من الرقابة والانضباط. ومن ثم، فإن التحدي لا يتمثل في تطبيق أكبر عدد ممكن من الضوابط، وإنما في تطبيق الضوابط المناسبة في الوقت المناسب</w:t>
      </w:r>
      <w:r w:rsidR="00A61863" w:rsidRPr="00545ABB">
        <w:rPr>
          <w:rFonts w:ascii="Traditional Arabic" w:hAnsi="Traditional Arabic" w:cs="Traditional Arabic"/>
          <w:b/>
          <w:bCs/>
          <w:color w:val="000000" w:themeColor="text1"/>
        </w:rPr>
        <w:t>.</w:t>
      </w:r>
    </w:p>
    <w:p w14:paraId="7B008C44" w14:textId="6C0AE544"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lastRenderedPageBreak/>
        <w:t xml:space="preserve">8-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تعدد المتطلبات التنظيمية</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بالنسبة لشركات الأمن السيبراني الناشئة، قد تتضاعف التحديات نتيجة الحاجة إلى فهم ومواكبة متطلبات الأمن السيبراني وحماية البيانات والأنظمة والتعاقدات وغيرها من المتطلبات ذات الصلة بطبيعة العملاء والقطاعات التي تخدمها</w:t>
      </w:r>
      <w:r w:rsidR="00A61863" w:rsidRPr="00545ABB">
        <w:rPr>
          <w:rFonts w:ascii="Traditional Arabic" w:hAnsi="Traditional Arabic" w:cs="Traditional Arabic"/>
          <w:b/>
          <w:bCs/>
          <w:color w:val="000000" w:themeColor="text1"/>
        </w:rPr>
        <w:t>.</w:t>
      </w:r>
    </w:p>
    <w:p w14:paraId="5F120C4E" w14:textId="19B0F602"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 xml:space="preserve">9-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إدارة العلاقة مع المستثمرين</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مع دخول مستثمرين جدد، تتزايد الحاجة إلى توضيح حقوق المساهمين، وآليات اتخاذ القرار، والصلاحيات، وسياسات الإفصاح، ومعالجة حالات تعارض المصالح</w:t>
      </w:r>
      <w:r w:rsidR="00A61863" w:rsidRPr="00545ABB">
        <w:rPr>
          <w:rFonts w:ascii="Traditional Arabic" w:hAnsi="Traditional Arabic" w:cs="Traditional Arabic"/>
          <w:b/>
          <w:bCs/>
          <w:color w:val="000000" w:themeColor="text1"/>
        </w:rPr>
        <w:t>.</w:t>
      </w:r>
    </w:p>
    <w:p w14:paraId="526EF310" w14:textId="097F73E4" w:rsidR="00A61863" w:rsidRPr="00545ABB" w:rsidRDefault="00EE3852" w:rsidP="00A61863">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hint="cs"/>
          <w:color w:val="000000" w:themeColor="text1"/>
          <w:sz w:val="28"/>
          <w:szCs w:val="28"/>
          <w:rtl/>
        </w:rPr>
        <w:t xml:space="preserve">10- </w:t>
      </w:r>
      <w:r w:rsidR="00A61863" w:rsidRPr="00545ABB">
        <w:rPr>
          <w:rStyle w:val="Strong"/>
          <w:rFonts w:ascii="Traditional Arabic" w:hAnsi="Traditional Arabic" w:cs="Traditional Arabic"/>
          <w:color w:val="000000" w:themeColor="text1"/>
          <w:sz w:val="28"/>
          <w:szCs w:val="28"/>
        </w:rPr>
        <w:t xml:space="preserve"> </w:t>
      </w:r>
      <w:r w:rsidR="00A61863" w:rsidRPr="00545ABB">
        <w:rPr>
          <w:rStyle w:val="Strong"/>
          <w:rFonts w:ascii="Traditional Arabic" w:hAnsi="Traditional Arabic" w:cs="Traditional Arabic"/>
          <w:color w:val="000000" w:themeColor="text1"/>
          <w:sz w:val="28"/>
          <w:szCs w:val="28"/>
          <w:rtl/>
        </w:rPr>
        <w:t>بناء ثقافة الحوكمة</w:t>
      </w:r>
      <w:r w:rsidR="00A61863" w:rsidRPr="00545ABB">
        <w:rPr>
          <w:rStyle w:val="Strong"/>
          <w:rFonts w:ascii="Traditional Arabic" w:hAnsi="Traditional Arabic" w:cs="Traditional Arabic"/>
          <w:color w:val="000000" w:themeColor="text1"/>
          <w:sz w:val="28"/>
          <w:szCs w:val="28"/>
        </w:rPr>
        <w:t>:</w:t>
      </w:r>
      <w:r w:rsidR="00A61863" w:rsidRPr="00545ABB">
        <w:rPr>
          <w:rFonts w:ascii="Traditional Arabic" w:hAnsi="Traditional Arabic" w:cs="Traditional Arabic"/>
          <w:b/>
          <w:bCs/>
          <w:color w:val="000000" w:themeColor="text1"/>
        </w:rPr>
        <w:br/>
      </w:r>
      <w:r w:rsidR="00A61863" w:rsidRPr="00545ABB">
        <w:rPr>
          <w:rFonts w:ascii="Traditional Arabic" w:hAnsi="Traditional Arabic" w:cs="Traditional Arabic"/>
          <w:b/>
          <w:bCs/>
          <w:color w:val="000000" w:themeColor="text1"/>
          <w:rtl/>
        </w:rPr>
        <w:t>لا يكفي وجود السياسات والإجراءات إذا لم تتحول الحوكمة إلى ممارسات فعلية داخل الشركة. ويعد بناء ثقافة قائمة على الشفافية والمساءلة والالتزام وتحديد المسؤولية من التحديات المهمة خلال مراحل النمو</w:t>
      </w:r>
      <w:r w:rsidR="00A61863" w:rsidRPr="00545ABB">
        <w:rPr>
          <w:rFonts w:ascii="Traditional Arabic" w:hAnsi="Traditional Arabic" w:cs="Traditional Arabic"/>
          <w:b/>
          <w:bCs/>
          <w:color w:val="000000" w:themeColor="text1"/>
        </w:rPr>
        <w:t>.</w:t>
      </w:r>
    </w:p>
    <w:p w14:paraId="056F87C8"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ويرى الباحث أن هذه التحديات تظهر الحاجة إلى </w:t>
      </w:r>
      <w:r w:rsidRPr="00545ABB">
        <w:rPr>
          <w:rStyle w:val="Strong"/>
          <w:rFonts w:ascii="Traditional Arabic" w:hAnsi="Traditional Arabic" w:cs="Traditional Arabic"/>
          <w:color w:val="000000" w:themeColor="text1"/>
          <w:rtl/>
        </w:rPr>
        <w:t xml:space="preserve">حوكمة متدرجة </w:t>
      </w:r>
      <w:r w:rsidRPr="00545ABB">
        <w:rPr>
          <w:rStyle w:val="Strong"/>
          <w:rFonts w:ascii="Traditional Arabic" w:hAnsi="Traditional Arabic" w:cs="Traditional Arabic"/>
          <w:color w:val="000000" w:themeColor="text1"/>
        </w:rPr>
        <w:t>(Progressive Governance)</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في الشركات الناشئة، بحيث تتطور ممارسات الحوكمة بالتوازي مع تطور الشركة. فمتطلبات الحوكمة في مرحلة التأسيس لا يلزم أن تكون بمستوى التعقيد نفسه الذي تحتاج إليه الشركة بعد استقطاب مستثمرين أو دخول أسواق جديدة أو زيادة عدد الموظفين والعملاء</w:t>
      </w:r>
      <w:r w:rsidRPr="00545ABB">
        <w:rPr>
          <w:rFonts w:ascii="Traditional Arabic" w:hAnsi="Traditional Arabic" w:cs="Traditional Arabic"/>
          <w:b/>
          <w:bCs/>
          <w:color w:val="000000" w:themeColor="text1"/>
        </w:rPr>
        <w:t>.</w:t>
      </w:r>
    </w:p>
    <w:p w14:paraId="2087C55B" w14:textId="537FBC48" w:rsidR="00A61863" w:rsidRPr="00545ABB" w:rsidRDefault="00A61863" w:rsidP="00C21390">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شركات الأمن السيبراني الناشئة على وجه الخصوص، ينبغي ألا ينظر إلى الحوكمة على أنها عبء إداري، بل بوصفها وسيلة لتنظيم النمو وإدارة المخاطر والمحافظة على الثقة، خاصة أن نظام الشركات السعودي نفسه يتجه إلى توفير مرونة أكبر للشركات الصغيرة ورواد الأعمال ودعم استدامتها ونموها</w:t>
      </w:r>
      <w:r w:rsidRPr="00545ABB">
        <w:rPr>
          <w:rFonts w:ascii="Traditional Arabic" w:hAnsi="Traditional Arabic" w:cs="Traditional Arabic"/>
          <w:b/>
          <w:bCs/>
          <w:color w:val="000000" w:themeColor="text1"/>
        </w:rPr>
        <w:t xml:space="preserve">. </w:t>
      </w:r>
    </w:p>
    <w:p w14:paraId="13AB07E8" w14:textId="5C384091" w:rsidR="00A61863" w:rsidRPr="00545ABB" w:rsidRDefault="00C21390" w:rsidP="00A61863">
      <w:pPr>
        <w:pStyle w:val="Heading3"/>
        <w:bidi/>
        <w:spacing w:line="360" w:lineRule="auto"/>
        <w:rPr>
          <w:rFonts w:ascii="Traditional Arabic" w:hAnsi="Traditional Arabic" w:cs="Traditional Arabic"/>
          <w:b/>
          <w:bCs/>
          <w:color w:val="000000" w:themeColor="text1"/>
        </w:rPr>
      </w:pPr>
      <w:bookmarkStart w:id="90" w:name="_Toc242325250"/>
      <w:r w:rsidRPr="00545ABB">
        <w:rPr>
          <w:rFonts w:ascii="Traditional Arabic" w:hAnsi="Traditional Arabic" w:cs="Traditional Arabic" w:hint="cs"/>
          <w:b/>
          <w:bCs/>
          <w:color w:val="000000" w:themeColor="text1"/>
          <w:rtl/>
        </w:rPr>
        <w:t xml:space="preserve">(ج) </w:t>
      </w:r>
      <w:r w:rsidR="00A61863" w:rsidRPr="00545ABB">
        <w:rPr>
          <w:rFonts w:ascii="Traditional Arabic" w:hAnsi="Traditional Arabic" w:cs="Traditional Arabic"/>
          <w:b/>
          <w:bCs/>
          <w:color w:val="000000" w:themeColor="text1"/>
          <w:rtl/>
        </w:rPr>
        <w:t xml:space="preserve"> فرص تطوير منظومة الحوكمة في ضوء التحول الرقمي في المملكة العربية السعودية</w:t>
      </w:r>
      <w:bookmarkEnd w:id="90"/>
    </w:p>
    <w:p w14:paraId="235B0C93"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يوفر التحول الرقمي الذي تشهده المملكة فرصًا واسعة لتطوير ممارسات الحوكمة في الشركات الناشئة، إذ يمكن للتقنيات الحديثة أن تسهم في تحسين عمليات الرقابة والمتابعة وإدارة المخاطر والإفصاح واتخاذ القرار، إلى جانب خفض بعض التكاليف المرتبطة بتطبيق الحوكمة التقليدية</w:t>
      </w:r>
      <w:r w:rsidRPr="00545ABB">
        <w:rPr>
          <w:rFonts w:ascii="Traditional Arabic" w:hAnsi="Traditional Arabic" w:cs="Traditional Arabic"/>
          <w:b/>
          <w:bCs/>
          <w:color w:val="000000" w:themeColor="text1"/>
        </w:rPr>
        <w:t>.</w:t>
      </w:r>
    </w:p>
    <w:p w14:paraId="76FE2D34"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وتتمثل إحدى أبرز الفرص في </w:t>
      </w:r>
      <w:r w:rsidRPr="00545ABB">
        <w:rPr>
          <w:rStyle w:val="Strong"/>
          <w:rFonts w:ascii="Traditional Arabic" w:hAnsi="Traditional Arabic" w:cs="Traditional Arabic"/>
          <w:color w:val="000000" w:themeColor="text1"/>
          <w:rtl/>
        </w:rPr>
        <w:t>رقمنة عمليات الحوكمة</w:t>
      </w:r>
      <w:r w:rsidRPr="00545ABB">
        <w:rPr>
          <w:rFonts w:ascii="Traditional Arabic" w:hAnsi="Traditional Arabic" w:cs="Traditional Arabic"/>
          <w:b/>
          <w:bCs/>
          <w:color w:val="000000" w:themeColor="text1"/>
          <w:rtl/>
        </w:rPr>
        <w:t xml:space="preserve"> من خلال استخدام المنصات الإلكترونية لإدارة السياسات، واللجان والاجتماعات، والمخاطر، والالتزام، ومؤشرات الأداء، والمراجعة، وحفظ الأدلة والوثائق. ويساعد ذلك الشركات الناشئة على تطبيق ممارسات حوكمة أكثر تنظيمًا دون الحاجة إلى بناء هياكل إدارية كبيرة</w:t>
      </w:r>
      <w:r w:rsidRPr="00545ABB">
        <w:rPr>
          <w:rFonts w:ascii="Traditional Arabic" w:hAnsi="Traditional Arabic" w:cs="Traditional Arabic"/>
          <w:b/>
          <w:bCs/>
          <w:color w:val="000000" w:themeColor="text1"/>
        </w:rPr>
        <w:t>.</w:t>
      </w:r>
    </w:p>
    <w:p w14:paraId="101920E0"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يوفر التحول الرقمي فرصًا لاستخدام </w:t>
      </w:r>
      <w:r w:rsidRPr="00545ABB">
        <w:rPr>
          <w:rStyle w:val="Strong"/>
          <w:rFonts w:ascii="Traditional Arabic" w:hAnsi="Traditional Arabic" w:cs="Traditional Arabic"/>
          <w:color w:val="000000" w:themeColor="text1"/>
          <w:rtl/>
        </w:rPr>
        <w:t>البيانات والمؤشرات</w:t>
      </w:r>
      <w:r w:rsidRPr="00545ABB">
        <w:rPr>
          <w:rFonts w:ascii="Traditional Arabic" w:hAnsi="Traditional Arabic" w:cs="Traditional Arabic"/>
          <w:b/>
          <w:bCs/>
          <w:color w:val="000000" w:themeColor="text1"/>
          <w:rtl/>
        </w:rPr>
        <w:t xml:space="preserve"> في دعم عملية اتخاذ القرار، بحيث يمكن لمجلس الإدارة والإدارة التنفيذية الحصول على معلومات أكثر دقة وتوقيتًا حول المخاطر والأداء والالتزام، والانتقال من الرقابة اللاحقة إلى المتابعة المستمرة والاستباقية</w:t>
      </w:r>
      <w:r w:rsidRPr="00545ABB">
        <w:rPr>
          <w:rFonts w:ascii="Traditional Arabic" w:hAnsi="Traditional Arabic" w:cs="Traditional Arabic"/>
          <w:b/>
          <w:bCs/>
          <w:color w:val="000000" w:themeColor="text1"/>
        </w:rPr>
        <w:t>.</w:t>
      </w:r>
    </w:p>
    <w:p w14:paraId="2F0EE3F4" w14:textId="4314AB3C" w:rsidR="00A61863" w:rsidRPr="00545ABB" w:rsidRDefault="00A61863" w:rsidP="00F65A2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ويشكل التطور التنظيمي في المملكة فرصة أخرى لتحسين الحوكمة، حيث يوفر </w:t>
      </w:r>
      <w:r w:rsidRPr="00545ABB">
        <w:rPr>
          <w:rStyle w:val="Strong"/>
          <w:rFonts w:ascii="Traditional Arabic" w:hAnsi="Traditional Arabic" w:cs="Traditional Arabic"/>
          <w:color w:val="000000" w:themeColor="text1"/>
          <w:rtl/>
        </w:rPr>
        <w:t>نظام الشركات الجديد</w:t>
      </w:r>
      <w:r w:rsidRPr="00545ABB">
        <w:rPr>
          <w:rFonts w:ascii="Traditional Arabic" w:hAnsi="Traditional Arabic" w:cs="Traditional Arabic"/>
          <w:b/>
          <w:bCs/>
          <w:color w:val="000000" w:themeColor="text1"/>
          <w:rtl/>
        </w:rPr>
        <w:t xml:space="preserve"> قدرًا أكبر من المرونة للشركات الصغيرة والناشئة، في حين توفر الأدلة الصادرة عن «منشآت» نماذج استرشادية يمكن للشركات تكييفها مع احتياجاتها، وتوفر الهيئة الوطنية للأمن السيبراني أطرًا وضوابط تساعد الشركات على بناء ممارسات أكثر وضوحًا في حوكمة الأمن السيبراني وإدارة المخاطر</w:t>
      </w:r>
      <w:r w:rsidR="00F65A25" w:rsidRPr="00545ABB">
        <w:rPr>
          <w:rFonts w:ascii="Traditional Arabic" w:hAnsi="Traditional Arabic" w:cs="Traditional Arabic"/>
          <w:b/>
          <w:bCs/>
          <w:color w:val="000000" w:themeColor="text1"/>
        </w:rPr>
        <w:t>.</w:t>
      </w:r>
    </w:p>
    <w:p w14:paraId="694BD26B"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وبالنسبة لشركات الأمن السيبراني الناشئة، يمكن الاستفادة من التحول الرقمي في تطوير </w:t>
      </w:r>
      <w:r w:rsidRPr="00545ABB">
        <w:rPr>
          <w:rStyle w:val="Strong"/>
          <w:rFonts w:ascii="Traditional Arabic" w:hAnsi="Traditional Arabic" w:cs="Traditional Arabic"/>
          <w:color w:val="000000" w:themeColor="text1"/>
          <w:rtl/>
        </w:rPr>
        <w:t xml:space="preserve">منصات متكاملة للحوكمة وإدارة المخاطر والالتزام </w:t>
      </w:r>
      <w:r w:rsidRPr="00545ABB">
        <w:rPr>
          <w:rStyle w:val="Strong"/>
          <w:rFonts w:ascii="Traditional Arabic" w:hAnsi="Traditional Arabic" w:cs="Traditional Arabic"/>
          <w:color w:val="000000" w:themeColor="text1"/>
        </w:rPr>
        <w:t>(GRC)</w:t>
      </w:r>
      <w:r w:rsidRPr="00545ABB">
        <w:rPr>
          <w:rFonts w:ascii="Traditional Arabic" w:hAnsi="Traditional Arabic" w:cs="Traditional Arabic"/>
          <w:b/>
          <w:bCs/>
          <w:color w:val="000000" w:themeColor="text1"/>
          <w:rtl/>
        </w:rPr>
        <w:t>، وربط المعلومات المتعلقة بالمخاطر والسياسات والضوابط والأصول والحوادث ومؤشرات الأداء، بما يوفر للإدارة رؤية أكثر شمولًا عن الوضع المؤسسي والسيبراني</w:t>
      </w:r>
      <w:r w:rsidRPr="00545ABB">
        <w:rPr>
          <w:rFonts w:ascii="Traditional Arabic" w:hAnsi="Traditional Arabic" w:cs="Traditional Arabic"/>
          <w:b/>
          <w:bCs/>
          <w:color w:val="000000" w:themeColor="text1"/>
        </w:rPr>
        <w:t>.</w:t>
      </w:r>
    </w:p>
    <w:p w14:paraId="1CD4375A"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تمثل زيادة الوعي بالحوكمة لدى المستثمرين والعملاء فرصة للشركات الناشئة التي تتبنى ممارسات واضحة في هذا المجال؛ إذ يمكن أن تصبح الحوكمة عنصرًا داعمًا لبناء الثقة والتميّز التنافسي واستقطاب الاستثمار، بدلًا من النظر إليها بوصفها مجرد متطلب نظامي</w:t>
      </w:r>
      <w:r w:rsidRPr="00545ABB">
        <w:rPr>
          <w:rFonts w:ascii="Traditional Arabic" w:hAnsi="Traditional Arabic" w:cs="Traditional Arabic"/>
          <w:b/>
          <w:bCs/>
          <w:color w:val="000000" w:themeColor="text1"/>
        </w:rPr>
        <w:t>.</w:t>
      </w:r>
    </w:p>
    <w:p w14:paraId="145C416E"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ويرى الباحث أن تطوير الحوكمة في الشركات الناشئة السعودية ينبغي أن يعتمد على أربعة مبادئ مترابطة تتمثل في</w:t>
      </w:r>
      <w:r w:rsidRPr="00545ABB">
        <w:rPr>
          <w:rFonts w:ascii="Traditional Arabic" w:hAnsi="Traditional Arabic" w:cs="Traditional Arabic"/>
          <w:b/>
          <w:bCs/>
          <w:color w:val="000000" w:themeColor="text1"/>
        </w:rPr>
        <w:t>:</w:t>
      </w:r>
    </w:p>
    <w:p w14:paraId="3246C23F" w14:textId="77777777" w:rsidR="00A61863" w:rsidRPr="00545ABB" w:rsidRDefault="00A61863" w:rsidP="00D95153">
      <w:pPr>
        <w:numPr>
          <w:ilvl w:val="0"/>
          <w:numId w:val="3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8"/>
          <w:szCs w:val="28"/>
          <w:rtl/>
        </w:rPr>
        <w:t>الشفافية</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من خلال توفير المعلومات اللازمة لأصحاب المصالح بصورة واضحة وفي الوقت المناسب</w:t>
      </w:r>
      <w:r w:rsidRPr="00545ABB">
        <w:rPr>
          <w:rFonts w:ascii="Traditional Arabic" w:hAnsi="Traditional Arabic" w:cs="Traditional Arabic"/>
          <w:b/>
          <w:bCs/>
          <w:color w:val="000000" w:themeColor="text1"/>
          <w:sz w:val="24"/>
          <w:szCs w:val="24"/>
        </w:rPr>
        <w:t>.</w:t>
      </w:r>
    </w:p>
    <w:p w14:paraId="5F96C7F2" w14:textId="77777777" w:rsidR="00A61863" w:rsidRPr="00545ABB" w:rsidRDefault="00A61863" w:rsidP="00D95153">
      <w:pPr>
        <w:numPr>
          <w:ilvl w:val="0"/>
          <w:numId w:val="3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8"/>
          <w:szCs w:val="28"/>
          <w:rtl/>
        </w:rPr>
        <w:t>المساءلة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sz w:val="28"/>
          <w:szCs w:val="28"/>
        </w:rPr>
        <w:t xml:space="preserve"> </w:t>
      </w:r>
      <w:r w:rsidRPr="00545ABB">
        <w:rPr>
          <w:rFonts w:ascii="Traditional Arabic" w:hAnsi="Traditional Arabic" w:cs="Traditional Arabic"/>
          <w:b/>
          <w:bCs/>
          <w:color w:val="000000" w:themeColor="text1"/>
          <w:sz w:val="24"/>
          <w:szCs w:val="24"/>
          <w:rtl/>
        </w:rPr>
        <w:t>من خلال تحديد المسؤوليات والصلاحيات وربطها بالنتائج</w:t>
      </w:r>
      <w:r w:rsidRPr="00545ABB">
        <w:rPr>
          <w:rFonts w:ascii="Traditional Arabic" w:hAnsi="Traditional Arabic" w:cs="Traditional Arabic"/>
          <w:b/>
          <w:bCs/>
          <w:color w:val="000000" w:themeColor="text1"/>
          <w:sz w:val="24"/>
          <w:szCs w:val="24"/>
        </w:rPr>
        <w:t>.</w:t>
      </w:r>
    </w:p>
    <w:p w14:paraId="36817FAF" w14:textId="77777777" w:rsidR="00A61863" w:rsidRPr="00545ABB" w:rsidRDefault="00A61863" w:rsidP="00D95153">
      <w:pPr>
        <w:numPr>
          <w:ilvl w:val="0"/>
          <w:numId w:val="3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8"/>
          <w:szCs w:val="28"/>
          <w:rtl/>
        </w:rPr>
        <w:t>المسؤولية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sz w:val="28"/>
          <w:szCs w:val="28"/>
        </w:rPr>
        <w:t xml:space="preserve"> </w:t>
      </w:r>
      <w:r w:rsidRPr="00545ABB">
        <w:rPr>
          <w:rFonts w:ascii="Traditional Arabic" w:hAnsi="Traditional Arabic" w:cs="Traditional Arabic"/>
          <w:b/>
          <w:bCs/>
          <w:color w:val="000000" w:themeColor="text1"/>
          <w:sz w:val="24"/>
          <w:szCs w:val="24"/>
          <w:rtl/>
        </w:rPr>
        <w:t>من خلال التزام مجلس الإدارة والإدارة التنفيذية والعاملين بأدوارهم وواجباتهم</w:t>
      </w:r>
      <w:r w:rsidRPr="00545ABB">
        <w:rPr>
          <w:rFonts w:ascii="Traditional Arabic" w:hAnsi="Traditional Arabic" w:cs="Traditional Arabic"/>
          <w:b/>
          <w:bCs/>
          <w:color w:val="000000" w:themeColor="text1"/>
          <w:sz w:val="24"/>
          <w:szCs w:val="24"/>
        </w:rPr>
        <w:t>.</w:t>
      </w:r>
    </w:p>
    <w:p w14:paraId="210C1E37" w14:textId="77777777" w:rsidR="00A61863" w:rsidRPr="00545ABB" w:rsidRDefault="00A61863" w:rsidP="00D95153">
      <w:pPr>
        <w:numPr>
          <w:ilvl w:val="0"/>
          <w:numId w:val="34"/>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8"/>
          <w:szCs w:val="28"/>
          <w:rtl/>
        </w:rPr>
        <w:t>العدالة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sz w:val="28"/>
          <w:szCs w:val="28"/>
        </w:rPr>
        <w:t xml:space="preserve"> </w:t>
      </w:r>
      <w:r w:rsidRPr="00545ABB">
        <w:rPr>
          <w:rFonts w:ascii="Traditional Arabic" w:hAnsi="Traditional Arabic" w:cs="Traditional Arabic"/>
          <w:b/>
          <w:bCs/>
          <w:color w:val="000000" w:themeColor="text1"/>
          <w:sz w:val="24"/>
          <w:szCs w:val="24"/>
          <w:rtl/>
        </w:rPr>
        <w:t>من خلال حماية حقوق المساهمين وأصحاب المصالح وتحقيق المعاملة المنصفة بينهم</w:t>
      </w:r>
      <w:r w:rsidRPr="00545ABB">
        <w:rPr>
          <w:rFonts w:ascii="Traditional Arabic" w:hAnsi="Traditional Arabic" w:cs="Traditional Arabic"/>
          <w:b/>
          <w:bCs/>
          <w:color w:val="000000" w:themeColor="text1"/>
          <w:sz w:val="24"/>
          <w:szCs w:val="24"/>
        </w:rPr>
        <w:t>.</w:t>
      </w:r>
    </w:p>
    <w:p w14:paraId="68EFDBF3"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ولا تمثل هذه المبادئ أهدافًا منفصلة، وإنما تشكل منظومة متكاملة تساعد على رفع مستوى الثقة والانضباط المؤسسي وتحسين جودة القرارات</w:t>
      </w:r>
      <w:r w:rsidRPr="00545ABB">
        <w:rPr>
          <w:rFonts w:ascii="Traditional Arabic" w:hAnsi="Traditional Arabic" w:cs="Traditional Arabic"/>
          <w:b/>
          <w:bCs/>
          <w:color w:val="000000" w:themeColor="text1"/>
        </w:rPr>
        <w:t>.</w:t>
      </w:r>
    </w:p>
    <w:p w14:paraId="54D5ED6A" w14:textId="77777777" w:rsidR="00A61863" w:rsidRPr="00545ABB" w:rsidRDefault="00A61863" w:rsidP="00A6186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ومن منظور هذه الدراسة، فإن الفرصة الرئيسة أمام شركات الأمن السيبراني الناشئة في المملكة تتمثل في </w:t>
      </w:r>
      <w:r w:rsidRPr="00545ABB">
        <w:rPr>
          <w:rStyle w:val="Strong"/>
          <w:rFonts w:ascii="Traditional Arabic" w:hAnsi="Traditional Arabic" w:cs="Traditional Arabic"/>
          <w:color w:val="000000" w:themeColor="text1"/>
          <w:rtl/>
        </w:rPr>
        <w:t>تطوير نموذج حوكمة يتناسب مع طبيعتها ومرحلة نموها، ويجمع بين المرونة والرقابة وإدارة المخاطر والامتثال</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فالحوكمة الفعالة لا تتطلب بالضرورة إنشاء هياكل معقدة منذ المراحل الأولى، وإنما تتطلب وضوحًا في المسؤوليات، وآليات مناسبة لاتخاذ القرار، وإدارة للمخاطر، وشفافية في العلاقة مع المستثمرين والعملاء، ثم تطوير هذه الممارسات تدريجيًا مع نمو الشركة</w:t>
      </w:r>
      <w:r w:rsidRPr="00545ABB">
        <w:rPr>
          <w:rFonts w:ascii="Traditional Arabic" w:hAnsi="Traditional Arabic" w:cs="Traditional Arabic"/>
          <w:b/>
          <w:bCs/>
          <w:color w:val="000000" w:themeColor="text1"/>
        </w:rPr>
        <w:t>.</w:t>
      </w:r>
    </w:p>
    <w:p w14:paraId="2E01EA2E" w14:textId="77777777" w:rsidR="00A61863" w:rsidRPr="00545ABB" w:rsidRDefault="00A61863"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وبناءً على ما سبق، يتضح أن البيئة السعودية توفر فرصًا متنامية لتطوير ممارسات الحوكمة في الشركات الناشئة من خلال رؤية المملكة 2030، والتحديثات التشريعية في نظام الشركات، وبرامج دعم المنشآت الصغيرة والمتوسطة، والأطر والضوابط الوطنية للأمن السيبراني. كما أن الاستفادة الفعالة من هذه الممكنات يمكن أن تسهم في بناء شركات ناشئة أكثر قدرة على إدارة المخاطر واستقطاب الاستثمار والمحافظة على الثقة وتحقيق النمو والاستدامة</w:t>
      </w:r>
      <w:r w:rsidRPr="00545ABB">
        <w:rPr>
          <w:rFonts w:ascii="Traditional Arabic" w:hAnsi="Traditional Arabic" w:cs="Traditional Arabic"/>
          <w:b/>
          <w:bCs/>
          <w:color w:val="000000" w:themeColor="text1"/>
        </w:rPr>
        <w:t>.</w:t>
      </w:r>
    </w:p>
    <w:p w14:paraId="2FF6CE3A" w14:textId="77777777" w:rsidR="003B217F" w:rsidRPr="00545ABB" w:rsidRDefault="003B217F" w:rsidP="003B217F">
      <w:pPr>
        <w:pStyle w:val="Heading2"/>
        <w:bidi/>
        <w:spacing w:line="360" w:lineRule="auto"/>
        <w:rPr>
          <w:rFonts w:ascii="Traditional Arabic" w:hAnsi="Traditional Arabic" w:cs="Traditional Arabic"/>
          <w:b/>
          <w:bCs/>
          <w:color w:val="000000" w:themeColor="text1"/>
        </w:rPr>
      </w:pPr>
      <w:bookmarkStart w:id="91" w:name="_Toc242325251"/>
      <w:r w:rsidRPr="00545ABB">
        <w:rPr>
          <w:rFonts w:ascii="Traditional Arabic" w:hAnsi="Traditional Arabic" w:cs="Traditional Arabic"/>
          <w:b/>
          <w:bCs/>
          <w:color w:val="000000" w:themeColor="text1"/>
          <w:rtl/>
        </w:rPr>
        <w:t>الدراسات المرجعية</w:t>
      </w:r>
      <w:bookmarkEnd w:id="91"/>
    </w:p>
    <w:p w14:paraId="2A5266D5"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تُشكّل الدراسات السابقة أحد المرتكزات الأساسية في بناء الإطار النظري للدراسة، إذ تسهم في تحديد المفاهيم والمتغيرات الرئيسة، وفهم العلاقات بينها، واستخلاص المؤشرات العملية ذات الصلة، إضافة إلى الكشف عن الفجوات البحثية التي ما زالت بحاجة إلى مزيد من الدراسة. وفي ضوء موضوع الدراسة الحالية، الذي يتناول أثر الحوكمة الفعالة في استدامة ونجاح شركات الأمن السيبراني الناشئة في المملكة العربية السعودية، تم تصنيف الدراسات المرجعية ضمن ثلاثة محاور رئيسة 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الحوكمة، والاستدامة، ونجاح الشركات الناشئة</w:t>
      </w:r>
      <w:r w:rsidRPr="00545ABB">
        <w:rPr>
          <w:rFonts w:ascii="Traditional Arabic" w:hAnsi="Traditional Arabic" w:cs="Traditional Arabic"/>
          <w:b/>
          <w:bCs/>
          <w:color w:val="000000" w:themeColor="text1"/>
        </w:rPr>
        <w:t>.</w:t>
      </w:r>
    </w:p>
    <w:p w14:paraId="363FB21A" w14:textId="77777777" w:rsidR="003B217F" w:rsidRPr="00545ABB" w:rsidRDefault="003B217F" w:rsidP="003B217F">
      <w:pPr>
        <w:pStyle w:val="Heading3"/>
        <w:bidi/>
        <w:spacing w:line="360" w:lineRule="auto"/>
        <w:rPr>
          <w:rFonts w:ascii="Traditional Arabic" w:hAnsi="Traditional Arabic" w:cs="Traditional Arabic"/>
          <w:b/>
          <w:bCs/>
          <w:color w:val="000000" w:themeColor="text1"/>
        </w:rPr>
      </w:pPr>
      <w:bookmarkStart w:id="92" w:name="_Toc242325252"/>
      <w:r w:rsidRPr="00545ABB">
        <w:rPr>
          <w:rFonts w:ascii="Traditional Arabic" w:hAnsi="Traditional Arabic" w:cs="Traditional Arabic"/>
          <w:b/>
          <w:bCs/>
          <w:color w:val="000000" w:themeColor="text1"/>
          <w:rtl/>
        </w:rPr>
        <w:t>أولًا: الدراسات المرتبطة بالحوكمة</w:t>
      </w:r>
      <w:bookmarkEnd w:id="92"/>
    </w:p>
    <w:p w14:paraId="44A0562D" w14:textId="77777777" w:rsidR="003B217F" w:rsidRPr="00545ABB" w:rsidRDefault="003B217F" w:rsidP="003B217F">
      <w:pPr>
        <w:pStyle w:val="Heading4"/>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sz w:val="28"/>
          <w:szCs w:val="28"/>
          <w:rtl/>
        </w:rPr>
        <w:t>الدراسة الأولى:</w:t>
      </w:r>
      <w:r w:rsidRPr="00545ABB">
        <w:rPr>
          <w:rFonts w:ascii="Traditional Arabic" w:hAnsi="Traditional Arabic" w:cs="Traditional Arabic"/>
          <w:b/>
          <w:bCs/>
          <w:color w:val="000000" w:themeColor="text1"/>
          <w:rtl/>
        </w:rPr>
        <w:t xml:space="preserve"> بوشامي، عبد القادر، وسريدي، أحمد، وتشيكو، عبد القادر </w:t>
      </w:r>
      <w:r w:rsidRPr="00545ABB">
        <w:rPr>
          <w:rFonts w:ascii="Traditional Arabic" w:hAnsi="Traditional Arabic" w:cs="Traditional Arabic"/>
          <w:b/>
          <w:bCs/>
          <w:color w:val="000000" w:themeColor="text1"/>
        </w:rPr>
        <w:t>(2022)</w:t>
      </w:r>
    </w:p>
    <w:p w14:paraId="5616E82B"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عنوان الدراسة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نماذج حوكمة الشركات في العالم: دراسة تجارب دولية</w:t>
      </w:r>
      <w:r w:rsidRPr="00545ABB">
        <w:rPr>
          <w:rFonts w:ascii="Traditional Arabic" w:hAnsi="Traditional Arabic" w:cs="Traditional Arabic"/>
          <w:b/>
          <w:bCs/>
          <w:color w:val="000000" w:themeColor="text1"/>
        </w:rPr>
        <w:t>.</w:t>
      </w:r>
    </w:p>
    <w:p w14:paraId="47D5A212" w14:textId="5CB99A47" w:rsidR="003B217F" w:rsidRPr="00545ABB" w:rsidRDefault="003B217F" w:rsidP="00CA047E">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هدفت الدراسة إلى تحليل أنظمة حوكمة الشركات والتعرف على عدد من التجارب الدولية في هذا المجال، مع التركيز على تأثير نظم الحوكمة في هيكل الملكية وفاعلية آليات الرقابة داخل الشركات. واعتمدت الدراسة على المنهج المقارن لتحليل نماذج الحوكمة في بيئات قانونية واقتصادية وثقافية مختلفة. وقد نُشرت الدراسة عام 2022 في </w:t>
      </w:r>
      <w:r w:rsidRPr="00545ABB">
        <w:rPr>
          <w:rStyle w:val="Emphasis"/>
          <w:rFonts w:ascii="Traditional Arabic" w:hAnsi="Traditional Arabic" w:cs="Traditional Arabic"/>
          <w:b/>
          <w:bCs/>
          <w:color w:val="000000" w:themeColor="text1"/>
          <w:rtl/>
        </w:rPr>
        <w:t>مجلة البحوث الاقتصادية المتقدمة</w:t>
      </w:r>
      <w:r w:rsidRPr="00545ABB">
        <w:rPr>
          <w:rFonts w:ascii="Traditional Arabic" w:hAnsi="Traditional Arabic" w:cs="Traditional Arabic"/>
          <w:b/>
          <w:bCs/>
          <w:color w:val="000000" w:themeColor="text1"/>
          <w:rtl/>
        </w:rPr>
        <w:t>، المجلد السابع، العدد الثاني، ص ص</w:t>
      </w:r>
      <w:r w:rsidRPr="00545ABB">
        <w:rPr>
          <w:rFonts w:ascii="Traditional Arabic" w:hAnsi="Traditional Arabic" w:cs="Traditional Arabic"/>
          <w:b/>
          <w:bCs/>
          <w:color w:val="000000" w:themeColor="text1"/>
        </w:rPr>
        <w:t xml:space="preserve">. 780–799. </w:t>
      </w:r>
    </w:p>
    <w:p w14:paraId="69B76E51" w14:textId="350BD095" w:rsidR="003B217F" w:rsidRPr="00545ABB" w:rsidRDefault="003B217F" w:rsidP="00CA047E">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وتوصلت الدراسة إلى أن فاعلية الحوكمة تتأثر بالبيئة القانونية والتشريعية والاقتصادية التي تعمل فيها الشركة، وأن تركز أو تشتت الملكية يؤثر في مستوى القوة التي يمكن أن يمارسها المساهمون. كما أشارت إلى أن لكل نموذج من نماذج الحوكمة مزايا وحدودًا تختلف باختلاف السياق المؤسسي للدولة</w:t>
      </w:r>
      <w:r w:rsidRPr="00545ABB">
        <w:rPr>
          <w:rFonts w:ascii="Traditional Arabic" w:hAnsi="Traditional Arabic" w:cs="Traditional Arabic"/>
          <w:b/>
          <w:bCs/>
          <w:color w:val="000000" w:themeColor="text1"/>
        </w:rPr>
        <w:t xml:space="preserve">. </w:t>
      </w:r>
    </w:p>
    <w:p w14:paraId="3D101B34"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وتبرز أهمية هذه الدراسة بالنسبة للدراسة الحالية في تأكيدها أن الحوكمة لا ينبغي أن تطبق من خلال نموذج واحد ثابت، وإنما ينبغي تكييف ممارساتها وفق طبيعة المؤسسة وبيئتها. ويكتسب ذلك أهمية خاصة في شركات الأمن السيبراني الناشئة، التي تحتاج إلى ممارسات حوكمة مرنة تتناسب مع حجمها ومرحلة نموها وطبيعة مخاطرها</w:t>
      </w:r>
      <w:r w:rsidRPr="00545ABB">
        <w:rPr>
          <w:rFonts w:ascii="Traditional Arabic" w:hAnsi="Traditional Arabic" w:cs="Traditional Arabic"/>
          <w:b/>
          <w:bCs/>
          <w:color w:val="000000" w:themeColor="text1"/>
        </w:rPr>
        <w:t>.</w:t>
      </w:r>
    </w:p>
    <w:p w14:paraId="2DF06472" w14:textId="77777777" w:rsidR="003B217F" w:rsidRPr="00545ABB" w:rsidRDefault="003B217F" w:rsidP="003B217F">
      <w:pPr>
        <w:pStyle w:val="Heading4"/>
        <w:bidi/>
        <w:spacing w:line="360" w:lineRule="auto"/>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 xml:space="preserve">الدراسة الثانية: عطا، مسعود يونس عطوان </w:t>
      </w:r>
      <w:r w:rsidRPr="00545ABB">
        <w:rPr>
          <w:rFonts w:ascii="Traditional Arabic" w:hAnsi="Traditional Arabic" w:cs="Traditional Arabic"/>
          <w:b/>
          <w:bCs/>
          <w:color w:val="000000" w:themeColor="text1"/>
          <w:sz w:val="28"/>
          <w:szCs w:val="28"/>
        </w:rPr>
        <w:t>(2018)</w:t>
      </w:r>
    </w:p>
    <w:p w14:paraId="7A4A38FC"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عنوان الدراسة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دور الحوكمة في استدامة الشركات وتحقيق رؤية المملكة 2030: دراسة مقارنة بين نظام الشركات السعودي الجديد والشريعة الإسلامية</w:t>
      </w:r>
      <w:r w:rsidRPr="00545ABB">
        <w:rPr>
          <w:rFonts w:ascii="Traditional Arabic" w:hAnsi="Traditional Arabic" w:cs="Traditional Arabic"/>
          <w:b/>
          <w:bCs/>
          <w:color w:val="000000" w:themeColor="text1"/>
        </w:rPr>
        <w:t>.</w:t>
      </w:r>
    </w:p>
    <w:p w14:paraId="0C791802" w14:textId="25C2B377" w:rsidR="003B217F" w:rsidRPr="00545ABB" w:rsidRDefault="003B217F" w:rsidP="00CA047E">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نُشرت هذه الدراسة عام </w:t>
      </w:r>
      <w:r w:rsidRPr="00545ABB">
        <w:rPr>
          <w:rStyle w:val="Strong"/>
          <w:rFonts w:ascii="Traditional Arabic" w:hAnsi="Traditional Arabic" w:cs="Traditional Arabic"/>
          <w:color w:val="000000" w:themeColor="text1"/>
        </w:rPr>
        <w:t>2018</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في </w:t>
      </w:r>
      <w:r w:rsidRPr="00545ABB">
        <w:rPr>
          <w:rStyle w:val="Emphasis"/>
          <w:rFonts w:ascii="Traditional Arabic" w:hAnsi="Traditional Arabic" w:cs="Traditional Arabic"/>
          <w:b/>
          <w:bCs/>
          <w:color w:val="000000" w:themeColor="text1"/>
          <w:rtl/>
        </w:rPr>
        <w:t>مجلة كلية الشريعة والقانون بطنطا</w:t>
      </w:r>
      <w:r w:rsidRPr="00545ABB">
        <w:rPr>
          <w:rFonts w:ascii="Traditional Arabic" w:hAnsi="Traditional Arabic" w:cs="Traditional Arabic"/>
          <w:b/>
          <w:bCs/>
          <w:color w:val="000000" w:themeColor="text1"/>
          <w:rtl/>
        </w:rPr>
        <w:t>، العدد 33، الجزء الرابع، ص ص. 1814–1877. وقد تناولت دور الحوكمة في استدامة الشركات ودعم أهداف رؤية المملكة 2030، مع إجراء مقارنة بين نظام الشركات السعودي الذي كان يعد عند صدور الدراسة نظامًا جديدًا، وبين مبادئ الشريعة الإسلامية</w:t>
      </w:r>
      <w:r w:rsidRPr="00545ABB">
        <w:rPr>
          <w:rFonts w:ascii="Traditional Arabic" w:hAnsi="Traditional Arabic" w:cs="Traditional Arabic"/>
          <w:b/>
          <w:bCs/>
          <w:color w:val="000000" w:themeColor="text1"/>
        </w:rPr>
        <w:t xml:space="preserve">. </w:t>
      </w:r>
    </w:p>
    <w:p w14:paraId="1C9AACF7"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ومن المهم الإشارة إلى أن مصطلح </w:t>
      </w:r>
      <w:r w:rsidRPr="00545ABB">
        <w:rPr>
          <w:rStyle w:val="Strong"/>
          <w:rFonts w:ascii="Traditional Arabic" w:hAnsi="Traditional Arabic" w:cs="Traditional Arabic"/>
          <w:color w:val="000000" w:themeColor="text1"/>
        </w:rPr>
        <w:t>«</w:t>
      </w:r>
      <w:r w:rsidRPr="00545ABB">
        <w:rPr>
          <w:rStyle w:val="Strong"/>
          <w:rFonts w:ascii="Traditional Arabic" w:hAnsi="Traditional Arabic" w:cs="Traditional Arabic"/>
          <w:color w:val="000000" w:themeColor="text1"/>
          <w:rtl/>
        </w:rPr>
        <w:t>نظام الشركات السعودي الجديد</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الوارد في عنوان الدراسة لا يشير إلى نظام الشركات الحالي الذي بدأ سريانه في عام 2023، وإنما إلى النظام السابق الذي كان حديث الصدور وقت إعداد الدراسة. ولذلك فإن سنة الدراسة </w:t>
      </w:r>
      <w:r w:rsidRPr="00545ABB">
        <w:rPr>
          <w:rStyle w:val="Strong"/>
          <w:rFonts w:ascii="Traditional Arabic" w:hAnsi="Traditional Arabic" w:cs="Traditional Arabic"/>
          <w:color w:val="000000" w:themeColor="text1"/>
        </w:rPr>
        <w:t xml:space="preserve">2018 </w:t>
      </w:r>
      <w:r w:rsidRPr="00545ABB">
        <w:rPr>
          <w:rStyle w:val="Strong"/>
          <w:rFonts w:ascii="Traditional Arabic" w:hAnsi="Traditional Arabic" w:cs="Traditional Arabic"/>
          <w:color w:val="000000" w:themeColor="text1"/>
          <w:rtl/>
        </w:rPr>
        <w:t>صحيحة</w:t>
      </w:r>
      <w:r w:rsidRPr="00545ABB">
        <w:rPr>
          <w:rFonts w:ascii="Traditional Arabic" w:hAnsi="Traditional Arabic" w:cs="Traditional Arabic"/>
          <w:b/>
          <w:bCs/>
          <w:color w:val="000000" w:themeColor="text1"/>
          <w:rtl/>
        </w:rPr>
        <w:t>، ولا يوجد تعارض بين تاريخ نشرها والعنوان المستخدم فيها</w:t>
      </w:r>
      <w:r w:rsidRPr="00545ABB">
        <w:rPr>
          <w:rFonts w:ascii="Traditional Arabic" w:hAnsi="Traditional Arabic" w:cs="Traditional Arabic"/>
          <w:b/>
          <w:bCs/>
          <w:color w:val="000000" w:themeColor="text1"/>
        </w:rPr>
        <w:t>.</w:t>
      </w:r>
    </w:p>
    <w:p w14:paraId="74EA47F5" w14:textId="0D7BC869" w:rsidR="003B217F" w:rsidRPr="00545ABB" w:rsidRDefault="003B217F" w:rsidP="00CA047E">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وهدفت الدراسة إلى بيان أثر تطبيق مبادئ الحوكمة في دعم استدامة الشركات، وتحسين مستوى الشفافية والمساءلة، ودعم البيئة الاستثمارية، وربط ذلك بمستهدفات رؤية المملكة 2030. وأظهرت الدراسة أهمية الحوكمة في تعزيز الفاعلية والمسؤولية داخل الشركات، وتحسين البيئة الاستثمارية، ودعم نمو الشركات واستدامتها</w:t>
      </w:r>
      <w:r w:rsidRPr="00545ABB">
        <w:rPr>
          <w:rFonts w:ascii="Traditional Arabic" w:hAnsi="Traditional Arabic" w:cs="Traditional Arabic"/>
          <w:b/>
          <w:bCs/>
          <w:color w:val="000000" w:themeColor="text1"/>
        </w:rPr>
        <w:t xml:space="preserve">. </w:t>
      </w:r>
    </w:p>
    <w:p w14:paraId="5AD7861A"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وتكتسب هذه الدراسة أهمية خاصة بالنسبة للدراسة الحالية لارتباطها المباشر بالبيئة السعودية وبالعلاقة بين الحوكمة والاستدامة. إلا أنها تناولت الشركات بصورة عامة، ولم تركز على الشركات الناشئة في قطاع الأمن السيبراني بصورة خاصة، وهو ما تسعى الدراسة الحالية إلى معالجته</w:t>
      </w:r>
      <w:r w:rsidRPr="00545ABB">
        <w:rPr>
          <w:rFonts w:ascii="Traditional Arabic" w:hAnsi="Traditional Arabic" w:cs="Traditional Arabic"/>
          <w:b/>
          <w:bCs/>
          <w:color w:val="000000" w:themeColor="text1"/>
        </w:rPr>
        <w:t>.</w:t>
      </w:r>
    </w:p>
    <w:p w14:paraId="19407647" w14:textId="77777777" w:rsidR="003B217F" w:rsidRPr="00545ABB" w:rsidRDefault="003B217F" w:rsidP="003B217F">
      <w:pPr>
        <w:pStyle w:val="Heading3"/>
        <w:bidi/>
        <w:spacing w:line="360" w:lineRule="auto"/>
        <w:rPr>
          <w:rFonts w:ascii="Traditional Arabic" w:hAnsi="Traditional Arabic" w:cs="Traditional Arabic"/>
          <w:b/>
          <w:bCs/>
          <w:color w:val="000000" w:themeColor="text1"/>
        </w:rPr>
      </w:pPr>
      <w:bookmarkStart w:id="93" w:name="_Toc242325253"/>
      <w:r w:rsidRPr="00545ABB">
        <w:rPr>
          <w:rFonts w:ascii="Traditional Arabic" w:hAnsi="Traditional Arabic" w:cs="Traditional Arabic"/>
          <w:b/>
          <w:bCs/>
          <w:color w:val="000000" w:themeColor="text1"/>
          <w:rtl/>
        </w:rPr>
        <w:t>ثانيًا: الدراسات المرتبطة بالاستدامة</w:t>
      </w:r>
      <w:bookmarkEnd w:id="93"/>
    </w:p>
    <w:p w14:paraId="59064BAC" w14:textId="77777777" w:rsidR="003B217F" w:rsidRPr="00545ABB" w:rsidRDefault="003B217F" w:rsidP="003B217F">
      <w:pPr>
        <w:pStyle w:val="Heading4"/>
        <w:bidi/>
        <w:spacing w:line="360" w:lineRule="auto"/>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الدراسة الثالثة</w:t>
      </w:r>
      <w:r w:rsidRPr="00545ABB">
        <w:rPr>
          <w:rFonts w:ascii="Traditional Arabic" w:hAnsi="Traditional Arabic" w:cs="Traditional Arabic"/>
          <w:b/>
          <w:bCs/>
          <w:color w:val="000000" w:themeColor="text1"/>
          <w:sz w:val="28"/>
          <w:szCs w:val="28"/>
        </w:rPr>
        <w:t>: Alqahtani (2022)</w:t>
      </w:r>
    </w:p>
    <w:p w14:paraId="6191E311"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عنوان الدراسة</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Pr>
        <w:t>Investigation of Startups’ Sustainability: Empirical Evidence from Saudi Arabia</w:t>
      </w:r>
      <w:r w:rsidRPr="00545ABB">
        <w:rPr>
          <w:rFonts w:ascii="Traditional Arabic" w:hAnsi="Traditional Arabic" w:cs="Traditional Arabic"/>
          <w:b/>
          <w:bCs/>
          <w:color w:val="000000" w:themeColor="text1"/>
        </w:rPr>
        <w:t>.</w:t>
      </w:r>
    </w:p>
    <w:p w14:paraId="34C0FE5C" w14:textId="3DFB7D0F" w:rsidR="003B217F" w:rsidRPr="00545ABB" w:rsidRDefault="003B217F" w:rsidP="00CA047E">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نُشرت الدراسة عام </w:t>
      </w:r>
      <w:r w:rsidRPr="00545ABB">
        <w:rPr>
          <w:rStyle w:val="Strong"/>
          <w:rFonts w:ascii="Traditional Arabic" w:hAnsi="Traditional Arabic" w:cs="Traditional Arabic"/>
          <w:color w:val="000000" w:themeColor="text1"/>
        </w:rPr>
        <w:t>2022</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في مجلة </w:t>
      </w:r>
      <w:r w:rsidRPr="00545ABB">
        <w:rPr>
          <w:rStyle w:val="Emphasis"/>
          <w:rFonts w:ascii="Traditional Arabic" w:hAnsi="Traditional Arabic" w:cs="Traditional Arabic"/>
          <w:b/>
          <w:bCs/>
          <w:color w:val="000000" w:themeColor="text1"/>
        </w:rPr>
        <w:t>Entrepreneurship and Sustainability Issues</w:t>
      </w:r>
      <w:r w:rsidRPr="00545ABB">
        <w:rPr>
          <w:rFonts w:ascii="Traditional Arabic" w:hAnsi="Traditional Arabic" w:cs="Traditional Arabic"/>
          <w:b/>
          <w:bCs/>
          <w:color w:val="000000" w:themeColor="text1"/>
          <w:rtl/>
        </w:rPr>
        <w:t xml:space="preserve">، المجلد 10، العدد 1، ص ص. 107–131. وهدفت إلى تحديد العوامل التي تسهم في استدامة الشركات الناشئة في المملكة العربية السعودية، وبناء العلاقات الهيكلية بينها. واعتمدت الدراسة على منهجية من مرحلتين، تضمنت تحديد العوامل الأكثر أهمية ثم استخدام نموذج </w:t>
      </w:r>
      <w:r w:rsidRPr="00545ABB">
        <w:rPr>
          <w:rStyle w:val="Strong"/>
          <w:rFonts w:ascii="Traditional Arabic" w:hAnsi="Traditional Arabic" w:cs="Traditional Arabic"/>
          <w:color w:val="000000" w:themeColor="text1"/>
        </w:rPr>
        <w:t>Interpretive Structural Modeling (ISM)</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لبناء العلاقات الهرمية بينها</w:t>
      </w:r>
      <w:r w:rsidRPr="00545ABB">
        <w:rPr>
          <w:rFonts w:ascii="Traditional Arabic" w:hAnsi="Traditional Arabic" w:cs="Traditional Arabic"/>
          <w:b/>
          <w:bCs/>
          <w:color w:val="000000" w:themeColor="text1"/>
        </w:rPr>
        <w:t xml:space="preserve">. </w:t>
      </w:r>
    </w:p>
    <w:p w14:paraId="6AEADA93" w14:textId="33158586" w:rsidR="003B217F" w:rsidRPr="00545ABB" w:rsidRDefault="003B217F" w:rsidP="00CA047E">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وأظهرت النتائج وجود </w:t>
      </w:r>
      <w:r w:rsidRPr="00545ABB">
        <w:rPr>
          <w:rStyle w:val="Strong"/>
          <w:rFonts w:ascii="Traditional Arabic" w:hAnsi="Traditional Arabic" w:cs="Traditional Arabic"/>
          <w:color w:val="000000" w:themeColor="text1"/>
          <w:rtl/>
        </w:rPr>
        <w:t>عشرة عوامل رئيسة</w:t>
      </w:r>
      <w:r w:rsidRPr="00545ABB">
        <w:rPr>
          <w:rFonts w:ascii="Traditional Arabic" w:hAnsi="Traditional Arabic" w:cs="Traditional Arabic"/>
          <w:b/>
          <w:bCs/>
          <w:color w:val="000000" w:themeColor="text1"/>
          <w:rtl/>
        </w:rPr>
        <w:t xml:space="preserve"> تؤثر في استدامة الشركات الناشئة بدرجات ومستويات مختلفة. كما تبين أن موقع المنتج أو الخدمة في السوق يمثل أحد العوامل الرئيسة في استدامة الشركة، ويمكن دعمه من خلال الشراكات والموارد والبيئة الصناعية والسوقية، في حين يمكن للعوامل التنظيمية والسياسية أن تؤثر بصورة غير مباشرة في الاستدامة من خلال تأثيرها في بيئة ريادة الأعمال</w:t>
      </w:r>
      <w:r w:rsidRPr="00545ABB">
        <w:rPr>
          <w:rFonts w:ascii="Traditional Arabic" w:hAnsi="Traditional Arabic" w:cs="Traditional Arabic"/>
          <w:b/>
          <w:bCs/>
          <w:color w:val="000000" w:themeColor="text1"/>
        </w:rPr>
        <w:t xml:space="preserve">. </w:t>
      </w:r>
    </w:p>
    <w:p w14:paraId="4ED01A5C"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وتعد هذه الدراسة من أكثر الدراسات ارتباطًا بموضوع البحث الحالي، لكونها أجريت في المملكة العربية السعودية وتناولت استدامة الشركات الناشئة بصورة مباشرة. ومع ذلك، لم تركز الدراسة على أثر الحوكمة الفعالة بوصفها متغيرًا رئيسًا، كما لم تختص بشركات الأمن السيبراني الناشئة</w:t>
      </w:r>
      <w:r w:rsidRPr="00545ABB">
        <w:rPr>
          <w:rFonts w:ascii="Traditional Arabic" w:hAnsi="Traditional Arabic" w:cs="Traditional Arabic"/>
          <w:b/>
          <w:bCs/>
          <w:color w:val="000000" w:themeColor="text1"/>
        </w:rPr>
        <w:t>.</w:t>
      </w:r>
    </w:p>
    <w:p w14:paraId="20901710" w14:textId="77777777" w:rsidR="003B217F" w:rsidRPr="00545ABB" w:rsidRDefault="003B217F" w:rsidP="003B217F">
      <w:pPr>
        <w:pStyle w:val="Heading4"/>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الدراسة الرابعة: بوساحة، محمد لخضر وآخرون</w:t>
      </w:r>
    </w:p>
    <w:p w14:paraId="52D179E8"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عنوان الدراسة الوارد في المسودة</w:t>
      </w:r>
      <w:r w:rsidRPr="00545ABB">
        <w:rPr>
          <w:rStyle w:val="Strong"/>
          <w:rFonts w:ascii="Traditional Arabic" w:hAnsi="Traditional Arabic" w:cs="Traditional Arabic"/>
          <w:color w:val="000000" w:themeColor="text1"/>
        </w:rPr>
        <w:t>:</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المؤسسات الناشئة واقتصاد المعرفة كتوجه حديث لريادة الأعمال</w:t>
      </w:r>
      <w:r w:rsidRPr="00545ABB">
        <w:rPr>
          <w:rFonts w:ascii="Traditional Arabic" w:hAnsi="Traditional Arabic" w:cs="Traditional Arabic"/>
          <w:b/>
          <w:bCs/>
          <w:color w:val="000000" w:themeColor="text1"/>
        </w:rPr>
        <w:t>.</w:t>
      </w:r>
    </w:p>
    <w:p w14:paraId="5F77D040" w14:textId="77777777" w:rsidR="003B217F" w:rsidRPr="00545ABB" w:rsidRDefault="003B217F" w:rsidP="003B217F">
      <w:pPr>
        <w:pStyle w:val="Heading3"/>
        <w:bidi/>
        <w:spacing w:line="360" w:lineRule="auto"/>
        <w:rPr>
          <w:rFonts w:ascii="Traditional Arabic" w:hAnsi="Traditional Arabic" w:cs="Traditional Arabic"/>
          <w:b/>
          <w:bCs/>
          <w:color w:val="000000" w:themeColor="text1"/>
        </w:rPr>
      </w:pPr>
      <w:bookmarkStart w:id="94" w:name="_Toc242325254"/>
      <w:r w:rsidRPr="00545ABB">
        <w:rPr>
          <w:rFonts w:ascii="Traditional Arabic" w:hAnsi="Traditional Arabic" w:cs="Traditional Arabic"/>
          <w:b/>
          <w:bCs/>
          <w:color w:val="000000" w:themeColor="text1"/>
          <w:rtl/>
        </w:rPr>
        <w:lastRenderedPageBreak/>
        <w:t>ثالثًا: الدراسات المرتبطة بنجاح الشركات الناشئة</w:t>
      </w:r>
      <w:bookmarkEnd w:id="94"/>
    </w:p>
    <w:p w14:paraId="127D1DCB" w14:textId="77777777" w:rsidR="003B217F" w:rsidRPr="00545ABB" w:rsidRDefault="003B217F" w:rsidP="003B217F">
      <w:pPr>
        <w:pStyle w:val="Heading4"/>
        <w:bidi/>
        <w:spacing w:line="360" w:lineRule="auto"/>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 xml:space="preserve">الدراسة الخامسة: أحسن، سعيد وآخرون </w:t>
      </w:r>
      <w:r w:rsidRPr="00545ABB">
        <w:rPr>
          <w:rFonts w:ascii="Traditional Arabic" w:hAnsi="Traditional Arabic" w:cs="Traditional Arabic"/>
          <w:b/>
          <w:bCs/>
          <w:color w:val="000000" w:themeColor="text1"/>
          <w:sz w:val="28"/>
          <w:szCs w:val="28"/>
        </w:rPr>
        <w:t>(2023)</w:t>
      </w:r>
    </w:p>
    <w:p w14:paraId="64ECA67F"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عنوان الدراسة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دراسة تحليلية لأثر إصلاحات ممارسة الأعمال على الشركات الناشئة وريادة الأعمال في الصين</w:t>
      </w:r>
      <w:r w:rsidRPr="00545ABB">
        <w:rPr>
          <w:rFonts w:ascii="Traditional Arabic" w:hAnsi="Traditional Arabic" w:cs="Traditional Arabic"/>
          <w:b/>
          <w:bCs/>
          <w:color w:val="000000" w:themeColor="text1"/>
        </w:rPr>
        <w:t>.</w:t>
      </w:r>
    </w:p>
    <w:p w14:paraId="65BC475A"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تناولت الدراسة أثر الإصلاحات المرتبطة ببيئة ممارسة الأعمال في الصين في تأسيس ونمو الشركات الناشئة وريادة الأعمال، وركزت على العلاقة بين الإصلاحات التنظيمية والإدارية من جهة، وتحسين البيئة المحيطة بالشركات الناشئة من جهة أخرى</w:t>
      </w:r>
      <w:r w:rsidRPr="00545ABB">
        <w:rPr>
          <w:rFonts w:ascii="Traditional Arabic" w:hAnsi="Traditional Arabic" w:cs="Traditional Arabic"/>
          <w:b/>
          <w:bCs/>
          <w:color w:val="000000" w:themeColor="text1"/>
        </w:rPr>
        <w:t>.</w:t>
      </w:r>
    </w:p>
    <w:p w14:paraId="030A3326" w14:textId="77777777" w:rsidR="003B217F" w:rsidRPr="00545ABB" w:rsidRDefault="003B217F" w:rsidP="003B217F">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وهدفت الدراسة إلى تحليل أثر إصلاحات ممارسة الأعمال في الشركات الناشئة، وبيان دور المؤشرات المرتبطة بتأسيس الأعمال والحصول على التمويل وتقليل العوائق التنظيمية في تحسين البيئة الريادية</w:t>
      </w:r>
      <w:r w:rsidRPr="00545ABB">
        <w:rPr>
          <w:rFonts w:ascii="Traditional Arabic" w:hAnsi="Traditional Arabic" w:cs="Traditional Arabic"/>
          <w:b/>
          <w:bCs/>
          <w:color w:val="000000" w:themeColor="text1"/>
        </w:rPr>
        <w:t>.</w:t>
      </w:r>
    </w:p>
    <w:p w14:paraId="35E81599" w14:textId="36B97EB7" w:rsidR="009A7C57" w:rsidRPr="00545ABB" w:rsidRDefault="003B217F" w:rsidP="009A7C57">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وتبرز أهمية هذه الدراسة بالنسبة للدراسة الحالية في تأكيدها أن نجاح الشركات الناشئة لا يعتمد فقط على الموارد والقدرات الداخلية، بل يتأثر كذلك بجودة البيئة التنظيمية والمؤسسية التي تعمل فيها الشركة. إلا أنها تناولت البيئة الصينية ولم تركز على قطاع الأمن السيبراني أو على أثر الحوكمة الداخلية بصورة مباشرة</w:t>
      </w:r>
      <w:r w:rsidRPr="00545ABB">
        <w:rPr>
          <w:rFonts w:ascii="Traditional Arabic" w:hAnsi="Traditional Arabic" w:cs="Traditional Arabic"/>
          <w:b/>
          <w:bCs/>
          <w:color w:val="000000" w:themeColor="text1"/>
        </w:rPr>
        <w:t>.</w:t>
      </w:r>
    </w:p>
    <w:p w14:paraId="23916773" w14:textId="77777777" w:rsidR="009A7C57" w:rsidRPr="00545ABB" w:rsidRDefault="009A7C57" w:rsidP="009A7C57">
      <w:pPr>
        <w:pStyle w:val="Heading2"/>
        <w:bidi/>
        <w:rPr>
          <w:rFonts w:ascii="Traditional Arabic" w:hAnsi="Traditional Arabic" w:cs="Traditional Arabic"/>
          <w:b/>
          <w:bCs/>
          <w:color w:val="000000" w:themeColor="text1"/>
        </w:rPr>
      </w:pPr>
      <w:bookmarkStart w:id="95" w:name="_Toc242325255"/>
      <w:r w:rsidRPr="00545ABB">
        <w:rPr>
          <w:rFonts w:ascii="Traditional Arabic" w:hAnsi="Traditional Arabic" w:cs="Traditional Arabic"/>
          <w:b/>
          <w:bCs/>
          <w:color w:val="000000" w:themeColor="text1"/>
          <w:rtl/>
        </w:rPr>
        <w:t>التعقيب على الدراسات السابقة</w:t>
      </w:r>
      <w:bookmarkEnd w:id="95"/>
    </w:p>
    <w:p w14:paraId="1C3A6A97"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يتضح من خلال الاستعراض التحليلي للدراسات السابقة أن موضوعات الحوكمة، والاستدامة، ونجاح الشركات الناشئة حظيت باهتمام أكاديمي على المستويين المحلي والدولي، إلا أن هذه الدراسات اختلفت في مناهجها ومجالات تطبيقها وزوايا تناولها للموضوع، وهو ما أسهم في بناء قاعدة معرفية مهمة، وفي الوقت نفسه كشف عن عدد من الجوانب التي ما زالت بحاجة إلى مزيد من البحث</w:t>
      </w:r>
      <w:r w:rsidRPr="00545ABB">
        <w:rPr>
          <w:rFonts w:ascii="Traditional Arabic" w:hAnsi="Traditional Arabic" w:cs="Traditional Arabic"/>
          <w:b/>
          <w:bCs/>
          <w:color w:val="000000" w:themeColor="text1"/>
        </w:rPr>
        <w:t>.</w:t>
      </w:r>
    </w:p>
    <w:p w14:paraId="0817E519"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ففي محور الحوكمة، قدمت دراسة بوشامي وآخرين (2022) تحليلًا مقارنًا لنماذج حوكمة الشركات في عدد من البيئات الدولية، وأوضحت أن فاعلية نظام الحوكمة تتأثر بالسياق القانوني والاقتصادي والثقافي، وأن طبيعة هيكل الملكية ومستوى تركزها أو تشتتها يؤثران في فعالية آليات الرقابة وممارسة حقوق المساهمين. وتبرز أهمية هذه الدراسة في تأكيدها أن أنظمة الحوكمة لا يمكن تطبيقها بصورة موحدة في جميع البيئات، بل ينبغي تكييفها وفق خصائص المؤسسة والبيئة التي تعمل فيها</w:t>
      </w:r>
      <w:r w:rsidRPr="00545ABB">
        <w:rPr>
          <w:rFonts w:ascii="Traditional Arabic" w:hAnsi="Traditional Arabic" w:cs="Traditional Arabic"/>
          <w:b/>
          <w:bCs/>
          <w:color w:val="000000" w:themeColor="text1"/>
        </w:rPr>
        <w:t>.</w:t>
      </w:r>
    </w:p>
    <w:p w14:paraId="17BC9314"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السياق السعودي، تناولت دراسة عطا (2018) العلاقة بين الحوكمة واستدامة الشركات وتحقيق أهداف رؤية المملكة 2030، مع تحليل نظام الشركات السعودي الذي كان حديث الصدور في ذلك الوقت ومقارنته بالمبادئ ذات الصلة في الشريعة الإسلامية. وأظهرت الدراسة أن الحوكمة يمكن أن تسهم في تعزيز الشفافية والمسؤولية، وتحسين البيئة الاستثمارية، ودعم استدامة الشركات ونموها. وتتميز هذه الدراسة بارتباطها بالبيئة السعودية، إلا أنها تناولت الشركات بصورة عامة ولم تركز على الشركات الناشئة العاملة في قطاع الأمن السيبراني</w:t>
      </w:r>
      <w:r w:rsidRPr="00545ABB">
        <w:rPr>
          <w:rFonts w:ascii="Traditional Arabic" w:hAnsi="Traditional Arabic" w:cs="Traditional Arabic"/>
          <w:b/>
          <w:bCs/>
          <w:color w:val="000000" w:themeColor="text1"/>
        </w:rPr>
        <w:t>.</w:t>
      </w:r>
    </w:p>
    <w:p w14:paraId="38631313"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وفيما يتعلق بمحور الاستدامة، قدمت دراسة</w:t>
      </w:r>
      <w:r w:rsidRPr="00545ABB">
        <w:rPr>
          <w:rFonts w:ascii="Traditional Arabic" w:hAnsi="Traditional Arabic" w:cs="Traditional Arabic"/>
          <w:b/>
          <w:bCs/>
          <w:color w:val="000000" w:themeColor="text1"/>
        </w:rPr>
        <w:t xml:space="preserve"> Alqahtani (2022) </w:t>
      </w:r>
      <w:r w:rsidRPr="00545ABB">
        <w:rPr>
          <w:rFonts w:ascii="Traditional Arabic" w:hAnsi="Traditional Arabic" w:cs="Traditional Arabic"/>
          <w:b/>
          <w:bCs/>
          <w:color w:val="000000" w:themeColor="text1"/>
          <w:rtl/>
        </w:rPr>
        <w:t>إسهامًا مباشرًا في تحليل استدامة الشركات الناشئة في المملكة العربية السعودية، من خلال تحديد مجموعة من العوامل المؤثرة فيها وتحليل العلاقات بينها باستخدام منهجية النمذجة الهيكلية التفسيرية</w:t>
      </w:r>
      <w:r w:rsidRPr="00545ABB">
        <w:rPr>
          <w:rFonts w:ascii="Traditional Arabic" w:hAnsi="Traditional Arabic" w:cs="Traditional Arabic"/>
          <w:b/>
          <w:bCs/>
          <w:color w:val="000000" w:themeColor="text1"/>
        </w:rPr>
        <w:t xml:space="preserve"> (ISM). </w:t>
      </w:r>
      <w:r w:rsidRPr="00545ABB">
        <w:rPr>
          <w:rFonts w:ascii="Traditional Arabic" w:hAnsi="Traditional Arabic" w:cs="Traditional Arabic"/>
          <w:b/>
          <w:bCs/>
          <w:color w:val="000000" w:themeColor="text1"/>
          <w:rtl/>
        </w:rPr>
        <w:t>وأظهرت الدراسة أن استدامة الشركات الناشئة تتأثر بعوامل متعددة تتعلق بالسوق، والموارد، والشراكات، والبيئة التنظيمية والسياسية، بما يؤكد أن الاستدامة لا تعتمد على عامل واحد، وإنما على منظومة مترابطة من العوامل الداخلية والخارجية</w:t>
      </w:r>
      <w:r w:rsidRPr="00545ABB">
        <w:rPr>
          <w:rFonts w:ascii="Traditional Arabic" w:hAnsi="Traditional Arabic" w:cs="Traditional Arabic"/>
          <w:b/>
          <w:bCs/>
          <w:color w:val="000000" w:themeColor="text1"/>
        </w:rPr>
        <w:t>.</w:t>
      </w:r>
    </w:p>
    <w:p w14:paraId="4BDF8B34"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وتكتسب دراسة</w:t>
      </w:r>
      <w:r w:rsidRPr="00545ABB">
        <w:rPr>
          <w:rFonts w:ascii="Traditional Arabic" w:hAnsi="Traditional Arabic" w:cs="Traditional Arabic"/>
          <w:b/>
          <w:bCs/>
          <w:color w:val="000000" w:themeColor="text1"/>
        </w:rPr>
        <w:t xml:space="preserve"> Alqahtani (2022) </w:t>
      </w:r>
      <w:r w:rsidRPr="00545ABB">
        <w:rPr>
          <w:rFonts w:ascii="Traditional Arabic" w:hAnsi="Traditional Arabic" w:cs="Traditional Arabic"/>
          <w:b/>
          <w:bCs/>
          <w:color w:val="000000" w:themeColor="text1"/>
          <w:rtl/>
        </w:rPr>
        <w:t>أهمية خاصة بالنسبة للدراسة الحالية؛ لكونها تناولت الشركات الناشئة في البيئة السعودية بصورة مباشرة، إلا أن تركيزها كان على عوامل الاستدامة بصورة عامة، ولم تتناول الحوكمة الفعالة باعتبارها متغيرًا رئيسًا، كما لم تركز على شركات الأمن السيبراني بوصفها قطاعًا متخصصًا له خصائصه التنظيمية والتقنية والمخاطر الخاصة به</w:t>
      </w:r>
      <w:r w:rsidRPr="00545ABB">
        <w:rPr>
          <w:rFonts w:ascii="Traditional Arabic" w:hAnsi="Traditional Arabic" w:cs="Traditional Arabic"/>
          <w:b/>
          <w:bCs/>
          <w:color w:val="000000" w:themeColor="text1"/>
        </w:rPr>
        <w:t>.</w:t>
      </w:r>
    </w:p>
    <w:p w14:paraId="59EC38C9"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أما الدراسة الواردة في المسودة تحت اسم بوساحة وآخرين، والمتعلقة بالمؤسسات الناشئة واقتصاد المعرفة، فإنها تقدم منظورًا يرتبط ببيئة ريادة الأعمال ودعم المؤسسات الناشئة، إلا أن بياناتها وملخصها تحتاج إلى مراجعة من المصدر الأصلي قبل اعتمادها بصورتها النهائية، وذلك لضمان التطابق بين عنوان الدراسة ومضمونها ونتائجها</w:t>
      </w:r>
      <w:r w:rsidRPr="00545ABB">
        <w:rPr>
          <w:rFonts w:ascii="Traditional Arabic" w:hAnsi="Traditional Arabic" w:cs="Traditional Arabic"/>
          <w:b/>
          <w:bCs/>
          <w:color w:val="000000" w:themeColor="text1"/>
        </w:rPr>
        <w:t>.</w:t>
      </w:r>
    </w:p>
    <w:p w14:paraId="564B4A44"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محور نجاح الشركات الناشئة، تناولت دراسة أحسن وآخرين (2023) أثر الإصلاحات المرتبطة ببيئة ممارسة الأعمال في الصين على الشركات الناشئة وريادة الأعمال، وأبرزت أهمية البيئة التنظيمية والإدارية في تسهيل تأسيس الشركات وتحسين فرص نموها ومنافستها. وتفيد هذه الدراسة في تأكيد أن نجاح الشركات الناشئة لا يتحدد فقط بقدراتها الداخلية، وإنما يتأثر كذلك بجودة البيئة النظامية والمؤسسية المحيطة بها</w:t>
      </w:r>
      <w:r w:rsidRPr="00545ABB">
        <w:rPr>
          <w:rFonts w:ascii="Traditional Arabic" w:hAnsi="Traditional Arabic" w:cs="Traditional Arabic"/>
          <w:b/>
          <w:bCs/>
          <w:color w:val="000000" w:themeColor="text1"/>
        </w:rPr>
        <w:t>.</w:t>
      </w:r>
    </w:p>
    <w:p w14:paraId="216CE4FA"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وبصفة عامة، يتضح أن الدراسات السابقة قد تناولت مجموعة من العوامل المهمة المرتبطة بالحوكمة والاستدامة ونجاح الشركات الناشئة، وأسهمت في توضيح أهمية البيئة التنظيمية، وإدارة الموارد، والشفافية، والمساءلة، والاستثمار، والقدرة على التكيف مع متغيرات السوق. إلا أن معظم هذه الدراسات تناولت المتغيرات بصورة منفصلة أو طبقتها على شركات عامة وقطاعات مختلفة، ولم تجمع بصورة مباشرة بين </w:t>
      </w:r>
      <w:r w:rsidRPr="00545ABB">
        <w:rPr>
          <w:rStyle w:val="Strong"/>
          <w:rFonts w:ascii="Traditional Arabic" w:hAnsi="Traditional Arabic" w:cs="Traditional Arabic"/>
          <w:color w:val="000000" w:themeColor="text1"/>
          <w:rtl/>
        </w:rPr>
        <w:t>الحوكمة الفعالة واستدامة ونجاح 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69990F3A"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يتضح محدودية الدراسات التي تناولت طبيعة الحوكمة المطلوبة في شركات الأمن السيبراني الناشئة، على الرغم من الخصائص التي تميز هذا القطاع، مثل الاعتماد المرتفع على الكفاءات المتخصصة والتقنيات الحديثة، وحساسية البيانات والأنظمة التي يتم التعامل معها، وسرعة تغير التهديدات السيبرانية، وتعدد المتطلبات التنظيمية والفنية</w:t>
      </w:r>
      <w:r w:rsidRPr="00545ABB">
        <w:rPr>
          <w:rFonts w:ascii="Traditional Arabic" w:hAnsi="Traditional Arabic" w:cs="Traditional Arabic"/>
          <w:b/>
          <w:bCs/>
          <w:color w:val="000000" w:themeColor="text1"/>
        </w:rPr>
        <w:t>.</w:t>
      </w:r>
    </w:p>
    <w:p w14:paraId="2FEA1E0E"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ثم، أسهمت الدراسات السابقة في بناء الأساس النظري للدراسة الحالية وتحديد المتغيرات والأبعاد المرتبطة بها، في حين تسعى الدراسة الحالية إلى توسيع هذا التراكم المعرفي من خلال دراسة العلاقة بين الحوكمة الفعالة من جهة، واستدامة ونجاح شركات الأمن السيبراني الناشئة في البيئة السعودية من جهة أخرى</w:t>
      </w:r>
      <w:r w:rsidRPr="00545ABB">
        <w:rPr>
          <w:rFonts w:ascii="Traditional Arabic" w:hAnsi="Traditional Arabic" w:cs="Traditional Arabic"/>
          <w:b/>
          <w:bCs/>
          <w:color w:val="000000" w:themeColor="text1"/>
        </w:rPr>
        <w:t>.</w:t>
      </w:r>
    </w:p>
    <w:p w14:paraId="438FCDD6" w14:textId="77777777" w:rsidR="009A7C57" w:rsidRPr="00545ABB" w:rsidRDefault="009A7C57" w:rsidP="009A7C57">
      <w:pPr>
        <w:pStyle w:val="Heading2"/>
        <w:bidi/>
        <w:rPr>
          <w:rFonts w:ascii="Traditional Arabic" w:hAnsi="Traditional Arabic" w:cs="Traditional Arabic"/>
          <w:b/>
          <w:bCs/>
          <w:color w:val="000000" w:themeColor="text1"/>
        </w:rPr>
      </w:pPr>
      <w:bookmarkStart w:id="96" w:name="_Toc242325256"/>
      <w:r w:rsidRPr="00545ABB">
        <w:rPr>
          <w:rFonts w:ascii="Traditional Arabic" w:hAnsi="Traditional Arabic" w:cs="Traditional Arabic"/>
          <w:b/>
          <w:bCs/>
          <w:color w:val="000000" w:themeColor="text1"/>
          <w:rtl/>
        </w:rPr>
        <w:t>الفجوة البحثية</w:t>
      </w:r>
      <w:bookmarkEnd w:id="96"/>
    </w:p>
    <w:p w14:paraId="7ED860E8"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استنادًا إلى مراجعة الأدبيات والدراسات السابقة، يتضح وجود فجوة بحثية تتمثل في محدودية الدراسات التي تناولت بصورة متكاملة أثر الحوكمة الفعالة في استدامة ونجاح 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4E0AA023"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فعلى الرغم من وجود دراسات تناولت الحوكمة وأثرها في الشركات، ودراسات أخرى تناولت استدامة الشركات الناشئة والعوامل التي تؤثر في نجاحها، فإن الربط بين هذه المتغيرات في </w:t>
      </w:r>
      <w:r w:rsidRPr="00545ABB">
        <w:rPr>
          <w:rStyle w:val="Strong"/>
          <w:rFonts w:ascii="Traditional Arabic" w:hAnsi="Traditional Arabic" w:cs="Traditional Arabic"/>
          <w:color w:val="000000" w:themeColor="text1"/>
          <w:rtl/>
        </w:rPr>
        <w:t>قطاع الأمن السيبراني السعودي الناشئ</w:t>
      </w:r>
      <w:r w:rsidRPr="00545ABB">
        <w:rPr>
          <w:rFonts w:ascii="Traditional Arabic" w:hAnsi="Traditional Arabic" w:cs="Traditional Arabic"/>
          <w:b/>
          <w:bCs/>
          <w:color w:val="000000" w:themeColor="text1"/>
          <w:rtl/>
        </w:rPr>
        <w:t xml:space="preserve"> ما زال محدودًا. ومن هنا تسعى الدراسة الحالية إلى معالجة عدد من الجوانب التي لم تحظَ بقدر كافٍ من الاهتمام في الدراسات السابقة، وتتمثل فيما يلي</w:t>
      </w:r>
      <w:r w:rsidRPr="00545ABB">
        <w:rPr>
          <w:rFonts w:ascii="Traditional Arabic" w:hAnsi="Traditional Arabic" w:cs="Traditional Arabic"/>
          <w:b/>
          <w:bCs/>
          <w:color w:val="000000" w:themeColor="text1"/>
        </w:rPr>
        <w:t>:</w:t>
      </w:r>
    </w:p>
    <w:p w14:paraId="08AE424C"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أولًا: محدودية الدراسات القطاعية المتخصصة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تركز غالبية الدراسات السابقة على حوكمة الشركات بصورة عامة، أو على الشركات الناشئة دون تمييز القطاع الذي تعمل فيه، في حين تتميز شركات الأمن السيبراني بطبيعة مختلفة من حيث المخاطر، وحساسية الخدمات والبيانات، والاعتماد على الكفاءات التقنية، والمتطلبات التنظيمية، وهو ما يستدعي دراسة الحوكمة في هذا القطاع بصورة مستقلة</w:t>
      </w:r>
      <w:r w:rsidRPr="00545ABB">
        <w:rPr>
          <w:rFonts w:ascii="Traditional Arabic" w:hAnsi="Traditional Arabic" w:cs="Traditional Arabic"/>
          <w:b/>
          <w:bCs/>
          <w:color w:val="000000" w:themeColor="text1"/>
        </w:rPr>
        <w:t>.</w:t>
      </w:r>
    </w:p>
    <w:p w14:paraId="20322073"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ثانيًا: محدودية الدراسات التي تربط الحوكمة بالاستدامة والنجاح ضمن إطار واحد</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تناولت بعض الدراسات الحوكمة، بينما ركزت دراسات أخرى على الاستدامة أو نجاح الشركات الناشئة. إلا أن الدراسات التي تبحث أثر الحوكمة بصورة مباشرة في كل من استدامة الشركة ونجاحها ضمن نموذج تحليلي متكامل ما زالت محدودة، خاصة في البيئة السعودية</w:t>
      </w:r>
      <w:r w:rsidRPr="00545ABB">
        <w:rPr>
          <w:rFonts w:ascii="Traditional Arabic" w:hAnsi="Traditional Arabic" w:cs="Traditional Arabic"/>
          <w:b/>
          <w:bCs/>
          <w:color w:val="000000" w:themeColor="text1"/>
        </w:rPr>
        <w:t>.</w:t>
      </w:r>
    </w:p>
    <w:p w14:paraId="3E139027"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ثالثًا: الحاجة إلى دراسة الحوكمة في البيئة السعودية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تعمل شركات الأمن السيبراني في المملكة ضمن بيئة تشهد تطورًا سريعًا في التشريعات والأطر التنظيمية ومتطلبات الأمن السيبراني، إلى جانب التحولات الاقتصادية المرتبطة برؤية المملكة 2030. ومن ثم، فإن نتائج الدراسات الدولية لا يمكن بالضرورة نقلها بصورة مباشرة إلى البيئة السعودية دون دراسة خصائصها التنظيمية والاقتصادية</w:t>
      </w:r>
      <w:r w:rsidRPr="00545ABB">
        <w:rPr>
          <w:rFonts w:ascii="Traditional Arabic" w:hAnsi="Traditional Arabic" w:cs="Traditional Arabic"/>
          <w:b/>
          <w:bCs/>
          <w:color w:val="000000" w:themeColor="text1"/>
        </w:rPr>
        <w:t>.</w:t>
      </w:r>
    </w:p>
    <w:p w14:paraId="0F8E00BD"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رابعًا: الحاجة إلى تحديد الممارسات الأكثر ارتباطًا باستدامة شركات الأمن السيبراني الناشئة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ما زالت هناك حاجة إلى فهم أعمق لدور ممارسات الحوكمة، مثل وضوح المسؤوليات والصلاحيات، والشفافية، والمساءلة، وإدارة المخاطر، والرقابة، وتنظيم العلاقة بين المؤسسين والمستثمرين وأصحاب المصالح، في دعم قدرة شركات الأمن السيبراني الناشئة على الاستمرار والنمو</w:t>
      </w:r>
      <w:r w:rsidRPr="00545ABB">
        <w:rPr>
          <w:rFonts w:ascii="Traditional Arabic" w:hAnsi="Traditional Arabic" w:cs="Traditional Arabic"/>
          <w:b/>
          <w:bCs/>
          <w:color w:val="000000" w:themeColor="text1"/>
        </w:rPr>
        <w:t>.</w:t>
      </w:r>
    </w:p>
    <w:p w14:paraId="55BEFA99"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خامسًا: محدودية الأدلة التطبيقية المتعلقة بالشركات الناشئة في قطاع الأمن السيبراني</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على الرغم من الأهمية المتزايدة لقطاع الأمن السيبراني في المملكة، فإن الدراسات التطبيقية التي تستطلع واقع شركات الأمن السيبراني الناشئة وتربط ممارسات الحوكمة بنتائجها المؤسسية ما زالت محدودة مقارنة بالدراسات المتعلقة بالشركات العامة أو القطاعات التقليدية</w:t>
      </w:r>
      <w:r w:rsidRPr="00545ABB">
        <w:rPr>
          <w:rFonts w:ascii="Traditional Arabic" w:hAnsi="Traditional Arabic" w:cs="Traditional Arabic"/>
          <w:b/>
          <w:bCs/>
          <w:color w:val="000000" w:themeColor="text1"/>
        </w:rPr>
        <w:t>.</w:t>
      </w:r>
    </w:p>
    <w:p w14:paraId="1AA0924E"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sz w:val="28"/>
          <w:szCs w:val="28"/>
          <w:rtl/>
        </w:rPr>
        <w:t>سادسًا: الحاجة إلى مواءمة الحوكمة مع طبيعة الشركات الناشئة</w:t>
      </w:r>
      <w:r w:rsidRPr="00545ABB">
        <w:rPr>
          <w:rStyle w:val="Strong"/>
          <w:rFonts w:ascii="Traditional Arabic" w:hAnsi="Traditional Arabic" w:cs="Traditional Arabic"/>
          <w:color w:val="000000" w:themeColor="text1"/>
          <w:sz w:val="28"/>
          <w:szCs w:val="28"/>
        </w:rPr>
        <w:t>:</w:t>
      </w:r>
      <w:r w:rsidRPr="00545ABB">
        <w:rPr>
          <w:rFonts w:ascii="Traditional Arabic" w:hAnsi="Traditional Arabic" w:cs="Traditional Arabic"/>
          <w:b/>
          <w:bCs/>
          <w:color w:val="000000" w:themeColor="text1"/>
        </w:rPr>
        <w:br/>
      </w:r>
      <w:r w:rsidRPr="00545ABB">
        <w:rPr>
          <w:rFonts w:ascii="Traditional Arabic" w:hAnsi="Traditional Arabic" w:cs="Traditional Arabic"/>
          <w:b/>
          <w:bCs/>
          <w:color w:val="000000" w:themeColor="text1"/>
          <w:rtl/>
        </w:rPr>
        <w:t>تختلف الشركات الناشئة عن الشركات الكبيرة من حيث الحجم، والموارد، وسرعة اتخاذ القرار، وتركز الملكية والإدارة، ومراحل النمو. ومن ثم، فإن تطبيق نماذج الحوكمة التقليدية بصورة كاملة قد لا يتناسب معها، وهو ما يبرز الحاجة إلى فهم مستوى الحوكمة الملائم الذي يحقق التوازن بين الرقابة والانضباط المؤسسي من جهة، والمرونة والابتكار وسرعة النمو من جهة أخرى</w:t>
      </w:r>
      <w:r w:rsidRPr="00545ABB">
        <w:rPr>
          <w:rFonts w:ascii="Traditional Arabic" w:hAnsi="Traditional Arabic" w:cs="Traditional Arabic"/>
          <w:b/>
          <w:bCs/>
          <w:color w:val="000000" w:themeColor="text1"/>
        </w:rPr>
        <w:t>.</w:t>
      </w:r>
    </w:p>
    <w:p w14:paraId="1D198232"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وبناءً على ذلك، تتمثل الفجوة الرئيسة التي تعالجها الدراسة الحالية في </w:t>
      </w:r>
      <w:r w:rsidRPr="00545ABB">
        <w:rPr>
          <w:rStyle w:val="Strong"/>
          <w:rFonts w:ascii="Traditional Arabic" w:hAnsi="Traditional Arabic" w:cs="Traditional Arabic"/>
          <w:color w:val="000000" w:themeColor="text1"/>
          <w:rtl/>
        </w:rPr>
        <w:t>الحاجة إلى دراسة أثر الحوكمة الفعالة في استدامة ونجاح شركات الأمن السيبراني الناشئة في المملكة العربية السعودية ضمن إطار يتلاءم مع طبيعة هذه الشركات والبيئة التنظيمية والاقتصادية التي تعمل فيها</w:t>
      </w:r>
      <w:r w:rsidRPr="00545ABB">
        <w:rPr>
          <w:rFonts w:ascii="Traditional Arabic" w:hAnsi="Traditional Arabic" w:cs="Traditional Arabic"/>
          <w:b/>
          <w:bCs/>
          <w:color w:val="000000" w:themeColor="text1"/>
        </w:rPr>
        <w:t>.</w:t>
      </w:r>
    </w:p>
    <w:p w14:paraId="76A4730E" w14:textId="77777777" w:rsidR="009A7C57" w:rsidRPr="00545ABB" w:rsidRDefault="009A7C57" w:rsidP="009A7C5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وتسعى الدراسة من خلال ذلك إلى تقديم نتائج يمكن أن تسهم في تعزيز الفهم الأكاديمي للعلاقة بين الحوكمة والاستدامة والنجاح في هذا القطاع، إلى جانب توفير مؤشرات عملية يمكن أن يستفيد منها مؤسسو شركات الأمن السيبراني الناشئة، والإدارات التنفيذية، والمستثمرون، والجهات الداعمة والمنظمة للقطاع</w:t>
      </w:r>
      <w:r w:rsidRPr="00545ABB">
        <w:rPr>
          <w:rFonts w:ascii="Traditional Arabic" w:hAnsi="Traditional Arabic" w:cs="Traditional Arabic"/>
          <w:b/>
          <w:bCs/>
          <w:color w:val="000000" w:themeColor="text1"/>
        </w:rPr>
        <w:t>.</w:t>
      </w:r>
    </w:p>
    <w:p w14:paraId="0500A3B6" w14:textId="77777777" w:rsidR="003B217F" w:rsidRPr="00545ABB" w:rsidRDefault="003B217F" w:rsidP="00E11695">
      <w:pPr>
        <w:pStyle w:val="Heading2"/>
        <w:bidi/>
        <w:rPr>
          <w:rFonts w:ascii="Traditional Arabic" w:eastAsia="Times New Roman" w:hAnsi="Traditional Arabic" w:cs="Traditional Arabic"/>
          <w:color w:val="000000" w:themeColor="text1"/>
          <w:rtl/>
        </w:rPr>
      </w:pPr>
    </w:p>
    <w:p w14:paraId="35C1792A" w14:textId="77777777" w:rsidR="00B713AE" w:rsidRPr="00545ABB" w:rsidRDefault="00B713AE" w:rsidP="00B713AE">
      <w:pPr>
        <w:pStyle w:val="Heading2"/>
        <w:bidi/>
        <w:rPr>
          <w:rFonts w:ascii="Traditional Arabic" w:hAnsi="Traditional Arabic" w:cs="Traditional Arabic"/>
          <w:b/>
          <w:bCs/>
          <w:color w:val="000000" w:themeColor="text1"/>
        </w:rPr>
      </w:pPr>
      <w:bookmarkStart w:id="97" w:name="_Toc242325257"/>
      <w:r w:rsidRPr="00545ABB">
        <w:rPr>
          <w:rFonts w:ascii="Traditional Arabic" w:hAnsi="Traditional Arabic" w:cs="Traditional Arabic"/>
          <w:b/>
          <w:bCs/>
          <w:color w:val="000000" w:themeColor="text1"/>
          <w:rtl/>
        </w:rPr>
        <w:t>الإضافة البحثية</w:t>
      </w:r>
      <w:bookmarkEnd w:id="97"/>
    </w:p>
    <w:p w14:paraId="5A520424"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تسعى الدراسة الحالية إلى تقديم إضافة علمية وتطبيقية في مجال الحوكمة واستدامة ونجاح الشركات الناشئة، من خلال التركيز على </w:t>
      </w:r>
      <w:r w:rsidRPr="00545ABB">
        <w:rPr>
          <w:rStyle w:val="Strong"/>
          <w:rFonts w:ascii="Traditional Arabic" w:hAnsi="Traditional Arabic" w:cs="Traditional Arabic"/>
          <w:color w:val="000000" w:themeColor="text1"/>
          <w:rtl/>
        </w:rPr>
        <w:t>شركات الأمن السيبراني الناشئة في المملكة العربية السعودية</w:t>
      </w:r>
      <w:r w:rsidRPr="00545ABB">
        <w:rPr>
          <w:rFonts w:ascii="Traditional Arabic" w:hAnsi="Traditional Arabic" w:cs="Traditional Arabic"/>
          <w:b/>
          <w:bCs/>
          <w:color w:val="000000" w:themeColor="text1"/>
          <w:rtl/>
        </w:rPr>
        <w:t xml:space="preserve"> بوصفها قطاعًا متخصصًا يتسم بارتفاع مستوى الاعتماد على المعرفة والتقنية، وسرعة تغير المخاطر، والحاجة المستمرة إلى الابتكار والامتثال وبناء الثقة</w:t>
      </w:r>
      <w:r w:rsidRPr="00545ABB">
        <w:rPr>
          <w:rFonts w:ascii="Traditional Arabic" w:hAnsi="Traditional Arabic" w:cs="Traditional Arabic"/>
          <w:b/>
          <w:bCs/>
          <w:color w:val="000000" w:themeColor="text1"/>
        </w:rPr>
        <w:t>.</w:t>
      </w:r>
    </w:p>
    <w:p w14:paraId="1775C8A6" w14:textId="77777777" w:rsidR="00B713AE" w:rsidRPr="00545ABB" w:rsidRDefault="00B713AE" w:rsidP="00B713AE">
      <w:pPr>
        <w:pStyle w:val="NormalWeb"/>
        <w:bidi/>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وتتمثل الإضافة البحثية للدراسة في عدد من الجوانب الرئيسة على النحو الآتي</w:t>
      </w:r>
      <w:r w:rsidRPr="00545ABB">
        <w:rPr>
          <w:rFonts w:ascii="Traditional Arabic" w:hAnsi="Traditional Arabic" w:cs="Traditional Arabic"/>
          <w:b/>
          <w:bCs/>
          <w:color w:val="000000" w:themeColor="text1"/>
          <w:sz w:val="28"/>
          <w:szCs w:val="28"/>
        </w:rPr>
        <w:t>:</w:t>
      </w:r>
    </w:p>
    <w:p w14:paraId="1C9F4D8A" w14:textId="75997C64" w:rsidR="00B713AE" w:rsidRPr="00545ABB" w:rsidRDefault="00B713AE" w:rsidP="00B713AE">
      <w:pPr>
        <w:pStyle w:val="Heading3"/>
        <w:bidi/>
        <w:rPr>
          <w:rFonts w:ascii="Traditional Arabic" w:hAnsi="Traditional Arabic" w:cs="Traditional Arabic"/>
          <w:b/>
          <w:bCs/>
          <w:color w:val="000000" w:themeColor="text1"/>
        </w:rPr>
      </w:pPr>
      <w:bookmarkStart w:id="98" w:name="_Toc242325258"/>
      <w:r w:rsidRPr="00545ABB">
        <w:rPr>
          <w:rFonts w:ascii="Traditional Arabic" w:hAnsi="Traditional Arabic" w:cs="Traditional Arabic" w:hint="cs"/>
          <w:b/>
          <w:bCs/>
          <w:color w:val="000000" w:themeColor="text1"/>
          <w:rtl/>
        </w:rPr>
        <w:t xml:space="preserve">1- </w:t>
      </w:r>
      <w:r w:rsidRPr="00545ABB">
        <w:rPr>
          <w:rFonts w:ascii="Traditional Arabic" w:hAnsi="Traditional Arabic" w:cs="Traditional Arabic"/>
          <w:b/>
          <w:bCs/>
          <w:color w:val="000000" w:themeColor="text1"/>
          <w:rtl/>
        </w:rPr>
        <w:t>تقديم إطار تطبيقي لقياس الحوكمة الفعالة في شركات الأمن السيبراني الناشئة</w:t>
      </w:r>
      <w:bookmarkEnd w:id="98"/>
    </w:p>
    <w:p w14:paraId="266E7AAE"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تقدم الدراسة إطارًا لقياس مستوى تطبيق الحوكمة الفعالة في شركات الأمن السيبراني الناشئة من خلال خمسة أبعاد مترابطة تمثل المتغير المستقل في نموذج الدراسة، وهي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الشفافية والإفصاح، والمساءلة والمسؤولية، والمشاركة في اتخاذ القرار، وإدارة المخاطر والالتزام، والكفاءة في استخدام الموارد</w:t>
      </w:r>
      <w:r w:rsidRPr="00545ABB">
        <w:rPr>
          <w:rFonts w:ascii="Traditional Arabic" w:hAnsi="Traditional Arabic" w:cs="Traditional Arabic"/>
          <w:b/>
          <w:bCs/>
          <w:color w:val="000000" w:themeColor="text1"/>
        </w:rPr>
        <w:t>.</w:t>
      </w:r>
    </w:p>
    <w:p w14:paraId="77652CFD" w14:textId="64F01725" w:rsidR="00B713AE" w:rsidRPr="00545ABB" w:rsidRDefault="00B713AE" w:rsidP="00EB6454">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تم قياس هذه الأبعاد من خلال (25) عبارة، بواقع خمس عبارات لكل بعد، ضمن أداة الدراسة، بما يسمح بتقييم ممارسات الحوكمة بصورة متعددة الأبعاد تتناسب مع طبيعة الشركات الناشئة العاملة في مجال الأمن السيبراني</w:t>
      </w:r>
      <w:r w:rsidRPr="00545ABB">
        <w:rPr>
          <w:rFonts w:ascii="Traditional Arabic" w:hAnsi="Traditional Arabic" w:cs="Traditional Arabic"/>
          <w:b/>
          <w:bCs/>
          <w:color w:val="000000" w:themeColor="text1"/>
        </w:rPr>
        <w:t xml:space="preserve">. </w:t>
      </w:r>
    </w:p>
    <w:p w14:paraId="7F7BE68F" w14:textId="77777777" w:rsidR="00B713AE" w:rsidRPr="00545ABB" w:rsidRDefault="00B713AE" w:rsidP="00B713AE">
      <w:pPr>
        <w:pStyle w:val="Heading3"/>
        <w:bidi/>
        <w:rPr>
          <w:rFonts w:ascii="Traditional Arabic" w:hAnsi="Traditional Arabic" w:cs="Traditional Arabic"/>
          <w:b/>
          <w:bCs/>
          <w:color w:val="000000" w:themeColor="text1"/>
          <w:sz w:val="24"/>
          <w:szCs w:val="24"/>
        </w:rPr>
      </w:pPr>
      <w:bookmarkStart w:id="99" w:name="_Toc242325259"/>
      <w:r w:rsidRPr="00545ABB">
        <w:rPr>
          <w:rFonts w:ascii="Traditional Arabic" w:hAnsi="Traditional Arabic" w:cs="Traditional Arabic"/>
          <w:b/>
          <w:bCs/>
          <w:color w:val="000000" w:themeColor="text1"/>
          <w:sz w:val="24"/>
          <w:szCs w:val="24"/>
          <w:rtl/>
        </w:rPr>
        <w:t xml:space="preserve">جدول رقم </w:t>
      </w:r>
      <w:r w:rsidRPr="00545ABB">
        <w:rPr>
          <w:rFonts w:ascii="Traditional Arabic" w:hAnsi="Traditional Arabic" w:cs="Traditional Arabic"/>
          <w:b/>
          <w:bCs/>
          <w:color w:val="000000" w:themeColor="text1"/>
          <w:sz w:val="24"/>
          <w:szCs w:val="24"/>
        </w:rPr>
        <w:t>(2-4)</w:t>
      </w:r>
      <w:bookmarkEnd w:id="99"/>
    </w:p>
    <w:p w14:paraId="4F48F781"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أبعاد الحوكمة الفعالة المعتمدة في الدراسة</w:t>
      </w:r>
    </w:p>
    <w:tbl>
      <w:tblPr>
        <w:tblStyle w:val="TableGrid"/>
        <w:bidiVisual/>
        <w:tblW w:w="0" w:type="auto"/>
        <w:tblLook w:val="04A0" w:firstRow="1" w:lastRow="0" w:firstColumn="1" w:lastColumn="0" w:noHBand="0" w:noVBand="1"/>
      </w:tblPr>
      <w:tblGrid>
        <w:gridCol w:w="1924"/>
        <w:gridCol w:w="6843"/>
      </w:tblGrid>
      <w:tr w:rsidR="00B713AE" w:rsidRPr="00545ABB" w14:paraId="31889DAF" w14:textId="77777777" w:rsidTr="00B713AE">
        <w:tc>
          <w:tcPr>
            <w:tcW w:w="0" w:type="auto"/>
            <w:shd w:val="clear" w:color="auto" w:fill="F2F2F2" w:themeFill="background1" w:themeFillShade="F2"/>
            <w:hideMark/>
          </w:tcPr>
          <w:p w14:paraId="3D4BFDEF" w14:textId="77777777" w:rsidR="00B713AE" w:rsidRPr="00545ABB" w:rsidRDefault="00B713AE" w:rsidP="00B713AE">
            <w:pPr>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البعد</w:t>
            </w:r>
          </w:p>
        </w:tc>
        <w:tc>
          <w:tcPr>
            <w:tcW w:w="0" w:type="auto"/>
            <w:shd w:val="clear" w:color="auto" w:fill="F2F2F2" w:themeFill="background1" w:themeFillShade="F2"/>
            <w:hideMark/>
          </w:tcPr>
          <w:p w14:paraId="27598D25" w14:textId="77777777" w:rsidR="00B713AE" w:rsidRPr="00545ABB" w:rsidRDefault="00B713AE" w:rsidP="00B713AE">
            <w:pPr>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مجال القياس</w:t>
            </w:r>
          </w:p>
        </w:tc>
      </w:tr>
      <w:tr w:rsidR="00B713AE" w:rsidRPr="00545ABB" w14:paraId="44761162" w14:textId="77777777" w:rsidTr="00B713AE">
        <w:tc>
          <w:tcPr>
            <w:tcW w:w="0" w:type="auto"/>
            <w:hideMark/>
          </w:tcPr>
          <w:p w14:paraId="611602DC"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الشفافية والإفصاح</w:t>
            </w:r>
          </w:p>
        </w:tc>
        <w:tc>
          <w:tcPr>
            <w:tcW w:w="0" w:type="auto"/>
            <w:hideMark/>
          </w:tcPr>
          <w:p w14:paraId="2478AC48"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وضوح المعلومات والسياسات والقرارات، وإتاحة المعلومات اللازمة لأصحاب العلاقة في الوقت المناسب</w:t>
            </w:r>
            <w:r w:rsidRPr="00545ABB">
              <w:rPr>
                <w:rFonts w:ascii="Traditional Arabic" w:hAnsi="Traditional Arabic" w:cs="Traditional Arabic"/>
                <w:b/>
                <w:bCs/>
                <w:color w:val="000000" w:themeColor="text1"/>
              </w:rPr>
              <w:t>.</w:t>
            </w:r>
          </w:p>
        </w:tc>
      </w:tr>
      <w:tr w:rsidR="00B713AE" w:rsidRPr="00545ABB" w14:paraId="4586FC0B" w14:textId="77777777" w:rsidTr="00B713AE">
        <w:tc>
          <w:tcPr>
            <w:tcW w:w="0" w:type="auto"/>
            <w:hideMark/>
          </w:tcPr>
          <w:p w14:paraId="0085C488"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المساءلة والمسؤولية</w:t>
            </w:r>
          </w:p>
        </w:tc>
        <w:tc>
          <w:tcPr>
            <w:tcW w:w="0" w:type="auto"/>
            <w:hideMark/>
          </w:tcPr>
          <w:p w14:paraId="26D14669"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وضوح المسؤوليات والصلاحيات، وربط القرارات والنتائج بالجهات والأفراد المسؤولين عنها</w:t>
            </w:r>
            <w:r w:rsidRPr="00545ABB">
              <w:rPr>
                <w:rFonts w:ascii="Traditional Arabic" w:hAnsi="Traditional Arabic" w:cs="Traditional Arabic"/>
                <w:b/>
                <w:bCs/>
                <w:color w:val="000000" w:themeColor="text1"/>
              </w:rPr>
              <w:t>.</w:t>
            </w:r>
          </w:p>
        </w:tc>
      </w:tr>
      <w:tr w:rsidR="00B713AE" w:rsidRPr="00545ABB" w14:paraId="073F0850" w14:textId="77777777" w:rsidTr="00B713AE">
        <w:tc>
          <w:tcPr>
            <w:tcW w:w="0" w:type="auto"/>
            <w:hideMark/>
          </w:tcPr>
          <w:p w14:paraId="6680056D"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المشاركة في اتخاذ القرار</w:t>
            </w:r>
          </w:p>
        </w:tc>
        <w:tc>
          <w:tcPr>
            <w:tcW w:w="0" w:type="auto"/>
            <w:hideMark/>
          </w:tcPr>
          <w:p w14:paraId="585D1D6F"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مستوى إشراك الأطراف ذات العلاقة في القرارات المهمة والاستفادة من الخبرات والآراء المختلفة</w:t>
            </w:r>
            <w:r w:rsidRPr="00545ABB">
              <w:rPr>
                <w:rFonts w:ascii="Traditional Arabic" w:hAnsi="Traditional Arabic" w:cs="Traditional Arabic"/>
                <w:b/>
                <w:bCs/>
                <w:color w:val="000000" w:themeColor="text1"/>
              </w:rPr>
              <w:t>.</w:t>
            </w:r>
          </w:p>
        </w:tc>
      </w:tr>
      <w:tr w:rsidR="00B713AE" w:rsidRPr="00545ABB" w14:paraId="7A944DEF" w14:textId="77777777" w:rsidTr="00B713AE">
        <w:tc>
          <w:tcPr>
            <w:tcW w:w="0" w:type="auto"/>
            <w:hideMark/>
          </w:tcPr>
          <w:p w14:paraId="182EA880"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إدارة المخاطر والالتزام</w:t>
            </w:r>
          </w:p>
        </w:tc>
        <w:tc>
          <w:tcPr>
            <w:tcW w:w="0" w:type="auto"/>
            <w:hideMark/>
          </w:tcPr>
          <w:p w14:paraId="5102FC42"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تحديد المخاطر وتقييمها ومعالجتها، ومتابعة الالتزام بالسياسات والمتطلبات المهنية والتنظيمية</w:t>
            </w:r>
            <w:r w:rsidRPr="00545ABB">
              <w:rPr>
                <w:rFonts w:ascii="Traditional Arabic" w:hAnsi="Traditional Arabic" w:cs="Traditional Arabic"/>
                <w:b/>
                <w:bCs/>
                <w:color w:val="000000" w:themeColor="text1"/>
              </w:rPr>
              <w:t>.</w:t>
            </w:r>
          </w:p>
        </w:tc>
      </w:tr>
      <w:tr w:rsidR="00B713AE" w:rsidRPr="00545ABB" w14:paraId="6D690FB4" w14:textId="77777777" w:rsidTr="00B713AE">
        <w:tc>
          <w:tcPr>
            <w:tcW w:w="0" w:type="auto"/>
            <w:hideMark/>
          </w:tcPr>
          <w:p w14:paraId="267EC17D"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الكفاءة في استخدام الموارد</w:t>
            </w:r>
          </w:p>
        </w:tc>
        <w:tc>
          <w:tcPr>
            <w:tcW w:w="0" w:type="auto"/>
            <w:hideMark/>
          </w:tcPr>
          <w:p w14:paraId="67D18F08"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توظيف الموارد البشرية والمالية والتقنية بطريقة تساعد على تحقيق أهداف الشركة ورفع مستوى الأداء</w:t>
            </w:r>
            <w:r w:rsidRPr="00545ABB">
              <w:rPr>
                <w:rFonts w:ascii="Traditional Arabic" w:hAnsi="Traditional Arabic" w:cs="Traditional Arabic"/>
                <w:b/>
                <w:bCs/>
                <w:color w:val="000000" w:themeColor="text1"/>
              </w:rPr>
              <w:t>.</w:t>
            </w:r>
          </w:p>
        </w:tc>
      </w:tr>
    </w:tbl>
    <w:p w14:paraId="728C5882"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المصدر: إعداد الباحث بالاستناد إلى الإطار النظري وأداة الدراسة</w:t>
      </w:r>
      <w:r w:rsidRPr="00545ABB">
        <w:rPr>
          <w:rStyle w:val="Strong"/>
          <w:rFonts w:ascii="Traditional Arabic" w:hAnsi="Traditional Arabic" w:cs="Traditional Arabic"/>
          <w:color w:val="000000" w:themeColor="text1"/>
        </w:rPr>
        <w:t>.</w:t>
      </w:r>
    </w:p>
    <w:p w14:paraId="0D2C77A1"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وتتمثل أهمية هذا الإطار في أنه لا يتعامل مع الحوكمة باعتبارها مجموعة من المتطلبات الشكلية، بل يقيسها من خلال ممارسات تنظيمية وإدارية يمكن ملاحظتها وتحليلها داخل الشركات، بما يساعد على فهم مستوى تطبيق الحوكمة وعلاقتها بالنتائج المؤسسية</w:t>
      </w:r>
      <w:r w:rsidRPr="00545ABB">
        <w:rPr>
          <w:rFonts w:ascii="Traditional Arabic" w:hAnsi="Traditional Arabic" w:cs="Traditional Arabic"/>
          <w:b/>
          <w:bCs/>
          <w:color w:val="000000" w:themeColor="text1"/>
        </w:rPr>
        <w:t>.</w:t>
      </w:r>
    </w:p>
    <w:p w14:paraId="7DF60D76" w14:textId="689E2AEE" w:rsidR="00B713AE" w:rsidRPr="00545ABB" w:rsidRDefault="00B713AE" w:rsidP="00B713AE">
      <w:pPr>
        <w:pStyle w:val="Heading3"/>
        <w:bidi/>
        <w:rPr>
          <w:rFonts w:ascii="Traditional Arabic" w:hAnsi="Traditional Arabic" w:cs="Traditional Arabic"/>
          <w:b/>
          <w:bCs/>
          <w:color w:val="000000" w:themeColor="text1"/>
        </w:rPr>
      </w:pPr>
      <w:bookmarkStart w:id="100" w:name="_Toc242325260"/>
      <w:r w:rsidRPr="00545ABB">
        <w:rPr>
          <w:rFonts w:ascii="Traditional Arabic" w:hAnsi="Traditional Arabic" w:cs="Traditional Arabic" w:hint="cs"/>
          <w:b/>
          <w:bCs/>
          <w:color w:val="000000" w:themeColor="text1"/>
          <w:rtl/>
        </w:rPr>
        <w:t xml:space="preserve">2- </w:t>
      </w:r>
      <w:r w:rsidRPr="00545ABB">
        <w:rPr>
          <w:rFonts w:ascii="Traditional Arabic" w:hAnsi="Traditional Arabic" w:cs="Traditional Arabic"/>
          <w:b/>
          <w:bCs/>
          <w:color w:val="000000" w:themeColor="text1"/>
          <w:rtl/>
        </w:rPr>
        <w:t>بناء نموذج تكاملي يربط الحوكمة بالاستدامة والنجاح المؤسسي</w:t>
      </w:r>
      <w:bookmarkEnd w:id="100"/>
    </w:p>
    <w:p w14:paraId="636F6DFD"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تتمثل إحدى الإضافات الرئيسة للدراسة في جمع ثلاثة متغيرات رئيسة ضمن نموذج تحليلي واحد، بحيث تمثل </w:t>
      </w:r>
      <w:r w:rsidRPr="00545ABB">
        <w:rPr>
          <w:rStyle w:val="Strong"/>
          <w:rFonts w:ascii="Traditional Arabic" w:hAnsi="Traditional Arabic" w:cs="Traditional Arabic"/>
          <w:color w:val="000000" w:themeColor="text1"/>
          <w:rtl/>
        </w:rPr>
        <w:t>الحوكمة الفعالة المتغير المستقل</w:t>
      </w:r>
      <w:r w:rsidRPr="00545ABB">
        <w:rPr>
          <w:rFonts w:ascii="Traditional Arabic" w:hAnsi="Traditional Arabic" w:cs="Traditional Arabic"/>
          <w:b/>
          <w:bCs/>
          <w:color w:val="000000" w:themeColor="text1"/>
          <w:rtl/>
        </w:rPr>
        <w:t xml:space="preserve">، في حين تمثل </w:t>
      </w:r>
      <w:r w:rsidRPr="00545ABB">
        <w:rPr>
          <w:rStyle w:val="Strong"/>
          <w:rFonts w:ascii="Traditional Arabic" w:hAnsi="Traditional Arabic" w:cs="Traditional Arabic"/>
          <w:color w:val="000000" w:themeColor="text1"/>
          <w:rtl/>
        </w:rPr>
        <w:t>الاستدامة المؤسسية والنجاح المؤسسي المتغيرين التابعين</w:t>
      </w:r>
      <w:r w:rsidRPr="00545ABB">
        <w:rPr>
          <w:rFonts w:ascii="Traditional Arabic" w:hAnsi="Traditional Arabic" w:cs="Traditional Arabic"/>
          <w:b/>
          <w:bCs/>
          <w:color w:val="000000" w:themeColor="text1"/>
        </w:rPr>
        <w:t>.</w:t>
      </w:r>
    </w:p>
    <w:p w14:paraId="44DB6225" w14:textId="70B26436"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ويفترض نموذج الدراسة وجود تأثير إيجابي للحوكمة الفعالة في كل من الاستدامة المؤسسية والنجاح المؤسسي في شركات الأمن السيبراني الناشئة بالمملكة العربية السعودية. ويتفق هذا البناء مع الهدف الرئيس للدراسة والمتمثل في تحليل مدى إسهام ممارسات الحوكمة في دعم قدرة هذه الشركات على الاستمرار وتحقيق نتائج مؤسسية إيجابية</w:t>
      </w:r>
      <w:r w:rsidRPr="00545ABB">
        <w:rPr>
          <w:rFonts w:ascii="Traditional Arabic" w:hAnsi="Traditional Arabic" w:cs="Traditional Arabic"/>
          <w:b/>
          <w:bCs/>
          <w:color w:val="000000" w:themeColor="text1"/>
        </w:rPr>
        <w:t xml:space="preserve">. </w:t>
      </w:r>
    </w:p>
    <w:p w14:paraId="2F50FA1D"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ولا تقتصر الإضافة هنا على اختبار الحوكمة بصورة عامة، وإنما تتمثل في تطبيق هذا النموذج في </w:t>
      </w:r>
      <w:r w:rsidRPr="00545ABB">
        <w:rPr>
          <w:rStyle w:val="Strong"/>
          <w:rFonts w:ascii="Traditional Arabic" w:hAnsi="Traditional Arabic" w:cs="Traditional Arabic"/>
          <w:color w:val="000000" w:themeColor="text1"/>
          <w:rtl/>
        </w:rPr>
        <w:t>قطاع الأمن السيبراني الناشئ</w:t>
      </w:r>
      <w:r w:rsidRPr="00545ABB">
        <w:rPr>
          <w:rFonts w:ascii="Traditional Arabic" w:hAnsi="Traditional Arabic" w:cs="Traditional Arabic"/>
          <w:b/>
          <w:bCs/>
          <w:color w:val="000000" w:themeColor="text1"/>
          <w:rtl/>
        </w:rPr>
        <w:t>، بما يراعي الخصائص التنظيمية والتقنية لهذا القطاع وطبيعة المخاطر والمتطلبات التي تواجه شركاته</w:t>
      </w:r>
      <w:r w:rsidRPr="00545ABB">
        <w:rPr>
          <w:rFonts w:ascii="Traditional Arabic" w:hAnsi="Traditional Arabic" w:cs="Traditional Arabic"/>
          <w:b/>
          <w:bCs/>
          <w:color w:val="000000" w:themeColor="text1"/>
        </w:rPr>
        <w:t>.</w:t>
      </w:r>
    </w:p>
    <w:p w14:paraId="5097E7C0" w14:textId="38B117AF" w:rsidR="00B713AE" w:rsidRPr="00545ABB" w:rsidRDefault="00B713AE" w:rsidP="00B713AE">
      <w:pPr>
        <w:pStyle w:val="Heading3"/>
        <w:bidi/>
        <w:rPr>
          <w:rFonts w:ascii="Traditional Arabic" w:hAnsi="Traditional Arabic" w:cs="Traditional Arabic"/>
          <w:b/>
          <w:bCs/>
          <w:color w:val="000000" w:themeColor="text1"/>
        </w:rPr>
      </w:pPr>
      <w:bookmarkStart w:id="101" w:name="_Toc242325261"/>
      <w:r w:rsidRPr="00545ABB">
        <w:rPr>
          <w:rFonts w:ascii="Traditional Arabic" w:hAnsi="Traditional Arabic" w:cs="Traditional Arabic" w:hint="cs"/>
          <w:b/>
          <w:bCs/>
          <w:color w:val="000000" w:themeColor="text1"/>
          <w:rtl/>
        </w:rPr>
        <w:t xml:space="preserve">3- </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قياس الاستدامة المؤسسية من منظور يتناسب مع شركات الأمن السيبراني</w:t>
      </w:r>
      <w:bookmarkEnd w:id="101"/>
    </w:p>
    <w:p w14:paraId="6EA299F2" w14:textId="335E1154"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تعتمد الدراسة في قياس الاستدامة المؤسسية على ثلاثة أبعاد رئيسة 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البعد الاقتصادي، والبعد الاجتماعي، والبعد التقني</w:t>
      </w:r>
      <w:r w:rsidRPr="00545ABB">
        <w:rPr>
          <w:rFonts w:ascii="Traditional Arabic" w:hAnsi="Traditional Arabic" w:cs="Traditional Arabic"/>
          <w:b/>
          <w:bCs/>
          <w:color w:val="000000" w:themeColor="text1"/>
          <w:rtl/>
        </w:rPr>
        <w:t>، وقد تم قياسها من خلال (15) عبارة بواقع خمس عبارات لكل بعد</w:t>
      </w:r>
      <w:r w:rsidRPr="00545ABB">
        <w:rPr>
          <w:rFonts w:ascii="Traditional Arabic" w:hAnsi="Traditional Arabic" w:cs="Traditional Arabic"/>
          <w:b/>
          <w:bCs/>
          <w:color w:val="000000" w:themeColor="text1"/>
        </w:rPr>
        <w:t xml:space="preserve">. </w:t>
      </w:r>
    </w:p>
    <w:p w14:paraId="6EF8DA03" w14:textId="77777777" w:rsidR="00B713AE" w:rsidRPr="00545ABB" w:rsidRDefault="00B713AE" w:rsidP="00B713AE">
      <w:pPr>
        <w:pStyle w:val="Heading3"/>
        <w:bidi/>
        <w:rPr>
          <w:rFonts w:ascii="Traditional Arabic" w:hAnsi="Traditional Arabic" w:cs="Traditional Arabic"/>
          <w:b/>
          <w:bCs/>
          <w:color w:val="000000" w:themeColor="text1"/>
          <w:sz w:val="24"/>
          <w:szCs w:val="24"/>
        </w:rPr>
      </w:pPr>
      <w:bookmarkStart w:id="102" w:name="_Toc242325262"/>
      <w:r w:rsidRPr="00545ABB">
        <w:rPr>
          <w:rFonts w:ascii="Traditional Arabic" w:hAnsi="Traditional Arabic" w:cs="Traditional Arabic"/>
          <w:b/>
          <w:bCs/>
          <w:color w:val="000000" w:themeColor="text1"/>
          <w:sz w:val="24"/>
          <w:szCs w:val="24"/>
          <w:rtl/>
        </w:rPr>
        <w:t xml:space="preserve">جدول رقم </w:t>
      </w:r>
      <w:r w:rsidRPr="00545ABB">
        <w:rPr>
          <w:rFonts w:ascii="Traditional Arabic" w:hAnsi="Traditional Arabic" w:cs="Traditional Arabic"/>
          <w:b/>
          <w:bCs/>
          <w:color w:val="000000" w:themeColor="text1"/>
          <w:sz w:val="24"/>
          <w:szCs w:val="24"/>
        </w:rPr>
        <w:t>(2-5)</w:t>
      </w:r>
      <w:bookmarkEnd w:id="102"/>
    </w:p>
    <w:p w14:paraId="5BD0A418"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أبعاد الاستدامة المؤسسية المعتمدة في الدراسة</w:t>
      </w:r>
    </w:p>
    <w:tbl>
      <w:tblPr>
        <w:tblStyle w:val="TableGrid"/>
        <w:bidiVisual/>
        <w:tblW w:w="0" w:type="auto"/>
        <w:tblLook w:val="04A0" w:firstRow="1" w:lastRow="0" w:firstColumn="1" w:lastColumn="0" w:noHBand="0" w:noVBand="1"/>
      </w:tblPr>
      <w:tblGrid>
        <w:gridCol w:w="1468"/>
        <w:gridCol w:w="7882"/>
      </w:tblGrid>
      <w:tr w:rsidR="00B713AE" w:rsidRPr="00545ABB" w14:paraId="1CB574DD" w14:textId="77777777" w:rsidTr="00B713AE">
        <w:tc>
          <w:tcPr>
            <w:tcW w:w="0" w:type="auto"/>
            <w:shd w:val="clear" w:color="auto" w:fill="F2F2F2" w:themeFill="background1" w:themeFillShade="F2"/>
            <w:hideMark/>
          </w:tcPr>
          <w:p w14:paraId="6E34020F" w14:textId="77777777" w:rsidR="00B713AE" w:rsidRPr="00545ABB" w:rsidRDefault="00B713AE" w:rsidP="00B713AE">
            <w:pPr>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البعد</w:t>
            </w:r>
          </w:p>
        </w:tc>
        <w:tc>
          <w:tcPr>
            <w:tcW w:w="0" w:type="auto"/>
            <w:shd w:val="clear" w:color="auto" w:fill="F2F2F2" w:themeFill="background1" w:themeFillShade="F2"/>
            <w:hideMark/>
          </w:tcPr>
          <w:p w14:paraId="5C3FF561" w14:textId="77777777" w:rsidR="00B713AE" w:rsidRPr="00545ABB" w:rsidRDefault="00B713AE" w:rsidP="00B713AE">
            <w:pPr>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مجال القياس</w:t>
            </w:r>
          </w:p>
        </w:tc>
      </w:tr>
      <w:tr w:rsidR="00B713AE" w:rsidRPr="00545ABB" w14:paraId="6B29FD7C" w14:textId="77777777" w:rsidTr="00B713AE">
        <w:tc>
          <w:tcPr>
            <w:tcW w:w="0" w:type="auto"/>
            <w:hideMark/>
          </w:tcPr>
          <w:p w14:paraId="785107F7"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الاستدامة الاقتصادية</w:t>
            </w:r>
          </w:p>
        </w:tc>
        <w:tc>
          <w:tcPr>
            <w:tcW w:w="0" w:type="auto"/>
            <w:hideMark/>
          </w:tcPr>
          <w:p w14:paraId="57AB8C16"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قدرة الشركة على المحافظة على كفاءتها المالية، واستمرارية نشاطها، وتحقيق مستويات مناسبة من النمو والاستقرار الاقتصادي</w:t>
            </w:r>
            <w:r w:rsidRPr="00545ABB">
              <w:rPr>
                <w:rFonts w:ascii="Traditional Arabic" w:hAnsi="Traditional Arabic" w:cs="Traditional Arabic"/>
                <w:b/>
                <w:bCs/>
                <w:color w:val="000000" w:themeColor="text1"/>
              </w:rPr>
              <w:t>.</w:t>
            </w:r>
          </w:p>
        </w:tc>
      </w:tr>
      <w:tr w:rsidR="00B713AE" w:rsidRPr="00545ABB" w14:paraId="7EB280FF" w14:textId="77777777" w:rsidTr="00B713AE">
        <w:tc>
          <w:tcPr>
            <w:tcW w:w="0" w:type="auto"/>
            <w:hideMark/>
          </w:tcPr>
          <w:p w14:paraId="44EE618D"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الاستدامة الاجتماعية</w:t>
            </w:r>
          </w:p>
        </w:tc>
        <w:tc>
          <w:tcPr>
            <w:tcW w:w="0" w:type="auto"/>
            <w:hideMark/>
          </w:tcPr>
          <w:p w14:paraId="08214075"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الاهتمام بالموارد البشرية، وبيئة العمل، والمسؤولية الاجتماعية، والمحافظة على علاقات مستقرة مع أصحاب المصالح</w:t>
            </w:r>
            <w:r w:rsidRPr="00545ABB">
              <w:rPr>
                <w:rFonts w:ascii="Traditional Arabic" w:hAnsi="Traditional Arabic" w:cs="Traditional Arabic"/>
                <w:b/>
                <w:bCs/>
                <w:color w:val="000000" w:themeColor="text1"/>
              </w:rPr>
              <w:t>.</w:t>
            </w:r>
          </w:p>
        </w:tc>
      </w:tr>
      <w:tr w:rsidR="00B713AE" w:rsidRPr="00545ABB" w14:paraId="11629CF6" w14:textId="77777777" w:rsidTr="00B713AE">
        <w:tc>
          <w:tcPr>
            <w:tcW w:w="0" w:type="auto"/>
            <w:hideMark/>
          </w:tcPr>
          <w:p w14:paraId="210BB531"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الاستدامة التقنية</w:t>
            </w:r>
          </w:p>
        </w:tc>
        <w:tc>
          <w:tcPr>
            <w:tcW w:w="0" w:type="auto"/>
            <w:hideMark/>
          </w:tcPr>
          <w:p w14:paraId="5932EAB2"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القدرة على مواكبة التطورات التقنية، والاستمرار في الابتكار وتطوير خدمات ومنتجات الأمن السيبراني والمحافظة على القدرة التقنية للشركة</w:t>
            </w:r>
            <w:r w:rsidRPr="00545ABB">
              <w:rPr>
                <w:rFonts w:ascii="Traditional Arabic" w:hAnsi="Traditional Arabic" w:cs="Traditional Arabic"/>
                <w:b/>
                <w:bCs/>
                <w:color w:val="000000" w:themeColor="text1"/>
              </w:rPr>
              <w:t>.</w:t>
            </w:r>
          </w:p>
        </w:tc>
      </w:tr>
    </w:tbl>
    <w:p w14:paraId="0F2C4B3C"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المصدر: إعداد الباحث بالاستناد إلى نموذج الدراسة وأداة القياس</w:t>
      </w:r>
      <w:r w:rsidRPr="00545ABB">
        <w:rPr>
          <w:rStyle w:val="Strong"/>
          <w:rFonts w:ascii="Traditional Arabic" w:hAnsi="Traditional Arabic" w:cs="Traditional Arabic"/>
          <w:color w:val="000000" w:themeColor="text1"/>
        </w:rPr>
        <w:t>.</w:t>
      </w:r>
    </w:p>
    <w:p w14:paraId="314EE350"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ويعد إدراج </w:t>
      </w:r>
      <w:r w:rsidRPr="00545ABB">
        <w:rPr>
          <w:rStyle w:val="Strong"/>
          <w:rFonts w:ascii="Traditional Arabic" w:hAnsi="Traditional Arabic" w:cs="Traditional Arabic"/>
          <w:color w:val="000000" w:themeColor="text1"/>
          <w:rtl/>
        </w:rPr>
        <w:t>البعد التقني</w:t>
      </w:r>
      <w:r w:rsidRPr="00545ABB">
        <w:rPr>
          <w:rFonts w:ascii="Traditional Arabic" w:hAnsi="Traditional Arabic" w:cs="Traditional Arabic"/>
          <w:b/>
          <w:bCs/>
          <w:color w:val="000000" w:themeColor="text1"/>
          <w:rtl/>
        </w:rPr>
        <w:t xml:space="preserve"> من الجوانب المهمة في الدراسة؛ إذ يتلاءم مع طبيعة شركات الأمن السيبراني التي ترتبط استدامتها بدرجة كبيرة بقدرتها على الابتكار والتطوير المستمر ومواكبة التحولات التقنية</w:t>
      </w:r>
      <w:r w:rsidRPr="00545ABB">
        <w:rPr>
          <w:rFonts w:ascii="Traditional Arabic" w:hAnsi="Traditional Arabic" w:cs="Traditional Arabic"/>
          <w:b/>
          <w:bCs/>
          <w:color w:val="000000" w:themeColor="text1"/>
        </w:rPr>
        <w:t>.</w:t>
      </w:r>
    </w:p>
    <w:p w14:paraId="3A73357A" w14:textId="677368D3" w:rsidR="00B713AE" w:rsidRPr="00545ABB" w:rsidRDefault="00B713AE" w:rsidP="00B713AE">
      <w:pPr>
        <w:pStyle w:val="Heading3"/>
        <w:bidi/>
        <w:rPr>
          <w:rFonts w:ascii="Traditional Arabic" w:hAnsi="Traditional Arabic" w:cs="Traditional Arabic"/>
          <w:b/>
          <w:bCs/>
          <w:color w:val="000000" w:themeColor="text1"/>
        </w:rPr>
      </w:pPr>
      <w:bookmarkStart w:id="103" w:name="_Toc242325263"/>
      <w:r w:rsidRPr="00545ABB">
        <w:rPr>
          <w:rFonts w:ascii="Traditional Arabic" w:hAnsi="Traditional Arabic" w:cs="Traditional Arabic" w:hint="cs"/>
          <w:b/>
          <w:bCs/>
          <w:color w:val="000000" w:themeColor="text1"/>
          <w:rtl/>
        </w:rPr>
        <w:lastRenderedPageBreak/>
        <w:t xml:space="preserve">4- </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قياس النجاح المؤسسي من خلال مؤشرات تشغيلية واستراتيجية متعددة</w:t>
      </w:r>
      <w:bookmarkEnd w:id="103"/>
    </w:p>
    <w:p w14:paraId="70D752BF" w14:textId="7866D405"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تتعامل الدراسة مع النجاح المؤسسي بوصفه مفهومًا متعدد الأبعاد، وليس نتيجة مالية منفردة. ولذلك تم قياسه من خلال أربعة أبعاد 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جودة الأداء الإداري والتقني، والكفاءة التشغيلية، والابتكار والتكيف، ورضا العملاء والنمو المؤسسي</w:t>
      </w:r>
      <w:r w:rsidRPr="00545ABB">
        <w:rPr>
          <w:rFonts w:ascii="Traditional Arabic" w:hAnsi="Traditional Arabic" w:cs="Traditional Arabic"/>
          <w:b/>
          <w:bCs/>
          <w:color w:val="000000" w:themeColor="text1"/>
          <w:rtl/>
        </w:rPr>
        <w:t>، وذلك من خلال (16) عبارة بواقع أربع عبارات لكل بعد</w:t>
      </w:r>
      <w:r w:rsidRPr="00545ABB">
        <w:rPr>
          <w:rFonts w:ascii="Traditional Arabic" w:hAnsi="Traditional Arabic" w:cs="Traditional Arabic"/>
          <w:b/>
          <w:bCs/>
          <w:color w:val="000000" w:themeColor="text1"/>
        </w:rPr>
        <w:t xml:space="preserve">. </w:t>
      </w:r>
    </w:p>
    <w:p w14:paraId="0F8E69E4" w14:textId="77777777" w:rsidR="00B713AE" w:rsidRPr="00545ABB" w:rsidRDefault="00B713AE" w:rsidP="00B713AE">
      <w:pPr>
        <w:pStyle w:val="Heading3"/>
        <w:bidi/>
        <w:rPr>
          <w:rFonts w:ascii="Traditional Arabic" w:hAnsi="Traditional Arabic" w:cs="Traditional Arabic"/>
          <w:b/>
          <w:bCs/>
          <w:color w:val="000000" w:themeColor="text1"/>
          <w:sz w:val="24"/>
          <w:szCs w:val="24"/>
        </w:rPr>
      </w:pPr>
      <w:bookmarkStart w:id="104" w:name="_Toc242325264"/>
      <w:r w:rsidRPr="00545ABB">
        <w:rPr>
          <w:rFonts w:ascii="Traditional Arabic" w:hAnsi="Traditional Arabic" w:cs="Traditional Arabic"/>
          <w:b/>
          <w:bCs/>
          <w:color w:val="000000" w:themeColor="text1"/>
          <w:sz w:val="24"/>
          <w:szCs w:val="24"/>
          <w:rtl/>
        </w:rPr>
        <w:t xml:space="preserve">جدول رقم </w:t>
      </w:r>
      <w:r w:rsidRPr="00545ABB">
        <w:rPr>
          <w:rFonts w:ascii="Traditional Arabic" w:hAnsi="Traditional Arabic" w:cs="Traditional Arabic"/>
          <w:b/>
          <w:bCs/>
          <w:color w:val="000000" w:themeColor="text1"/>
          <w:sz w:val="24"/>
          <w:szCs w:val="24"/>
        </w:rPr>
        <w:t>(2-6)</w:t>
      </w:r>
      <w:bookmarkEnd w:id="104"/>
    </w:p>
    <w:p w14:paraId="65811715"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أبعاد النجاح المؤسسي المعتمدة في الدراسة</w:t>
      </w:r>
    </w:p>
    <w:tbl>
      <w:tblPr>
        <w:tblStyle w:val="TableGrid"/>
        <w:bidiVisual/>
        <w:tblW w:w="0" w:type="auto"/>
        <w:tblLook w:val="04A0" w:firstRow="1" w:lastRow="0" w:firstColumn="1" w:lastColumn="0" w:noHBand="0" w:noVBand="1"/>
      </w:tblPr>
      <w:tblGrid>
        <w:gridCol w:w="2057"/>
        <w:gridCol w:w="6577"/>
      </w:tblGrid>
      <w:tr w:rsidR="00B713AE" w:rsidRPr="00545ABB" w14:paraId="6443F1A7" w14:textId="77777777" w:rsidTr="00B713AE">
        <w:tc>
          <w:tcPr>
            <w:tcW w:w="0" w:type="auto"/>
            <w:shd w:val="clear" w:color="auto" w:fill="F2F2F2" w:themeFill="background1" w:themeFillShade="F2"/>
            <w:hideMark/>
          </w:tcPr>
          <w:p w14:paraId="245F76DE" w14:textId="77777777" w:rsidR="00B713AE" w:rsidRPr="00545ABB" w:rsidRDefault="00B713AE" w:rsidP="00B713AE">
            <w:pPr>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البعد</w:t>
            </w:r>
          </w:p>
        </w:tc>
        <w:tc>
          <w:tcPr>
            <w:tcW w:w="0" w:type="auto"/>
            <w:shd w:val="clear" w:color="auto" w:fill="F2F2F2" w:themeFill="background1" w:themeFillShade="F2"/>
            <w:hideMark/>
          </w:tcPr>
          <w:p w14:paraId="7D5FEE3F" w14:textId="77777777" w:rsidR="00B713AE" w:rsidRPr="00545ABB" w:rsidRDefault="00B713AE" w:rsidP="00B713AE">
            <w:pPr>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مجال القياس</w:t>
            </w:r>
          </w:p>
        </w:tc>
      </w:tr>
      <w:tr w:rsidR="00B713AE" w:rsidRPr="00545ABB" w14:paraId="3507E3A4" w14:textId="77777777" w:rsidTr="00B713AE">
        <w:tc>
          <w:tcPr>
            <w:tcW w:w="0" w:type="auto"/>
            <w:hideMark/>
          </w:tcPr>
          <w:p w14:paraId="1D9A7CCB"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جودة الأداء الإداري والتقني</w:t>
            </w:r>
          </w:p>
        </w:tc>
        <w:tc>
          <w:tcPr>
            <w:tcW w:w="0" w:type="auto"/>
            <w:hideMark/>
          </w:tcPr>
          <w:p w14:paraId="4AB24B84"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مستوى جودة الإدارة والأداء الفني وقدرة الشركة على تنفيذ أعمالها وخدماتها بكفاءة</w:t>
            </w:r>
            <w:r w:rsidRPr="00545ABB">
              <w:rPr>
                <w:rFonts w:ascii="Traditional Arabic" w:hAnsi="Traditional Arabic" w:cs="Traditional Arabic"/>
                <w:b/>
                <w:bCs/>
                <w:color w:val="000000" w:themeColor="text1"/>
              </w:rPr>
              <w:t>.</w:t>
            </w:r>
          </w:p>
        </w:tc>
      </w:tr>
      <w:tr w:rsidR="00B713AE" w:rsidRPr="00545ABB" w14:paraId="4F981F45" w14:textId="77777777" w:rsidTr="00B713AE">
        <w:tc>
          <w:tcPr>
            <w:tcW w:w="0" w:type="auto"/>
            <w:hideMark/>
          </w:tcPr>
          <w:p w14:paraId="0AB4D882"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الكفاءة التشغيلية</w:t>
            </w:r>
          </w:p>
        </w:tc>
        <w:tc>
          <w:tcPr>
            <w:tcW w:w="0" w:type="auto"/>
            <w:hideMark/>
          </w:tcPr>
          <w:p w14:paraId="56E2A31B"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القدرة على إدارة العمليات والموارد وتحقيق النتائج المطلوبة بكفاءة وفاعلية</w:t>
            </w:r>
            <w:r w:rsidRPr="00545ABB">
              <w:rPr>
                <w:rFonts w:ascii="Traditional Arabic" w:hAnsi="Traditional Arabic" w:cs="Traditional Arabic"/>
                <w:b/>
                <w:bCs/>
                <w:color w:val="000000" w:themeColor="text1"/>
              </w:rPr>
              <w:t>.</w:t>
            </w:r>
          </w:p>
        </w:tc>
      </w:tr>
      <w:tr w:rsidR="00B713AE" w:rsidRPr="00545ABB" w14:paraId="12C871F1" w14:textId="77777777" w:rsidTr="00B713AE">
        <w:tc>
          <w:tcPr>
            <w:tcW w:w="0" w:type="auto"/>
            <w:hideMark/>
          </w:tcPr>
          <w:p w14:paraId="19F47974"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الابتكار والتكيف</w:t>
            </w:r>
          </w:p>
        </w:tc>
        <w:tc>
          <w:tcPr>
            <w:tcW w:w="0" w:type="auto"/>
            <w:hideMark/>
          </w:tcPr>
          <w:p w14:paraId="52E41362"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قدرة الشركة على تطوير حلول وخدمات جديدة والتكيف مع المتغيرات التقنية والسوقية والتنظيمية</w:t>
            </w:r>
            <w:r w:rsidRPr="00545ABB">
              <w:rPr>
                <w:rFonts w:ascii="Traditional Arabic" w:hAnsi="Traditional Arabic" w:cs="Traditional Arabic"/>
                <w:b/>
                <w:bCs/>
                <w:color w:val="000000" w:themeColor="text1"/>
              </w:rPr>
              <w:t>.</w:t>
            </w:r>
          </w:p>
        </w:tc>
      </w:tr>
      <w:tr w:rsidR="00B713AE" w:rsidRPr="00545ABB" w14:paraId="0708F9DE" w14:textId="77777777" w:rsidTr="00B713AE">
        <w:tc>
          <w:tcPr>
            <w:tcW w:w="0" w:type="auto"/>
            <w:hideMark/>
          </w:tcPr>
          <w:p w14:paraId="2EC7EE23" w14:textId="77777777" w:rsidR="00B713AE" w:rsidRPr="00545ABB" w:rsidRDefault="00B713AE" w:rsidP="00B713AE">
            <w:pPr>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رضا العملاء والنمو المؤسسي</w:t>
            </w:r>
          </w:p>
        </w:tc>
        <w:tc>
          <w:tcPr>
            <w:tcW w:w="0" w:type="auto"/>
            <w:hideMark/>
          </w:tcPr>
          <w:p w14:paraId="47078869" w14:textId="77777777" w:rsidR="00B713AE" w:rsidRPr="00545ABB" w:rsidRDefault="00B713AE" w:rsidP="00B713AE">
            <w:pP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مستوى رضا العملاء، واستقرار العلاقة معهم، وقدرة الشركة على المحافظة على نموها وتوسيع أعمالها</w:t>
            </w:r>
            <w:r w:rsidRPr="00545ABB">
              <w:rPr>
                <w:rFonts w:ascii="Traditional Arabic" w:hAnsi="Traditional Arabic" w:cs="Traditional Arabic"/>
                <w:b/>
                <w:bCs/>
                <w:color w:val="000000" w:themeColor="text1"/>
              </w:rPr>
              <w:t>.</w:t>
            </w:r>
          </w:p>
        </w:tc>
      </w:tr>
    </w:tbl>
    <w:p w14:paraId="7E666554"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المصدر: إعداد الباحث بالاستناد إلى نموذج الدراسة وأداة القياس</w:t>
      </w:r>
      <w:r w:rsidRPr="00545ABB">
        <w:rPr>
          <w:rStyle w:val="Strong"/>
          <w:rFonts w:ascii="Traditional Arabic" w:hAnsi="Traditional Arabic" w:cs="Traditional Arabic"/>
          <w:color w:val="000000" w:themeColor="text1"/>
        </w:rPr>
        <w:t>.</w:t>
      </w:r>
    </w:p>
    <w:p w14:paraId="394A43BF"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وتوفر هذه الأبعاد منظورًا أكثر شمولًا لنجاح الشركات الناشئة، إذ تجمع بين الأداء الإداري والتقني والكفاءة والابتكار والعلاقة مع العملاء والنمو، وهي عناصر ترتبط بصورة مباشرة بطبيعة شركات الأمن السيبراني</w:t>
      </w:r>
      <w:r w:rsidRPr="00545ABB">
        <w:rPr>
          <w:rFonts w:ascii="Traditional Arabic" w:hAnsi="Traditional Arabic" w:cs="Traditional Arabic"/>
          <w:b/>
          <w:bCs/>
          <w:color w:val="000000" w:themeColor="text1"/>
        </w:rPr>
        <w:t>.</w:t>
      </w:r>
    </w:p>
    <w:p w14:paraId="7115D684" w14:textId="540249A9" w:rsidR="00B713AE" w:rsidRPr="00545ABB" w:rsidRDefault="00B713AE" w:rsidP="00B713AE">
      <w:pPr>
        <w:pStyle w:val="Heading3"/>
        <w:bidi/>
        <w:rPr>
          <w:rFonts w:ascii="Traditional Arabic" w:hAnsi="Traditional Arabic" w:cs="Traditional Arabic"/>
          <w:b/>
          <w:bCs/>
          <w:color w:val="000000" w:themeColor="text1"/>
        </w:rPr>
      </w:pPr>
      <w:bookmarkStart w:id="105" w:name="_Toc242325265"/>
      <w:r w:rsidRPr="00545ABB">
        <w:rPr>
          <w:rFonts w:ascii="Traditional Arabic" w:hAnsi="Traditional Arabic" w:cs="Traditional Arabic" w:hint="cs"/>
          <w:b/>
          <w:bCs/>
          <w:color w:val="000000" w:themeColor="text1"/>
          <w:rtl/>
        </w:rPr>
        <w:t xml:space="preserve">5- </w:t>
      </w:r>
      <w:r w:rsidRPr="00545ABB">
        <w:rPr>
          <w:rFonts w:ascii="Traditional Arabic" w:hAnsi="Traditional Arabic" w:cs="Traditional Arabic"/>
          <w:b/>
          <w:bCs/>
          <w:color w:val="000000" w:themeColor="text1"/>
          <w:rtl/>
        </w:rPr>
        <w:t>تقديم دليل تطبيقي من البيئة السعودية</w:t>
      </w:r>
      <w:bookmarkEnd w:id="105"/>
    </w:p>
    <w:p w14:paraId="6DD387E0"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تتمثل إضافة أخرى للدراسة في تطبيق النموذج على شركات الأمن السيبراني الناشئة في المملكة العربية السعودية، بما يوفر نتائج ترتبط مباشرة بالسياق السعودي بدل الاعتماد فقط على نتائج الدراسات الدولية أو الدراسات العامة عن الشركات الناشئة</w:t>
      </w:r>
      <w:r w:rsidRPr="00545ABB">
        <w:rPr>
          <w:rFonts w:ascii="Traditional Arabic" w:hAnsi="Traditional Arabic" w:cs="Traditional Arabic"/>
          <w:b/>
          <w:bCs/>
          <w:color w:val="000000" w:themeColor="text1"/>
        </w:rPr>
        <w:t>.</w:t>
      </w:r>
    </w:p>
    <w:p w14:paraId="67109B60" w14:textId="0C223F48"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استخدمت الدراسة الاستبانة والمقابلات شبه المقننة وتحليل الوثائق، كما تم تحليل البيانات الكمية باستخدام مجموعة من الأدوات الإحصائية، بما في ذلك التحليل الوصفي، ومعامل ارتباط بيرسون، والانحدار الخطي، إلى جانب التحليل الموضوعي للبيانات النوعية</w:t>
      </w:r>
      <w:r w:rsidRPr="00545ABB">
        <w:rPr>
          <w:rFonts w:ascii="Traditional Arabic" w:hAnsi="Traditional Arabic" w:cs="Traditional Arabic"/>
          <w:b/>
          <w:bCs/>
          <w:color w:val="000000" w:themeColor="text1"/>
        </w:rPr>
        <w:t xml:space="preserve">. </w:t>
      </w:r>
    </w:p>
    <w:p w14:paraId="0325AD96"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ويعزز ذلك قدرة الدراسة على تقديم فهم أكثر واقعية للعلاقة بين الحوكمة والاستدامة والنجاح ضمن قطاع الأمن السيبراني السعودي، وإثراء الأدبيات المتعلقة بحوكمة الشركات الناشئة في القطاعات التقنية المتخصصة</w:t>
      </w:r>
      <w:r w:rsidRPr="00545ABB">
        <w:rPr>
          <w:rFonts w:ascii="Traditional Arabic" w:hAnsi="Traditional Arabic" w:cs="Traditional Arabic"/>
          <w:b/>
          <w:bCs/>
          <w:color w:val="000000" w:themeColor="text1"/>
        </w:rPr>
        <w:t>.</w:t>
      </w:r>
    </w:p>
    <w:p w14:paraId="578102B2" w14:textId="6F3F3DC8" w:rsidR="00B713AE" w:rsidRPr="00545ABB" w:rsidRDefault="00B713AE" w:rsidP="00B713AE">
      <w:pPr>
        <w:pStyle w:val="Heading3"/>
        <w:bidi/>
        <w:rPr>
          <w:rFonts w:ascii="Traditional Arabic" w:hAnsi="Traditional Arabic" w:cs="Traditional Arabic"/>
          <w:b/>
          <w:bCs/>
          <w:color w:val="000000" w:themeColor="text1"/>
        </w:rPr>
      </w:pPr>
      <w:bookmarkStart w:id="106" w:name="_Toc242325266"/>
      <w:r w:rsidRPr="00545ABB">
        <w:rPr>
          <w:rFonts w:ascii="Traditional Arabic" w:hAnsi="Traditional Arabic" w:cs="Traditional Arabic" w:hint="cs"/>
          <w:b/>
          <w:bCs/>
          <w:color w:val="000000" w:themeColor="text1"/>
          <w:rtl/>
        </w:rPr>
        <w:t xml:space="preserve">6- </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تقديم دلالات عملية للمؤسسين والإدارات والمستثمرين والجهات الداعمة</w:t>
      </w:r>
      <w:bookmarkEnd w:id="106"/>
    </w:p>
    <w:p w14:paraId="0B515125"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لا تقتصر الإضافة البحثية على الجانب النظري، وإنما توفر نتائج يمكن الاستفادة منها عمليًا في تطوير ممارسات الحوكمة في شركات الأمن السيبراني الناشئة</w:t>
      </w:r>
      <w:r w:rsidRPr="00545ABB">
        <w:rPr>
          <w:rFonts w:ascii="Traditional Arabic" w:hAnsi="Traditional Arabic" w:cs="Traditional Arabic"/>
          <w:b/>
          <w:bCs/>
          <w:color w:val="000000" w:themeColor="text1"/>
        </w:rPr>
        <w:t>.</w:t>
      </w:r>
    </w:p>
    <w:p w14:paraId="49A2A0D4"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فيمكن لمؤسسي الشركات والإدارات التنفيذية الاستفادة من الأبعاد التي تناولتها الدراسة في تقييم الممارسات المتعلقة بالشفافية والمساءلة وإدارة المخاطر والمشاركة وكفاءة استخدام الموارد، كما يمكن للمستثمرين الاستفادة منها في تكوين صورة أكثر وضوحًا عن مستوى التنظيم والنضج الإداري للشركة</w:t>
      </w:r>
      <w:r w:rsidRPr="00545ABB">
        <w:rPr>
          <w:rFonts w:ascii="Traditional Arabic" w:hAnsi="Traditional Arabic" w:cs="Traditional Arabic"/>
          <w:b/>
          <w:bCs/>
          <w:color w:val="000000" w:themeColor="text1"/>
        </w:rPr>
        <w:t>.</w:t>
      </w:r>
    </w:p>
    <w:p w14:paraId="7F00BB2E"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يمكن للجهات الداعمة والمنظمة للقطاع الاستفادة من النتائج في تطوير برامج التوعية والتدريب والدعم المؤسسي الموجهة إلى الشركات الناشئة، وتحديد المجالات التي تحتاج إلى تحسين من أجل دعم نمو هذه الشركات واستدامتها</w:t>
      </w:r>
      <w:r w:rsidRPr="00545ABB">
        <w:rPr>
          <w:rFonts w:ascii="Traditional Arabic" w:hAnsi="Traditional Arabic" w:cs="Traditional Arabic"/>
          <w:b/>
          <w:bCs/>
          <w:color w:val="000000" w:themeColor="text1"/>
        </w:rPr>
        <w:t>.</w:t>
      </w:r>
    </w:p>
    <w:p w14:paraId="5A19CF91"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وبناءً على ذلك، فإن الإضافة البحثية للدراسة تتمثل في </w:t>
      </w:r>
      <w:r w:rsidRPr="00545ABB">
        <w:rPr>
          <w:rStyle w:val="Strong"/>
          <w:rFonts w:ascii="Traditional Arabic" w:hAnsi="Traditional Arabic" w:cs="Traditional Arabic"/>
          <w:color w:val="000000" w:themeColor="text1"/>
          <w:rtl/>
        </w:rPr>
        <w:t>تقديم نموذج متكامل ومطبق في البيئة السعودية يختبر العلاقة بين الحوكمة الفعالة بأبعادها المختلفة وبين كل من الاستدامة المؤسسية والنجاح المؤسسي في شركات الأمن السيبراني الناشئة</w:t>
      </w:r>
      <w:r w:rsidRPr="00545ABB">
        <w:rPr>
          <w:rFonts w:ascii="Traditional Arabic" w:hAnsi="Traditional Arabic" w:cs="Traditional Arabic"/>
          <w:b/>
          <w:bCs/>
          <w:color w:val="000000" w:themeColor="text1"/>
          <w:rtl/>
        </w:rPr>
        <w:t>، بما يجمع بين الإسهام النظري والدليل التطبيقي والنتائج القابلة للاستفادة في بيئة الأعمال</w:t>
      </w:r>
      <w:r w:rsidRPr="00545ABB">
        <w:rPr>
          <w:rFonts w:ascii="Traditional Arabic" w:hAnsi="Traditional Arabic" w:cs="Traditional Arabic"/>
          <w:b/>
          <w:bCs/>
          <w:color w:val="000000" w:themeColor="text1"/>
        </w:rPr>
        <w:t>.</w:t>
      </w:r>
    </w:p>
    <w:p w14:paraId="2B3CD142" w14:textId="77777777" w:rsidR="00B713AE" w:rsidRPr="00545ABB" w:rsidRDefault="00B713AE" w:rsidP="00B713AE">
      <w:pPr>
        <w:pStyle w:val="Heading2"/>
        <w:bidi/>
        <w:rPr>
          <w:rFonts w:ascii="Traditional Arabic" w:hAnsi="Traditional Arabic" w:cs="Traditional Arabic"/>
          <w:b/>
          <w:bCs/>
          <w:color w:val="000000" w:themeColor="text1"/>
        </w:rPr>
      </w:pPr>
      <w:bookmarkStart w:id="107" w:name="_Toc242325267"/>
      <w:r w:rsidRPr="00545ABB">
        <w:rPr>
          <w:rFonts w:ascii="Traditional Arabic" w:hAnsi="Traditional Arabic" w:cs="Traditional Arabic"/>
          <w:b/>
          <w:bCs/>
          <w:color w:val="000000" w:themeColor="text1"/>
          <w:rtl/>
        </w:rPr>
        <w:t>خلاصة المبحث</w:t>
      </w:r>
      <w:bookmarkEnd w:id="107"/>
    </w:p>
    <w:p w14:paraId="573493D0"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يتضح من استعراض الأدبيات والدراسات السابقة أنها تناولت موضوعات الحوكمة، والاستدامة، ونجاح الشركات الناشئة من زوايا متعددة، حيث ركز بعضها على نماذج الحوكمة والتجارب الدولية، بينما تناول بعضها الآخر العلاقة بين الحوكمة واستدامة الشركات في البيئة السعودية، كما تناولت دراسات أخرى العوامل المؤثرة في استدامة ونجاح الشركات الناشئة وبيئة ريادة الأعمال</w:t>
      </w:r>
      <w:r w:rsidRPr="00545ABB">
        <w:rPr>
          <w:rFonts w:ascii="Traditional Arabic" w:hAnsi="Traditional Arabic" w:cs="Traditional Arabic"/>
          <w:b/>
          <w:bCs/>
          <w:color w:val="000000" w:themeColor="text1"/>
        </w:rPr>
        <w:t>.</w:t>
      </w:r>
    </w:p>
    <w:p w14:paraId="17176D4E"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أظهر الاستعراض النظري أن الحوكمة تمثل إطارًا يساعد على تنظيم العلاقات والمسؤوليات وعمليات اتخاذ القرار وإدارة المخاطر واستخدام الموارد، في حين ترتبط الاستدامة بقدرة المؤسسة على المحافظة على نشاطها ونموها الاقتصادي والاجتماعي والتقني، ويرتبط النجاح المؤسسي بقدرتها على تحقيق أهدافها وتحسين أدائها وكفاءتها والابتكار والمحافظة على رضا العملاء والنمو</w:t>
      </w:r>
      <w:r w:rsidRPr="00545ABB">
        <w:rPr>
          <w:rFonts w:ascii="Traditional Arabic" w:hAnsi="Traditional Arabic" w:cs="Traditional Arabic"/>
          <w:b/>
          <w:bCs/>
          <w:color w:val="000000" w:themeColor="text1"/>
        </w:rPr>
        <w:t>.</w:t>
      </w:r>
    </w:p>
    <w:p w14:paraId="78C8FB89"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كشف تحليل الدراسات السابقة عن محدودية الدراسات التي تجمع بين هذه المتغيرات بصورة تكاملية في </w:t>
      </w:r>
      <w:r w:rsidRPr="00545ABB">
        <w:rPr>
          <w:rStyle w:val="Strong"/>
          <w:rFonts w:ascii="Traditional Arabic" w:hAnsi="Traditional Arabic" w:cs="Traditional Arabic"/>
          <w:color w:val="000000" w:themeColor="text1"/>
          <w:rtl/>
        </w:rPr>
        <w:t>قطاع شركات الأمن السيبراني الناشئة في المملكة العربية السعودية</w:t>
      </w:r>
      <w:r w:rsidRPr="00545ABB">
        <w:rPr>
          <w:rFonts w:ascii="Traditional Arabic" w:hAnsi="Traditional Arabic" w:cs="Traditional Arabic"/>
          <w:b/>
          <w:bCs/>
          <w:color w:val="000000" w:themeColor="text1"/>
          <w:rtl/>
        </w:rPr>
        <w:t>، على الرغم من الخصائص المميزة لهذا القطاع، ومن بينها الاعتماد على الكفاءات المتخصصة، وسرعة التطور التقني، وتغير طبيعة المخاطر والمتطلبات التنظيمية، والحاجة المستمرة إلى بناء الثقة والمحافظة على جودة الخدمات</w:t>
      </w:r>
      <w:r w:rsidRPr="00545ABB">
        <w:rPr>
          <w:rFonts w:ascii="Traditional Arabic" w:hAnsi="Traditional Arabic" w:cs="Traditional Arabic"/>
          <w:b/>
          <w:bCs/>
          <w:color w:val="000000" w:themeColor="text1"/>
        </w:rPr>
        <w:t>.</w:t>
      </w:r>
    </w:p>
    <w:p w14:paraId="5166AB6F"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ومن هنا جاءت الدراسة الحالية لتبحث أثر </w:t>
      </w:r>
      <w:r w:rsidRPr="00545ABB">
        <w:rPr>
          <w:rStyle w:val="Strong"/>
          <w:rFonts w:ascii="Traditional Arabic" w:hAnsi="Traditional Arabic" w:cs="Traditional Arabic"/>
          <w:color w:val="000000" w:themeColor="text1"/>
          <w:rtl/>
        </w:rPr>
        <w:t>الحوكمة الفعالة بأبعادها الخمسة: الشفافية والإفصاح، والمساءلة والمسؤولية، والمشاركة في اتخاذ القرار، وإدارة المخاطر والالتزام، والكفاءة في استخدام الموارد</w:t>
      </w:r>
      <w:r w:rsidRPr="00545ABB">
        <w:rPr>
          <w:rFonts w:ascii="Traditional Arabic" w:hAnsi="Traditional Arabic" w:cs="Traditional Arabic"/>
          <w:b/>
          <w:bCs/>
          <w:color w:val="000000" w:themeColor="text1"/>
          <w:rtl/>
        </w:rPr>
        <w:t xml:space="preserve">، في متغيرين رئيسين هما </w:t>
      </w:r>
      <w:r w:rsidRPr="00545ABB">
        <w:rPr>
          <w:rStyle w:val="Strong"/>
          <w:rFonts w:ascii="Traditional Arabic" w:hAnsi="Traditional Arabic" w:cs="Traditional Arabic"/>
          <w:color w:val="000000" w:themeColor="text1"/>
          <w:rtl/>
        </w:rPr>
        <w:t>الاستدامة المؤسسية والنجاح المؤسسي</w:t>
      </w:r>
      <w:r w:rsidRPr="00545ABB">
        <w:rPr>
          <w:rFonts w:ascii="Traditional Arabic" w:hAnsi="Traditional Arabic" w:cs="Traditional Arabic"/>
          <w:b/>
          <w:bCs/>
          <w:color w:val="000000" w:themeColor="text1"/>
          <w:rtl/>
        </w:rPr>
        <w:t>، وذلك في سياق 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6ACB941E"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وبذلك يوفر هذا المبحث الأساس النظري الذي يقوم عليه نموذج الدراسة، ويوضح العلاقة بين متغيراتها، ويمهد للجانب المنهجي والتطبيقي الذي يتم من خلاله اختبار هذه العلاقات وتحليل نتائجها</w:t>
      </w:r>
      <w:r w:rsidRPr="00545ABB">
        <w:rPr>
          <w:rFonts w:ascii="Traditional Arabic" w:hAnsi="Traditional Arabic" w:cs="Traditional Arabic"/>
          <w:b/>
          <w:bCs/>
          <w:color w:val="000000" w:themeColor="text1"/>
        </w:rPr>
        <w:t>.</w:t>
      </w:r>
    </w:p>
    <w:p w14:paraId="1EFE3817" w14:textId="77777777" w:rsidR="00B713AE" w:rsidRPr="00545ABB" w:rsidRDefault="00B713AE" w:rsidP="00B713AE">
      <w:pPr>
        <w:pStyle w:val="Heading2"/>
        <w:bidi/>
        <w:rPr>
          <w:rFonts w:ascii="Traditional Arabic" w:hAnsi="Traditional Arabic" w:cs="Traditional Arabic"/>
          <w:b/>
          <w:bCs/>
          <w:color w:val="000000" w:themeColor="text1"/>
        </w:rPr>
      </w:pPr>
      <w:bookmarkStart w:id="108" w:name="_Toc242325268"/>
      <w:r w:rsidRPr="00545ABB">
        <w:rPr>
          <w:rFonts w:ascii="Traditional Arabic" w:hAnsi="Traditional Arabic" w:cs="Traditional Arabic"/>
          <w:b/>
          <w:bCs/>
          <w:color w:val="000000" w:themeColor="text1"/>
          <w:rtl/>
        </w:rPr>
        <w:t>خاتمة الفصل</w:t>
      </w:r>
      <w:bookmarkEnd w:id="108"/>
    </w:p>
    <w:p w14:paraId="19BA8121"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مثل هذا الفصل الأساس النظري والمعرفي للدراسة، حيث تناول المفاهيم والأطر والدراسات المرتبطة بالحوكمة الفعالة والأمن السيبراني والاستدامة والنجاح المؤسسي، وربط بينها في سياق الشركات الناشئة العاملة في قطاع الأمن السيبراني</w:t>
      </w:r>
      <w:r w:rsidRPr="00545ABB">
        <w:rPr>
          <w:rFonts w:ascii="Traditional Arabic" w:hAnsi="Traditional Arabic" w:cs="Traditional Arabic"/>
          <w:b/>
          <w:bCs/>
          <w:color w:val="000000" w:themeColor="text1"/>
        </w:rPr>
        <w:t>.</w:t>
      </w:r>
    </w:p>
    <w:p w14:paraId="22F8A05D"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وقد بدأ الفصل بتأصيل مفهوم الحوكمة ونشأتها وأهميتها وأهدافها، ثم تناول عناصرها ومبادئها وقيمها ودور أصحاب المصالح وإدارة المخاطر، كما استعرض عددًا من الأطر والنماذج الدولية ذات العلاقة، ومن أبرزها </w:t>
      </w:r>
      <w:r w:rsidRPr="00545ABB">
        <w:rPr>
          <w:rStyle w:val="Strong"/>
          <w:rFonts w:ascii="Traditional Arabic" w:hAnsi="Traditional Arabic" w:cs="Traditional Arabic"/>
          <w:color w:val="000000" w:themeColor="text1"/>
        </w:rPr>
        <w:t>COBIT</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و</w:t>
      </w:r>
      <w:r w:rsidRPr="00545ABB">
        <w:rPr>
          <w:rStyle w:val="Strong"/>
          <w:rFonts w:ascii="Traditional Arabic" w:hAnsi="Traditional Arabic" w:cs="Traditional Arabic"/>
          <w:color w:val="000000" w:themeColor="text1"/>
        </w:rPr>
        <w:t>NIST</w:t>
      </w:r>
      <w:r w:rsidRPr="00545ABB">
        <w:rPr>
          <w:rFonts w:ascii="Traditional Arabic" w:hAnsi="Traditional Arabic" w:cs="Traditional Arabic"/>
          <w:b/>
          <w:bCs/>
          <w:color w:val="000000" w:themeColor="text1"/>
          <w:rtl/>
        </w:rPr>
        <w:t>، ودورها في تنظيم الحوكمة وإدارة المعلومات والتقنية والمخاطر السيبرانية</w:t>
      </w:r>
      <w:r w:rsidRPr="00545ABB">
        <w:rPr>
          <w:rFonts w:ascii="Traditional Arabic" w:hAnsi="Traditional Arabic" w:cs="Traditional Arabic"/>
          <w:b/>
          <w:bCs/>
          <w:color w:val="000000" w:themeColor="text1"/>
        </w:rPr>
        <w:t>.</w:t>
      </w:r>
    </w:p>
    <w:p w14:paraId="372CCD4D"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تناول الفصل مفهوم الأمن السيبراني ونشأته وتطوره، والعلاقة بين الحوكمة والأمن السيبراني، ومكونات نظم الحوكمة وخصائصها ومحدداتها الداخلية والخارجية، بما يوضح أن الأمن السيبراني لم يعد شأنًا تقنيًا منفصلًا، وإنما أصبح جزءًا من منظومة الإدارة والحوكمة وإدارة المخاطر المؤسسية</w:t>
      </w:r>
      <w:r w:rsidRPr="00545ABB">
        <w:rPr>
          <w:rFonts w:ascii="Traditional Arabic" w:hAnsi="Traditional Arabic" w:cs="Traditional Arabic"/>
          <w:b/>
          <w:bCs/>
          <w:color w:val="000000" w:themeColor="text1"/>
        </w:rPr>
        <w:t>.</w:t>
      </w:r>
    </w:p>
    <w:p w14:paraId="4CCCE1AE"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وتناول الفصل كذلك دور الحوكمة في دعم استدامة ونجاح الشركات الناشئة، من خلال تأثيرها في كفاءة الأداء التنظيمي، وتعزيز الثقة، وإدارة المخاطر، وتحسين استخدام الموارد، ودعم العلاقة مع المستثمرين والعملاء وأصحاب المصالح. كما تم استعراض واقع الحوكمة في البيئة السعودية، والجهود التنظيمية والمؤسسية الداعمة للشركات الناشئة وقطاع الأمن السيبراني، إلى جانب أبرز التحديات والفرص المرتبطة بتطوير ممارسات الحوكمة</w:t>
      </w:r>
      <w:r w:rsidRPr="00545ABB">
        <w:rPr>
          <w:rFonts w:ascii="Traditional Arabic" w:hAnsi="Traditional Arabic" w:cs="Traditional Arabic"/>
          <w:b/>
          <w:bCs/>
          <w:color w:val="000000" w:themeColor="text1"/>
        </w:rPr>
        <w:t>.</w:t>
      </w:r>
    </w:p>
    <w:p w14:paraId="6AFAC0D3"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الجزء الخاص بالدراسات المرجعية، تم تحليل مجموعة من الدراسات المرتبطة بمحاور الدراسة، وأظهر التحليل وجود فجوة تتعلق بمحدودية الدراسات التي تبحث بصورة متكاملة أثر الحوكمة الفعالة في استدامة ونجاح 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30C45F15" w14:textId="4CC69031" w:rsidR="00B713AE" w:rsidRPr="00545ABB" w:rsidRDefault="00B713AE" w:rsidP="005C1307">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وانطلاقًا من ذلك، أسهم الفصل في بناء الأساس النظري للنموذج المفاهيمي للدراسة، الذي يتكون من </w:t>
      </w:r>
      <w:r w:rsidRPr="00545ABB">
        <w:rPr>
          <w:rStyle w:val="Strong"/>
          <w:rFonts w:ascii="Traditional Arabic" w:hAnsi="Traditional Arabic" w:cs="Traditional Arabic"/>
          <w:color w:val="000000" w:themeColor="text1"/>
          <w:rtl/>
        </w:rPr>
        <w:t>الحوكمة الفعالة بوصفها المتغير المستقل، والاستدامة المؤسسية والنجاح المؤسسي بوصفهما متغيرين تابعين</w:t>
      </w:r>
      <w:r w:rsidRPr="00545ABB">
        <w:rPr>
          <w:rFonts w:ascii="Traditional Arabic" w:hAnsi="Traditional Arabic" w:cs="Traditional Arabic"/>
          <w:b/>
          <w:bCs/>
          <w:color w:val="000000" w:themeColor="text1"/>
          <w:rtl/>
        </w:rPr>
        <w:t>، مع تحديد الأبعاد التي يتم من خلالها قياس كل متغير واختبار العلاقات بينها في الجانب التطبيقي من الدراسة</w:t>
      </w:r>
      <w:r w:rsidRPr="00545ABB">
        <w:rPr>
          <w:rFonts w:ascii="Traditional Arabic" w:hAnsi="Traditional Arabic" w:cs="Traditional Arabic"/>
          <w:b/>
          <w:bCs/>
          <w:color w:val="000000" w:themeColor="text1"/>
        </w:rPr>
        <w:t xml:space="preserve">. </w:t>
      </w:r>
    </w:p>
    <w:p w14:paraId="788068FD" w14:textId="77777777" w:rsidR="00B713AE" w:rsidRPr="00545ABB" w:rsidRDefault="00B713AE" w:rsidP="00B713AE">
      <w:pPr>
        <w:pStyle w:val="NormalWeb"/>
        <w:bidi/>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وبذلك يمهد هذا الفصل للانتقال إلى الفصل المنهجي، الذي يتناول تصميم الدراسة ومجتمعها وعينتها وأدوات جمع البيانات وأساليب التحليل المستخدمة لاختبار فرضيات الدراسة والإجابة عن تساؤلاتها</w:t>
      </w:r>
      <w:r w:rsidRPr="00545ABB">
        <w:rPr>
          <w:rFonts w:ascii="Traditional Arabic" w:hAnsi="Traditional Arabic" w:cs="Traditional Arabic"/>
          <w:b/>
          <w:bCs/>
          <w:color w:val="000000" w:themeColor="text1"/>
        </w:rPr>
        <w:t>.</w:t>
      </w:r>
    </w:p>
    <w:p w14:paraId="01F6A769" w14:textId="77777777" w:rsidR="00412241" w:rsidRPr="00545ABB" w:rsidRDefault="00412241" w:rsidP="00CE0D38">
      <w:pPr>
        <w:spacing w:line="360" w:lineRule="auto"/>
        <w:jc w:val="both"/>
        <w:rPr>
          <w:rFonts w:ascii="Traditional Arabic" w:hAnsi="Traditional Arabic" w:cs="Traditional Arabic"/>
          <w:b/>
          <w:bCs/>
          <w:color w:val="000000" w:themeColor="text1"/>
          <w:sz w:val="28"/>
          <w:szCs w:val="28"/>
        </w:rPr>
      </w:pPr>
    </w:p>
    <w:p w14:paraId="26BFF69A" w14:textId="77777777" w:rsidR="00B000FE" w:rsidRPr="00545ABB" w:rsidRDefault="00B000FE" w:rsidP="00022590">
      <w:pPr>
        <w:bidi w:val="0"/>
        <w:spacing w:after="0" w:line="360" w:lineRule="auto"/>
        <w:rPr>
          <w:rFonts w:ascii="Traditional Arabic" w:eastAsia="Times New Roman" w:hAnsi="Traditional Arabic" w:cs="Traditional Arabic"/>
          <w:color w:val="000000" w:themeColor="text1"/>
          <w:sz w:val="28"/>
          <w:szCs w:val="28"/>
        </w:rPr>
      </w:pPr>
      <w:r w:rsidRPr="00545ABB">
        <w:rPr>
          <w:rFonts w:ascii="Traditional Arabic" w:eastAsia="Times New Roman" w:hAnsi="Traditional Arabic" w:cs="Traditional Arabic"/>
          <w:color w:val="000000" w:themeColor="text1"/>
          <w:sz w:val="28"/>
          <w:szCs w:val="28"/>
        </w:rPr>
        <w:br w:type="page"/>
      </w:r>
    </w:p>
    <w:p w14:paraId="2B480837" w14:textId="77777777" w:rsidR="00B000FE" w:rsidRPr="00545ABB" w:rsidRDefault="00B000FE" w:rsidP="002174D5">
      <w:pPr>
        <w:pStyle w:val="Heading1"/>
        <w:bidi/>
        <w:jc w:val="center"/>
        <w:rPr>
          <w:rFonts w:ascii="Traditional Arabic" w:hAnsi="Traditional Arabic" w:cs="Traditional Arabic"/>
          <w:b/>
          <w:bCs/>
          <w:color w:val="000000" w:themeColor="text1"/>
          <w:sz w:val="32"/>
          <w:szCs w:val="32"/>
          <w:rtl/>
        </w:rPr>
      </w:pPr>
      <w:bookmarkStart w:id="109" w:name="_Toc242325269"/>
      <w:r w:rsidRPr="00545ABB">
        <w:rPr>
          <w:rFonts w:ascii="Traditional Arabic" w:hAnsi="Traditional Arabic" w:cs="Traditional Arabic"/>
          <w:b/>
          <w:bCs/>
          <w:color w:val="000000" w:themeColor="text1"/>
          <w:sz w:val="32"/>
          <w:szCs w:val="32"/>
          <w:rtl/>
        </w:rPr>
        <w:lastRenderedPageBreak/>
        <w:t>الفصل الثالث</w:t>
      </w:r>
      <w:bookmarkEnd w:id="109"/>
    </w:p>
    <w:p w14:paraId="056FF928" w14:textId="6604597D" w:rsidR="00B000FE" w:rsidRPr="00545ABB" w:rsidRDefault="00B000FE" w:rsidP="002174D5">
      <w:pPr>
        <w:pStyle w:val="Heading1"/>
        <w:bidi/>
        <w:jc w:val="center"/>
        <w:rPr>
          <w:rFonts w:ascii="Traditional Arabic" w:hAnsi="Traditional Arabic" w:cs="Traditional Arabic"/>
          <w:b/>
          <w:bCs/>
          <w:color w:val="000000" w:themeColor="text1"/>
          <w:sz w:val="28"/>
          <w:szCs w:val="28"/>
          <w:rtl/>
        </w:rPr>
      </w:pPr>
      <w:bookmarkStart w:id="110" w:name="_Hlk212514247"/>
      <w:bookmarkStart w:id="111" w:name="_Toc242325270"/>
      <w:r w:rsidRPr="00545ABB">
        <w:rPr>
          <w:rFonts w:ascii="Traditional Arabic" w:hAnsi="Traditional Arabic" w:cs="Traditional Arabic"/>
          <w:b/>
          <w:bCs/>
          <w:color w:val="000000" w:themeColor="text1"/>
          <w:sz w:val="28"/>
          <w:szCs w:val="28"/>
          <w:rtl/>
        </w:rPr>
        <w:t>الطريقة والإجراءات المنهجية</w:t>
      </w:r>
      <w:bookmarkEnd w:id="111"/>
    </w:p>
    <w:p w14:paraId="33B61879" w14:textId="77777777" w:rsidR="00B000FE" w:rsidRPr="00545ABB" w:rsidRDefault="00B000FE" w:rsidP="00022590">
      <w:pPr>
        <w:shd w:val="clear" w:color="auto" w:fill="FFFFFF"/>
        <w:spacing w:before="240" w:after="0" w:line="360" w:lineRule="auto"/>
        <w:jc w:val="both"/>
        <w:rPr>
          <w:rFonts w:ascii="Traditional Arabic" w:eastAsia="Times New Roman" w:hAnsi="Traditional Arabic" w:cs="Traditional Arabic"/>
          <w:b/>
          <w:bCs/>
          <w:color w:val="000000" w:themeColor="text1"/>
          <w:sz w:val="36"/>
          <w:szCs w:val="36"/>
          <w:rtl/>
        </w:rPr>
      </w:pPr>
      <w:bookmarkStart w:id="112" w:name="_Hlk212420627"/>
      <w:bookmarkEnd w:id="110"/>
    </w:p>
    <w:p w14:paraId="6BD5A27C" w14:textId="77777777" w:rsidR="00B000FE" w:rsidRPr="00545ABB" w:rsidRDefault="00B000FE"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مقدمة:</w:t>
      </w:r>
    </w:p>
    <w:p w14:paraId="7DC768A7" w14:textId="486502FF" w:rsidR="00B000FE" w:rsidRPr="00545ABB" w:rsidRDefault="00B000FE"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tl/>
        </w:rPr>
      </w:pPr>
      <w:bookmarkStart w:id="113" w:name="_Hlk236254586"/>
      <w:r w:rsidRPr="00545ABB">
        <w:rPr>
          <w:rFonts w:ascii="Traditional Arabic" w:eastAsia="Times New Roman" w:hAnsi="Traditional Arabic" w:cs="Traditional Arabic"/>
          <w:b/>
          <w:bCs/>
          <w:color w:val="000000" w:themeColor="text1"/>
          <w:sz w:val="28"/>
          <w:szCs w:val="28"/>
          <w:rtl/>
        </w:rPr>
        <w:t>منهج البحث</w:t>
      </w:r>
      <w:r w:rsidRPr="00545ABB">
        <w:rPr>
          <w:rFonts w:ascii="Traditional Arabic" w:eastAsia="Times New Roman" w:hAnsi="Traditional Arabic" w:cs="Traditional Arabic"/>
          <w:b/>
          <w:bCs/>
          <w:color w:val="000000" w:themeColor="text1"/>
          <w:sz w:val="28"/>
          <w:szCs w:val="28"/>
        </w:rPr>
        <w:t>:</w:t>
      </w:r>
      <w:bookmarkEnd w:id="112"/>
    </w:p>
    <w:p w14:paraId="6606C760" w14:textId="2E761C34" w:rsidR="00B000FE" w:rsidRPr="00545ABB" w:rsidRDefault="00B000FE"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تحديد مجتمع وعينة البحث</w:t>
      </w:r>
      <w:r w:rsidRPr="00545ABB">
        <w:rPr>
          <w:rFonts w:ascii="Traditional Arabic" w:eastAsia="Times New Roman" w:hAnsi="Traditional Arabic" w:cs="Traditional Arabic"/>
          <w:b/>
          <w:bCs/>
          <w:color w:val="000000" w:themeColor="text1"/>
          <w:sz w:val="28"/>
          <w:szCs w:val="28"/>
        </w:rPr>
        <w:t>.</w:t>
      </w:r>
    </w:p>
    <w:p w14:paraId="2D1B9FB1" w14:textId="400CE1EB" w:rsidR="00B000FE" w:rsidRPr="00545ABB" w:rsidRDefault="00B000FE"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أدوات جمع البيانات</w:t>
      </w:r>
      <w:r w:rsidRPr="00545ABB">
        <w:rPr>
          <w:rFonts w:ascii="Traditional Arabic" w:eastAsia="Times New Roman" w:hAnsi="Traditional Arabic" w:cs="Traditional Arabic"/>
          <w:b/>
          <w:bCs/>
          <w:color w:val="000000" w:themeColor="text1"/>
          <w:sz w:val="28"/>
          <w:szCs w:val="28"/>
        </w:rPr>
        <w:t>.</w:t>
      </w:r>
    </w:p>
    <w:p w14:paraId="17CA1FC5" w14:textId="14FBA900" w:rsidR="00B000FE" w:rsidRPr="00545ABB" w:rsidRDefault="00B000FE"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تحديد متغيرات الدراسة.</w:t>
      </w:r>
    </w:p>
    <w:p w14:paraId="40319392" w14:textId="0981BB0F" w:rsidR="00B000FE" w:rsidRPr="00545ABB" w:rsidRDefault="00B000FE"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تحديد إجراءات تنفيذ الدراسة.</w:t>
      </w:r>
    </w:p>
    <w:p w14:paraId="48F71B0F" w14:textId="774EC154" w:rsidR="00B000FE" w:rsidRPr="00545ABB" w:rsidRDefault="00EF5263"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28"/>
          <w:szCs w:val="28"/>
          <w:rtl/>
        </w:rPr>
        <w:t>تصميم</w:t>
      </w:r>
      <w:r w:rsidR="00B000FE" w:rsidRPr="00545ABB">
        <w:rPr>
          <w:rFonts w:ascii="Traditional Arabic" w:eastAsia="Times New Roman" w:hAnsi="Traditional Arabic" w:cs="Traditional Arabic"/>
          <w:b/>
          <w:bCs/>
          <w:color w:val="000000" w:themeColor="text1"/>
          <w:sz w:val="28"/>
          <w:szCs w:val="28"/>
          <w:rtl/>
        </w:rPr>
        <w:t xml:space="preserve"> الدراسة والمعالجة الإحصائية.</w:t>
      </w:r>
    </w:p>
    <w:p w14:paraId="1249E44B" w14:textId="7E36175B" w:rsidR="00412241" w:rsidRPr="00545ABB" w:rsidRDefault="00412241" w:rsidP="00D95153">
      <w:pPr>
        <w:pStyle w:val="ListParagraph"/>
        <w:numPr>
          <w:ilvl w:val="0"/>
          <w:numId w:val="19"/>
        </w:numPr>
        <w:bidi/>
        <w:spacing w:before="240" w:after="0" w:line="360" w:lineRule="auto"/>
        <w:rPr>
          <w:rFonts w:ascii="Traditional Arabic" w:eastAsia="Times New Roman" w:hAnsi="Traditional Arabic" w:cs="Traditional Arabic"/>
          <w:b/>
          <w:bCs/>
          <w:color w:val="000000" w:themeColor="text1"/>
          <w:sz w:val="28"/>
          <w:szCs w:val="28"/>
        </w:rPr>
      </w:pPr>
      <w:r w:rsidRPr="00545ABB">
        <w:rPr>
          <w:rFonts w:ascii="Traditional Arabic" w:eastAsia="Times New Roman" w:hAnsi="Traditional Arabic" w:cs="Traditional Arabic"/>
          <w:b/>
          <w:bCs/>
          <w:color w:val="000000" w:themeColor="text1"/>
          <w:sz w:val="28"/>
          <w:szCs w:val="28"/>
          <w:rtl/>
        </w:rPr>
        <w:t>خاتمة</w:t>
      </w:r>
    </w:p>
    <w:bookmarkEnd w:id="113"/>
    <w:p w14:paraId="4AD5F22E" w14:textId="77777777" w:rsidR="00B000FE" w:rsidRPr="00545ABB" w:rsidRDefault="00B000FE" w:rsidP="00022590">
      <w:pPr>
        <w:spacing w:before="240" w:after="0" w:line="360" w:lineRule="auto"/>
        <w:jc w:val="center"/>
        <w:rPr>
          <w:rFonts w:ascii="Traditional Arabic" w:hAnsi="Traditional Arabic" w:cs="Traditional Arabic"/>
          <w:b/>
          <w:bCs/>
          <w:color w:val="000000" w:themeColor="text1"/>
          <w:sz w:val="48"/>
          <w:szCs w:val="48"/>
          <w:rtl/>
          <w:lang w:bidi="ar-EG"/>
        </w:rPr>
      </w:pPr>
    </w:p>
    <w:p w14:paraId="0CB89F7D" w14:textId="77777777" w:rsidR="00B000FE" w:rsidRPr="00545ABB" w:rsidRDefault="00B000FE" w:rsidP="00022590">
      <w:pPr>
        <w:spacing w:before="240" w:after="0" w:line="360" w:lineRule="auto"/>
        <w:jc w:val="center"/>
        <w:rPr>
          <w:rFonts w:ascii="Traditional Arabic" w:hAnsi="Traditional Arabic" w:cs="Traditional Arabic"/>
          <w:b/>
          <w:bCs/>
          <w:color w:val="000000" w:themeColor="text1"/>
          <w:sz w:val="48"/>
          <w:szCs w:val="48"/>
          <w:rtl/>
          <w:lang w:bidi="ar-EG"/>
        </w:rPr>
      </w:pPr>
    </w:p>
    <w:p w14:paraId="5E709020" w14:textId="77777777" w:rsidR="00CE0D38" w:rsidRPr="00545ABB" w:rsidRDefault="00CE0D38" w:rsidP="00022590">
      <w:pPr>
        <w:spacing w:before="240" w:after="0" w:line="360" w:lineRule="auto"/>
        <w:jc w:val="center"/>
        <w:rPr>
          <w:rFonts w:ascii="Traditional Arabic" w:hAnsi="Traditional Arabic" w:cs="Traditional Arabic"/>
          <w:b/>
          <w:bCs/>
          <w:color w:val="000000" w:themeColor="text1"/>
          <w:sz w:val="48"/>
          <w:szCs w:val="48"/>
          <w:rtl/>
          <w:lang w:bidi="ar-EG"/>
        </w:rPr>
      </w:pPr>
    </w:p>
    <w:p w14:paraId="0A2BEFD0" w14:textId="77777777" w:rsidR="00B000FE" w:rsidRPr="00545ABB" w:rsidRDefault="00B000FE" w:rsidP="002174D5">
      <w:pPr>
        <w:pStyle w:val="a"/>
        <w:rPr>
          <w:rFonts w:ascii="Traditional Arabic" w:hAnsi="Traditional Arabic" w:cs="Traditional Arabic"/>
          <w:b w:val="0"/>
          <w:bCs/>
          <w:rtl/>
        </w:rPr>
      </w:pPr>
      <w:bookmarkStart w:id="114" w:name="_Hlk212517707"/>
      <w:bookmarkStart w:id="115" w:name="_Toc242325271"/>
      <w:r w:rsidRPr="00545ABB">
        <w:rPr>
          <w:rFonts w:ascii="Traditional Arabic" w:hAnsi="Traditional Arabic" w:cs="Traditional Arabic"/>
          <w:b w:val="0"/>
          <w:bCs/>
          <w:rtl/>
        </w:rPr>
        <w:lastRenderedPageBreak/>
        <w:t>مقدمة:</w:t>
      </w:r>
      <w:bookmarkEnd w:id="115"/>
    </w:p>
    <w:bookmarkEnd w:id="114"/>
    <w:p w14:paraId="6E2308F3" w14:textId="77777777" w:rsidR="007347AF" w:rsidRPr="00545ABB" w:rsidRDefault="007347AF" w:rsidP="007347AF">
      <w:pPr>
        <w:spacing w:before="100" w:beforeAutospacing="1" w:after="100" w:afterAutospacing="1" w:line="360" w:lineRule="auto"/>
        <w:ind w:firstLine="720"/>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يمثل هذا الفصل الجانب المنهجي والتطبيقي للدراسة، حيث يتناول الإجراءات العلمية التي اعتمد عليها الباحث لدراسة أثر الحوكمة الفعالة في استدامة ونجاح شركات الأمن السيبراني الناشئة في المملكة العربية السعودية، وذلك بما يحقق أهداف الدراسة ويسهم في الإجابة عن تساؤلاتها واختبار فرضياتها</w:t>
      </w:r>
      <w:r w:rsidRPr="00545ABB">
        <w:rPr>
          <w:rFonts w:ascii="Traditional Arabic" w:eastAsia="Times New Roman" w:hAnsi="Traditional Arabic" w:cs="Traditional Arabic"/>
          <w:b/>
          <w:bCs/>
          <w:color w:val="000000" w:themeColor="text1"/>
          <w:sz w:val="24"/>
          <w:szCs w:val="24"/>
        </w:rPr>
        <w:t>.</w:t>
      </w:r>
    </w:p>
    <w:p w14:paraId="511B4717" w14:textId="77777777" w:rsidR="007347AF" w:rsidRPr="00545ABB" w:rsidRDefault="007347AF" w:rsidP="007347AF">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ويتناول الفصل المنهج المستخدم في الدراسة ومبررات اختياره، وتحديد مجتمع الدراسة وعينتها، ومعايير اختيار الشركات المشاركة، إلى جانب توضيح أدوات جمع البيانات والإجراءات المتبعة في إعدادها وتطبيقها</w:t>
      </w:r>
      <w:r w:rsidRPr="00545ABB">
        <w:rPr>
          <w:rFonts w:ascii="Traditional Arabic" w:eastAsia="Times New Roman" w:hAnsi="Traditional Arabic" w:cs="Traditional Arabic"/>
          <w:b/>
          <w:bCs/>
          <w:color w:val="000000" w:themeColor="text1"/>
          <w:sz w:val="24"/>
          <w:szCs w:val="24"/>
        </w:rPr>
        <w:t xml:space="preserve">. </w:t>
      </w:r>
      <w:r w:rsidRPr="00545ABB">
        <w:rPr>
          <w:rFonts w:ascii="Traditional Arabic" w:eastAsia="Times New Roman" w:hAnsi="Traditional Arabic" w:cs="Traditional Arabic"/>
          <w:b/>
          <w:bCs/>
          <w:color w:val="000000" w:themeColor="text1"/>
          <w:sz w:val="24"/>
          <w:szCs w:val="24"/>
          <w:rtl/>
        </w:rPr>
        <w:t>كما يتضمن تحديد متغيرات الدراسة وأبعادها، وبناء أداة القياس، وإجراءات التحقق من صدقها وثباتها، والأساليب الإحصائية المستخدمة في معالجة البيانات وتحليلها</w:t>
      </w:r>
      <w:r w:rsidRPr="00545ABB">
        <w:rPr>
          <w:rFonts w:ascii="Traditional Arabic" w:eastAsia="Times New Roman" w:hAnsi="Traditional Arabic" w:cs="Traditional Arabic"/>
          <w:b/>
          <w:bCs/>
          <w:color w:val="000000" w:themeColor="text1"/>
          <w:sz w:val="24"/>
          <w:szCs w:val="24"/>
        </w:rPr>
        <w:t>.</w:t>
      </w:r>
    </w:p>
    <w:p w14:paraId="1E831E17" w14:textId="17B66C79" w:rsidR="007347AF" w:rsidRPr="00545ABB" w:rsidRDefault="007347AF" w:rsidP="00800F7F">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وقد روعي في تصميم الإجراءات المنهجية تحقيق الاتساق بين الإطار النظري ونموذج الدراسة والجانب التطبيقي، بحيث تمثل الحوكمة الفعالة المتغير المستقل، بينما تمثل الاستدامة المؤسسية والنجاح المؤسسي المتغيرين التابعين، </w:t>
      </w:r>
      <w:r w:rsidR="00800F7F" w:rsidRPr="00545ABB">
        <w:rPr>
          <w:rFonts w:ascii="Traditional Arabic" w:eastAsia="Times New Roman" w:hAnsi="Traditional Arabic" w:cs="Traditional Arabic"/>
          <w:b/>
          <w:bCs/>
          <w:color w:val="000000" w:themeColor="text1"/>
          <w:sz w:val="24"/>
          <w:szCs w:val="24"/>
          <w:rtl/>
        </w:rPr>
        <w:t>بما يتيح تحليل العلاقات وقياس أثر الحوكمة</w:t>
      </w:r>
      <w:r w:rsidR="00800F7F" w:rsidRPr="00545ABB">
        <w:rPr>
          <w:rFonts w:ascii="Traditional Arabic" w:eastAsia="Times New Roman" w:hAnsi="Traditional Arabic" w:cs="Traditional Arabic" w:hint="cs"/>
          <w:b/>
          <w:bCs/>
          <w:color w:val="000000" w:themeColor="text1"/>
          <w:sz w:val="24"/>
          <w:szCs w:val="24"/>
          <w:rtl/>
        </w:rPr>
        <w:t xml:space="preserve"> </w:t>
      </w:r>
      <w:r w:rsidRPr="00545ABB">
        <w:rPr>
          <w:rFonts w:ascii="Traditional Arabic" w:eastAsia="Times New Roman" w:hAnsi="Traditional Arabic" w:cs="Traditional Arabic"/>
          <w:b/>
          <w:bCs/>
          <w:color w:val="000000" w:themeColor="text1"/>
          <w:sz w:val="24"/>
          <w:szCs w:val="24"/>
          <w:rtl/>
        </w:rPr>
        <w:t>بين هذه المتغيرات في شركات الأمن السيبراني الناشئة محل الدراسة</w:t>
      </w:r>
      <w:r w:rsidRPr="00545ABB">
        <w:rPr>
          <w:rFonts w:ascii="Traditional Arabic" w:eastAsia="Times New Roman" w:hAnsi="Traditional Arabic" w:cs="Traditional Arabic"/>
          <w:b/>
          <w:bCs/>
          <w:color w:val="000000" w:themeColor="text1"/>
          <w:sz w:val="24"/>
          <w:szCs w:val="24"/>
        </w:rPr>
        <w:t>.</w:t>
      </w:r>
    </w:p>
    <w:p w14:paraId="3D00D92A" w14:textId="1258A79E" w:rsidR="00B000FE" w:rsidRPr="00545ABB" w:rsidRDefault="00B000FE" w:rsidP="00022590">
      <w:pPr>
        <w:spacing w:after="0" w:line="360" w:lineRule="auto"/>
        <w:ind w:firstLine="630"/>
        <w:jc w:val="both"/>
        <w:rPr>
          <w:rFonts w:ascii="Traditional Arabic" w:eastAsia="Times New Roman" w:hAnsi="Traditional Arabic" w:cs="Traditional Arabic"/>
          <w:color w:val="000000" w:themeColor="text1"/>
          <w:sz w:val="28"/>
          <w:szCs w:val="28"/>
          <w:rtl/>
        </w:rPr>
      </w:pPr>
    </w:p>
    <w:p w14:paraId="54635FFF" w14:textId="15FFDEB6" w:rsidR="00F201D6" w:rsidRPr="00545ABB" w:rsidRDefault="00F201D6" w:rsidP="002174D5">
      <w:pPr>
        <w:pStyle w:val="a"/>
        <w:rPr>
          <w:rFonts w:ascii="Traditional Arabic" w:hAnsi="Traditional Arabic" w:cs="Traditional Arabic"/>
          <w:b w:val="0"/>
          <w:bCs/>
          <w:rtl/>
        </w:rPr>
      </w:pPr>
      <w:bookmarkStart w:id="116" w:name="_Hlk212420700"/>
      <w:bookmarkStart w:id="117" w:name="_Toc242325272"/>
      <w:r w:rsidRPr="00545ABB">
        <w:rPr>
          <w:rFonts w:ascii="Traditional Arabic" w:hAnsi="Traditional Arabic" w:cs="Traditional Arabic"/>
          <w:b w:val="0"/>
          <w:bCs/>
          <w:rtl/>
        </w:rPr>
        <w:t>منهج البحث</w:t>
      </w:r>
      <w:r w:rsidRPr="00545ABB">
        <w:rPr>
          <w:rFonts w:ascii="Traditional Arabic" w:hAnsi="Traditional Arabic" w:cs="Traditional Arabic"/>
          <w:b w:val="0"/>
          <w:bCs/>
        </w:rPr>
        <w:t>:</w:t>
      </w:r>
      <w:bookmarkEnd w:id="117"/>
    </w:p>
    <w:p w14:paraId="4BB71AAF" w14:textId="77777777" w:rsidR="00F87EA0" w:rsidRPr="00545ABB" w:rsidRDefault="00F87EA0" w:rsidP="00F87EA0">
      <w:pPr>
        <w:pStyle w:val="NormalWeb"/>
        <w:bidi/>
        <w:spacing w:line="360" w:lineRule="auto"/>
        <w:rPr>
          <w:rFonts w:ascii="Traditional Arabic" w:hAnsi="Traditional Arabic" w:cs="Traditional Arabic"/>
          <w:b/>
          <w:bCs/>
          <w:color w:val="000000" w:themeColor="text1"/>
        </w:rPr>
      </w:pPr>
      <w:bookmarkStart w:id="118" w:name="_Hlk212420744"/>
      <w:bookmarkEnd w:id="116"/>
      <w:r w:rsidRPr="00545ABB">
        <w:rPr>
          <w:rFonts w:ascii="Traditional Arabic" w:hAnsi="Traditional Arabic" w:cs="Traditional Arabic"/>
          <w:b/>
          <w:bCs/>
          <w:color w:val="000000" w:themeColor="text1"/>
          <w:rtl/>
        </w:rPr>
        <w:t xml:space="preserve">اعتمدت الدراسة على </w:t>
      </w:r>
      <w:r w:rsidRPr="00545ABB">
        <w:rPr>
          <w:rStyle w:val="Strong"/>
          <w:rFonts w:ascii="Traditional Arabic" w:hAnsi="Traditional Arabic" w:cs="Traditional Arabic"/>
          <w:color w:val="000000" w:themeColor="text1"/>
          <w:rtl/>
        </w:rPr>
        <w:t>المنهج الوصفي التحليلي</w:t>
      </w:r>
      <w:r w:rsidRPr="00545ABB">
        <w:rPr>
          <w:rFonts w:ascii="Traditional Arabic" w:hAnsi="Traditional Arabic" w:cs="Traditional Arabic"/>
          <w:color w:val="000000" w:themeColor="text1"/>
          <w:rtl/>
        </w:rPr>
        <w:t>؛</w:t>
      </w:r>
      <w:r w:rsidRPr="00545ABB">
        <w:rPr>
          <w:rFonts w:ascii="Traditional Arabic" w:hAnsi="Traditional Arabic" w:cs="Traditional Arabic"/>
          <w:b/>
          <w:bCs/>
          <w:color w:val="000000" w:themeColor="text1"/>
          <w:rtl/>
        </w:rPr>
        <w:t xml:space="preserve"> لملاءمته لطبيعة الدراسة وأهدافها، حيث يتيح وصف واقع تطبيق الحوكمة الفعالة في شركات الأمن السيبراني الناشئة، وتحليل العلاقة بين الحوكمة وكل من الاستدامة المؤسسية والنجاح المؤسسي</w:t>
      </w:r>
      <w:r w:rsidRPr="00545ABB">
        <w:rPr>
          <w:rFonts w:ascii="Traditional Arabic" w:hAnsi="Traditional Arabic" w:cs="Traditional Arabic"/>
          <w:b/>
          <w:bCs/>
          <w:color w:val="000000" w:themeColor="text1"/>
        </w:rPr>
        <w:t>.</w:t>
      </w:r>
    </w:p>
    <w:p w14:paraId="4A878A5C" w14:textId="77777777" w:rsidR="00F87EA0" w:rsidRPr="00545ABB" w:rsidRDefault="00F87EA0" w:rsidP="00F87EA0">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اعتمدت الدراسة على الجمع بين البيانات الكمية والكيفية؛ إذ تم استخدام الاستبانة للحصول على البيانات الكمية المتعلقة بمتغيرات الدراسة وأبعادها، إلى جانب المقابلات شبه المقننة للحصول على رؤى أكثر عمقًا من المختصين والخبراء، والاستفادة من الوثائق والتقارير ذات العلاقة في دعم الفهم السياقي للظاهرة محل الدراسة</w:t>
      </w:r>
      <w:r w:rsidRPr="00545ABB">
        <w:rPr>
          <w:rFonts w:ascii="Traditional Arabic" w:hAnsi="Traditional Arabic" w:cs="Traditional Arabic"/>
          <w:b/>
          <w:bCs/>
          <w:color w:val="000000" w:themeColor="text1"/>
        </w:rPr>
        <w:t>.</w:t>
      </w:r>
    </w:p>
    <w:p w14:paraId="4CD3BCA5" w14:textId="77777777" w:rsidR="00F87EA0" w:rsidRPr="00545ABB" w:rsidRDefault="00F87EA0" w:rsidP="00F87EA0">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ويتيح هذا المنهج تحليل اتجاهات أفراد العينة، وقياس مستوى تطبيق أبعاد الحوكمة، ودراسة العلاقات الإحصائية بينها وبين متغيري الاستدامة والنجاح المؤسسي، بما يساعد على الوصول إلى نتائج يمكن تفسيرها في ضوء الإطار النظري والدراسات السابقة</w:t>
      </w:r>
      <w:r w:rsidRPr="00545ABB">
        <w:rPr>
          <w:rFonts w:ascii="Traditional Arabic" w:hAnsi="Traditional Arabic" w:cs="Traditional Arabic"/>
          <w:b/>
          <w:bCs/>
          <w:color w:val="000000" w:themeColor="text1"/>
        </w:rPr>
        <w:t>.</w:t>
      </w:r>
    </w:p>
    <w:p w14:paraId="71F8DBE2" w14:textId="77777777" w:rsidR="00F87EA0" w:rsidRPr="00545ABB" w:rsidRDefault="00F87EA0" w:rsidP="00F87EA0">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ومن حيث المدخل المنطقي للدراسة، اعتمدت </w:t>
      </w:r>
      <w:r w:rsidRPr="00545ABB">
        <w:rPr>
          <w:rFonts w:ascii="Traditional Arabic" w:hAnsi="Traditional Arabic" w:cs="Traditional Arabic"/>
          <w:color w:val="000000" w:themeColor="text1"/>
          <w:rtl/>
        </w:rPr>
        <w:t xml:space="preserve">الدراسة </w:t>
      </w:r>
      <w:r w:rsidRPr="00545ABB">
        <w:rPr>
          <w:rStyle w:val="Strong"/>
          <w:rFonts w:ascii="Traditional Arabic" w:hAnsi="Traditional Arabic" w:cs="Traditional Arabic"/>
          <w:color w:val="000000" w:themeColor="text1"/>
          <w:rtl/>
        </w:rPr>
        <w:t xml:space="preserve">المدخل الاستنباطي </w:t>
      </w:r>
      <w:r w:rsidRPr="00545ABB">
        <w:rPr>
          <w:rStyle w:val="Strong"/>
          <w:rFonts w:ascii="Traditional Arabic" w:hAnsi="Traditional Arabic" w:cs="Traditional Arabic"/>
          <w:color w:val="000000" w:themeColor="text1"/>
        </w:rPr>
        <w:t>(Deductive Approach)</w:t>
      </w:r>
      <w:r w:rsidRPr="00545ABB">
        <w:rPr>
          <w:rFonts w:ascii="Traditional Arabic" w:hAnsi="Traditional Arabic" w:cs="Traditional Arabic"/>
          <w:color w:val="000000" w:themeColor="text1"/>
          <w:rtl/>
        </w:rPr>
        <w:t>،</w:t>
      </w:r>
      <w:r w:rsidRPr="00545ABB">
        <w:rPr>
          <w:rFonts w:ascii="Traditional Arabic" w:hAnsi="Traditional Arabic" w:cs="Traditional Arabic"/>
          <w:b/>
          <w:bCs/>
          <w:color w:val="000000" w:themeColor="text1"/>
          <w:rtl/>
        </w:rPr>
        <w:t xml:space="preserve"> حيث انطلقت من الإطار النظري والدراسات المرجعية ذات الصلة، وفي ضوئها تم تحديد متغيرات الدراسة وأبعادها وصياغة فرضياتها، ثم جُمعت البيانات الميدانية وتم تحليلها إحصائيًا لاختبار الفرضيات والتحقق من طبيعة العلاقات بين الحوكمة الفعالة والاستدامة المؤسسية والنجاح المؤسسي</w:t>
      </w:r>
      <w:r w:rsidRPr="00545ABB">
        <w:rPr>
          <w:rFonts w:ascii="Traditional Arabic" w:hAnsi="Traditional Arabic" w:cs="Traditional Arabic"/>
          <w:b/>
          <w:bCs/>
          <w:color w:val="000000" w:themeColor="text1"/>
        </w:rPr>
        <w:t>.</w:t>
      </w:r>
    </w:p>
    <w:p w14:paraId="2A21BB07" w14:textId="4424BCC5" w:rsidR="009E685C" w:rsidRPr="00545ABB" w:rsidRDefault="009E685C" w:rsidP="009E685C">
      <w:pPr>
        <w:spacing w:before="100" w:beforeAutospacing="1" w:after="100" w:afterAutospacing="1" w:line="360" w:lineRule="auto"/>
        <w:rPr>
          <w:rFonts w:ascii="Traditional Arabic" w:eastAsia="Times New Roman" w:hAnsi="Traditional Arabic" w:cs="Traditional Arabic"/>
          <w:b/>
          <w:bCs/>
          <w:color w:val="000000" w:themeColor="text1"/>
          <w:sz w:val="32"/>
          <w:szCs w:val="32"/>
        </w:rPr>
      </w:pPr>
      <w:bookmarkStart w:id="119" w:name="_Hlk212421256"/>
      <w:bookmarkEnd w:id="118"/>
      <w:r w:rsidRPr="00545ABB">
        <w:rPr>
          <w:rFonts w:ascii="Traditional Arabic" w:eastAsia="Times New Roman" w:hAnsi="Traditional Arabic" w:cs="Traditional Arabic"/>
          <w:b/>
          <w:bCs/>
          <w:color w:val="000000" w:themeColor="text1"/>
          <w:sz w:val="32"/>
          <w:szCs w:val="32"/>
          <w:rtl/>
        </w:rPr>
        <w:t>تحديد مجتمع وعينة البحث</w:t>
      </w:r>
    </w:p>
    <w:p w14:paraId="00B1ACA7" w14:textId="1105E4A8" w:rsidR="009E685C" w:rsidRPr="00545ABB" w:rsidRDefault="009E685C" w:rsidP="009E685C">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يتكون مجتمع الدراسة من الشركات الناشئة العاملة في مجال الأمن السيبراني في المملكة العربية السعودية، باعتبارها من المؤسسات التي تعمل في بيئة تقنية وتنظيمية متخصصة، وترتبط بصورة مباشرة بمحاور الدراسة المتمثلة في الحوكمة الفعالة، والاستدامة المؤسسية، والنجاح المؤسسي</w:t>
      </w:r>
      <w:r w:rsidRPr="00545ABB">
        <w:rPr>
          <w:rFonts w:ascii="Traditional Arabic" w:eastAsia="Times New Roman" w:hAnsi="Traditional Arabic" w:cs="Traditional Arabic"/>
          <w:b/>
          <w:bCs/>
          <w:color w:val="000000" w:themeColor="text1"/>
          <w:sz w:val="24"/>
          <w:szCs w:val="24"/>
        </w:rPr>
        <w:t>.</w:t>
      </w:r>
    </w:p>
    <w:p w14:paraId="3B39256F" w14:textId="77777777" w:rsidR="009E685C" w:rsidRPr="00545ABB" w:rsidRDefault="009E685C" w:rsidP="009E685C">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وقد تم اختيار العينة المؤسسية بطريقة قصدية غير عشوائية، وتمثلت في شركتين ناشئتين تعملان في مجال الأمن السيبراني، هما</w:t>
      </w:r>
      <w:r w:rsidRPr="00545ABB">
        <w:rPr>
          <w:rFonts w:ascii="Traditional Arabic" w:eastAsia="Times New Roman" w:hAnsi="Traditional Arabic" w:cs="Traditional Arabic"/>
          <w:b/>
          <w:bCs/>
          <w:color w:val="000000" w:themeColor="text1"/>
          <w:sz w:val="24"/>
          <w:szCs w:val="24"/>
        </w:rPr>
        <w:t>:</w:t>
      </w:r>
    </w:p>
    <w:p w14:paraId="1A5DF7F5" w14:textId="77777777" w:rsidR="009E685C" w:rsidRPr="00545ABB" w:rsidRDefault="009E685C" w:rsidP="00D95153">
      <w:pPr>
        <w:numPr>
          <w:ilvl w:val="0"/>
          <w:numId w:val="35"/>
        </w:num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شركة الضوابط المتقدمة لتقنية المعلومات</w:t>
      </w:r>
      <w:r w:rsidRPr="00545ABB">
        <w:rPr>
          <w:rFonts w:ascii="Traditional Arabic" w:eastAsia="Times New Roman" w:hAnsi="Traditional Arabic" w:cs="Traditional Arabic"/>
          <w:b/>
          <w:bCs/>
          <w:color w:val="000000" w:themeColor="text1"/>
          <w:sz w:val="24"/>
          <w:szCs w:val="24"/>
        </w:rPr>
        <w:t>.</w:t>
      </w:r>
    </w:p>
    <w:p w14:paraId="21FE2EC6" w14:textId="77777777" w:rsidR="009E685C" w:rsidRPr="00545ABB" w:rsidRDefault="009E685C" w:rsidP="00D95153">
      <w:pPr>
        <w:numPr>
          <w:ilvl w:val="0"/>
          <w:numId w:val="35"/>
        </w:num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شركة المتغير الأمني الذكي</w:t>
      </w:r>
      <w:r w:rsidRPr="00545ABB">
        <w:rPr>
          <w:rFonts w:ascii="Traditional Arabic" w:eastAsia="Times New Roman" w:hAnsi="Traditional Arabic" w:cs="Traditional Arabic"/>
          <w:b/>
          <w:bCs/>
          <w:color w:val="000000" w:themeColor="text1"/>
          <w:sz w:val="24"/>
          <w:szCs w:val="24"/>
        </w:rPr>
        <w:t>.</w:t>
      </w:r>
    </w:p>
    <w:p w14:paraId="2F552152" w14:textId="77777777" w:rsidR="009E685C" w:rsidRPr="00545ABB" w:rsidRDefault="009E685C" w:rsidP="009E685C">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وجاء اختيار الشركتين وفق مجموعة من المعايير المرتبطة بموضوع الدراسة، من أبرزها أن تكون الشركة مسجلة رسميًا في المملكة العربية السعودية، وأن تمارس نشاطًا فعليًا في مجال الأمن السيبراني، وأن يكون لديها مشروعات قائمة أو منفذة في هذا المجال، إضافة إلى توافر ممارسات تنظيمية وإدارية تتيح دراسة أبعاد الحوكمة محل البحث</w:t>
      </w:r>
      <w:r w:rsidRPr="00545ABB">
        <w:rPr>
          <w:rFonts w:ascii="Traditional Arabic" w:eastAsia="Times New Roman" w:hAnsi="Traditional Arabic" w:cs="Traditional Arabic"/>
          <w:b/>
          <w:bCs/>
          <w:color w:val="000000" w:themeColor="text1"/>
          <w:sz w:val="24"/>
          <w:szCs w:val="24"/>
        </w:rPr>
        <w:t>.</w:t>
      </w:r>
    </w:p>
    <w:p w14:paraId="6FEC13E3" w14:textId="77777777" w:rsidR="009E685C" w:rsidRPr="00545ABB" w:rsidRDefault="009E685C" w:rsidP="009E685C">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 xml:space="preserve">أما العينة البشرية للدراسة، فقد بلغ عدد المشاركين فيها </w:t>
      </w:r>
      <w:r w:rsidRPr="00545ABB">
        <w:rPr>
          <w:rFonts w:ascii="Traditional Arabic" w:eastAsia="Times New Roman" w:hAnsi="Traditional Arabic" w:cs="Traditional Arabic"/>
          <w:b/>
          <w:bCs/>
          <w:color w:val="000000" w:themeColor="text1"/>
          <w:sz w:val="24"/>
          <w:szCs w:val="24"/>
        </w:rPr>
        <w:t xml:space="preserve">(63) </w:t>
      </w:r>
      <w:r w:rsidRPr="00545ABB">
        <w:rPr>
          <w:rFonts w:ascii="Traditional Arabic" w:eastAsia="Times New Roman" w:hAnsi="Traditional Arabic" w:cs="Traditional Arabic"/>
          <w:b/>
          <w:bCs/>
          <w:color w:val="000000" w:themeColor="text1"/>
          <w:sz w:val="24"/>
          <w:szCs w:val="24"/>
          <w:rtl/>
        </w:rPr>
        <w:t>مشاركًا من العاملين والمختصين ذوي العلاقة بالأمن السيبراني والإدارة والحوكمة في الشركات المستهدفة. وتمت مراعاة التنوع في الخصائص الديموغرافية للمشاركين، بما يشمل العمر، والمؤهل العلمي، وسنوات الخبرة، والمسمى الوظيفي، بهدف الحصول على استجابات تعكس وجهات نظر متنوعة حول متغيرات الدراسة</w:t>
      </w:r>
      <w:r w:rsidRPr="00545ABB">
        <w:rPr>
          <w:rFonts w:ascii="Traditional Arabic" w:eastAsia="Times New Roman" w:hAnsi="Traditional Arabic" w:cs="Traditional Arabic"/>
          <w:b/>
          <w:bCs/>
          <w:color w:val="000000" w:themeColor="text1"/>
          <w:sz w:val="24"/>
          <w:szCs w:val="24"/>
        </w:rPr>
        <w:t>.</w:t>
      </w:r>
    </w:p>
    <w:p w14:paraId="4EC3E825" w14:textId="77777777" w:rsidR="009E685C" w:rsidRPr="00545ABB" w:rsidRDefault="009E685C" w:rsidP="009E685C">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t>وقد تم الاعتماد على العينة القصدية نظرًا للطبيعة المتخصصة لمجال الدراسة، والحاجة إلى الحصول على البيانات من شركات وأفراد لديهم معرفة وخبرة مباشرة في قطاع الأمن السيبراني وممارسات الحوكمة، بما يتناسب مع أهداف الدراسة وطبيعتها الوصفية التحليلية</w:t>
      </w:r>
      <w:r w:rsidRPr="00545ABB">
        <w:rPr>
          <w:rFonts w:ascii="Traditional Arabic" w:eastAsia="Times New Roman" w:hAnsi="Traditional Arabic" w:cs="Traditional Arabic"/>
          <w:b/>
          <w:bCs/>
          <w:color w:val="000000" w:themeColor="text1"/>
          <w:sz w:val="24"/>
          <w:szCs w:val="24"/>
        </w:rPr>
        <w:t>.</w:t>
      </w:r>
    </w:p>
    <w:p w14:paraId="4CADB6DF" w14:textId="77777777" w:rsidR="009E685C" w:rsidRPr="00545ABB" w:rsidRDefault="009E685C" w:rsidP="009E685C">
      <w:pPr>
        <w:spacing w:before="100" w:beforeAutospacing="1" w:after="100" w:afterAutospacing="1" w:line="360" w:lineRule="auto"/>
        <w:rPr>
          <w:rFonts w:ascii="Traditional Arabic" w:eastAsia="Times New Roman" w:hAnsi="Traditional Arabic" w:cs="Traditional Arabic"/>
          <w:b/>
          <w:bCs/>
          <w:color w:val="000000" w:themeColor="text1"/>
          <w:sz w:val="24"/>
          <w:szCs w:val="24"/>
        </w:rPr>
      </w:pPr>
      <w:r w:rsidRPr="00545ABB">
        <w:rPr>
          <w:rFonts w:ascii="Traditional Arabic" w:eastAsia="Times New Roman" w:hAnsi="Traditional Arabic" w:cs="Traditional Arabic"/>
          <w:b/>
          <w:bCs/>
          <w:color w:val="000000" w:themeColor="text1"/>
          <w:sz w:val="24"/>
          <w:szCs w:val="24"/>
          <w:rtl/>
        </w:rPr>
        <w:lastRenderedPageBreak/>
        <w:t>وتُعد العينة المختارة ملائمة لأهداف الدراسة وطبيعتها الوصفية التحليلية، نظرًا لارتباط أفرادها المباشر بقطاع الأمن السيبراني وموضوعات الحوكمة محل الدراسة. وقد تم استخدام الاستبانة، والمقابلات شبه المقننة، وتحليل الوثائق للحصول على بيانات كمية وكيفية تسهم في تحليل واقع الحوكمة وعلاقتها بالاستدامة المؤسسية والنجاح المؤسسي في شركات الأمن السيبراني الناشئة محل الدراسة</w:t>
      </w:r>
      <w:r w:rsidRPr="00545ABB">
        <w:rPr>
          <w:rFonts w:ascii="Traditional Arabic" w:eastAsia="Times New Roman" w:hAnsi="Traditional Arabic" w:cs="Traditional Arabic"/>
          <w:b/>
          <w:bCs/>
          <w:color w:val="000000" w:themeColor="text1"/>
          <w:sz w:val="24"/>
          <w:szCs w:val="24"/>
        </w:rPr>
        <w:t>.</w:t>
      </w:r>
    </w:p>
    <w:p w14:paraId="15840F78" w14:textId="77777777" w:rsidR="00EC1BE5" w:rsidRPr="00545ABB" w:rsidRDefault="00EC1BE5" w:rsidP="00EC1BE5">
      <w:pPr>
        <w:pStyle w:val="Heading2"/>
        <w:bidi/>
        <w:spacing w:line="360" w:lineRule="auto"/>
        <w:rPr>
          <w:rFonts w:ascii="Traditional Arabic" w:hAnsi="Traditional Arabic" w:cs="Traditional Arabic"/>
          <w:b/>
          <w:bCs/>
          <w:color w:val="000000" w:themeColor="text1"/>
        </w:rPr>
      </w:pPr>
      <w:bookmarkStart w:id="120" w:name="_Toc242325273"/>
      <w:r w:rsidRPr="00545ABB">
        <w:rPr>
          <w:rFonts w:ascii="Traditional Arabic" w:hAnsi="Traditional Arabic" w:cs="Traditional Arabic"/>
          <w:b/>
          <w:bCs/>
          <w:color w:val="000000" w:themeColor="text1"/>
          <w:rtl/>
        </w:rPr>
        <w:t>أدوات جمع البيانات</w:t>
      </w:r>
      <w:bookmarkEnd w:id="120"/>
    </w:p>
    <w:p w14:paraId="06521B1B"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اعتمدت الدراسة على ثلاث أدوات رئيسة لجمع البيانات، بما يحقق التكامل بين البيانات الكمية والكيفية، ويعزز من القدرة على فهم الظاهرة محل الدراسة وتحليلها من جوانب متعددة. وتمثلت هذه الأدوات فيما يلي</w:t>
      </w:r>
      <w:r w:rsidRPr="00545ABB">
        <w:rPr>
          <w:rFonts w:ascii="Traditional Arabic" w:hAnsi="Traditional Arabic" w:cs="Traditional Arabic"/>
          <w:b/>
          <w:bCs/>
          <w:color w:val="000000" w:themeColor="text1"/>
        </w:rPr>
        <w:t>:</w:t>
      </w:r>
    </w:p>
    <w:p w14:paraId="16E68A3E" w14:textId="77777777" w:rsidR="00EC1BE5" w:rsidRPr="00545ABB" w:rsidRDefault="00EC1BE5" w:rsidP="00EC1BE5">
      <w:pPr>
        <w:pStyle w:val="Heading3"/>
        <w:bidi/>
        <w:spacing w:line="360" w:lineRule="auto"/>
        <w:rPr>
          <w:rFonts w:ascii="Traditional Arabic" w:hAnsi="Traditional Arabic" w:cs="Traditional Arabic"/>
          <w:b/>
          <w:bCs/>
          <w:color w:val="000000" w:themeColor="text1"/>
        </w:rPr>
      </w:pPr>
      <w:bookmarkStart w:id="121" w:name="_Toc242325274"/>
      <w:r w:rsidRPr="00545ABB">
        <w:rPr>
          <w:rFonts w:ascii="Traditional Arabic" w:hAnsi="Traditional Arabic" w:cs="Traditional Arabic"/>
          <w:b/>
          <w:bCs/>
          <w:color w:val="000000" w:themeColor="text1"/>
          <w:rtl/>
        </w:rPr>
        <w:t xml:space="preserve">أولًا: الاستبانة </w:t>
      </w:r>
      <w:r w:rsidRPr="00545ABB">
        <w:rPr>
          <w:rFonts w:ascii="Traditional Arabic" w:hAnsi="Traditional Arabic" w:cs="Traditional Arabic"/>
          <w:b/>
          <w:bCs/>
          <w:color w:val="000000" w:themeColor="text1"/>
        </w:rPr>
        <w:t>(Questionnaire)</w:t>
      </w:r>
      <w:bookmarkEnd w:id="121"/>
    </w:p>
    <w:p w14:paraId="25521F2D"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استخدمت الاستبانة بوصفها الأداة الرئيسة لجمع البيانات الكمية من أفراد العينة، وتم تصميمها في ضوء الإطار النظري والدراسات السابقة ونموذج الدراسة، بهدف قياس مستوى تطبيق الحوكمة الفعالة وأثرها في الاستدامة المؤسسية والنجاح المؤسسي</w:t>
      </w:r>
      <w:r w:rsidRPr="00545ABB">
        <w:rPr>
          <w:rFonts w:ascii="Traditional Arabic" w:hAnsi="Traditional Arabic" w:cs="Traditional Arabic"/>
          <w:b/>
          <w:bCs/>
          <w:color w:val="000000" w:themeColor="text1"/>
        </w:rPr>
        <w:t>.</w:t>
      </w:r>
    </w:p>
    <w:p w14:paraId="5A82D318"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تكونت الاستبانة من </w:t>
      </w:r>
      <w:r w:rsidRPr="00545ABB">
        <w:rPr>
          <w:rStyle w:val="Strong"/>
          <w:rFonts w:ascii="Traditional Arabic" w:hAnsi="Traditional Arabic" w:cs="Traditional Arabic"/>
          <w:color w:val="000000" w:themeColor="text1"/>
        </w:rPr>
        <w:t xml:space="preserve">(56)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ثلاثة متغيرات رئيسة، هي: الحوكمة الفعالة، والاستدامة المؤسسية، والنجاح المؤسسي. وتم استخدام مقياس ليكرت الخماسي لقياس استجابات أفراد العينة، بحيث تراوحت الاستجابات بين (1) أعارض بشدة و(5) أوافق بشدة</w:t>
      </w:r>
      <w:r w:rsidRPr="00545ABB">
        <w:rPr>
          <w:rFonts w:ascii="Traditional Arabic" w:hAnsi="Traditional Arabic" w:cs="Traditional Arabic"/>
          <w:b/>
          <w:bCs/>
          <w:color w:val="000000" w:themeColor="text1"/>
        </w:rPr>
        <w:t>.</w:t>
      </w:r>
    </w:p>
    <w:p w14:paraId="67E92013" w14:textId="77777777" w:rsidR="00EC1BE5" w:rsidRPr="00545ABB" w:rsidRDefault="00EC1BE5" w:rsidP="00EC1BE5">
      <w:pPr>
        <w:pStyle w:val="Heading3"/>
        <w:bidi/>
        <w:spacing w:line="360" w:lineRule="auto"/>
        <w:rPr>
          <w:rFonts w:ascii="Traditional Arabic" w:hAnsi="Traditional Arabic" w:cs="Traditional Arabic"/>
          <w:b/>
          <w:bCs/>
          <w:color w:val="000000" w:themeColor="text1"/>
        </w:rPr>
      </w:pPr>
      <w:bookmarkStart w:id="122" w:name="_Toc242325275"/>
      <w:r w:rsidRPr="00545ABB">
        <w:rPr>
          <w:rFonts w:ascii="Traditional Arabic" w:hAnsi="Traditional Arabic" w:cs="Traditional Arabic"/>
          <w:b/>
          <w:bCs/>
          <w:color w:val="000000" w:themeColor="text1"/>
          <w:rtl/>
        </w:rPr>
        <w:t xml:space="preserve">ثانيًا: المقابلة شبه المقننة </w:t>
      </w:r>
      <w:r w:rsidRPr="00545ABB">
        <w:rPr>
          <w:rFonts w:ascii="Traditional Arabic" w:hAnsi="Traditional Arabic" w:cs="Traditional Arabic"/>
          <w:b/>
          <w:bCs/>
          <w:color w:val="000000" w:themeColor="text1"/>
        </w:rPr>
        <w:t>(Semi-Structured Interview)</w:t>
      </w:r>
      <w:bookmarkEnd w:id="122"/>
    </w:p>
    <w:p w14:paraId="7580695E"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استخدمت المقابلات شبه المقننة بهدف الحصول على بيانات كيفية أكثر عمقًا من المختصين والخبراء في مجالي الحوكمة والأمن السيبراني، والاستفادة من خبراتهم في تفسير بعض الجوانب المرتبطة بتطبيق الحوكمة والتحديات التي تواجه شركات الأمن السيبراني الناشئة</w:t>
      </w:r>
      <w:r w:rsidRPr="00545ABB">
        <w:rPr>
          <w:rFonts w:ascii="Traditional Arabic" w:hAnsi="Traditional Arabic" w:cs="Traditional Arabic"/>
          <w:b/>
          <w:bCs/>
          <w:color w:val="000000" w:themeColor="text1"/>
        </w:rPr>
        <w:t>.</w:t>
      </w:r>
    </w:p>
    <w:p w14:paraId="5A572DA3"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أتاحت المقابلات للمشاركين التعبير عن آرائهم وخبراتهم بصورة أكثر مرونة، بما يدعم تفسير النتائج الكمية المستخلصة من الاستبانة ويعزز فهم واقع الحوكمة في الشركات محل الدراسة</w:t>
      </w:r>
      <w:r w:rsidRPr="00545ABB">
        <w:rPr>
          <w:rFonts w:ascii="Traditional Arabic" w:hAnsi="Traditional Arabic" w:cs="Traditional Arabic"/>
          <w:b/>
          <w:bCs/>
          <w:color w:val="000000" w:themeColor="text1"/>
        </w:rPr>
        <w:t>.</w:t>
      </w:r>
    </w:p>
    <w:p w14:paraId="5D7EB508" w14:textId="77777777" w:rsidR="00EC1BE5" w:rsidRPr="00545ABB" w:rsidRDefault="00EC1BE5" w:rsidP="00EC1BE5">
      <w:pPr>
        <w:pStyle w:val="Heading3"/>
        <w:bidi/>
        <w:spacing w:line="360" w:lineRule="auto"/>
        <w:rPr>
          <w:rFonts w:ascii="Traditional Arabic" w:hAnsi="Traditional Arabic" w:cs="Traditional Arabic"/>
          <w:b/>
          <w:bCs/>
          <w:color w:val="000000" w:themeColor="text1"/>
        </w:rPr>
      </w:pPr>
      <w:bookmarkStart w:id="123" w:name="_Toc242325276"/>
      <w:r w:rsidRPr="00545ABB">
        <w:rPr>
          <w:rFonts w:ascii="Traditional Arabic" w:hAnsi="Traditional Arabic" w:cs="Traditional Arabic"/>
          <w:b/>
          <w:bCs/>
          <w:color w:val="000000" w:themeColor="text1"/>
          <w:rtl/>
        </w:rPr>
        <w:lastRenderedPageBreak/>
        <w:t>ثالثًا: تحليل الوثائق والتقارير</w:t>
      </w:r>
      <w:bookmarkEnd w:id="123"/>
    </w:p>
    <w:p w14:paraId="60F3E68B"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 الاستفادة من عدد من الوثائق والتقارير والأطر والضوابط ذات الصلة بحوكمة الشركات والأمن السيبراني في المملكة العربية السعودية، بهدف تعزيز الفهم السياقي للدراسة وربط النتائج الميدانية بالبيئة التنظيمية التي تعمل فيها شركات الأمن السيبراني الناشئة</w:t>
      </w:r>
      <w:r w:rsidRPr="00545ABB">
        <w:rPr>
          <w:rFonts w:ascii="Traditional Arabic" w:hAnsi="Traditional Arabic" w:cs="Traditional Arabic"/>
          <w:b/>
          <w:bCs/>
          <w:color w:val="000000" w:themeColor="text1"/>
        </w:rPr>
        <w:t>.</w:t>
      </w:r>
    </w:p>
    <w:p w14:paraId="07E05F41"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أسهم الجمع بين هذه الأدوات في توفير مصادر متعددة للبيانات، بما يدعم تفسير النتائج ويعزز من شمولية الدراسة</w:t>
      </w:r>
      <w:r w:rsidRPr="00545ABB">
        <w:rPr>
          <w:rFonts w:ascii="Traditional Arabic" w:hAnsi="Traditional Arabic" w:cs="Traditional Arabic"/>
          <w:b/>
          <w:bCs/>
          <w:color w:val="000000" w:themeColor="text1"/>
        </w:rPr>
        <w:t>.</w:t>
      </w:r>
    </w:p>
    <w:p w14:paraId="45B304A6" w14:textId="77777777" w:rsidR="00EC1BE5" w:rsidRPr="00545ABB" w:rsidRDefault="00EC1BE5" w:rsidP="00EC1BE5">
      <w:pPr>
        <w:pStyle w:val="Heading3"/>
        <w:bidi/>
        <w:spacing w:line="360" w:lineRule="auto"/>
        <w:rPr>
          <w:rFonts w:ascii="Traditional Arabic" w:hAnsi="Traditional Arabic" w:cs="Traditional Arabic"/>
          <w:b/>
          <w:bCs/>
          <w:color w:val="000000" w:themeColor="text1"/>
        </w:rPr>
      </w:pPr>
      <w:bookmarkStart w:id="124" w:name="_Toc242325277"/>
      <w:r w:rsidRPr="00545ABB">
        <w:rPr>
          <w:rFonts w:ascii="Traditional Arabic" w:hAnsi="Traditional Arabic" w:cs="Traditional Arabic"/>
          <w:b/>
          <w:bCs/>
          <w:color w:val="000000" w:themeColor="text1"/>
          <w:rtl/>
        </w:rPr>
        <w:t>الاعتبارات المتعلقة بإعداد أدوات الدراسة</w:t>
      </w:r>
      <w:bookmarkEnd w:id="124"/>
    </w:p>
    <w:p w14:paraId="7FC62B71"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روعي عند إعداد أدوات الدراسة عدد من الاعتبارات المنهجية، تمثلت في الآتي</w:t>
      </w:r>
      <w:r w:rsidRPr="00545ABB">
        <w:rPr>
          <w:rFonts w:ascii="Traditional Arabic" w:hAnsi="Traditional Arabic" w:cs="Traditional Arabic"/>
          <w:b/>
          <w:bCs/>
          <w:color w:val="000000" w:themeColor="text1"/>
        </w:rPr>
        <w:t>:</w:t>
      </w:r>
    </w:p>
    <w:p w14:paraId="707D97C4" w14:textId="77777777" w:rsidR="00EC1BE5" w:rsidRPr="00545ABB" w:rsidRDefault="00EC1BE5" w:rsidP="00D95153">
      <w:pPr>
        <w:numPr>
          <w:ilvl w:val="0"/>
          <w:numId w:val="3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الملاءمة لطبيعة الدراسة وأهدافها</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بحيث تسهم الأدوات في جمع بيانات واقعية وذات صلة مباشرة بمتغيرات الدراسة، ويمكن تحليلها بما يساعد على تفسير الظاهرة المدروسة</w:t>
      </w:r>
      <w:r w:rsidRPr="00545ABB">
        <w:rPr>
          <w:rFonts w:ascii="Traditional Arabic" w:hAnsi="Traditional Arabic" w:cs="Traditional Arabic"/>
          <w:b/>
          <w:bCs/>
          <w:color w:val="000000" w:themeColor="text1"/>
          <w:sz w:val="24"/>
          <w:szCs w:val="24"/>
        </w:rPr>
        <w:t>.</w:t>
      </w:r>
    </w:p>
    <w:p w14:paraId="1D343503" w14:textId="77777777" w:rsidR="00EC1BE5" w:rsidRPr="00545ABB" w:rsidRDefault="00EC1BE5" w:rsidP="00D95153">
      <w:pPr>
        <w:numPr>
          <w:ilvl w:val="0"/>
          <w:numId w:val="3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الصدق</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حيث تم عرض أدوات البحث على مجموعة من المحكمين المتخصصين في مجالي الإدارة والحوكمة، للتأكد من سلامة الصياغة ومدى ملاءمة العبارات لأبعاد الدراسة، وإجراء التعديلات اللازمة في ضوء ملاحظاتهم</w:t>
      </w:r>
      <w:r w:rsidRPr="00545ABB">
        <w:rPr>
          <w:rFonts w:ascii="Traditional Arabic" w:hAnsi="Traditional Arabic" w:cs="Traditional Arabic"/>
          <w:b/>
          <w:bCs/>
          <w:color w:val="000000" w:themeColor="text1"/>
          <w:sz w:val="24"/>
          <w:szCs w:val="24"/>
        </w:rPr>
        <w:t>.</w:t>
      </w:r>
    </w:p>
    <w:p w14:paraId="76E282D6" w14:textId="77777777" w:rsidR="00EC1BE5" w:rsidRPr="00545ABB" w:rsidRDefault="00EC1BE5" w:rsidP="00D95153">
      <w:pPr>
        <w:numPr>
          <w:ilvl w:val="0"/>
          <w:numId w:val="3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الاختبار الاستطلاعي</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تم تطبيق الأدوات على عينة محدودة من خارج عينة الدراسة الأساسية؛ للتحقق من وضوح العبارات وسهولة فهمها وملاءمتها للتطبيق الميداني قبل استخدامها مع العينة النهائية</w:t>
      </w:r>
      <w:r w:rsidRPr="00545ABB">
        <w:rPr>
          <w:rFonts w:ascii="Traditional Arabic" w:hAnsi="Traditional Arabic" w:cs="Traditional Arabic"/>
          <w:b/>
          <w:bCs/>
          <w:color w:val="000000" w:themeColor="text1"/>
          <w:sz w:val="24"/>
          <w:szCs w:val="24"/>
        </w:rPr>
        <w:t>.</w:t>
      </w:r>
    </w:p>
    <w:p w14:paraId="6AC24845" w14:textId="77777777" w:rsidR="00EC1BE5" w:rsidRPr="00545ABB" w:rsidRDefault="00EC1BE5" w:rsidP="00D95153">
      <w:pPr>
        <w:numPr>
          <w:ilvl w:val="0"/>
          <w:numId w:val="36"/>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الثبات</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تم التحقق من ثبات أداة القياس إحصائيًا باستخدام معامل كرونباخ ألفا، للتأكد من مستوى الاتساق الداخلي لعبارات الأداة، وسيتم عرض نتائج ذلك تفصيلًا في القسم المخصص للصدق والثبات</w:t>
      </w:r>
      <w:r w:rsidRPr="00545ABB">
        <w:rPr>
          <w:rFonts w:ascii="Traditional Arabic" w:hAnsi="Traditional Arabic" w:cs="Traditional Arabic"/>
          <w:b/>
          <w:bCs/>
          <w:color w:val="000000" w:themeColor="text1"/>
          <w:sz w:val="24"/>
          <w:szCs w:val="24"/>
        </w:rPr>
        <w:t>.</w:t>
      </w:r>
    </w:p>
    <w:p w14:paraId="3A5B7B13" w14:textId="77777777" w:rsidR="00EC1BE5" w:rsidRPr="00545ABB" w:rsidRDefault="00EC1BE5" w:rsidP="00EC1BE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وبذلك أصبحت أدوات جمع البيانات مهيأة للتطبيق بما يحقق أهداف الدراسة، ويساعد على الحصول على بيانات يمكن الاعتماد عليها في تحليل واقع الحوكمة الفعالة وعلاقتها بالاستدامة المؤسسية والنجاح المؤسسي في 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57971E46" w14:textId="77777777" w:rsidR="00AD2038" w:rsidRPr="00545ABB" w:rsidRDefault="00AD2038" w:rsidP="00AD2038">
      <w:pPr>
        <w:pStyle w:val="Heading2"/>
        <w:bidi/>
        <w:spacing w:line="360" w:lineRule="auto"/>
        <w:rPr>
          <w:rFonts w:ascii="Traditional Arabic" w:hAnsi="Traditional Arabic" w:cs="Traditional Arabic"/>
          <w:b/>
          <w:bCs/>
          <w:color w:val="000000" w:themeColor="text1"/>
        </w:rPr>
      </w:pPr>
      <w:bookmarkStart w:id="125" w:name="_Toc242325278"/>
      <w:r w:rsidRPr="00545ABB">
        <w:rPr>
          <w:rFonts w:ascii="Traditional Arabic" w:hAnsi="Traditional Arabic" w:cs="Traditional Arabic"/>
          <w:b/>
          <w:bCs/>
          <w:color w:val="000000" w:themeColor="text1"/>
          <w:rtl/>
        </w:rPr>
        <w:t>تحديد متغيرات الدراسة</w:t>
      </w:r>
      <w:bookmarkEnd w:id="125"/>
    </w:p>
    <w:p w14:paraId="5B714D74"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ترتكز الدراسة الحالية على ثلاثة متغيرات رئيسة تم تحديدها في ضوء مشكلة الدراسة وأهدافها وتساؤلاتها وفرضياتها، وهي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الحوكمة الفعالة</w:t>
      </w:r>
      <w:r w:rsidRPr="00545ABB">
        <w:rPr>
          <w:rFonts w:ascii="Traditional Arabic" w:hAnsi="Traditional Arabic" w:cs="Traditional Arabic"/>
          <w:b/>
          <w:bCs/>
          <w:color w:val="000000" w:themeColor="text1"/>
          <w:rtl/>
        </w:rPr>
        <w:t xml:space="preserve"> بوصفها المتغير المستقل، و</w:t>
      </w:r>
      <w:r w:rsidRPr="00545ABB">
        <w:rPr>
          <w:rStyle w:val="Strong"/>
          <w:rFonts w:ascii="Traditional Arabic" w:hAnsi="Traditional Arabic" w:cs="Traditional Arabic"/>
          <w:color w:val="000000" w:themeColor="text1"/>
          <w:rtl/>
        </w:rPr>
        <w:t>الاستدامة المؤسسية</w:t>
      </w:r>
      <w:r w:rsidRPr="00545ABB">
        <w:rPr>
          <w:rFonts w:ascii="Traditional Arabic" w:hAnsi="Traditional Arabic" w:cs="Traditional Arabic"/>
          <w:b/>
          <w:bCs/>
          <w:color w:val="000000" w:themeColor="text1"/>
          <w:rtl/>
        </w:rPr>
        <w:t xml:space="preserve"> و</w:t>
      </w:r>
      <w:r w:rsidRPr="00545ABB">
        <w:rPr>
          <w:rStyle w:val="Strong"/>
          <w:rFonts w:ascii="Traditional Arabic" w:hAnsi="Traditional Arabic" w:cs="Traditional Arabic"/>
          <w:color w:val="000000" w:themeColor="text1"/>
          <w:rtl/>
        </w:rPr>
        <w:t>النجاح المؤسسي</w:t>
      </w:r>
      <w:r w:rsidRPr="00545ABB">
        <w:rPr>
          <w:rFonts w:ascii="Traditional Arabic" w:hAnsi="Traditional Arabic" w:cs="Traditional Arabic"/>
          <w:b/>
          <w:bCs/>
          <w:color w:val="000000" w:themeColor="text1"/>
          <w:rtl/>
        </w:rPr>
        <w:t xml:space="preserve"> بوصفهما متغيرين تابعين</w:t>
      </w:r>
      <w:r w:rsidRPr="00545ABB">
        <w:rPr>
          <w:rFonts w:ascii="Traditional Arabic" w:hAnsi="Traditional Arabic" w:cs="Traditional Arabic"/>
          <w:b/>
          <w:bCs/>
          <w:color w:val="000000" w:themeColor="text1"/>
        </w:rPr>
        <w:t>.</w:t>
      </w:r>
    </w:p>
    <w:p w14:paraId="24B535CE"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واعتمد الباحث على الاستبانة بوصفها الأداة الرئيسة لقياس متغيرات الدراسة والتحقق من فرضياتها، بما يتوافق مع طبيعة المنهج الوصفي التحليلي. وقد تم بناء أداة القياس بالاستناد إلى الإطار النظري والدراسات السابقة ذات الصلة بمجالات الحوكمة الفعالة، وإدارة المخاطر والالتزام، والاستدامة المؤسسية، والنجاح والأداء المؤسسي في الشركات الناشئة، مع مراعاة طبيعة الشركات الناشئة العاملة في قطاع الأمن السيبراني في المملكة العربية السعودية</w:t>
      </w:r>
      <w:r w:rsidRPr="00545ABB">
        <w:rPr>
          <w:rFonts w:ascii="Traditional Arabic" w:hAnsi="Traditional Arabic" w:cs="Traditional Arabic"/>
          <w:b/>
          <w:bCs/>
          <w:color w:val="000000" w:themeColor="text1"/>
        </w:rPr>
        <w:t>.</w:t>
      </w:r>
    </w:p>
    <w:p w14:paraId="56DDF16F"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ويمكن توضيح متغيرات الدراسة وأبعادها على النحو الآتي</w:t>
      </w:r>
      <w:r w:rsidRPr="00545ABB">
        <w:rPr>
          <w:rFonts w:ascii="Traditional Arabic" w:hAnsi="Traditional Arabic" w:cs="Traditional Arabic"/>
          <w:b/>
          <w:bCs/>
          <w:color w:val="000000" w:themeColor="text1"/>
        </w:rPr>
        <w:t>:</w:t>
      </w:r>
    </w:p>
    <w:p w14:paraId="1B8401BF" w14:textId="77777777" w:rsidR="00AD2038" w:rsidRPr="00545ABB" w:rsidRDefault="00AD2038" w:rsidP="00AD2038">
      <w:pPr>
        <w:pStyle w:val="Heading3"/>
        <w:bidi/>
        <w:spacing w:line="360" w:lineRule="auto"/>
        <w:rPr>
          <w:rFonts w:ascii="Traditional Arabic" w:hAnsi="Traditional Arabic" w:cs="Traditional Arabic"/>
          <w:b/>
          <w:bCs/>
          <w:color w:val="000000" w:themeColor="text1"/>
        </w:rPr>
      </w:pPr>
      <w:bookmarkStart w:id="126" w:name="_Toc242325279"/>
      <w:r w:rsidRPr="00545ABB">
        <w:rPr>
          <w:rFonts w:ascii="Traditional Arabic" w:hAnsi="Traditional Arabic" w:cs="Traditional Arabic"/>
          <w:b/>
          <w:bCs/>
          <w:color w:val="000000" w:themeColor="text1"/>
          <w:rtl/>
        </w:rPr>
        <w:t>أولًا: المتغير المستقل: الحوكمة الفعالة</w:t>
      </w:r>
      <w:bookmarkEnd w:id="126"/>
    </w:p>
    <w:p w14:paraId="3243CEBC"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تمثل الحوكمة الفعالة الإطار التنظيمي والإداري الذي يقوم على مجموعة من المبادئ والممارسات الهادفة إلى تعزيز الشفافية والمساءلة والمسؤولية والمشاركة، وتنظيم عملية اتخاذ القرار، وإدارة المخاطر والالتزام، وتحقيق الكفاءة في استخدام الموارد، بما يدعم قدرة الشركة على تحقيق أهدافها بصورة أكثر فاعلية واستدامة</w:t>
      </w:r>
      <w:r w:rsidRPr="00545ABB">
        <w:rPr>
          <w:rFonts w:ascii="Traditional Arabic" w:hAnsi="Traditional Arabic" w:cs="Traditional Arabic"/>
          <w:b/>
          <w:bCs/>
          <w:color w:val="000000" w:themeColor="text1"/>
        </w:rPr>
        <w:t>.</w:t>
      </w:r>
    </w:p>
    <w:p w14:paraId="6E5ECDAC"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وقد تم قياس الحوكمة الفعالة من خلال خمسة أبعاد رئيسة، هي</w:t>
      </w:r>
      <w:r w:rsidRPr="00545ABB">
        <w:rPr>
          <w:rFonts w:ascii="Traditional Arabic" w:hAnsi="Traditional Arabic" w:cs="Traditional Arabic"/>
          <w:b/>
          <w:bCs/>
          <w:color w:val="000000" w:themeColor="text1"/>
          <w:sz w:val="28"/>
          <w:szCs w:val="28"/>
        </w:rPr>
        <w:t>:</w:t>
      </w:r>
    </w:p>
    <w:p w14:paraId="46053559" w14:textId="77777777" w:rsidR="00AD2038" w:rsidRPr="00545ABB" w:rsidRDefault="00AD2038" w:rsidP="00D95153">
      <w:pPr>
        <w:numPr>
          <w:ilvl w:val="0"/>
          <w:numId w:val="3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الشفافية والإفصاح</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وتعكس مدى وضوح المعلومات والقرارات والسياسات وإتاحتها للأطراف ذات العلاقة</w:t>
      </w:r>
      <w:r w:rsidRPr="00545ABB">
        <w:rPr>
          <w:rFonts w:ascii="Traditional Arabic" w:hAnsi="Traditional Arabic" w:cs="Traditional Arabic"/>
          <w:b/>
          <w:bCs/>
          <w:color w:val="000000" w:themeColor="text1"/>
          <w:sz w:val="24"/>
          <w:szCs w:val="24"/>
        </w:rPr>
        <w:t>.</w:t>
      </w:r>
    </w:p>
    <w:p w14:paraId="50DC6688" w14:textId="77777777" w:rsidR="00AD2038" w:rsidRPr="00545ABB" w:rsidRDefault="00AD2038" w:rsidP="00D95153">
      <w:pPr>
        <w:numPr>
          <w:ilvl w:val="0"/>
          <w:numId w:val="3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المساءلة والمسؤولية</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وتشير إلى وضوح المسؤوليات والصلاحيات، وإمكانية مساءلة الأفراد والإدارات عن القرارات والنتائج</w:t>
      </w:r>
      <w:r w:rsidRPr="00545ABB">
        <w:rPr>
          <w:rFonts w:ascii="Traditional Arabic" w:hAnsi="Traditional Arabic" w:cs="Traditional Arabic"/>
          <w:b/>
          <w:bCs/>
          <w:color w:val="000000" w:themeColor="text1"/>
          <w:sz w:val="24"/>
          <w:szCs w:val="24"/>
        </w:rPr>
        <w:t>.</w:t>
      </w:r>
    </w:p>
    <w:p w14:paraId="32564906" w14:textId="77777777" w:rsidR="00AD2038" w:rsidRPr="00545ABB" w:rsidRDefault="00AD2038" w:rsidP="00D95153">
      <w:pPr>
        <w:numPr>
          <w:ilvl w:val="0"/>
          <w:numId w:val="3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المشاركة في اتخاذ القرار</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وتعكس مستوى إشراك الأطراف ذات العلاقة والاستفادة من الخبرات والآراء عند اتخاذ القرارات المهمة</w:t>
      </w:r>
      <w:r w:rsidRPr="00545ABB">
        <w:rPr>
          <w:rFonts w:ascii="Traditional Arabic" w:hAnsi="Traditional Arabic" w:cs="Traditional Arabic"/>
          <w:b/>
          <w:bCs/>
          <w:color w:val="000000" w:themeColor="text1"/>
          <w:sz w:val="24"/>
          <w:szCs w:val="24"/>
        </w:rPr>
        <w:t>.</w:t>
      </w:r>
    </w:p>
    <w:p w14:paraId="333C27F3" w14:textId="77777777" w:rsidR="00AD2038" w:rsidRPr="00545ABB" w:rsidRDefault="00AD2038" w:rsidP="00D95153">
      <w:pPr>
        <w:numPr>
          <w:ilvl w:val="0"/>
          <w:numId w:val="3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إدارة المخاطر والالتزام</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وتشير إلى قدرة الشركة على تحديد المخاطر وتقييمها ومعالجتها، والالتزام بالمتطلبات التنظيمية والمهنية ذات العلاقة</w:t>
      </w:r>
      <w:r w:rsidRPr="00545ABB">
        <w:rPr>
          <w:rFonts w:ascii="Traditional Arabic" w:hAnsi="Traditional Arabic" w:cs="Traditional Arabic"/>
          <w:b/>
          <w:bCs/>
          <w:color w:val="000000" w:themeColor="text1"/>
          <w:sz w:val="24"/>
          <w:szCs w:val="24"/>
        </w:rPr>
        <w:t>.</w:t>
      </w:r>
    </w:p>
    <w:p w14:paraId="25D554AB" w14:textId="77777777" w:rsidR="00AD2038" w:rsidRPr="00545ABB" w:rsidRDefault="00AD2038" w:rsidP="00D95153">
      <w:pPr>
        <w:numPr>
          <w:ilvl w:val="0"/>
          <w:numId w:val="37"/>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الكفاءة في استخدام الموارد</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وتعكس قدرة الشركة على توظيف مواردها البشرية والمالية والتقنية بكفاءة لتحقيق أهدافها وتحسين أدائها</w:t>
      </w:r>
      <w:r w:rsidRPr="00545ABB">
        <w:rPr>
          <w:rFonts w:ascii="Traditional Arabic" w:hAnsi="Traditional Arabic" w:cs="Traditional Arabic"/>
          <w:b/>
          <w:bCs/>
          <w:color w:val="000000" w:themeColor="text1"/>
          <w:sz w:val="24"/>
          <w:szCs w:val="24"/>
        </w:rPr>
        <w:t>.</w:t>
      </w:r>
    </w:p>
    <w:p w14:paraId="041DF13A"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خصص لقياس المتغير المستقل </w:t>
      </w:r>
      <w:r w:rsidRPr="00545ABB">
        <w:rPr>
          <w:rStyle w:val="Strong"/>
          <w:rFonts w:ascii="Traditional Arabic" w:hAnsi="Traditional Arabic" w:cs="Traditional Arabic"/>
          <w:color w:val="000000" w:themeColor="text1"/>
        </w:rPr>
        <w:t xml:space="preserve">(25)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في الاستبانة، بواقع خمس عبارات لكل بعد</w:t>
      </w:r>
      <w:r w:rsidRPr="00545ABB">
        <w:rPr>
          <w:rFonts w:ascii="Traditional Arabic" w:hAnsi="Traditional Arabic" w:cs="Traditional Arabic"/>
          <w:b/>
          <w:bCs/>
          <w:color w:val="000000" w:themeColor="text1"/>
        </w:rPr>
        <w:t>.</w:t>
      </w:r>
    </w:p>
    <w:p w14:paraId="0BBBEE07" w14:textId="77777777" w:rsidR="00AD2038" w:rsidRPr="00545ABB" w:rsidRDefault="00AD2038" w:rsidP="00AD2038">
      <w:pPr>
        <w:pStyle w:val="Heading3"/>
        <w:bidi/>
        <w:spacing w:line="360" w:lineRule="auto"/>
        <w:rPr>
          <w:rFonts w:ascii="Traditional Arabic" w:hAnsi="Traditional Arabic" w:cs="Traditional Arabic"/>
          <w:b/>
          <w:bCs/>
          <w:color w:val="000000" w:themeColor="text1"/>
        </w:rPr>
      </w:pPr>
      <w:bookmarkStart w:id="127" w:name="_Toc242325280"/>
      <w:r w:rsidRPr="00545ABB">
        <w:rPr>
          <w:rFonts w:ascii="Traditional Arabic" w:hAnsi="Traditional Arabic" w:cs="Traditional Arabic"/>
          <w:b/>
          <w:bCs/>
          <w:color w:val="000000" w:themeColor="text1"/>
          <w:rtl/>
        </w:rPr>
        <w:lastRenderedPageBreak/>
        <w:t>ثانيًا: المتغيرات التابعة</w:t>
      </w:r>
      <w:bookmarkEnd w:id="127"/>
    </w:p>
    <w:p w14:paraId="43A73F9C" w14:textId="0DA60962" w:rsidR="00AD2038" w:rsidRPr="00545ABB" w:rsidRDefault="00AD2038" w:rsidP="00D95153">
      <w:pPr>
        <w:pStyle w:val="Heading4"/>
        <w:numPr>
          <w:ilvl w:val="0"/>
          <w:numId w:val="40"/>
        </w:numPr>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b/>
          <w:bCs/>
          <w:i w:val="0"/>
          <w:iCs w:val="0"/>
          <w:color w:val="000000" w:themeColor="text1"/>
          <w:sz w:val="28"/>
          <w:szCs w:val="28"/>
        </w:rPr>
        <w:t xml:space="preserve"> </w:t>
      </w:r>
      <w:r w:rsidRPr="00545ABB">
        <w:rPr>
          <w:rFonts w:ascii="Traditional Arabic" w:hAnsi="Traditional Arabic" w:cs="Traditional Arabic"/>
          <w:b/>
          <w:bCs/>
          <w:i w:val="0"/>
          <w:iCs w:val="0"/>
          <w:color w:val="000000" w:themeColor="text1"/>
          <w:sz w:val="28"/>
          <w:szCs w:val="28"/>
          <w:rtl/>
        </w:rPr>
        <w:t>الاستدامة المؤسسية</w:t>
      </w:r>
    </w:p>
    <w:p w14:paraId="02401EF0"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تشير الاستدامة المؤسسية إلى قدرة شركات الأمن السيبراني الناشئة على الاستمرار والنمو والتطور مع المحافظة على التوازن بين جوانبها الاقتصادية والاجتماعية والتقنية، بما يعزز قدرتها على مواصلة نشاطها وتحقيق أهدافها على المدى المستقبلي</w:t>
      </w:r>
      <w:r w:rsidRPr="00545ABB">
        <w:rPr>
          <w:rFonts w:ascii="Traditional Arabic" w:hAnsi="Traditional Arabic" w:cs="Traditional Arabic"/>
          <w:b/>
          <w:bCs/>
          <w:color w:val="000000" w:themeColor="text1"/>
        </w:rPr>
        <w:t>.</w:t>
      </w:r>
    </w:p>
    <w:p w14:paraId="70EF99CD"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تم قياس الاستدامة المؤسسية من خلال ثلاثة أبعاد رئيسة هي</w:t>
      </w:r>
      <w:r w:rsidRPr="00545ABB">
        <w:rPr>
          <w:rFonts w:ascii="Traditional Arabic" w:hAnsi="Traditional Arabic" w:cs="Traditional Arabic"/>
          <w:b/>
          <w:bCs/>
          <w:color w:val="000000" w:themeColor="text1"/>
        </w:rPr>
        <w:t>:</w:t>
      </w:r>
    </w:p>
    <w:p w14:paraId="32EC4BA8" w14:textId="77777777" w:rsidR="00AD2038" w:rsidRPr="00545ABB" w:rsidRDefault="00AD2038" w:rsidP="00D95153">
      <w:pPr>
        <w:numPr>
          <w:ilvl w:val="0"/>
          <w:numId w:val="3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البعد الاقتصادي</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ويشمل قدرة الشركة على تحقيق الاستقرار المالي والكفاءة الاقتصادية والمحافظة على استمرارية النشاط والنمو</w:t>
      </w:r>
      <w:r w:rsidRPr="00545ABB">
        <w:rPr>
          <w:rFonts w:ascii="Traditional Arabic" w:hAnsi="Traditional Arabic" w:cs="Traditional Arabic"/>
          <w:b/>
          <w:bCs/>
          <w:color w:val="000000" w:themeColor="text1"/>
          <w:sz w:val="24"/>
          <w:szCs w:val="24"/>
        </w:rPr>
        <w:t>.</w:t>
      </w:r>
    </w:p>
    <w:p w14:paraId="2E1F3217" w14:textId="77777777" w:rsidR="00AD2038" w:rsidRPr="00545ABB" w:rsidRDefault="00AD2038" w:rsidP="00D95153">
      <w:pPr>
        <w:numPr>
          <w:ilvl w:val="0"/>
          <w:numId w:val="3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البعد الاجتماعي</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ويشمل الاهتمام بالموارد البشرية وبيئة العمل والمسؤولية الاجتماعية وتحقيق مستوى مناسب من الرضا الوظيفي</w:t>
      </w:r>
      <w:r w:rsidRPr="00545ABB">
        <w:rPr>
          <w:rFonts w:ascii="Traditional Arabic" w:hAnsi="Traditional Arabic" w:cs="Traditional Arabic"/>
          <w:b/>
          <w:bCs/>
          <w:color w:val="000000" w:themeColor="text1"/>
          <w:sz w:val="24"/>
          <w:szCs w:val="24"/>
        </w:rPr>
        <w:t>.</w:t>
      </w:r>
    </w:p>
    <w:p w14:paraId="7DD16FD2" w14:textId="77777777" w:rsidR="00AD2038" w:rsidRPr="00545ABB" w:rsidRDefault="00AD2038" w:rsidP="00D95153">
      <w:pPr>
        <w:numPr>
          <w:ilvl w:val="0"/>
          <w:numId w:val="38"/>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البعد التقني</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ويشمل قدرة الشركة على الابتكار والتطوير المستمر ومواكبة التطورات التقنية في مجال الأمن السيبراني</w:t>
      </w:r>
      <w:r w:rsidRPr="00545ABB">
        <w:rPr>
          <w:rFonts w:ascii="Traditional Arabic" w:hAnsi="Traditional Arabic" w:cs="Traditional Arabic"/>
          <w:b/>
          <w:bCs/>
          <w:color w:val="000000" w:themeColor="text1"/>
          <w:sz w:val="24"/>
          <w:szCs w:val="24"/>
        </w:rPr>
        <w:t>.</w:t>
      </w:r>
    </w:p>
    <w:p w14:paraId="66BBD8D4"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خصص لقياس الاستدامة المؤسسية </w:t>
      </w:r>
      <w:r w:rsidRPr="00545ABB">
        <w:rPr>
          <w:rStyle w:val="Strong"/>
          <w:rFonts w:ascii="Traditional Arabic" w:hAnsi="Traditional Arabic" w:cs="Traditional Arabic"/>
          <w:color w:val="000000" w:themeColor="text1"/>
        </w:rPr>
        <w:t xml:space="preserve">(15)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في الاستبانة، بواقع خمس عبارات لكل بعد</w:t>
      </w:r>
      <w:r w:rsidRPr="00545ABB">
        <w:rPr>
          <w:rFonts w:ascii="Traditional Arabic" w:hAnsi="Traditional Arabic" w:cs="Traditional Arabic"/>
          <w:b/>
          <w:bCs/>
          <w:color w:val="000000" w:themeColor="text1"/>
        </w:rPr>
        <w:t>.</w:t>
      </w:r>
    </w:p>
    <w:p w14:paraId="4F7A1B80" w14:textId="691161AE" w:rsidR="00AD2038" w:rsidRPr="00545ABB" w:rsidRDefault="00AD2038" w:rsidP="00D95153">
      <w:pPr>
        <w:pStyle w:val="Heading4"/>
        <w:numPr>
          <w:ilvl w:val="0"/>
          <w:numId w:val="40"/>
        </w:numPr>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b/>
          <w:bCs/>
          <w:i w:val="0"/>
          <w:iCs w:val="0"/>
          <w:color w:val="000000" w:themeColor="text1"/>
          <w:sz w:val="28"/>
          <w:szCs w:val="28"/>
          <w:rtl/>
        </w:rPr>
        <w:t>النجاح المؤسسي</w:t>
      </w:r>
    </w:p>
    <w:p w14:paraId="1A7DD937"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يقصد بالنجاح المؤسسي قدرة الشركة على تحقيق أهدافها الاستراتيجية والتشغيلية، ورفع مستوى أدائها وكفاءتها، وتعزيز قدرتها على الابتكار والتكيف مع المتغيرات، وتحقيق رضا العملاء والنمو المؤسسي</w:t>
      </w:r>
      <w:r w:rsidRPr="00545ABB">
        <w:rPr>
          <w:rFonts w:ascii="Traditional Arabic" w:hAnsi="Traditional Arabic" w:cs="Traditional Arabic"/>
          <w:b/>
          <w:bCs/>
          <w:color w:val="000000" w:themeColor="text1"/>
        </w:rPr>
        <w:t>.</w:t>
      </w:r>
    </w:p>
    <w:p w14:paraId="6902D30B"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تم قياس النجاح المؤسسي من خلال أربعة أبعاد رئيسة هي</w:t>
      </w:r>
      <w:r w:rsidRPr="00545ABB">
        <w:rPr>
          <w:rFonts w:ascii="Traditional Arabic" w:hAnsi="Traditional Arabic" w:cs="Traditional Arabic"/>
          <w:b/>
          <w:bCs/>
          <w:color w:val="000000" w:themeColor="text1"/>
        </w:rPr>
        <w:t>:</w:t>
      </w:r>
    </w:p>
    <w:p w14:paraId="2C673273" w14:textId="77777777" w:rsidR="00AD2038" w:rsidRPr="00545ABB" w:rsidRDefault="00AD2038" w:rsidP="00D95153">
      <w:pPr>
        <w:numPr>
          <w:ilvl w:val="0"/>
          <w:numId w:val="39"/>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جودة الأداء الإداري والتقني</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وتعكس مستوى كفاءة الأداء الإداري والفني وجودة تنفيذ الأعمال والخدمات</w:t>
      </w:r>
      <w:r w:rsidRPr="00545ABB">
        <w:rPr>
          <w:rFonts w:ascii="Traditional Arabic" w:hAnsi="Traditional Arabic" w:cs="Traditional Arabic"/>
          <w:b/>
          <w:bCs/>
          <w:color w:val="000000" w:themeColor="text1"/>
          <w:sz w:val="24"/>
          <w:szCs w:val="24"/>
        </w:rPr>
        <w:t>.</w:t>
      </w:r>
    </w:p>
    <w:p w14:paraId="0E073D5F" w14:textId="77777777" w:rsidR="00AD2038" w:rsidRPr="00545ABB" w:rsidRDefault="00AD2038" w:rsidP="00D95153">
      <w:pPr>
        <w:numPr>
          <w:ilvl w:val="0"/>
          <w:numId w:val="39"/>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الكفاءة التشغيلية</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وتشير إلى قدرة الشركة على تنفيذ عملياتها وتحقيق أهدافها بكفاءة وفاعلية</w:t>
      </w:r>
      <w:r w:rsidRPr="00545ABB">
        <w:rPr>
          <w:rFonts w:ascii="Traditional Arabic" w:hAnsi="Traditional Arabic" w:cs="Traditional Arabic"/>
          <w:b/>
          <w:bCs/>
          <w:color w:val="000000" w:themeColor="text1"/>
          <w:sz w:val="24"/>
          <w:szCs w:val="24"/>
        </w:rPr>
        <w:t>.</w:t>
      </w:r>
    </w:p>
    <w:p w14:paraId="46CA25F3" w14:textId="77777777" w:rsidR="00AD2038" w:rsidRPr="00545ABB" w:rsidRDefault="00AD2038" w:rsidP="00D95153">
      <w:pPr>
        <w:numPr>
          <w:ilvl w:val="0"/>
          <w:numId w:val="39"/>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الابتكار والتكيف</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ويعكس قدرة الشركة على تطوير حلول وخدمات جديدة والتكيف مع المتغيرات التقنية والسوقية</w:t>
      </w:r>
      <w:r w:rsidRPr="00545ABB">
        <w:rPr>
          <w:rFonts w:ascii="Traditional Arabic" w:hAnsi="Traditional Arabic" w:cs="Traditional Arabic"/>
          <w:b/>
          <w:bCs/>
          <w:color w:val="000000" w:themeColor="text1"/>
          <w:sz w:val="24"/>
          <w:szCs w:val="24"/>
        </w:rPr>
        <w:t>.</w:t>
      </w:r>
    </w:p>
    <w:p w14:paraId="541EBD35" w14:textId="77777777" w:rsidR="00AD2038" w:rsidRPr="00545ABB" w:rsidRDefault="00AD2038" w:rsidP="00D95153">
      <w:pPr>
        <w:numPr>
          <w:ilvl w:val="0"/>
          <w:numId w:val="39"/>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Style w:val="Strong"/>
          <w:rFonts w:ascii="Traditional Arabic" w:hAnsi="Traditional Arabic" w:cs="Traditional Arabic"/>
          <w:color w:val="000000" w:themeColor="text1"/>
          <w:sz w:val="24"/>
          <w:szCs w:val="24"/>
          <w:rtl/>
        </w:rPr>
        <w:t>رضا العملاء والنمو المؤسسي</w:t>
      </w:r>
      <w:r w:rsidRPr="00545ABB">
        <w:rPr>
          <w:rStyle w:val="Strong"/>
          <w:rFonts w:ascii="Traditional Arabic" w:hAnsi="Traditional Arabic" w:cs="Traditional Arabic"/>
          <w:color w:val="000000" w:themeColor="text1"/>
          <w:sz w:val="24"/>
          <w:szCs w:val="24"/>
        </w:rPr>
        <w:t>:</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ويعكس قدرة الشركة على تحقيق رضا العملاء، والمحافظة على استمرارية العلاقات معهم، ودعم النمو والتوسع المؤسسي</w:t>
      </w:r>
      <w:r w:rsidRPr="00545ABB">
        <w:rPr>
          <w:rFonts w:ascii="Traditional Arabic" w:hAnsi="Traditional Arabic" w:cs="Traditional Arabic"/>
          <w:b/>
          <w:bCs/>
          <w:color w:val="000000" w:themeColor="text1"/>
          <w:sz w:val="24"/>
          <w:szCs w:val="24"/>
        </w:rPr>
        <w:t>.</w:t>
      </w:r>
    </w:p>
    <w:p w14:paraId="3A4D839B"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وقد خصص لقياس النجاح المؤسسي </w:t>
      </w:r>
      <w:r w:rsidRPr="00545ABB">
        <w:rPr>
          <w:rStyle w:val="Strong"/>
          <w:rFonts w:ascii="Traditional Arabic" w:hAnsi="Traditional Arabic" w:cs="Traditional Arabic"/>
          <w:color w:val="000000" w:themeColor="text1"/>
        </w:rPr>
        <w:t xml:space="preserve">(16)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في الاستبانة، بواقع أربع عبارات لكل بعد</w:t>
      </w:r>
      <w:r w:rsidRPr="00545ABB">
        <w:rPr>
          <w:rFonts w:ascii="Traditional Arabic" w:hAnsi="Traditional Arabic" w:cs="Traditional Arabic"/>
          <w:b/>
          <w:bCs/>
          <w:color w:val="000000" w:themeColor="text1"/>
        </w:rPr>
        <w:t>.</w:t>
      </w:r>
    </w:p>
    <w:p w14:paraId="4ABE939F"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وبذلك بلغ إجمالي عدد عبارات الاستبانة </w:t>
      </w:r>
      <w:r w:rsidRPr="00545ABB">
        <w:rPr>
          <w:rStyle w:val="Strong"/>
          <w:rFonts w:ascii="Traditional Arabic" w:hAnsi="Traditional Arabic" w:cs="Traditional Arabic"/>
          <w:color w:val="000000" w:themeColor="text1"/>
        </w:rPr>
        <w:t xml:space="preserve">(56)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المتغيرات الثلاثة وأبعادها المختلفة؛ بما يتيح قياس أثر الحوكمة الفعالة في كل من الاستدامة المؤسسية والنجاح المؤسسي في 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0C320B17" w14:textId="77777777" w:rsidR="00AD2038" w:rsidRPr="00545ABB" w:rsidRDefault="00AD2038" w:rsidP="00AD203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ويُسهم تحديد المتغيرات وأبعادها بهذه الصورة في تحقيق الاتساق بين النموذج المفاهيمي للدراسة وأداة القياس والتحليل الإحصائي، كما يتيح للباحث اختبار العلاقات المفترضة بين متغيرات الدراسة بصورة منظمة تتوافق مع أهدافها وفرضياتها</w:t>
      </w:r>
      <w:r w:rsidRPr="00545ABB">
        <w:rPr>
          <w:rFonts w:ascii="Traditional Arabic" w:hAnsi="Traditional Arabic" w:cs="Traditional Arabic"/>
          <w:b/>
          <w:bCs/>
          <w:color w:val="000000" w:themeColor="text1"/>
        </w:rPr>
        <w:t>.</w:t>
      </w:r>
    </w:p>
    <w:p w14:paraId="564F31A0" w14:textId="31B34039" w:rsidR="00B000FE" w:rsidRPr="00545ABB" w:rsidRDefault="00B000FE" w:rsidP="006727F3">
      <w:pPr>
        <w:pStyle w:val="Heading2"/>
        <w:bidi/>
        <w:spacing w:line="360" w:lineRule="auto"/>
        <w:rPr>
          <w:rFonts w:ascii="Traditional Arabic" w:eastAsia="Times New Roman" w:hAnsi="Traditional Arabic" w:cs="Traditional Arabic"/>
          <w:b/>
          <w:bCs/>
          <w:color w:val="000000" w:themeColor="text1"/>
        </w:rPr>
      </w:pPr>
      <w:bookmarkStart w:id="128" w:name="_Toc242325281"/>
      <w:r w:rsidRPr="00545ABB">
        <w:rPr>
          <w:rFonts w:ascii="Traditional Arabic" w:eastAsia="Times New Roman" w:hAnsi="Traditional Arabic" w:cs="Traditional Arabic"/>
          <w:b/>
          <w:bCs/>
          <w:color w:val="000000" w:themeColor="text1"/>
          <w:rtl/>
        </w:rPr>
        <w:t>بناء أداة القياس</w:t>
      </w:r>
      <w:bookmarkEnd w:id="128"/>
    </w:p>
    <w:p w14:paraId="1FAE5219"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اعتمدت الدراسة الحالية على الاستبانة بوصفها الأداة الرئيسة لجمع البيانات اللازمة لاختبار فرضيات الدراسة وتحقيق أهدافها. وقد تم بناء أداة القياس استنادًا إلى الأدبيات النظرية والدراسات السابقة ذات الصلة بمتغيرات الدراسة، مع مراعاة طبيعة الشركات الناشئة العاملة في مجال الأمن السيبراني</w:t>
      </w:r>
      <w:r w:rsidRPr="00545ABB">
        <w:rPr>
          <w:rFonts w:ascii="Traditional Arabic" w:hAnsi="Traditional Arabic" w:cs="Traditional Arabic"/>
          <w:b/>
          <w:bCs/>
          <w:color w:val="000000" w:themeColor="text1"/>
        </w:rPr>
        <w:t>.</w:t>
      </w:r>
    </w:p>
    <w:p w14:paraId="7D9055BB"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وتكونت الاستبانة من </w:t>
      </w:r>
      <w:r w:rsidRPr="00545ABB">
        <w:rPr>
          <w:rStyle w:val="Strong"/>
          <w:rFonts w:ascii="Traditional Arabic" w:hAnsi="Traditional Arabic" w:cs="Traditional Arabic"/>
          <w:color w:val="000000" w:themeColor="text1"/>
        </w:rPr>
        <w:t xml:space="preserve">(56)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w:t>
      </w:r>
      <w:r w:rsidRPr="00545ABB">
        <w:rPr>
          <w:rStyle w:val="Strong"/>
          <w:rFonts w:ascii="Traditional Arabic" w:hAnsi="Traditional Arabic" w:cs="Traditional Arabic"/>
          <w:color w:val="000000" w:themeColor="text1"/>
          <w:rtl/>
        </w:rPr>
        <w:t>ثلاثة متغيرات رئيسة</w:t>
      </w:r>
      <w:r w:rsidRPr="00545ABB">
        <w:rPr>
          <w:rFonts w:ascii="Traditional Arabic" w:hAnsi="Traditional Arabic" w:cs="Traditional Arabic"/>
          <w:b/>
          <w:bCs/>
          <w:color w:val="000000" w:themeColor="text1"/>
          <w:rtl/>
        </w:rPr>
        <w:t>، هي: الحوكمة الفعالة بوصفها المتغير المستقل، والاستدامة المؤسسية والنجاح المؤسسي بوصفهما متغيرين تابعين</w:t>
      </w:r>
      <w:r w:rsidRPr="00545ABB">
        <w:rPr>
          <w:rFonts w:ascii="Traditional Arabic" w:hAnsi="Traditional Arabic" w:cs="Traditional Arabic"/>
          <w:b/>
          <w:bCs/>
          <w:color w:val="000000" w:themeColor="text1"/>
        </w:rPr>
        <w:t>.</w:t>
      </w:r>
    </w:p>
    <w:p w14:paraId="2535E02B"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اشتمل المتغير المستقل، والمتمثل في </w:t>
      </w:r>
      <w:r w:rsidRPr="00545ABB">
        <w:rPr>
          <w:rStyle w:val="Strong"/>
          <w:rFonts w:ascii="Traditional Arabic" w:hAnsi="Traditional Arabic" w:cs="Traditional Arabic"/>
          <w:color w:val="000000" w:themeColor="text1"/>
          <w:rtl/>
        </w:rPr>
        <w:t>الحوكمة الفعالة</w:t>
      </w:r>
      <w:r w:rsidRPr="00545ABB">
        <w:rPr>
          <w:rFonts w:ascii="Traditional Arabic" w:hAnsi="Traditional Arabic" w:cs="Traditional Arabic"/>
          <w:b/>
          <w:bCs/>
          <w:color w:val="000000" w:themeColor="text1"/>
          <w:rtl/>
        </w:rPr>
        <w:t xml:space="preserve">، على </w:t>
      </w:r>
      <w:r w:rsidRPr="00545ABB">
        <w:rPr>
          <w:rStyle w:val="Strong"/>
          <w:rFonts w:ascii="Traditional Arabic" w:hAnsi="Traditional Arabic" w:cs="Traditional Arabic"/>
          <w:color w:val="000000" w:themeColor="text1"/>
        </w:rPr>
        <w:t xml:space="preserve">(25)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خمسة أبعاد فرعية هي: الشفافية والإفصاح، والمساءلة والمسؤولية، والمشاركة في اتخاذ القرار، وإدارة المخاطر والالتزام، والكفاءة في استخدام الموارد، بواقع خمس عبارات لكل بعد. وتهدف هذه العبارات إلى قياس مدى تطبيق ممارسات الحوكمة الفعالة داخل شركات الأمن السيبراني الناشئة</w:t>
      </w:r>
      <w:r w:rsidRPr="00545ABB">
        <w:rPr>
          <w:rFonts w:ascii="Traditional Arabic" w:hAnsi="Traditional Arabic" w:cs="Traditional Arabic"/>
          <w:b/>
          <w:bCs/>
          <w:color w:val="000000" w:themeColor="text1"/>
        </w:rPr>
        <w:t>.</w:t>
      </w:r>
    </w:p>
    <w:p w14:paraId="1EE5A791"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أما المتغير التابع الأول، وهو </w:t>
      </w:r>
      <w:r w:rsidRPr="00545ABB">
        <w:rPr>
          <w:rStyle w:val="Strong"/>
          <w:rFonts w:ascii="Traditional Arabic" w:hAnsi="Traditional Arabic" w:cs="Traditional Arabic"/>
          <w:color w:val="000000" w:themeColor="text1"/>
          <w:rtl/>
        </w:rPr>
        <w:t>الاستدامة المؤسسية</w:t>
      </w:r>
      <w:r w:rsidRPr="00545ABB">
        <w:rPr>
          <w:rFonts w:ascii="Traditional Arabic" w:hAnsi="Traditional Arabic" w:cs="Traditional Arabic"/>
          <w:b/>
          <w:bCs/>
          <w:color w:val="000000" w:themeColor="text1"/>
          <w:rtl/>
        </w:rPr>
        <w:t xml:space="preserve">، فقد تضمن </w:t>
      </w:r>
      <w:r w:rsidRPr="00545ABB">
        <w:rPr>
          <w:rStyle w:val="Strong"/>
          <w:rFonts w:ascii="Traditional Arabic" w:hAnsi="Traditional Arabic" w:cs="Traditional Arabic"/>
          <w:color w:val="000000" w:themeColor="text1"/>
        </w:rPr>
        <w:t xml:space="preserve">(15)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ثلاثة أبعاد رئيسة هي: البعد الاقتصادي، والبعد الاجتماعي، والبعد التقني، بواقع خمس عبارات لكل بعد. وقد صُممت هذه العبارات لقياس قدرة الشركات على تحقيق الاستدامة من جوانبها الاقتصادية والاجتماعية والتقنية</w:t>
      </w:r>
      <w:r w:rsidRPr="00545ABB">
        <w:rPr>
          <w:rFonts w:ascii="Traditional Arabic" w:hAnsi="Traditional Arabic" w:cs="Traditional Arabic"/>
          <w:b/>
          <w:bCs/>
          <w:color w:val="000000" w:themeColor="text1"/>
        </w:rPr>
        <w:t>.</w:t>
      </w:r>
    </w:p>
    <w:p w14:paraId="6B5A2643"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 xml:space="preserve">في حين اشتمل المتغير التابع الثاني، والمتمثل في </w:t>
      </w:r>
      <w:r w:rsidRPr="00545ABB">
        <w:rPr>
          <w:rStyle w:val="Strong"/>
          <w:rFonts w:ascii="Traditional Arabic" w:hAnsi="Traditional Arabic" w:cs="Traditional Arabic"/>
          <w:color w:val="000000" w:themeColor="text1"/>
          <w:rtl/>
        </w:rPr>
        <w:t>النجاح المؤسسي</w:t>
      </w:r>
      <w:r w:rsidRPr="00545ABB">
        <w:rPr>
          <w:rFonts w:ascii="Traditional Arabic" w:hAnsi="Traditional Arabic" w:cs="Traditional Arabic"/>
          <w:b/>
          <w:bCs/>
          <w:color w:val="000000" w:themeColor="text1"/>
          <w:rtl/>
        </w:rPr>
        <w:t xml:space="preserve">، على </w:t>
      </w:r>
      <w:r w:rsidRPr="00545ABB">
        <w:rPr>
          <w:rStyle w:val="Strong"/>
          <w:rFonts w:ascii="Traditional Arabic" w:hAnsi="Traditional Arabic" w:cs="Traditional Arabic"/>
          <w:color w:val="000000" w:themeColor="text1"/>
        </w:rPr>
        <w:t xml:space="preserve">(16)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أربعة أبعاد فرعية هي: جودة الأداء الإداري والتقني، والكفاءة التشغيلية، والابتكار والتكيف، ورضا العملاء والنمو المؤسسي، بواقع أربع عبارات لكل بعد. وتهدف هذه العبارات إلى قياس مستوى نجاح الشركات الناشئة في تحقيق أهدافها التشغيلية والاستراتيجية وتعزيز قدرتها التنافسية في سوق الأمن السيبراني</w:t>
      </w:r>
      <w:r w:rsidRPr="00545ABB">
        <w:rPr>
          <w:rFonts w:ascii="Traditional Arabic" w:hAnsi="Traditional Arabic" w:cs="Traditional Arabic"/>
          <w:b/>
          <w:bCs/>
          <w:color w:val="000000" w:themeColor="text1"/>
        </w:rPr>
        <w:t>.</w:t>
      </w:r>
    </w:p>
    <w:p w14:paraId="7C7AC834"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وبذلك بلغ إجمالي عدد عبارات الاستبانة </w:t>
      </w:r>
      <w:r w:rsidRPr="00545ABB">
        <w:rPr>
          <w:rStyle w:val="Strong"/>
          <w:rFonts w:ascii="Traditional Arabic" w:hAnsi="Traditional Arabic" w:cs="Traditional Arabic"/>
          <w:color w:val="000000" w:themeColor="text1"/>
        </w:rPr>
        <w:t xml:space="preserve">(56)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موزعة على متغيرات الدراسة وأبعادها المختلفة، بما يحقق شمولية القياس ويعكس بصورة منهجية الجوانب الرئيسة المرتبطة بالحوكمة الفعالة والاستدامة المؤسسية والنجاح المؤسسي</w:t>
      </w:r>
      <w:r w:rsidRPr="00545ABB">
        <w:rPr>
          <w:rFonts w:ascii="Traditional Arabic" w:hAnsi="Traditional Arabic" w:cs="Traditional Arabic"/>
          <w:b/>
          <w:bCs/>
          <w:color w:val="000000" w:themeColor="text1"/>
        </w:rPr>
        <w:t>.</w:t>
      </w:r>
    </w:p>
    <w:p w14:paraId="483FDFEB" w14:textId="77777777" w:rsidR="0011407D" w:rsidRPr="00545ABB" w:rsidRDefault="0011407D" w:rsidP="006727F3">
      <w:pPr>
        <w:pStyle w:val="Heading2"/>
        <w:bidi/>
        <w:spacing w:line="360" w:lineRule="auto"/>
        <w:rPr>
          <w:rFonts w:ascii="Traditional Arabic" w:hAnsi="Traditional Arabic" w:cs="Traditional Arabic"/>
          <w:b/>
          <w:bCs/>
          <w:color w:val="000000" w:themeColor="text1"/>
        </w:rPr>
      </w:pPr>
      <w:bookmarkStart w:id="129" w:name="_Toc242325282"/>
      <w:bookmarkEnd w:id="119"/>
      <w:r w:rsidRPr="00545ABB">
        <w:rPr>
          <w:rFonts w:ascii="Traditional Arabic" w:hAnsi="Traditional Arabic" w:cs="Traditional Arabic"/>
          <w:b/>
          <w:bCs/>
          <w:color w:val="000000" w:themeColor="text1"/>
          <w:rtl/>
        </w:rPr>
        <w:t>تحديد إجراءات تنفيذ الدراسة</w:t>
      </w:r>
      <w:bookmarkEnd w:id="129"/>
    </w:p>
    <w:p w14:paraId="557E03F3"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 تنفيذ الدراسة وفق مجموعة من الخطوات العلمية والمنهجية المترابطة، مع مراعاة التدرج المنطقي في مراحل البحث، بدءًا من تحديد مشكلة الدراسة وبناء إطارها النظري، وصولًا إلى جمع البيانات وتحليلها ومناقشة النتائج. وقد تمثلت إجراءات تنفيذ الدراسة فيما يلي</w:t>
      </w:r>
      <w:r w:rsidRPr="00545ABB">
        <w:rPr>
          <w:rFonts w:ascii="Traditional Arabic" w:hAnsi="Traditional Arabic" w:cs="Traditional Arabic"/>
          <w:b/>
          <w:bCs/>
          <w:color w:val="000000" w:themeColor="text1"/>
        </w:rPr>
        <w:t>:</w:t>
      </w:r>
    </w:p>
    <w:p w14:paraId="5E6A695A"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0" w:name="_Toc242325283"/>
      <w:r w:rsidRPr="00545ABB">
        <w:rPr>
          <w:rFonts w:ascii="Traditional Arabic" w:hAnsi="Traditional Arabic" w:cs="Traditional Arabic"/>
          <w:b/>
          <w:bCs/>
          <w:color w:val="000000" w:themeColor="text1"/>
          <w:rtl/>
        </w:rPr>
        <w:t>أ- تحديد مشكلة الدراسة وأهدافها وتساؤلاتها وفرضياتها</w:t>
      </w:r>
      <w:bookmarkEnd w:id="130"/>
    </w:p>
    <w:p w14:paraId="33588700"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انطلق الباحث من دراسة واقع الحوكمة في شركات الأمن السيبراني الناشئة في المملكة العربية السعودية، بهدف تحليل أثر الحوكمة الفعالة في تحقيق الاستدامة المؤسسية والنجاح المؤسسي. وفي ضوء ذلك تم تحديد مشكلة الدراسة، وصياغة أهدافها وتساؤلاتها وفرضياتها بما يتوافق مع موضوع الدراسة ومتغيراتها</w:t>
      </w:r>
      <w:r w:rsidRPr="00545ABB">
        <w:rPr>
          <w:rFonts w:ascii="Traditional Arabic" w:hAnsi="Traditional Arabic" w:cs="Traditional Arabic"/>
          <w:b/>
          <w:bCs/>
          <w:color w:val="000000" w:themeColor="text1"/>
        </w:rPr>
        <w:t>.</w:t>
      </w:r>
    </w:p>
    <w:p w14:paraId="663FD4A7"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1" w:name="_Toc242325284"/>
      <w:r w:rsidRPr="00545ABB">
        <w:rPr>
          <w:rFonts w:ascii="Traditional Arabic" w:hAnsi="Traditional Arabic" w:cs="Traditional Arabic"/>
          <w:b/>
          <w:bCs/>
          <w:color w:val="000000" w:themeColor="text1"/>
          <w:rtl/>
        </w:rPr>
        <w:t>ب- إعداد الإطار النظري والدراسات السابقة</w:t>
      </w:r>
      <w:bookmarkEnd w:id="131"/>
    </w:p>
    <w:p w14:paraId="39CDF9B6"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 جمع وتحليل الأدبيات العلمية والدراسات السابقة ذات الصلة بالحوكمة الفعالة، والأمن السيبراني، والاستدامة المؤسسية، والنجاح المؤسسي، مع التركيز على الدراسات المرتبطة بالشركات الناشئة والبيئة السعودية. وقد أسهمت هذه المرحلة في بناء الأساس النظري للدراسة، وتحديد متغيراتها وأبعادها، وتطوير نموذجها المفاهيمي وأداة القياس المستخدمة فيها</w:t>
      </w:r>
      <w:r w:rsidRPr="00545ABB">
        <w:rPr>
          <w:rFonts w:ascii="Traditional Arabic" w:hAnsi="Traditional Arabic" w:cs="Traditional Arabic"/>
          <w:b/>
          <w:bCs/>
          <w:color w:val="000000" w:themeColor="text1"/>
        </w:rPr>
        <w:t>.</w:t>
      </w:r>
    </w:p>
    <w:p w14:paraId="2DF19C4D"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2" w:name="_Toc242325285"/>
      <w:r w:rsidRPr="00545ABB">
        <w:rPr>
          <w:rFonts w:ascii="Traditional Arabic" w:hAnsi="Traditional Arabic" w:cs="Traditional Arabic"/>
          <w:b/>
          <w:bCs/>
          <w:color w:val="000000" w:themeColor="text1"/>
          <w:rtl/>
        </w:rPr>
        <w:lastRenderedPageBreak/>
        <w:t>ج- تحديد المنهج ومجتمع الدراسة وعينتها</w:t>
      </w:r>
      <w:bookmarkEnd w:id="132"/>
    </w:p>
    <w:p w14:paraId="29060001"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اعتمد الباحث المنهج الوصفي التحليلي لملاءمته لطبيعة الدراسة وأهدافها، وتم تحديد مجتمع الدراسة في شركات الأمن السيبراني الناشئة في المملكة العربية السعودية</w:t>
      </w:r>
      <w:r w:rsidRPr="00545ABB">
        <w:rPr>
          <w:rFonts w:ascii="Traditional Arabic" w:hAnsi="Traditional Arabic" w:cs="Traditional Arabic"/>
          <w:b/>
          <w:bCs/>
          <w:color w:val="000000" w:themeColor="text1"/>
        </w:rPr>
        <w:t>.</w:t>
      </w:r>
    </w:p>
    <w:p w14:paraId="663AEB85"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تم اختيار العينة المؤسسية بطريقة قصدية، وتمثلت في شركتين تعملان في مجال الأمن السيبراني، في حين بلغ عدد المشاركين في العينة البشرية </w:t>
      </w:r>
      <w:r w:rsidRPr="00545ABB">
        <w:rPr>
          <w:rStyle w:val="Strong"/>
          <w:rFonts w:ascii="Traditional Arabic" w:hAnsi="Traditional Arabic" w:cs="Traditional Arabic"/>
          <w:color w:val="000000" w:themeColor="text1"/>
        </w:rPr>
        <w:t xml:space="preserve">(63) </w:t>
      </w:r>
      <w:r w:rsidRPr="00545ABB">
        <w:rPr>
          <w:rStyle w:val="Strong"/>
          <w:rFonts w:ascii="Traditional Arabic" w:hAnsi="Traditional Arabic" w:cs="Traditional Arabic"/>
          <w:color w:val="000000" w:themeColor="text1"/>
          <w:rtl/>
        </w:rPr>
        <w:t>مشاركًا</w:t>
      </w:r>
      <w:r w:rsidRPr="00545ABB">
        <w:rPr>
          <w:rFonts w:ascii="Traditional Arabic" w:hAnsi="Traditional Arabic" w:cs="Traditional Arabic"/>
          <w:b/>
          <w:bCs/>
          <w:color w:val="000000" w:themeColor="text1"/>
          <w:rtl/>
        </w:rPr>
        <w:t xml:space="preserve"> من العاملين والمختصين ذوي العلاقة بمجال الدراسة</w:t>
      </w:r>
      <w:r w:rsidRPr="00545ABB">
        <w:rPr>
          <w:rFonts w:ascii="Traditional Arabic" w:hAnsi="Traditional Arabic" w:cs="Traditional Arabic"/>
          <w:b/>
          <w:bCs/>
          <w:color w:val="000000" w:themeColor="text1"/>
        </w:rPr>
        <w:t>.</w:t>
      </w:r>
    </w:p>
    <w:p w14:paraId="7D6A4041"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3" w:name="_Toc242325286"/>
      <w:r w:rsidRPr="00545ABB">
        <w:rPr>
          <w:rFonts w:ascii="Traditional Arabic" w:hAnsi="Traditional Arabic" w:cs="Traditional Arabic"/>
          <w:b/>
          <w:bCs/>
          <w:color w:val="000000" w:themeColor="text1"/>
          <w:rtl/>
        </w:rPr>
        <w:t>د- إعداد أدوات جمع البيانات والتحقق من صلاحيتها</w:t>
      </w:r>
      <w:bookmarkEnd w:id="133"/>
    </w:p>
    <w:p w14:paraId="702FEFE0"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اعتمد الباحث على ثلاث أدوات لجمع البيانات، هي</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الاستبانة، والمقابلات شبه المقننة، وتحليل الوثائق والتقارير</w:t>
      </w:r>
      <w:r w:rsidRPr="00545ABB">
        <w:rPr>
          <w:rFonts w:ascii="Traditional Arabic" w:hAnsi="Traditional Arabic" w:cs="Traditional Arabic"/>
          <w:b/>
          <w:bCs/>
          <w:color w:val="000000" w:themeColor="text1"/>
        </w:rPr>
        <w:t>.</w:t>
      </w:r>
    </w:p>
    <w:p w14:paraId="7A1264B9"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تم إعداد الاستبانة في ضوء الإطار النظري والدراسات السابقة ونموذج الدراسة، وتكونت من </w:t>
      </w:r>
      <w:r w:rsidRPr="00545ABB">
        <w:rPr>
          <w:rStyle w:val="Strong"/>
          <w:rFonts w:ascii="Traditional Arabic" w:hAnsi="Traditional Arabic" w:cs="Traditional Arabic"/>
          <w:color w:val="000000" w:themeColor="text1"/>
        </w:rPr>
        <w:t xml:space="preserve">(56) </w:t>
      </w:r>
      <w:r w:rsidRPr="00545ABB">
        <w:rPr>
          <w:rStyle w:val="Strong"/>
          <w:rFonts w:ascii="Traditional Arabic" w:hAnsi="Traditional Arabic" w:cs="Traditional Arabic"/>
          <w:color w:val="000000" w:themeColor="text1"/>
          <w:rtl/>
        </w:rPr>
        <w:t>عبارة</w:t>
      </w:r>
      <w:r w:rsidRPr="00545ABB">
        <w:rPr>
          <w:rFonts w:ascii="Traditional Arabic" w:hAnsi="Traditional Arabic" w:cs="Traditional Arabic"/>
          <w:b/>
          <w:bCs/>
          <w:color w:val="000000" w:themeColor="text1"/>
          <w:rtl/>
        </w:rPr>
        <w:t xml:space="preserve"> موزعة على المتغيرات الثلاثة وأبعادها المختلفة. كما تم عرض أداة الدراسة على مجموعة من المحكمين والمتخصصين للتحقق من ملاءمتها ووضوح عباراتها، وإجراء التعديلات اللازمة قبل التطبيق الفعلي</w:t>
      </w:r>
      <w:r w:rsidRPr="00545ABB">
        <w:rPr>
          <w:rFonts w:ascii="Traditional Arabic" w:hAnsi="Traditional Arabic" w:cs="Traditional Arabic"/>
          <w:b/>
          <w:bCs/>
          <w:color w:val="000000" w:themeColor="text1"/>
        </w:rPr>
        <w:t>.</w:t>
      </w:r>
    </w:p>
    <w:p w14:paraId="2EAF1341"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4" w:name="_Toc242325287"/>
      <w:r w:rsidRPr="00545ABB">
        <w:rPr>
          <w:rFonts w:ascii="Traditional Arabic" w:hAnsi="Traditional Arabic" w:cs="Traditional Arabic"/>
          <w:b/>
          <w:bCs/>
          <w:color w:val="000000" w:themeColor="text1"/>
          <w:rtl/>
        </w:rPr>
        <w:t>هـ- تنفيذ الدراسة الميدانية</w:t>
      </w:r>
      <w:bookmarkEnd w:id="134"/>
    </w:p>
    <w:p w14:paraId="0D827CCF"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بعد استكمال إعداد أدوات الدراسة والتحقق من صلاحيتها، تم تطبيق الدراسة ميدانيًا، حيث وُزعت الاستبانات إلكترونيًا على أفراد العينة، وأُجريت المقابلات شبه المقننة مع عدد من المختصين والخبراء، إلى جانب الاستفادة من الوثائق والتقارير ذات الصلة بموضوع الدراسة</w:t>
      </w:r>
      <w:r w:rsidRPr="00545ABB">
        <w:rPr>
          <w:rFonts w:ascii="Traditional Arabic" w:hAnsi="Traditional Arabic" w:cs="Traditional Arabic"/>
          <w:b/>
          <w:bCs/>
          <w:color w:val="000000" w:themeColor="text1"/>
        </w:rPr>
        <w:t>.</w:t>
      </w:r>
    </w:p>
    <w:p w14:paraId="61FABCA8"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روعي خلال عملية جمع البيانات الالتزام بالدقة والموضوعية والمحافظة على استخدام البيانات في الأغراض العلمية المرتبطة بالدراسة</w:t>
      </w:r>
      <w:r w:rsidRPr="00545ABB">
        <w:rPr>
          <w:rFonts w:ascii="Traditional Arabic" w:hAnsi="Traditional Arabic" w:cs="Traditional Arabic"/>
          <w:b/>
          <w:bCs/>
          <w:color w:val="000000" w:themeColor="text1"/>
        </w:rPr>
        <w:t>.</w:t>
      </w:r>
    </w:p>
    <w:p w14:paraId="6B24605B"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5" w:name="_Toc242325288"/>
      <w:r w:rsidRPr="00545ABB">
        <w:rPr>
          <w:rFonts w:ascii="Traditional Arabic" w:hAnsi="Traditional Arabic" w:cs="Traditional Arabic"/>
          <w:b/>
          <w:bCs/>
          <w:color w:val="000000" w:themeColor="text1"/>
          <w:rtl/>
        </w:rPr>
        <w:t>و- معالجة البيانات وتحليلها</w:t>
      </w:r>
      <w:bookmarkEnd w:id="135"/>
    </w:p>
    <w:p w14:paraId="6D916F67"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بعد استكمال عملية جمع البيانات، تم ترميز البيانات الكمية وإدخالها إلى برنامج </w:t>
      </w:r>
      <w:r w:rsidRPr="00545ABB">
        <w:rPr>
          <w:rStyle w:val="Strong"/>
          <w:rFonts w:ascii="Traditional Arabic" w:hAnsi="Traditional Arabic" w:cs="Traditional Arabic"/>
          <w:color w:val="000000" w:themeColor="text1"/>
        </w:rPr>
        <w:t>SPSS</w:t>
      </w:r>
      <w:r w:rsidRPr="00545ABB">
        <w:rPr>
          <w:rFonts w:ascii="Traditional Arabic" w:hAnsi="Traditional Arabic" w:cs="Traditional Arabic"/>
          <w:b/>
          <w:bCs/>
          <w:color w:val="000000" w:themeColor="text1"/>
          <w:rtl/>
        </w:rPr>
        <w:t>، واستخدام الأساليب الإحصائية الملائمة لأهداف الدراسة واختبار فرضياتها</w:t>
      </w:r>
      <w:r w:rsidRPr="00545ABB">
        <w:rPr>
          <w:rFonts w:ascii="Traditional Arabic" w:hAnsi="Traditional Arabic" w:cs="Traditional Arabic"/>
          <w:b/>
          <w:bCs/>
          <w:color w:val="000000" w:themeColor="text1"/>
        </w:rPr>
        <w:t>.</w:t>
      </w:r>
    </w:p>
    <w:p w14:paraId="7F6BB56E"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وشملت عملية التحليل الإحصاءات الوصفية، ومعاملات الارتباط، وتحليل الانحدار، واختبارات الفروق المناسبة، إلى جانب تحليل البيانات الكيفية المستخلصة من المقابلات بصورة موضوعية لدعم تفسير النتائج الكمية</w:t>
      </w:r>
      <w:r w:rsidRPr="00545ABB">
        <w:rPr>
          <w:rFonts w:ascii="Traditional Arabic" w:hAnsi="Traditional Arabic" w:cs="Traditional Arabic"/>
          <w:b/>
          <w:bCs/>
          <w:color w:val="000000" w:themeColor="text1"/>
        </w:rPr>
        <w:t>.</w:t>
      </w:r>
    </w:p>
    <w:p w14:paraId="621C3645"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6" w:name="_Toc242325289"/>
      <w:r w:rsidRPr="00545ABB">
        <w:rPr>
          <w:rFonts w:ascii="Traditional Arabic" w:hAnsi="Traditional Arabic" w:cs="Traditional Arabic"/>
          <w:b/>
          <w:bCs/>
          <w:color w:val="000000" w:themeColor="text1"/>
          <w:rtl/>
        </w:rPr>
        <w:t>ز- تفسير النتائج ومناقشتها</w:t>
      </w:r>
      <w:bookmarkEnd w:id="136"/>
    </w:p>
    <w:p w14:paraId="6F5AD1E6"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بعد الانتهاء من تحليل البيانات، تم تفسير النتائج ومناقشتها في ضوء الإطار النظري والدراسات السابقة وأهداف الدراسة وفرضياتها، بهدف تحديد أهم الدلالات العلمية والتطبيقية للنتائج، وبيان مدى اتفاقها أو اختلافها مع نتائج الدراسات السابقة</w:t>
      </w:r>
      <w:r w:rsidRPr="00545ABB">
        <w:rPr>
          <w:rFonts w:ascii="Traditional Arabic" w:hAnsi="Traditional Arabic" w:cs="Traditional Arabic"/>
          <w:b/>
          <w:bCs/>
          <w:color w:val="000000" w:themeColor="text1"/>
        </w:rPr>
        <w:t>.</w:t>
      </w:r>
    </w:p>
    <w:p w14:paraId="0A3366C9"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37" w:name="_Toc242325290"/>
      <w:r w:rsidRPr="00545ABB">
        <w:rPr>
          <w:rFonts w:ascii="Traditional Arabic" w:hAnsi="Traditional Arabic" w:cs="Traditional Arabic"/>
          <w:b/>
          <w:bCs/>
          <w:color w:val="000000" w:themeColor="text1"/>
          <w:rtl/>
        </w:rPr>
        <w:t>ح- صياغة الاستنتاجات والتوصيات</w:t>
      </w:r>
      <w:bookmarkEnd w:id="137"/>
    </w:p>
    <w:p w14:paraId="70FAD4CE"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استنادًا إلى النتائج التي توصلت إليها الدراسة، تم استخلاص مجموعة من الاستنتاجات وصياغة التوصيات والمقترحات العملية التي يمكن أن تسهم في تعزيز ممارسات الحوكمة الفعالة، ودعم استدامة ونجاح شركات الأمن السيبراني الناشئة في المملكة العربية السعودية، إلى جانب تحديد عدد من الموضوعات المقترحة للبحوث المستقبلية</w:t>
      </w:r>
      <w:r w:rsidRPr="00545ABB">
        <w:rPr>
          <w:rFonts w:ascii="Traditional Arabic" w:hAnsi="Traditional Arabic" w:cs="Traditional Arabic"/>
          <w:b/>
          <w:bCs/>
          <w:color w:val="000000" w:themeColor="text1"/>
        </w:rPr>
        <w:t>.</w:t>
      </w:r>
    </w:p>
    <w:p w14:paraId="439429F8" w14:textId="77777777" w:rsidR="0011407D" w:rsidRPr="00545ABB" w:rsidRDefault="0011407D" w:rsidP="006727F3">
      <w:pPr>
        <w:pStyle w:val="Heading2"/>
        <w:bidi/>
        <w:spacing w:line="360" w:lineRule="auto"/>
        <w:rPr>
          <w:rFonts w:ascii="Traditional Arabic" w:eastAsia="Times New Roman" w:hAnsi="Traditional Arabic" w:cs="Traditional Arabic"/>
          <w:b/>
          <w:bCs/>
          <w:color w:val="000000" w:themeColor="text1"/>
          <w:sz w:val="24"/>
          <w:szCs w:val="24"/>
        </w:rPr>
      </w:pPr>
    </w:p>
    <w:p w14:paraId="265C6D89" w14:textId="77777777" w:rsidR="0011407D" w:rsidRPr="00545ABB" w:rsidRDefault="0011407D" w:rsidP="006727F3">
      <w:pPr>
        <w:pStyle w:val="Heading2"/>
        <w:bidi/>
        <w:spacing w:line="360" w:lineRule="auto"/>
        <w:rPr>
          <w:rFonts w:ascii="Traditional Arabic" w:hAnsi="Traditional Arabic" w:cs="Traditional Arabic"/>
          <w:b/>
          <w:bCs/>
          <w:color w:val="000000" w:themeColor="text1"/>
        </w:rPr>
      </w:pPr>
      <w:bookmarkStart w:id="138" w:name="_Toc242325291"/>
      <w:r w:rsidRPr="00545ABB">
        <w:rPr>
          <w:rFonts w:ascii="Traditional Arabic" w:hAnsi="Traditional Arabic" w:cs="Traditional Arabic"/>
          <w:b/>
          <w:bCs/>
          <w:color w:val="000000" w:themeColor="text1"/>
          <w:rtl/>
        </w:rPr>
        <w:t>تصميم الدراسة والمعالجة الإحصائية</w:t>
      </w:r>
      <w:bookmarkEnd w:id="138"/>
    </w:p>
    <w:p w14:paraId="42E2D778"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جاء تصميم الدراسة متسقًا مع طبيعتها الوصفية التحليلية، حيث هدفت إلى وصف واقع تطبيق الحوكمة الفعالة وتحليل أثرها في الاستدامة المؤسسية والنجاح المؤسسي في شركات الأمن السيبراني الناشئة</w:t>
      </w:r>
      <w:r w:rsidRPr="00545ABB">
        <w:rPr>
          <w:rFonts w:ascii="Traditional Arabic" w:hAnsi="Traditional Arabic" w:cs="Traditional Arabic"/>
          <w:b/>
          <w:bCs/>
          <w:color w:val="000000" w:themeColor="text1"/>
        </w:rPr>
        <w:t>.</w:t>
      </w:r>
    </w:p>
    <w:p w14:paraId="1370E100"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وبعد جمع البيانات، تم ترميزها وإدخالها إلى برنامج </w:t>
      </w:r>
      <w:r w:rsidRPr="00545ABB">
        <w:rPr>
          <w:rStyle w:val="Strong"/>
          <w:rFonts w:ascii="Traditional Arabic" w:hAnsi="Traditional Arabic" w:cs="Traditional Arabic"/>
          <w:color w:val="000000" w:themeColor="text1"/>
        </w:rPr>
        <w:t>SPSS</w:t>
      </w:r>
      <w:r w:rsidRPr="00545ABB">
        <w:rPr>
          <w:rFonts w:ascii="Traditional Arabic" w:hAnsi="Traditional Arabic" w:cs="Traditional Arabic"/>
          <w:b/>
          <w:bCs/>
          <w:color w:val="000000" w:themeColor="text1"/>
          <w:rtl/>
        </w:rPr>
        <w:t>، واستخدام مجموعة من الأساليب الإحصائية التي تتناسب مع أهداف الدراسة وطبيعة متغيراتها، وشملت</w:t>
      </w:r>
      <w:r w:rsidRPr="00545ABB">
        <w:rPr>
          <w:rFonts w:ascii="Traditional Arabic" w:hAnsi="Traditional Arabic" w:cs="Traditional Arabic"/>
          <w:b/>
          <w:bCs/>
          <w:color w:val="000000" w:themeColor="text1"/>
        </w:rPr>
        <w:t>:</w:t>
      </w:r>
    </w:p>
    <w:p w14:paraId="6C747EA3" w14:textId="77777777" w:rsidR="0011407D" w:rsidRPr="00545ABB" w:rsidRDefault="0011407D" w:rsidP="00D95153">
      <w:pPr>
        <w:numPr>
          <w:ilvl w:val="0"/>
          <w:numId w:val="4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التكرارات والنسب المئوية لوصف الخصائص الديموغرافية لأفراد العينة</w:t>
      </w:r>
      <w:r w:rsidRPr="00545ABB">
        <w:rPr>
          <w:rFonts w:ascii="Traditional Arabic" w:hAnsi="Traditional Arabic" w:cs="Traditional Arabic"/>
          <w:b/>
          <w:bCs/>
          <w:color w:val="000000" w:themeColor="text1"/>
          <w:sz w:val="24"/>
          <w:szCs w:val="24"/>
        </w:rPr>
        <w:t>.</w:t>
      </w:r>
    </w:p>
    <w:p w14:paraId="4C2B118D" w14:textId="77777777" w:rsidR="0011407D" w:rsidRPr="00545ABB" w:rsidRDefault="0011407D" w:rsidP="00D95153">
      <w:pPr>
        <w:numPr>
          <w:ilvl w:val="0"/>
          <w:numId w:val="4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المتوسطات الحسابية والانحرافات المعيارية لقياس اتجاهات المشاركين نحو عبارات وأبعاد الدراسة</w:t>
      </w:r>
      <w:r w:rsidRPr="00545ABB">
        <w:rPr>
          <w:rFonts w:ascii="Traditional Arabic" w:hAnsi="Traditional Arabic" w:cs="Traditional Arabic"/>
          <w:b/>
          <w:bCs/>
          <w:color w:val="000000" w:themeColor="text1"/>
          <w:sz w:val="24"/>
          <w:szCs w:val="24"/>
        </w:rPr>
        <w:t>.</w:t>
      </w:r>
    </w:p>
    <w:p w14:paraId="2B4D1C13" w14:textId="77777777" w:rsidR="0011407D" w:rsidRPr="00545ABB" w:rsidRDefault="0011407D" w:rsidP="00D95153">
      <w:pPr>
        <w:numPr>
          <w:ilvl w:val="0"/>
          <w:numId w:val="4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معامل كرونباخ ألفا</w:t>
      </w:r>
      <w:r w:rsidRPr="00545ABB">
        <w:rPr>
          <w:rFonts w:ascii="Traditional Arabic" w:hAnsi="Traditional Arabic" w:cs="Traditional Arabic"/>
          <w:b/>
          <w:bCs/>
          <w:color w:val="000000" w:themeColor="text1"/>
          <w:sz w:val="24"/>
          <w:szCs w:val="24"/>
        </w:rPr>
        <w:t xml:space="preserve"> (Cronbach's Alpha) </w:t>
      </w:r>
      <w:r w:rsidRPr="00545ABB">
        <w:rPr>
          <w:rFonts w:ascii="Traditional Arabic" w:hAnsi="Traditional Arabic" w:cs="Traditional Arabic"/>
          <w:b/>
          <w:bCs/>
          <w:color w:val="000000" w:themeColor="text1"/>
          <w:sz w:val="24"/>
          <w:szCs w:val="24"/>
          <w:rtl/>
        </w:rPr>
        <w:t>للتحقق من الاتساق الداخلي وثبات أداة القياس</w:t>
      </w:r>
      <w:r w:rsidRPr="00545ABB">
        <w:rPr>
          <w:rFonts w:ascii="Traditional Arabic" w:hAnsi="Traditional Arabic" w:cs="Traditional Arabic"/>
          <w:b/>
          <w:bCs/>
          <w:color w:val="000000" w:themeColor="text1"/>
          <w:sz w:val="24"/>
          <w:szCs w:val="24"/>
        </w:rPr>
        <w:t>.</w:t>
      </w:r>
    </w:p>
    <w:p w14:paraId="483AD42D" w14:textId="77777777" w:rsidR="0011407D" w:rsidRPr="00545ABB" w:rsidRDefault="0011407D" w:rsidP="00D95153">
      <w:pPr>
        <w:numPr>
          <w:ilvl w:val="0"/>
          <w:numId w:val="4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lastRenderedPageBreak/>
        <w:t>معامل ارتباط بيرسون</w:t>
      </w:r>
      <w:r w:rsidRPr="00545ABB">
        <w:rPr>
          <w:rFonts w:ascii="Traditional Arabic" w:hAnsi="Traditional Arabic" w:cs="Traditional Arabic"/>
          <w:b/>
          <w:bCs/>
          <w:color w:val="000000" w:themeColor="text1"/>
          <w:sz w:val="24"/>
          <w:szCs w:val="24"/>
        </w:rPr>
        <w:t xml:space="preserve"> (Pearson Correlation) </w:t>
      </w:r>
      <w:r w:rsidRPr="00545ABB">
        <w:rPr>
          <w:rFonts w:ascii="Traditional Arabic" w:hAnsi="Traditional Arabic" w:cs="Traditional Arabic"/>
          <w:b/>
          <w:bCs/>
          <w:color w:val="000000" w:themeColor="text1"/>
          <w:sz w:val="24"/>
          <w:szCs w:val="24"/>
          <w:rtl/>
        </w:rPr>
        <w:t>لقياس قوة واتجاه العلاقات بين متغيرات الدراسة</w:t>
      </w:r>
      <w:r w:rsidRPr="00545ABB">
        <w:rPr>
          <w:rFonts w:ascii="Traditional Arabic" w:hAnsi="Traditional Arabic" w:cs="Traditional Arabic"/>
          <w:b/>
          <w:bCs/>
          <w:color w:val="000000" w:themeColor="text1"/>
          <w:sz w:val="24"/>
          <w:szCs w:val="24"/>
        </w:rPr>
        <w:t>.</w:t>
      </w:r>
    </w:p>
    <w:p w14:paraId="13EAA2EF" w14:textId="77777777" w:rsidR="0011407D" w:rsidRPr="00545ABB" w:rsidRDefault="0011407D" w:rsidP="00D95153">
      <w:pPr>
        <w:numPr>
          <w:ilvl w:val="0"/>
          <w:numId w:val="4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تحليل الانحدار الخطي البسيط والمتعدد</w:t>
      </w:r>
      <w:r w:rsidRPr="00545ABB">
        <w:rPr>
          <w:rFonts w:ascii="Traditional Arabic" w:hAnsi="Traditional Arabic" w:cs="Traditional Arabic"/>
          <w:b/>
          <w:bCs/>
          <w:color w:val="000000" w:themeColor="text1"/>
          <w:sz w:val="24"/>
          <w:szCs w:val="24"/>
        </w:rPr>
        <w:t xml:space="preserve"> (Simple and Multiple Linear Regression) </w:t>
      </w:r>
      <w:r w:rsidRPr="00545ABB">
        <w:rPr>
          <w:rFonts w:ascii="Traditional Arabic" w:hAnsi="Traditional Arabic" w:cs="Traditional Arabic"/>
          <w:b/>
          <w:bCs/>
          <w:color w:val="000000" w:themeColor="text1"/>
          <w:sz w:val="24"/>
          <w:szCs w:val="24"/>
          <w:rtl/>
        </w:rPr>
        <w:t>لاختبار أثر الحوكمة الفعالة وأبعادها في الاستدامة المؤسسية والنجاح المؤسسي</w:t>
      </w:r>
      <w:r w:rsidRPr="00545ABB">
        <w:rPr>
          <w:rFonts w:ascii="Traditional Arabic" w:hAnsi="Traditional Arabic" w:cs="Traditional Arabic"/>
          <w:b/>
          <w:bCs/>
          <w:color w:val="000000" w:themeColor="text1"/>
          <w:sz w:val="24"/>
          <w:szCs w:val="24"/>
        </w:rPr>
        <w:t>.</w:t>
      </w:r>
    </w:p>
    <w:p w14:paraId="2B796379" w14:textId="77777777" w:rsidR="0011407D" w:rsidRPr="00545ABB" w:rsidRDefault="0011407D" w:rsidP="00D95153">
      <w:pPr>
        <w:numPr>
          <w:ilvl w:val="0"/>
          <w:numId w:val="41"/>
        </w:numPr>
        <w:spacing w:before="100" w:beforeAutospacing="1" w:after="100" w:afterAutospacing="1"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اختبار</w:t>
      </w:r>
      <w:r w:rsidRPr="00545ABB">
        <w:rPr>
          <w:rFonts w:ascii="Traditional Arabic" w:hAnsi="Traditional Arabic" w:cs="Traditional Arabic"/>
          <w:b/>
          <w:bCs/>
          <w:color w:val="000000" w:themeColor="text1"/>
          <w:sz w:val="24"/>
          <w:szCs w:val="24"/>
        </w:rPr>
        <w:t xml:space="preserve"> T-Test </w:t>
      </w:r>
      <w:r w:rsidRPr="00545ABB">
        <w:rPr>
          <w:rFonts w:ascii="Traditional Arabic" w:hAnsi="Traditional Arabic" w:cs="Traditional Arabic"/>
          <w:b/>
          <w:bCs/>
          <w:color w:val="000000" w:themeColor="text1"/>
          <w:sz w:val="24"/>
          <w:szCs w:val="24"/>
          <w:rtl/>
        </w:rPr>
        <w:t>لدراسة الفروق بين بعض مجموعات أفراد العينة وفقًا للمتغيرات الديموغرافية، متى كان ذلك ملائمًا لطبيعة التحليل</w:t>
      </w:r>
      <w:r w:rsidRPr="00545ABB">
        <w:rPr>
          <w:rFonts w:ascii="Traditional Arabic" w:hAnsi="Traditional Arabic" w:cs="Traditional Arabic"/>
          <w:b/>
          <w:bCs/>
          <w:color w:val="000000" w:themeColor="text1"/>
          <w:sz w:val="24"/>
          <w:szCs w:val="24"/>
        </w:rPr>
        <w:t>.</w:t>
      </w:r>
    </w:p>
    <w:p w14:paraId="6AE9D8B8"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تم تحليل البيانات الناتجة عن المقابلات شبه المقننة باستخدام </w:t>
      </w:r>
      <w:r w:rsidRPr="00545ABB">
        <w:rPr>
          <w:rStyle w:val="Strong"/>
          <w:rFonts w:ascii="Traditional Arabic" w:hAnsi="Traditional Arabic" w:cs="Traditional Arabic"/>
          <w:color w:val="000000" w:themeColor="text1"/>
          <w:rtl/>
        </w:rPr>
        <w:t xml:space="preserve">التحليل الموضوعي </w:t>
      </w:r>
      <w:r w:rsidRPr="00545ABB">
        <w:rPr>
          <w:rStyle w:val="Strong"/>
          <w:rFonts w:ascii="Traditional Arabic" w:hAnsi="Traditional Arabic" w:cs="Traditional Arabic"/>
          <w:color w:val="000000" w:themeColor="text1"/>
        </w:rPr>
        <w:t>(Thematic Analysis)</w:t>
      </w:r>
      <w:r w:rsidRPr="00545ABB">
        <w:rPr>
          <w:rFonts w:ascii="Traditional Arabic" w:hAnsi="Traditional Arabic" w:cs="Traditional Arabic"/>
          <w:b/>
          <w:bCs/>
          <w:color w:val="000000" w:themeColor="text1"/>
          <w:rtl/>
        </w:rPr>
        <w:t>، بهدف تحديد الموضوعات والأفكار الرئيسة والاستفادة منها في تفسير النتائج الكمية وتعزيز الفهم الشامل لواقع تطبيق الحوكمة في شركات الأمن السيبراني الناشئة</w:t>
      </w:r>
      <w:r w:rsidRPr="00545ABB">
        <w:rPr>
          <w:rFonts w:ascii="Traditional Arabic" w:hAnsi="Traditional Arabic" w:cs="Traditional Arabic"/>
          <w:b/>
          <w:bCs/>
          <w:color w:val="000000" w:themeColor="text1"/>
        </w:rPr>
        <w:t>.</w:t>
      </w:r>
    </w:p>
    <w:p w14:paraId="282BFACA"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وبهذا التصميم المنهجي المتكامل، تمكن الباحث من الربط بين الجانبين النظري والتطبيقي للدراسة، بما يتيح تفسير العلاقات بين المتغيرات بصورة علمية دقيقة، ويسهم في الوصول إلى نتائج يمكن الاستفادة منها في تطوير ممارسات الحوكمة ودعم الاستدامة والنجاح المؤسسي في قطاع الأمن السيبراني بالمملكة العربية السعودية</w:t>
      </w:r>
      <w:r w:rsidRPr="00545ABB">
        <w:rPr>
          <w:rFonts w:ascii="Traditional Arabic" w:hAnsi="Traditional Arabic" w:cs="Traditional Arabic"/>
          <w:b/>
          <w:bCs/>
          <w:color w:val="000000" w:themeColor="text1"/>
        </w:rPr>
        <w:t>.</w:t>
      </w:r>
    </w:p>
    <w:p w14:paraId="3A40D93F" w14:textId="77777777" w:rsidR="0011407D" w:rsidRPr="00545ABB" w:rsidRDefault="0011407D" w:rsidP="006727F3">
      <w:pPr>
        <w:pStyle w:val="Heading2"/>
        <w:bidi/>
        <w:spacing w:line="360" w:lineRule="auto"/>
        <w:rPr>
          <w:rFonts w:ascii="Traditional Arabic" w:hAnsi="Traditional Arabic" w:cs="Traditional Arabic"/>
          <w:b/>
          <w:bCs/>
          <w:color w:val="000000" w:themeColor="text1"/>
        </w:rPr>
      </w:pPr>
      <w:bookmarkStart w:id="139" w:name="_Toc242325292"/>
      <w:r w:rsidRPr="00545ABB">
        <w:rPr>
          <w:rFonts w:ascii="Traditional Arabic" w:hAnsi="Traditional Arabic" w:cs="Traditional Arabic"/>
          <w:b/>
          <w:bCs/>
          <w:color w:val="000000" w:themeColor="text1"/>
          <w:rtl/>
        </w:rPr>
        <w:t>الصدق والثبات</w:t>
      </w:r>
      <w:bookmarkEnd w:id="139"/>
    </w:p>
    <w:p w14:paraId="64DB12C3" w14:textId="77777777" w:rsidR="0011407D" w:rsidRPr="00545ABB" w:rsidRDefault="0011407D" w:rsidP="006727F3">
      <w:pPr>
        <w:pStyle w:val="Heading3"/>
        <w:bidi/>
        <w:spacing w:line="360" w:lineRule="auto"/>
        <w:rPr>
          <w:rFonts w:ascii="Traditional Arabic" w:hAnsi="Traditional Arabic" w:cs="Traditional Arabic"/>
          <w:b/>
          <w:bCs/>
          <w:color w:val="000000" w:themeColor="text1"/>
        </w:rPr>
      </w:pPr>
      <w:bookmarkStart w:id="140" w:name="_Toc242325293"/>
      <w:r w:rsidRPr="00545ABB">
        <w:rPr>
          <w:rFonts w:ascii="Traditional Arabic" w:hAnsi="Traditional Arabic" w:cs="Traditional Arabic"/>
          <w:b/>
          <w:bCs/>
          <w:color w:val="000000" w:themeColor="text1"/>
          <w:rtl/>
        </w:rPr>
        <w:t>أ- صدق الاتساق الداخلي</w:t>
      </w:r>
      <w:bookmarkEnd w:id="140"/>
    </w:p>
    <w:p w14:paraId="436BAA9E"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اعتمد الباحث في التحقق من صدق الاتساق الداخلي للاستبانة على حساب معامل الارتباط بين كل بعد من أبعاد الأداة والدرجة الكلية لها، وذلك من خلال تطبيق الأداة على عينة استطلاعية قوامها </w:t>
      </w:r>
      <w:r w:rsidRPr="00545ABB">
        <w:rPr>
          <w:rStyle w:val="Strong"/>
          <w:rFonts w:ascii="Traditional Arabic" w:hAnsi="Traditional Arabic" w:cs="Traditional Arabic"/>
          <w:color w:val="000000" w:themeColor="text1"/>
        </w:rPr>
        <w:t xml:space="preserve">(10) </w:t>
      </w:r>
      <w:r w:rsidRPr="00545ABB">
        <w:rPr>
          <w:rStyle w:val="Strong"/>
          <w:rFonts w:ascii="Traditional Arabic" w:hAnsi="Traditional Arabic" w:cs="Traditional Arabic"/>
          <w:color w:val="000000" w:themeColor="text1"/>
          <w:rtl/>
        </w:rPr>
        <w:t>مفردات</w:t>
      </w:r>
      <w:r w:rsidRPr="00545ABB">
        <w:rPr>
          <w:rFonts w:ascii="Traditional Arabic" w:hAnsi="Traditional Arabic" w:cs="Traditional Arabic"/>
          <w:b/>
          <w:bCs/>
          <w:color w:val="000000" w:themeColor="text1"/>
          <w:rtl/>
        </w:rPr>
        <w:t xml:space="preserve"> من العاملين في شركات الأمن السيبراني الناشئة من خارج العينة الأساسية للدراسة. وقد أظهرت النتائج دلالة معاملات الارتباط عند مستويات الدلالة الإحصائية المعتمدة، بما يشير إلى توفر مستوى مقبول من الاتساق الداخلي وصدق الأداة</w:t>
      </w:r>
      <w:r w:rsidRPr="00545ABB">
        <w:rPr>
          <w:rFonts w:ascii="Traditional Arabic" w:hAnsi="Traditional Arabic" w:cs="Traditional Arabic"/>
          <w:b/>
          <w:bCs/>
          <w:color w:val="000000" w:themeColor="text1"/>
        </w:rPr>
        <w:t>.</w:t>
      </w:r>
    </w:p>
    <w:p w14:paraId="147D38D5" w14:textId="77777777" w:rsidR="0011407D" w:rsidRPr="00545ABB" w:rsidRDefault="0011407D" w:rsidP="006727F3">
      <w:pPr>
        <w:pStyle w:val="NormalWeb"/>
        <w:bidi/>
        <w:spacing w:line="360" w:lineRule="auto"/>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ويعرض الجدول التالي معاملات الارتباط بين أبعاد الاستبانة والدرجة الكلية للأداة</w:t>
      </w:r>
      <w:r w:rsidRPr="00545ABB">
        <w:rPr>
          <w:rFonts w:ascii="Traditional Arabic" w:hAnsi="Traditional Arabic" w:cs="Traditional Arabic"/>
          <w:b/>
          <w:bCs/>
          <w:color w:val="000000" w:themeColor="text1"/>
          <w:sz w:val="28"/>
          <w:szCs w:val="28"/>
        </w:rPr>
        <w:t>.</w:t>
      </w:r>
    </w:p>
    <w:p w14:paraId="6B1ECDBB" w14:textId="77777777" w:rsidR="0011407D" w:rsidRPr="00545ABB" w:rsidRDefault="0011407D" w:rsidP="00022590">
      <w:pPr>
        <w:spacing w:after="0" w:line="360" w:lineRule="auto"/>
        <w:ind w:left="-57"/>
        <w:jc w:val="center"/>
        <w:rPr>
          <w:rFonts w:ascii="Traditional Arabic" w:eastAsia="Times New Roman" w:hAnsi="Traditional Arabic" w:cs="Traditional Arabic"/>
          <w:b/>
          <w:bCs/>
          <w:color w:val="000000" w:themeColor="text1"/>
          <w:sz w:val="24"/>
          <w:szCs w:val="24"/>
        </w:rPr>
      </w:pPr>
    </w:p>
    <w:p w14:paraId="5EF48788" w14:textId="6FAC6E46" w:rsidR="002874C7" w:rsidRPr="00545ABB" w:rsidRDefault="002874C7" w:rsidP="00B760B2">
      <w:pPr>
        <w:spacing w:after="0" w:line="360" w:lineRule="auto"/>
        <w:ind w:left="-57"/>
        <w:jc w:val="center"/>
        <w:rPr>
          <w:rFonts w:ascii="Traditional Arabic" w:hAnsi="Traditional Arabic" w:cs="Traditional Arabic"/>
          <w:b/>
          <w:bCs/>
          <w:color w:val="000000" w:themeColor="text1"/>
          <w:sz w:val="28"/>
          <w:szCs w:val="28"/>
          <w:rtl/>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66944" behindDoc="0" locked="0" layoutInCell="1" allowOverlap="1" wp14:anchorId="2DDBE1E3" wp14:editId="67757C6E">
                <wp:simplePos x="0" y="0"/>
                <wp:positionH relativeFrom="margin">
                  <wp:posOffset>3952240</wp:posOffset>
                </wp:positionH>
                <wp:positionV relativeFrom="paragraph">
                  <wp:posOffset>8263890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0D203" w14:textId="77777777" w:rsidR="00ED4FB3" w:rsidRDefault="00ED4FB3" w:rsidP="002874C7">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DBE1E3" id="_x0000_t202" coordsize="21600,21600" o:spt="202" path="m,l,21600r21600,l21600,xe">
                <v:stroke joinstyle="miter"/>
                <v:path gradientshapeok="t" o:connecttype="rect"/>
              </v:shapetype>
              <v:shape id="Text Box 39" o:spid="_x0000_s1027" type="#_x0000_t202" style="position:absolute;left:0;text-align:left;margin-left:311.2pt;margin-top:650.7pt;width:113.25pt;height:22.5pt;z-index:251666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" fillcolor="white [3201]" stroked="f" strokeweight=".5pt">
                <v:textbox>
                  <w:txbxContent>
                    <w:p w14:paraId="4B20D203" w14:textId="77777777" w:rsidR="00ED4FB3" w:rsidRDefault="00ED4FB3" w:rsidP="002874C7">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rPr>
        <w:t>جدول (3-1)</w:t>
      </w:r>
      <w:r w:rsidR="00B760B2">
        <w:rPr>
          <w:rFonts w:ascii="Traditional Arabic" w:hAnsi="Traditional Arabic" w:cs="Traditional Arabic" w:hint="cs"/>
          <w:b/>
          <w:bCs/>
          <w:color w:val="000000" w:themeColor="text1"/>
          <w:sz w:val="28"/>
          <w:szCs w:val="28"/>
          <w:rtl/>
        </w:rPr>
        <w:t xml:space="preserve"> </w:t>
      </w:r>
      <w:r w:rsidRPr="00545ABB">
        <w:rPr>
          <w:rFonts w:ascii="Traditional Arabic" w:hAnsi="Traditional Arabic" w:cs="Traditional Arabic"/>
          <w:b/>
          <w:bCs/>
          <w:color w:val="000000" w:themeColor="text1"/>
          <w:sz w:val="28"/>
          <w:szCs w:val="28"/>
          <w:rtl/>
        </w:rPr>
        <w:t xml:space="preserve">يوضح الاتساق الداخلي بين </w:t>
      </w:r>
      <w:r w:rsidRPr="00545ABB">
        <w:rPr>
          <w:rFonts w:ascii="Traditional Arabic" w:hAnsi="Traditional Arabic" w:cs="Traditional Arabic"/>
          <w:b/>
          <w:bCs/>
          <w:color w:val="000000" w:themeColor="text1"/>
          <w:sz w:val="28"/>
          <w:szCs w:val="28"/>
          <w:rtl/>
          <w:lang w:bidi="ar-EG"/>
        </w:rPr>
        <w:t xml:space="preserve">أبعاد </w:t>
      </w:r>
      <w:r w:rsidRPr="00545ABB">
        <w:rPr>
          <w:rFonts w:ascii="Traditional Arabic" w:hAnsi="Traditional Arabic" w:cs="Traditional Arabic"/>
          <w:b/>
          <w:bCs/>
          <w:color w:val="000000" w:themeColor="text1"/>
          <w:sz w:val="28"/>
          <w:szCs w:val="28"/>
          <w:rtl/>
        </w:rPr>
        <w:t>استبيان الشركات الناشئة في الأمن السيبراني ودرجة الأداة ككل</w:t>
      </w:r>
    </w:p>
    <w:p w14:paraId="66004C9D" w14:textId="77777777" w:rsidR="002874C7" w:rsidRPr="00545ABB" w:rsidRDefault="002874C7" w:rsidP="00022590">
      <w:pPr>
        <w:spacing w:after="0" w:line="360" w:lineRule="auto"/>
        <w:ind w:left="-57"/>
        <w:jc w:val="center"/>
        <w:rPr>
          <w:rFonts w:ascii="Traditional Arabic" w:hAnsi="Traditional Arabic" w:cs="Traditional Arabic"/>
          <w:b/>
          <w:bCs/>
          <w:color w:val="000000" w:themeColor="text1"/>
          <w:sz w:val="28"/>
          <w:szCs w:val="28"/>
          <w:rtl/>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64896" behindDoc="0" locked="0" layoutInCell="1" allowOverlap="1" wp14:anchorId="2133864B" wp14:editId="50B3A829">
                <wp:simplePos x="0" y="0"/>
                <wp:positionH relativeFrom="column">
                  <wp:posOffset>144780</wp:posOffset>
                </wp:positionH>
                <wp:positionV relativeFrom="paragraph">
                  <wp:posOffset>6985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4F77CA7C" w14:textId="77777777" w:rsidR="00ED4FB3" w:rsidRPr="002707CA" w:rsidRDefault="00ED4FB3"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3864B" id="Rectangle 28" o:spid="_x0000_s1028" style="position:absolute;left:0;text-align:left;margin-left:11.4pt;margin-top:.55pt;width:57.75pt;height:24.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" filled="f" stroked="f" strokeweight="2pt">
                <v:textbox>
                  <w:txbxContent>
                    <w:p w14:paraId="4F77CA7C" w14:textId="77777777" w:rsidR="00ED4FB3" w:rsidRPr="002707CA" w:rsidRDefault="00ED4FB3"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p>
    <w:tbl>
      <w:tblPr>
        <w:tblStyle w:val="TableGrid"/>
        <w:bidiVisual/>
        <w:tblW w:w="9293"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gridCol w:w="850"/>
      </w:tblGrid>
      <w:tr w:rsidR="002874C7" w:rsidRPr="00545ABB" w14:paraId="46F97860" w14:textId="77777777" w:rsidTr="002174D5">
        <w:trPr>
          <w:trHeight w:val="311"/>
          <w:jc w:val="right"/>
        </w:trPr>
        <w:tc>
          <w:tcPr>
            <w:tcW w:w="3050" w:type="dxa"/>
            <w:shd w:val="clear" w:color="auto" w:fill="8DB3E2" w:themeFill="text2" w:themeFillTint="66"/>
            <w:vAlign w:val="center"/>
          </w:tcPr>
          <w:p w14:paraId="34880591"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lastRenderedPageBreak/>
              <w:t>الأبعاد الرئيسة</w:t>
            </w:r>
          </w:p>
        </w:tc>
        <w:tc>
          <w:tcPr>
            <w:tcW w:w="4117" w:type="dxa"/>
            <w:shd w:val="clear" w:color="auto" w:fill="8DB3E2" w:themeFill="text2" w:themeFillTint="66"/>
            <w:vAlign w:val="center"/>
          </w:tcPr>
          <w:p w14:paraId="614A600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الأبعاد الفرعية</w:t>
            </w:r>
          </w:p>
        </w:tc>
        <w:tc>
          <w:tcPr>
            <w:tcW w:w="1276" w:type="dxa"/>
            <w:shd w:val="clear" w:color="auto" w:fill="8DB3E2" w:themeFill="text2" w:themeFillTint="66"/>
            <w:vAlign w:val="center"/>
          </w:tcPr>
          <w:p w14:paraId="7D537410"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معامل الارتباط</w:t>
            </w:r>
          </w:p>
        </w:tc>
        <w:tc>
          <w:tcPr>
            <w:tcW w:w="850" w:type="dxa"/>
            <w:shd w:val="clear" w:color="auto" w:fill="8DB3E2" w:themeFill="text2" w:themeFillTint="66"/>
            <w:vAlign w:val="center"/>
          </w:tcPr>
          <w:p w14:paraId="0598838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الدلالة</w:t>
            </w:r>
          </w:p>
        </w:tc>
      </w:tr>
      <w:tr w:rsidR="002874C7" w:rsidRPr="00545ABB" w14:paraId="262BBF09" w14:textId="77777777" w:rsidTr="005962D7">
        <w:trPr>
          <w:trHeight w:val="439"/>
          <w:jc w:val="right"/>
        </w:trPr>
        <w:tc>
          <w:tcPr>
            <w:tcW w:w="3050" w:type="dxa"/>
            <w:vMerge w:val="restart"/>
            <w:vAlign w:val="center"/>
          </w:tcPr>
          <w:p w14:paraId="6B8BE186" w14:textId="77777777" w:rsidR="002874C7" w:rsidRPr="00545ABB" w:rsidRDefault="002874C7" w:rsidP="00022590">
            <w:pPr>
              <w:spacing w:line="360" w:lineRule="auto"/>
              <w:ind w:left="360"/>
              <w:jc w:val="center"/>
              <w:rPr>
                <w:rFonts w:ascii="Traditional Arabic" w:hAnsi="Traditional Arabic" w:cs="Traditional Arabic"/>
                <w:color w:val="000000" w:themeColor="text1"/>
                <w:rtl/>
                <w:lang w:bidi="ar-EG"/>
              </w:rPr>
            </w:pPr>
            <w:r w:rsidRPr="00545ABB">
              <w:rPr>
                <w:rFonts w:ascii="Traditional Arabic" w:hAnsi="Traditional Arabic" w:cs="Traditional Arabic"/>
                <w:b/>
                <w:bCs/>
                <w:color w:val="000000" w:themeColor="text1"/>
                <w:rtl/>
              </w:rPr>
              <w:t>الشفافية والإفصاح</w:t>
            </w:r>
          </w:p>
        </w:tc>
        <w:tc>
          <w:tcPr>
            <w:tcW w:w="4117" w:type="dxa"/>
            <w:vAlign w:val="center"/>
          </w:tcPr>
          <w:p w14:paraId="7057CC0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lang w:bidi="ar-EG"/>
              </w:rPr>
              <w:t>تتوفر سياسات واضحة للإفصاح عن المعلومات الإدارية داخل الشركة</w:t>
            </w:r>
          </w:p>
        </w:tc>
        <w:tc>
          <w:tcPr>
            <w:tcW w:w="1276" w:type="dxa"/>
            <w:vAlign w:val="center"/>
          </w:tcPr>
          <w:p w14:paraId="733B66EF"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lang w:bidi="ar-EG"/>
              </w:rPr>
              <w:t>0.695</w:t>
            </w:r>
          </w:p>
        </w:tc>
        <w:tc>
          <w:tcPr>
            <w:tcW w:w="850" w:type="dxa"/>
            <w:vAlign w:val="center"/>
          </w:tcPr>
          <w:p w14:paraId="48E8CDCB"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1471895B" w14:textId="77777777" w:rsidTr="005962D7">
        <w:trPr>
          <w:trHeight w:val="371"/>
          <w:jc w:val="right"/>
        </w:trPr>
        <w:tc>
          <w:tcPr>
            <w:tcW w:w="3050" w:type="dxa"/>
            <w:vMerge/>
            <w:vAlign w:val="center"/>
          </w:tcPr>
          <w:p w14:paraId="774C916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4F7269F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lang w:bidi="ar-EG"/>
              </w:rPr>
              <w:t>يتم إتاحة البيانات الجوهرية للموظفين بانتظام ودقة</w:t>
            </w:r>
          </w:p>
        </w:tc>
        <w:tc>
          <w:tcPr>
            <w:tcW w:w="1276" w:type="dxa"/>
            <w:vAlign w:val="center"/>
          </w:tcPr>
          <w:p w14:paraId="735905D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0.689</w:t>
            </w:r>
          </w:p>
        </w:tc>
        <w:tc>
          <w:tcPr>
            <w:tcW w:w="850" w:type="dxa"/>
            <w:vAlign w:val="center"/>
          </w:tcPr>
          <w:p w14:paraId="39412D3F"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349D2122" w14:textId="77777777" w:rsidTr="005962D7">
        <w:trPr>
          <w:trHeight w:val="151"/>
          <w:jc w:val="right"/>
        </w:trPr>
        <w:tc>
          <w:tcPr>
            <w:tcW w:w="3050" w:type="dxa"/>
            <w:vMerge/>
            <w:vAlign w:val="center"/>
          </w:tcPr>
          <w:p w14:paraId="62AF15C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71E2D26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آليات واضحة لتوثيق القرارات الإدارية</w:t>
            </w:r>
          </w:p>
        </w:tc>
        <w:tc>
          <w:tcPr>
            <w:tcW w:w="1276" w:type="dxa"/>
            <w:vAlign w:val="center"/>
          </w:tcPr>
          <w:p w14:paraId="25AE76D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0.689</w:t>
            </w:r>
          </w:p>
        </w:tc>
        <w:tc>
          <w:tcPr>
            <w:tcW w:w="850" w:type="dxa"/>
            <w:vAlign w:val="center"/>
          </w:tcPr>
          <w:p w14:paraId="3112ADAA"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637E9DF6" w14:textId="77777777" w:rsidTr="005962D7">
        <w:trPr>
          <w:jc w:val="right"/>
        </w:trPr>
        <w:tc>
          <w:tcPr>
            <w:tcW w:w="3050" w:type="dxa"/>
            <w:vMerge/>
            <w:vAlign w:val="center"/>
          </w:tcPr>
          <w:p w14:paraId="0B0CEF0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0A3B3CB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lang w:bidi="ar-EG"/>
              </w:rPr>
              <w:t>تحدث المعلومات التشغيلية والفنية بشكل دوري</w:t>
            </w:r>
          </w:p>
        </w:tc>
        <w:tc>
          <w:tcPr>
            <w:tcW w:w="1276" w:type="dxa"/>
            <w:vAlign w:val="center"/>
          </w:tcPr>
          <w:p w14:paraId="1D95B391"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0.752</w:t>
            </w:r>
          </w:p>
        </w:tc>
        <w:tc>
          <w:tcPr>
            <w:tcW w:w="850" w:type="dxa"/>
            <w:vAlign w:val="center"/>
          </w:tcPr>
          <w:p w14:paraId="13168F28"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0E979EA7" w14:textId="77777777" w:rsidTr="005962D7">
        <w:trPr>
          <w:jc w:val="right"/>
        </w:trPr>
        <w:tc>
          <w:tcPr>
            <w:tcW w:w="3050" w:type="dxa"/>
            <w:vMerge/>
            <w:vAlign w:val="center"/>
          </w:tcPr>
          <w:p w14:paraId="0B7EDB8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1CB9B3B9" w14:textId="77777777" w:rsidR="002874C7" w:rsidRPr="00545ABB" w:rsidRDefault="002874C7" w:rsidP="00022590">
            <w:pPr>
              <w:spacing w:line="360" w:lineRule="auto"/>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يتم توضيح معايير العمل والإجراءات لجميع العاملين</w:t>
            </w:r>
          </w:p>
        </w:tc>
        <w:tc>
          <w:tcPr>
            <w:tcW w:w="1276" w:type="dxa"/>
            <w:vAlign w:val="center"/>
          </w:tcPr>
          <w:p w14:paraId="1B30919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686</w:t>
            </w:r>
          </w:p>
        </w:tc>
        <w:tc>
          <w:tcPr>
            <w:tcW w:w="850" w:type="dxa"/>
            <w:vAlign w:val="center"/>
          </w:tcPr>
          <w:p w14:paraId="314DBEA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48B3014" w14:textId="77777777" w:rsidTr="005962D7">
        <w:trPr>
          <w:jc w:val="right"/>
        </w:trPr>
        <w:tc>
          <w:tcPr>
            <w:tcW w:w="3050" w:type="dxa"/>
            <w:vMerge/>
            <w:vAlign w:val="center"/>
          </w:tcPr>
          <w:p w14:paraId="69AE36E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5B7DD5C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الشفافية والإفصاح</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057FD9B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0.706</w:t>
            </w:r>
          </w:p>
        </w:tc>
        <w:tc>
          <w:tcPr>
            <w:tcW w:w="850" w:type="dxa"/>
            <w:shd w:val="clear" w:color="auto" w:fill="D9D9D9" w:themeFill="background1" w:themeFillShade="D9"/>
            <w:vAlign w:val="center"/>
          </w:tcPr>
          <w:p w14:paraId="14CF01F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7A93CF44" w14:textId="77777777" w:rsidTr="005962D7">
        <w:trPr>
          <w:jc w:val="right"/>
        </w:trPr>
        <w:tc>
          <w:tcPr>
            <w:tcW w:w="3050" w:type="dxa"/>
            <w:vMerge w:val="restart"/>
            <w:vAlign w:val="center"/>
          </w:tcPr>
          <w:p w14:paraId="4AC056D1"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المساءلة والمسؤولية</w:t>
            </w:r>
          </w:p>
        </w:tc>
        <w:tc>
          <w:tcPr>
            <w:tcW w:w="4117" w:type="dxa"/>
            <w:vAlign w:val="center"/>
          </w:tcPr>
          <w:p w14:paraId="4FCF6AD0"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توجد آليات رسمية لمساءلة الإدارات عن أدائها</w:t>
            </w:r>
          </w:p>
        </w:tc>
        <w:tc>
          <w:tcPr>
            <w:tcW w:w="1276" w:type="dxa"/>
            <w:vAlign w:val="center"/>
          </w:tcPr>
          <w:p w14:paraId="63419410"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0.695</w:t>
            </w:r>
          </w:p>
        </w:tc>
        <w:tc>
          <w:tcPr>
            <w:tcW w:w="850" w:type="dxa"/>
            <w:vAlign w:val="center"/>
          </w:tcPr>
          <w:p w14:paraId="65DA163B"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7A3E8A0F" w14:textId="77777777" w:rsidTr="005962D7">
        <w:trPr>
          <w:jc w:val="right"/>
        </w:trPr>
        <w:tc>
          <w:tcPr>
            <w:tcW w:w="3050" w:type="dxa"/>
            <w:vMerge/>
            <w:vAlign w:val="center"/>
          </w:tcPr>
          <w:p w14:paraId="13834AE2"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2EDC783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يتم تحديد المسؤوليات الوظيفية بشكل واضح</w:t>
            </w:r>
          </w:p>
        </w:tc>
        <w:tc>
          <w:tcPr>
            <w:tcW w:w="1276" w:type="dxa"/>
            <w:vAlign w:val="center"/>
          </w:tcPr>
          <w:p w14:paraId="5AFCFE6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0.689</w:t>
            </w:r>
          </w:p>
        </w:tc>
        <w:tc>
          <w:tcPr>
            <w:tcW w:w="850" w:type="dxa"/>
            <w:vAlign w:val="center"/>
          </w:tcPr>
          <w:p w14:paraId="36B9354D"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6C744C2B" w14:textId="77777777" w:rsidTr="005962D7">
        <w:trPr>
          <w:jc w:val="right"/>
        </w:trPr>
        <w:tc>
          <w:tcPr>
            <w:tcW w:w="3050" w:type="dxa"/>
            <w:vMerge/>
            <w:vAlign w:val="center"/>
          </w:tcPr>
          <w:p w14:paraId="4C435F6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4FAFD94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تراجع الشركات التزام الموظفين بمعايير العمل المهنية</w:t>
            </w:r>
          </w:p>
        </w:tc>
        <w:tc>
          <w:tcPr>
            <w:tcW w:w="1276" w:type="dxa"/>
            <w:vAlign w:val="center"/>
          </w:tcPr>
          <w:p w14:paraId="282FFB2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0.721</w:t>
            </w:r>
          </w:p>
        </w:tc>
        <w:tc>
          <w:tcPr>
            <w:tcW w:w="850" w:type="dxa"/>
            <w:vAlign w:val="center"/>
          </w:tcPr>
          <w:p w14:paraId="53C29FAB"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73546AF4" w14:textId="77777777" w:rsidTr="005962D7">
        <w:trPr>
          <w:jc w:val="right"/>
        </w:trPr>
        <w:tc>
          <w:tcPr>
            <w:tcW w:w="3050" w:type="dxa"/>
            <w:vMerge/>
            <w:vAlign w:val="center"/>
          </w:tcPr>
          <w:p w14:paraId="449B00C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0979FFE8" w14:textId="77777777" w:rsidR="002874C7" w:rsidRPr="00545ABB" w:rsidRDefault="002874C7" w:rsidP="00022590">
            <w:pPr>
              <w:spacing w:line="360" w:lineRule="auto"/>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توجد إجراءات لمعالجة الانحرافات الإدارية</w:t>
            </w:r>
          </w:p>
        </w:tc>
        <w:tc>
          <w:tcPr>
            <w:tcW w:w="1276" w:type="dxa"/>
            <w:vAlign w:val="center"/>
          </w:tcPr>
          <w:p w14:paraId="285B157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0.688</w:t>
            </w:r>
          </w:p>
        </w:tc>
        <w:tc>
          <w:tcPr>
            <w:tcW w:w="850" w:type="dxa"/>
            <w:vAlign w:val="center"/>
          </w:tcPr>
          <w:p w14:paraId="49523F5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B9E980E" w14:textId="77777777" w:rsidTr="005962D7">
        <w:trPr>
          <w:jc w:val="right"/>
        </w:trPr>
        <w:tc>
          <w:tcPr>
            <w:tcW w:w="3050" w:type="dxa"/>
            <w:vMerge/>
            <w:vAlign w:val="center"/>
          </w:tcPr>
          <w:p w14:paraId="089812F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4D1D79F5" w14:textId="77777777" w:rsidR="002874C7" w:rsidRPr="00545ABB" w:rsidRDefault="002874C7" w:rsidP="00022590">
            <w:pPr>
              <w:spacing w:line="360" w:lineRule="auto"/>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تتسم عمليات المساءلة بالعدالة والشفافية</w:t>
            </w:r>
          </w:p>
        </w:tc>
        <w:tc>
          <w:tcPr>
            <w:tcW w:w="1276" w:type="dxa"/>
            <w:vAlign w:val="center"/>
          </w:tcPr>
          <w:p w14:paraId="7EDC841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0.725</w:t>
            </w:r>
          </w:p>
        </w:tc>
        <w:tc>
          <w:tcPr>
            <w:tcW w:w="850" w:type="dxa"/>
            <w:vAlign w:val="center"/>
          </w:tcPr>
          <w:p w14:paraId="6CC5641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73FB15F" w14:textId="77777777" w:rsidTr="005962D7">
        <w:trPr>
          <w:jc w:val="right"/>
        </w:trPr>
        <w:tc>
          <w:tcPr>
            <w:tcW w:w="3050" w:type="dxa"/>
            <w:vMerge/>
            <w:vAlign w:val="center"/>
          </w:tcPr>
          <w:p w14:paraId="3E3C441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290D6C6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المساءلة والمسؤولية</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0304151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0.702</w:t>
            </w:r>
          </w:p>
        </w:tc>
        <w:tc>
          <w:tcPr>
            <w:tcW w:w="850" w:type="dxa"/>
            <w:shd w:val="clear" w:color="auto" w:fill="D9D9D9" w:themeFill="background1" w:themeFillShade="D9"/>
            <w:vAlign w:val="center"/>
          </w:tcPr>
          <w:p w14:paraId="4EA9E84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35A68E38" w14:textId="77777777" w:rsidTr="005962D7">
        <w:trPr>
          <w:jc w:val="right"/>
        </w:trPr>
        <w:tc>
          <w:tcPr>
            <w:tcW w:w="3050" w:type="dxa"/>
            <w:vMerge w:val="restart"/>
            <w:vAlign w:val="center"/>
          </w:tcPr>
          <w:p w14:paraId="11847D5B"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المشاركة في اتخاذ القرار</w:t>
            </w:r>
          </w:p>
        </w:tc>
        <w:tc>
          <w:tcPr>
            <w:tcW w:w="4117" w:type="dxa"/>
            <w:vAlign w:val="center"/>
          </w:tcPr>
          <w:p w14:paraId="22C9B87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تشجيع الشركة الموظفين على تقديم مقترحات تطويرية</w:t>
            </w:r>
          </w:p>
        </w:tc>
        <w:tc>
          <w:tcPr>
            <w:tcW w:w="1276" w:type="dxa"/>
            <w:vAlign w:val="center"/>
          </w:tcPr>
          <w:p w14:paraId="2FB78899"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lang w:bidi="ar-EG"/>
              </w:rPr>
              <w:t>0.679</w:t>
            </w:r>
          </w:p>
        </w:tc>
        <w:tc>
          <w:tcPr>
            <w:tcW w:w="850" w:type="dxa"/>
            <w:vAlign w:val="center"/>
          </w:tcPr>
          <w:p w14:paraId="2F0032B8"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440C70BD" w14:textId="77777777" w:rsidTr="005962D7">
        <w:trPr>
          <w:jc w:val="right"/>
        </w:trPr>
        <w:tc>
          <w:tcPr>
            <w:tcW w:w="3050" w:type="dxa"/>
            <w:vMerge/>
            <w:vAlign w:val="center"/>
          </w:tcPr>
          <w:p w14:paraId="51AAB7D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1D5C51A2"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إشراك الإدارات المختلفة في صياغة القرارات المصيرية</w:t>
            </w:r>
          </w:p>
        </w:tc>
        <w:tc>
          <w:tcPr>
            <w:tcW w:w="1276" w:type="dxa"/>
            <w:vAlign w:val="center"/>
          </w:tcPr>
          <w:p w14:paraId="79B47E1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0.872</w:t>
            </w:r>
          </w:p>
        </w:tc>
        <w:tc>
          <w:tcPr>
            <w:tcW w:w="850" w:type="dxa"/>
            <w:vAlign w:val="center"/>
          </w:tcPr>
          <w:p w14:paraId="1C56ABE0"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530971BB" w14:textId="77777777" w:rsidTr="005962D7">
        <w:trPr>
          <w:jc w:val="right"/>
        </w:trPr>
        <w:tc>
          <w:tcPr>
            <w:tcW w:w="3050" w:type="dxa"/>
            <w:vMerge/>
            <w:vAlign w:val="center"/>
          </w:tcPr>
          <w:p w14:paraId="2C4DDDA0"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423C0A3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تتيح الشركة قنوات تواصل لعرض الآراء التنظيمية</w:t>
            </w:r>
          </w:p>
        </w:tc>
        <w:tc>
          <w:tcPr>
            <w:tcW w:w="1276" w:type="dxa"/>
            <w:vAlign w:val="center"/>
          </w:tcPr>
          <w:p w14:paraId="146161B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0.681</w:t>
            </w:r>
          </w:p>
        </w:tc>
        <w:tc>
          <w:tcPr>
            <w:tcW w:w="850" w:type="dxa"/>
            <w:vAlign w:val="center"/>
          </w:tcPr>
          <w:p w14:paraId="76EF3D23"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0BB1A90C" w14:textId="77777777" w:rsidTr="005962D7">
        <w:trPr>
          <w:jc w:val="right"/>
        </w:trPr>
        <w:tc>
          <w:tcPr>
            <w:tcW w:w="3050" w:type="dxa"/>
            <w:vMerge/>
            <w:vAlign w:val="center"/>
          </w:tcPr>
          <w:p w14:paraId="2C5D034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075292C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تشجع الإدارة العليا على تبادل الأفكار حول الأمن السيبراني</w:t>
            </w:r>
          </w:p>
        </w:tc>
        <w:tc>
          <w:tcPr>
            <w:tcW w:w="1276" w:type="dxa"/>
            <w:vAlign w:val="center"/>
          </w:tcPr>
          <w:p w14:paraId="05D6B98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0.731</w:t>
            </w:r>
          </w:p>
        </w:tc>
        <w:tc>
          <w:tcPr>
            <w:tcW w:w="850" w:type="dxa"/>
            <w:vAlign w:val="center"/>
          </w:tcPr>
          <w:p w14:paraId="1998884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0A91FFA" w14:textId="77777777" w:rsidTr="005962D7">
        <w:trPr>
          <w:jc w:val="right"/>
        </w:trPr>
        <w:tc>
          <w:tcPr>
            <w:tcW w:w="3050" w:type="dxa"/>
            <w:vMerge/>
            <w:vAlign w:val="center"/>
          </w:tcPr>
          <w:p w14:paraId="39AEF83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087635E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تأخذ القيادة برأي الخبراء التقنيين عند اتخاذ قرارات مهمة</w:t>
            </w:r>
          </w:p>
        </w:tc>
        <w:tc>
          <w:tcPr>
            <w:tcW w:w="1276" w:type="dxa"/>
            <w:vAlign w:val="center"/>
          </w:tcPr>
          <w:p w14:paraId="39FF589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0.679</w:t>
            </w:r>
          </w:p>
        </w:tc>
        <w:tc>
          <w:tcPr>
            <w:tcW w:w="850" w:type="dxa"/>
            <w:vAlign w:val="center"/>
          </w:tcPr>
          <w:p w14:paraId="13F6084D"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1375004D" w14:textId="77777777" w:rsidTr="005962D7">
        <w:trPr>
          <w:jc w:val="right"/>
        </w:trPr>
        <w:tc>
          <w:tcPr>
            <w:tcW w:w="3050" w:type="dxa"/>
            <w:vMerge/>
            <w:vAlign w:val="center"/>
          </w:tcPr>
          <w:p w14:paraId="533CA7E4"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5901A92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المشاركة في اتخاذ القرار</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2FC2F00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0.728</w:t>
            </w:r>
          </w:p>
        </w:tc>
        <w:tc>
          <w:tcPr>
            <w:tcW w:w="850" w:type="dxa"/>
            <w:shd w:val="clear" w:color="auto" w:fill="D9D9D9" w:themeFill="background1" w:themeFillShade="D9"/>
            <w:vAlign w:val="center"/>
          </w:tcPr>
          <w:p w14:paraId="647FBCA5"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54336EA1" w14:textId="77777777" w:rsidTr="005962D7">
        <w:trPr>
          <w:jc w:val="right"/>
        </w:trPr>
        <w:tc>
          <w:tcPr>
            <w:tcW w:w="3050" w:type="dxa"/>
            <w:vMerge w:val="restart"/>
            <w:vAlign w:val="center"/>
          </w:tcPr>
          <w:p w14:paraId="0A995534"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إدارة المخاطر والالتزام</w:t>
            </w:r>
          </w:p>
        </w:tc>
        <w:tc>
          <w:tcPr>
            <w:tcW w:w="4117" w:type="dxa"/>
            <w:vAlign w:val="center"/>
          </w:tcPr>
          <w:p w14:paraId="37666D7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rPr>
              <w:t>تمتلك الشركة نظاماً واضحاً لتقييم المخاطر السيبرانية</w:t>
            </w:r>
          </w:p>
        </w:tc>
        <w:tc>
          <w:tcPr>
            <w:tcW w:w="1276" w:type="dxa"/>
            <w:vAlign w:val="center"/>
          </w:tcPr>
          <w:p w14:paraId="6F81D281"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0.781</w:t>
            </w:r>
          </w:p>
        </w:tc>
        <w:tc>
          <w:tcPr>
            <w:tcW w:w="850" w:type="dxa"/>
            <w:vAlign w:val="center"/>
          </w:tcPr>
          <w:p w14:paraId="6275971F"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5C311370" w14:textId="77777777" w:rsidTr="005962D7">
        <w:trPr>
          <w:jc w:val="right"/>
        </w:trPr>
        <w:tc>
          <w:tcPr>
            <w:tcW w:w="3050" w:type="dxa"/>
            <w:vMerge/>
            <w:vAlign w:val="center"/>
          </w:tcPr>
          <w:p w14:paraId="542805A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1E6ED35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rPr>
              <w:t>تلتزم الشركة بالمعايير الوطنية للأمن السيبراني</w:t>
            </w:r>
          </w:p>
        </w:tc>
        <w:tc>
          <w:tcPr>
            <w:tcW w:w="1276" w:type="dxa"/>
            <w:vAlign w:val="center"/>
          </w:tcPr>
          <w:p w14:paraId="1CAE25A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0.728</w:t>
            </w:r>
          </w:p>
        </w:tc>
        <w:tc>
          <w:tcPr>
            <w:tcW w:w="850" w:type="dxa"/>
            <w:vAlign w:val="center"/>
          </w:tcPr>
          <w:p w14:paraId="5FE7D707"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2E9F312F" w14:textId="77777777" w:rsidTr="005962D7">
        <w:trPr>
          <w:jc w:val="right"/>
        </w:trPr>
        <w:tc>
          <w:tcPr>
            <w:tcW w:w="3050" w:type="dxa"/>
            <w:vMerge/>
            <w:vAlign w:val="center"/>
          </w:tcPr>
          <w:p w14:paraId="61C39F1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28BBAC7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rPr>
              <w:t>يتم تحديث سياسات الحماية الأمنية بشكل دوري</w:t>
            </w:r>
          </w:p>
        </w:tc>
        <w:tc>
          <w:tcPr>
            <w:tcW w:w="1276" w:type="dxa"/>
            <w:vAlign w:val="center"/>
          </w:tcPr>
          <w:p w14:paraId="42D4536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0.665</w:t>
            </w:r>
          </w:p>
        </w:tc>
        <w:tc>
          <w:tcPr>
            <w:tcW w:w="850" w:type="dxa"/>
            <w:vAlign w:val="center"/>
          </w:tcPr>
          <w:p w14:paraId="668F9DA2"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7893AC82" w14:textId="77777777" w:rsidTr="005962D7">
        <w:trPr>
          <w:jc w:val="right"/>
        </w:trPr>
        <w:tc>
          <w:tcPr>
            <w:tcW w:w="3050" w:type="dxa"/>
            <w:vMerge/>
            <w:vAlign w:val="center"/>
          </w:tcPr>
          <w:p w14:paraId="2C2EB00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162452E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تتبع الشركة خطة استجابة للحوادث السيبرانية</w:t>
            </w:r>
          </w:p>
        </w:tc>
        <w:tc>
          <w:tcPr>
            <w:tcW w:w="1276" w:type="dxa"/>
            <w:vAlign w:val="center"/>
          </w:tcPr>
          <w:p w14:paraId="0A8DA85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0.721</w:t>
            </w:r>
          </w:p>
        </w:tc>
        <w:tc>
          <w:tcPr>
            <w:tcW w:w="850" w:type="dxa"/>
            <w:vAlign w:val="center"/>
          </w:tcPr>
          <w:p w14:paraId="777FB01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39332AFD" w14:textId="77777777" w:rsidTr="005962D7">
        <w:trPr>
          <w:jc w:val="right"/>
        </w:trPr>
        <w:tc>
          <w:tcPr>
            <w:tcW w:w="3050" w:type="dxa"/>
            <w:vMerge/>
            <w:vAlign w:val="center"/>
          </w:tcPr>
          <w:p w14:paraId="544DFA20"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4E81840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تنفذ برامج تدريبية لتعزيز الالتزام الأمني</w:t>
            </w:r>
          </w:p>
        </w:tc>
        <w:tc>
          <w:tcPr>
            <w:tcW w:w="1276" w:type="dxa"/>
            <w:vAlign w:val="center"/>
          </w:tcPr>
          <w:p w14:paraId="59B3CC2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0.685</w:t>
            </w:r>
          </w:p>
        </w:tc>
        <w:tc>
          <w:tcPr>
            <w:tcW w:w="850" w:type="dxa"/>
            <w:vAlign w:val="center"/>
          </w:tcPr>
          <w:p w14:paraId="61ACB1F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525F014" w14:textId="77777777" w:rsidTr="005962D7">
        <w:trPr>
          <w:jc w:val="right"/>
        </w:trPr>
        <w:tc>
          <w:tcPr>
            <w:tcW w:w="3050" w:type="dxa"/>
            <w:vMerge/>
            <w:vAlign w:val="center"/>
          </w:tcPr>
          <w:p w14:paraId="7B050DD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0BF0DA7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إدارة المخاطر والالتزام</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31F97CF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0.725</w:t>
            </w:r>
          </w:p>
        </w:tc>
        <w:tc>
          <w:tcPr>
            <w:tcW w:w="850" w:type="dxa"/>
            <w:shd w:val="clear" w:color="auto" w:fill="D9D9D9" w:themeFill="background1" w:themeFillShade="D9"/>
            <w:vAlign w:val="center"/>
          </w:tcPr>
          <w:p w14:paraId="4B3BEDF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w:t>
            </w:r>
          </w:p>
        </w:tc>
      </w:tr>
      <w:tr w:rsidR="002874C7" w:rsidRPr="00545ABB" w14:paraId="4115C09E" w14:textId="77777777" w:rsidTr="005962D7">
        <w:trPr>
          <w:jc w:val="right"/>
        </w:trPr>
        <w:tc>
          <w:tcPr>
            <w:tcW w:w="3050" w:type="dxa"/>
            <w:vMerge w:val="restart"/>
            <w:vAlign w:val="center"/>
          </w:tcPr>
          <w:p w14:paraId="2B78220F"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الكفاءة في استخدام الموارد</w:t>
            </w:r>
          </w:p>
        </w:tc>
        <w:tc>
          <w:tcPr>
            <w:tcW w:w="4117" w:type="dxa"/>
            <w:vAlign w:val="center"/>
          </w:tcPr>
          <w:p w14:paraId="3ABF576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تدار موارد الشركة البشرية بفعالية</w:t>
            </w:r>
          </w:p>
        </w:tc>
        <w:tc>
          <w:tcPr>
            <w:tcW w:w="1276" w:type="dxa"/>
            <w:vAlign w:val="center"/>
          </w:tcPr>
          <w:p w14:paraId="59895FA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0.692</w:t>
            </w:r>
          </w:p>
        </w:tc>
        <w:tc>
          <w:tcPr>
            <w:tcW w:w="850" w:type="dxa"/>
            <w:vAlign w:val="center"/>
          </w:tcPr>
          <w:p w14:paraId="0627D4A7"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6A019D1A" w14:textId="77777777" w:rsidTr="005962D7">
        <w:trPr>
          <w:jc w:val="right"/>
        </w:trPr>
        <w:tc>
          <w:tcPr>
            <w:tcW w:w="3050" w:type="dxa"/>
            <w:vMerge/>
            <w:textDirection w:val="tbRl"/>
            <w:vAlign w:val="center"/>
          </w:tcPr>
          <w:p w14:paraId="7A8B3ED8"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4AF6CF5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تخصيص الميزانية وفق أولويات الأمن السيبراني</w:t>
            </w:r>
          </w:p>
        </w:tc>
        <w:tc>
          <w:tcPr>
            <w:tcW w:w="1276" w:type="dxa"/>
            <w:vAlign w:val="center"/>
          </w:tcPr>
          <w:p w14:paraId="797C312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0.711</w:t>
            </w:r>
          </w:p>
        </w:tc>
        <w:tc>
          <w:tcPr>
            <w:tcW w:w="850" w:type="dxa"/>
            <w:vAlign w:val="center"/>
          </w:tcPr>
          <w:p w14:paraId="2C76F0D3"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3F8DBFE0" w14:textId="77777777" w:rsidTr="005962D7">
        <w:trPr>
          <w:jc w:val="right"/>
        </w:trPr>
        <w:tc>
          <w:tcPr>
            <w:tcW w:w="3050" w:type="dxa"/>
            <w:vMerge/>
            <w:textDirection w:val="tbRl"/>
            <w:vAlign w:val="center"/>
          </w:tcPr>
          <w:p w14:paraId="5AF4CF1A"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7CB9FE6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تعتمد الشركة آليات لتحسين كفاءة العمل</w:t>
            </w:r>
          </w:p>
        </w:tc>
        <w:tc>
          <w:tcPr>
            <w:tcW w:w="1276" w:type="dxa"/>
            <w:vAlign w:val="center"/>
          </w:tcPr>
          <w:p w14:paraId="0662573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0.698</w:t>
            </w:r>
          </w:p>
        </w:tc>
        <w:tc>
          <w:tcPr>
            <w:tcW w:w="850" w:type="dxa"/>
            <w:vAlign w:val="center"/>
          </w:tcPr>
          <w:p w14:paraId="05B9AF7B" w14:textId="77777777" w:rsidR="002874C7" w:rsidRPr="00545ABB" w:rsidRDefault="002874C7" w:rsidP="00022590">
            <w:pPr>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b/>
                <w:bCs/>
                <w:color w:val="000000" w:themeColor="text1"/>
                <w:rtl/>
              </w:rPr>
              <w:t>**</w:t>
            </w:r>
          </w:p>
        </w:tc>
      </w:tr>
      <w:tr w:rsidR="002874C7" w:rsidRPr="00545ABB" w14:paraId="40942795" w14:textId="77777777" w:rsidTr="005962D7">
        <w:trPr>
          <w:jc w:val="right"/>
        </w:trPr>
        <w:tc>
          <w:tcPr>
            <w:tcW w:w="3050" w:type="dxa"/>
            <w:vMerge/>
            <w:textDirection w:val="tbRl"/>
            <w:vAlign w:val="center"/>
          </w:tcPr>
          <w:p w14:paraId="3C06C513"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6AC3356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توظف الموارد التقنية لدعم الأهداف الاستراتيجية</w:t>
            </w:r>
          </w:p>
        </w:tc>
        <w:tc>
          <w:tcPr>
            <w:tcW w:w="1276" w:type="dxa"/>
            <w:vAlign w:val="center"/>
          </w:tcPr>
          <w:p w14:paraId="5DE59A6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0.738</w:t>
            </w:r>
          </w:p>
        </w:tc>
        <w:tc>
          <w:tcPr>
            <w:tcW w:w="850" w:type="dxa"/>
            <w:vAlign w:val="center"/>
          </w:tcPr>
          <w:p w14:paraId="4C6101F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35BF3B88" w14:textId="77777777" w:rsidTr="005962D7">
        <w:trPr>
          <w:jc w:val="right"/>
        </w:trPr>
        <w:tc>
          <w:tcPr>
            <w:tcW w:w="3050" w:type="dxa"/>
            <w:vMerge/>
            <w:textDirection w:val="tbRl"/>
            <w:vAlign w:val="center"/>
          </w:tcPr>
          <w:p w14:paraId="0EBF5F57"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5EB948C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تقييم الأداء لضمان الاستخدام الأمثل للمارد</w:t>
            </w:r>
          </w:p>
        </w:tc>
        <w:tc>
          <w:tcPr>
            <w:tcW w:w="1276" w:type="dxa"/>
            <w:vAlign w:val="center"/>
          </w:tcPr>
          <w:p w14:paraId="0529A84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0.675</w:t>
            </w:r>
          </w:p>
        </w:tc>
        <w:tc>
          <w:tcPr>
            <w:tcW w:w="850" w:type="dxa"/>
            <w:vAlign w:val="center"/>
          </w:tcPr>
          <w:p w14:paraId="2A2A59A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B02EA2E" w14:textId="77777777" w:rsidTr="005962D7">
        <w:trPr>
          <w:jc w:val="right"/>
        </w:trPr>
        <w:tc>
          <w:tcPr>
            <w:tcW w:w="3050" w:type="dxa"/>
            <w:vMerge/>
            <w:textDirection w:val="tbRl"/>
            <w:vAlign w:val="center"/>
          </w:tcPr>
          <w:p w14:paraId="045BA9A6"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4B88059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الكفاءة في استخدام الموارد</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3C4B6C3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0.700</w:t>
            </w:r>
          </w:p>
        </w:tc>
        <w:tc>
          <w:tcPr>
            <w:tcW w:w="850" w:type="dxa"/>
            <w:shd w:val="clear" w:color="auto" w:fill="D9D9D9" w:themeFill="background1" w:themeFillShade="D9"/>
            <w:vAlign w:val="center"/>
          </w:tcPr>
          <w:p w14:paraId="3483453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40C79A3" w14:textId="77777777" w:rsidTr="005962D7">
        <w:trPr>
          <w:jc w:val="right"/>
        </w:trPr>
        <w:tc>
          <w:tcPr>
            <w:tcW w:w="3050" w:type="dxa"/>
            <w:vMerge w:val="restart"/>
            <w:vAlign w:val="center"/>
          </w:tcPr>
          <w:p w14:paraId="29DEBE14"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البعد الاقتصادي</w:t>
            </w:r>
          </w:p>
        </w:tc>
        <w:tc>
          <w:tcPr>
            <w:tcW w:w="4117" w:type="dxa"/>
            <w:vAlign w:val="center"/>
          </w:tcPr>
          <w:p w14:paraId="612ED72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مستوى مستقراً من الربحية</w:t>
            </w:r>
          </w:p>
        </w:tc>
        <w:tc>
          <w:tcPr>
            <w:tcW w:w="1276" w:type="dxa"/>
            <w:vAlign w:val="center"/>
          </w:tcPr>
          <w:p w14:paraId="5D012E3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0.793</w:t>
            </w:r>
          </w:p>
        </w:tc>
        <w:tc>
          <w:tcPr>
            <w:tcW w:w="850" w:type="dxa"/>
            <w:vAlign w:val="center"/>
          </w:tcPr>
          <w:p w14:paraId="1155CFA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7AFB5D5" w14:textId="77777777" w:rsidTr="005962D7">
        <w:trPr>
          <w:jc w:val="right"/>
        </w:trPr>
        <w:tc>
          <w:tcPr>
            <w:tcW w:w="3050" w:type="dxa"/>
            <w:vMerge/>
            <w:textDirection w:val="tbRl"/>
            <w:vAlign w:val="center"/>
          </w:tcPr>
          <w:p w14:paraId="0DA323A1"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469AA0E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تدير الشركة مواردها المالية بكفاءة</w:t>
            </w:r>
          </w:p>
        </w:tc>
        <w:tc>
          <w:tcPr>
            <w:tcW w:w="1276" w:type="dxa"/>
            <w:vAlign w:val="center"/>
          </w:tcPr>
          <w:p w14:paraId="351C318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0.738</w:t>
            </w:r>
          </w:p>
        </w:tc>
        <w:tc>
          <w:tcPr>
            <w:tcW w:w="850" w:type="dxa"/>
            <w:vAlign w:val="center"/>
          </w:tcPr>
          <w:p w14:paraId="15A435C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5AE9487" w14:textId="77777777" w:rsidTr="005962D7">
        <w:trPr>
          <w:jc w:val="right"/>
        </w:trPr>
        <w:tc>
          <w:tcPr>
            <w:tcW w:w="3050" w:type="dxa"/>
            <w:vMerge/>
            <w:textDirection w:val="tbRl"/>
            <w:vAlign w:val="center"/>
          </w:tcPr>
          <w:p w14:paraId="0ADFA278"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4068934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تنفذ استثمارات تسهم في النمو المستقبلي</w:t>
            </w:r>
          </w:p>
        </w:tc>
        <w:tc>
          <w:tcPr>
            <w:tcW w:w="1276" w:type="dxa"/>
            <w:vAlign w:val="center"/>
          </w:tcPr>
          <w:p w14:paraId="06E637A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0.685</w:t>
            </w:r>
          </w:p>
        </w:tc>
        <w:tc>
          <w:tcPr>
            <w:tcW w:w="850" w:type="dxa"/>
            <w:vAlign w:val="center"/>
          </w:tcPr>
          <w:p w14:paraId="48F0B72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A0F1D1E" w14:textId="77777777" w:rsidTr="005962D7">
        <w:trPr>
          <w:jc w:val="right"/>
        </w:trPr>
        <w:tc>
          <w:tcPr>
            <w:tcW w:w="3050" w:type="dxa"/>
            <w:vMerge/>
            <w:textDirection w:val="tbRl"/>
            <w:vAlign w:val="center"/>
          </w:tcPr>
          <w:p w14:paraId="2584DE94"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755B9DF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تحافظ الشركة على توازن مالي مستدام</w:t>
            </w:r>
          </w:p>
        </w:tc>
        <w:tc>
          <w:tcPr>
            <w:tcW w:w="1276" w:type="dxa"/>
            <w:vAlign w:val="center"/>
          </w:tcPr>
          <w:p w14:paraId="56C7200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0.751</w:t>
            </w:r>
          </w:p>
        </w:tc>
        <w:tc>
          <w:tcPr>
            <w:tcW w:w="850" w:type="dxa"/>
            <w:vAlign w:val="center"/>
          </w:tcPr>
          <w:p w14:paraId="3023D78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4E4DDF50" w14:textId="77777777" w:rsidTr="005962D7">
        <w:trPr>
          <w:jc w:val="right"/>
        </w:trPr>
        <w:tc>
          <w:tcPr>
            <w:tcW w:w="3050" w:type="dxa"/>
            <w:vMerge/>
            <w:textDirection w:val="tbRl"/>
            <w:vAlign w:val="center"/>
          </w:tcPr>
          <w:p w14:paraId="60DCFD02"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18E3324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تمتلك الشركة خططاً مالية طويلة المدى</w:t>
            </w:r>
          </w:p>
        </w:tc>
        <w:tc>
          <w:tcPr>
            <w:tcW w:w="1276" w:type="dxa"/>
            <w:vAlign w:val="center"/>
          </w:tcPr>
          <w:p w14:paraId="5F0BE37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0.675</w:t>
            </w:r>
          </w:p>
        </w:tc>
        <w:tc>
          <w:tcPr>
            <w:tcW w:w="850" w:type="dxa"/>
            <w:vAlign w:val="center"/>
          </w:tcPr>
          <w:p w14:paraId="6622561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32668303" w14:textId="77777777" w:rsidTr="005962D7">
        <w:trPr>
          <w:jc w:val="right"/>
        </w:trPr>
        <w:tc>
          <w:tcPr>
            <w:tcW w:w="3050" w:type="dxa"/>
            <w:vMerge/>
            <w:textDirection w:val="tbRl"/>
            <w:vAlign w:val="center"/>
          </w:tcPr>
          <w:p w14:paraId="1C7CDEED"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7D80DBE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البعد الاقتصادي ككل</w:t>
            </w:r>
          </w:p>
        </w:tc>
        <w:tc>
          <w:tcPr>
            <w:tcW w:w="1276" w:type="dxa"/>
            <w:shd w:val="clear" w:color="auto" w:fill="D9D9D9" w:themeFill="background1" w:themeFillShade="D9"/>
            <w:vAlign w:val="center"/>
          </w:tcPr>
          <w:p w14:paraId="5381E4E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0.745</w:t>
            </w:r>
          </w:p>
        </w:tc>
        <w:tc>
          <w:tcPr>
            <w:tcW w:w="850" w:type="dxa"/>
            <w:shd w:val="clear" w:color="auto" w:fill="D9D9D9" w:themeFill="background1" w:themeFillShade="D9"/>
            <w:vAlign w:val="center"/>
          </w:tcPr>
          <w:p w14:paraId="3937F2B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4296652" w14:textId="77777777" w:rsidTr="005962D7">
        <w:trPr>
          <w:jc w:val="right"/>
        </w:trPr>
        <w:tc>
          <w:tcPr>
            <w:tcW w:w="3050" w:type="dxa"/>
            <w:vMerge w:val="restart"/>
            <w:vAlign w:val="center"/>
          </w:tcPr>
          <w:p w14:paraId="21BCD698"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البعد الاجتماعي</w:t>
            </w:r>
          </w:p>
        </w:tc>
        <w:tc>
          <w:tcPr>
            <w:tcW w:w="4117" w:type="dxa"/>
            <w:vAlign w:val="center"/>
          </w:tcPr>
          <w:p w14:paraId="64814A2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تلتزم الشركة بالمسؤولية الاجتماعية</w:t>
            </w:r>
          </w:p>
        </w:tc>
        <w:tc>
          <w:tcPr>
            <w:tcW w:w="1276" w:type="dxa"/>
            <w:vAlign w:val="center"/>
          </w:tcPr>
          <w:p w14:paraId="4F06983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0.682</w:t>
            </w:r>
          </w:p>
        </w:tc>
        <w:tc>
          <w:tcPr>
            <w:tcW w:w="850" w:type="dxa"/>
            <w:vAlign w:val="center"/>
          </w:tcPr>
          <w:p w14:paraId="4B09DB2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1B9A8302" w14:textId="77777777" w:rsidTr="005962D7">
        <w:trPr>
          <w:jc w:val="right"/>
        </w:trPr>
        <w:tc>
          <w:tcPr>
            <w:tcW w:w="3050" w:type="dxa"/>
            <w:vMerge/>
            <w:textDirection w:val="tbRl"/>
            <w:vAlign w:val="center"/>
          </w:tcPr>
          <w:p w14:paraId="53473AFE"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6EAF0EF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توفر بيئة عمل داعمة ومحفزة</w:t>
            </w:r>
          </w:p>
        </w:tc>
        <w:tc>
          <w:tcPr>
            <w:tcW w:w="1276" w:type="dxa"/>
            <w:vAlign w:val="center"/>
          </w:tcPr>
          <w:p w14:paraId="4CDF159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0.838</w:t>
            </w:r>
          </w:p>
        </w:tc>
        <w:tc>
          <w:tcPr>
            <w:tcW w:w="850" w:type="dxa"/>
            <w:vAlign w:val="center"/>
          </w:tcPr>
          <w:p w14:paraId="254D253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4980802D" w14:textId="77777777" w:rsidTr="005962D7">
        <w:trPr>
          <w:jc w:val="right"/>
        </w:trPr>
        <w:tc>
          <w:tcPr>
            <w:tcW w:w="3050" w:type="dxa"/>
            <w:vMerge/>
            <w:textDirection w:val="tbRl"/>
            <w:vAlign w:val="center"/>
          </w:tcPr>
          <w:p w14:paraId="11A0A225"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5A7924A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تعمل الشركة على رفع رضا موظفيها</w:t>
            </w:r>
          </w:p>
        </w:tc>
        <w:tc>
          <w:tcPr>
            <w:tcW w:w="1276" w:type="dxa"/>
            <w:vAlign w:val="center"/>
          </w:tcPr>
          <w:p w14:paraId="74810CB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0.785</w:t>
            </w:r>
          </w:p>
        </w:tc>
        <w:tc>
          <w:tcPr>
            <w:tcW w:w="850" w:type="dxa"/>
            <w:vAlign w:val="center"/>
          </w:tcPr>
          <w:p w14:paraId="15D28D3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1B22C4B" w14:textId="77777777" w:rsidTr="005962D7">
        <w:trPr>
          <w:jc w:val="right"/>
        </w:trPr>
        <w:tc>
          <w:tcPr>
            <w:tcW w:w="3050" w:type="dxa"/>
            <w:vMerge/>
            <w:textDirection w:val="tbRl"/>
            <w:vAlign w:val="center"/>
          </w:tcPr>
          <w:p w14:paraId="61C2083A"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6BC276A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تتبنى الشركة سياسات عادلة في التوظيف</w:t>
            </w:r>
          </w:p>
        </w:tc>
        <w:tc>
          <w:tcPr>
            <w:tcW w:w="1276" w:type="dxa"/>
            <w:vAlign w:val="center"/>
          </w:tcPr>
          <w:p w14:paraId="1E4EDFD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0.721</w:t>
            </w:r>
          </w:p>
        </w:tc>
        <w:tc>
          <w:tcPr>
            <w:tcW w:w="850" w:type="dxa"/>
            <w:vAlign w:val="center"/>
          </w:tcPr>
          <w:p w14:paraId="52EE795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306F82DA" w14:textId="77777777" w:rsidTr="005962D7">
        <w:trPr>
          <w:jc w:val="right"/>
        </w:trPr>
        <w:tc>
          <w:tcPr>
            <w:tcW w:w="3050" w:type="dxa"/>
            <w:vMerge/>
            <w:textDirection w:val="tbRl"/>
            <w:vAlign w:val="center"/>
          </w:tcPr>
          <w:p w14:paraId="4B59EE5F"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541A840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الشركة العمل الجماعي والتواصل</w:t>
            </w:r>
          </w:p>
        </w:tc>
        <w:tc>
          <w:tcPr>
            <w:tcW w:w="1276" w:type="dxa"/>
            <w:vAlign w:val="center"/>
          </w:tcPr>
          <w:p w14:paraId="184818B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0.685</w:t>
            </w:r>
          </w:p>
        </w:tc>
        <w:tc>
          <w:tcPr>
            <w:tcW w:w="850" w:type="dxa"/>
            <w:vAlign w:val="center"/>
          </w:tcPr>
          <w:p w14:paraId="20E947A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A2B5577" w14:textId="77777777" w:rsidTr="005962D7">
        <w:trPr>
          <w:jc w:val="right"/>
        </w:trPr>
        <w:tc>
          <w:tcPr>
            <w:tcW w:w="3050" w:type="dxa"/>
            <w:vMerge/>
            <w:textDirection w:val="tbRl"/>
            <w:vAlign w:val="center"/>
          </w:tcPr>
          <w:p w14:paraId="40FBB837"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13D6F9B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البعد الاجتماعي ككل</w:t>
            </w:r>
          </w:p>
        </w:tc>
        <w:tc>
          <w:tcPr>
            <w:tcW w:w="1276" w:type="dxa"/>
            <w:shd w:val="clear" w:color="auto" w:fill="D9D9D9" w:themeFill="background1" w:themeFillShade="D9"/>
            <w:vAlign w:val="center"/>
          </w:tcPr>
          <w:p w14:paraId="39368BE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0.750</w:t>
            </w:r>
          </w:p>
        </w:tc>
        <w:tc>
          <w:tcPr>
            <w:tcW w:w="850" w:type="dxa"/>
            <w:shd w:val="clear" w:color="auto" w:fill="D9D9D9" w:themeFill="background1" w:themeFillShade="D9"/>
            <w:vAlign w:val="center"/>
          </w:tcPr>
          <w:p w14:paraId="7CA17C5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07944CF" w14:textId="77777777" w:rsidTr="005962D7">
        <w:trPr>
          <w:jc w:val="right"/>
        </w:trPr>
        <w:tc>
          <w:tcPr>
            <w:tcW w:w="3050" w:type="dxa"/>
            <w:vMerge w:val="restart"/>
            <w:vAlign w:val="center"/>
          </w:tcPr>
          <w:p w14:paraId="4B7AA3D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lastRenderedPageBreak/>
              <w:t xml:space="preserve">البعد </w:t>
            </w:r>
            <w:r w:rsidRPr="00545ABB">
              <w:rPr>
                <w:rFonts w:ascii="Traditional Arabic" w:hAnsi="Traditional Arabic" w:cs="Traditional Arabic"/>
                <w:b/>
                <w:bCs/>
                <w:color w:val="000000" w:themeColor="text1"/>
                <w:rtl/>
                <w:lang w:bidi="ar-EG"/>
              </w:rPr>
              <w:t>التقني</w:t>
            </w:r>
          </w:p>
        </w:tc>
        <w:tc>
          <w:tcPr>
            <w:tcW w:w="4117" w:type="dxa"/>
            <w:vAlign w:val="center"/>
          </w:tcPr>
          <w:p w14:paraId="3AECB212"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تقنيات حديثة في مجال الأمن السيبراني</w:t>
            </w:r>
          </w:p>
        </w:tc>
        <w:tc>
          <w:tcPr>
            <w:tcW w:w="1276" w:type="dxa"/>
            <w:vAlign w:val="center"/>
          </w:tcPr>
          <w:p w14:paraId="2578282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0.735</w:t>
            </w:r>
          </w:p>
        </w:tc>
        <w:tc>
          <w:tcPr>
            <w:tcW w:w="850" w:type="dxa"/>
            <w:vAlign w:val="center"/>
          </w:tcPr>
          <w:p w14:paraId="0DA8D17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09723AFA" w14:textId="77777777" w:rsidTr="005962D7">
        <w:trPr>
          <w:jc w:val="right"/>
        </w:trPr>
        <w:tc>
          <w:tcPr>
            <w:tcW w:w="3050" w:type="dxa"/>
            <w:vMerge/>
            <w:textDirection w:val="tbRl"/>
            <w:vAlign w:val="center"/>
          </w:tcPr>
          <w:p w14:paraId="67518CF8"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3E99E2C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تجدد أنظمتها التقنية باستمرار</w:t>
            </w:r>
          </w:p>
        </w:tc>
        <w:tc>
          <w:tcPr>
            <w:tcW w:w="1276" w:type="dxa"/>
            <w:vAlign w:val="center"/>
          </w:tcPr>
          <w:p w14:paraId="309DE09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0.679</w:t>
            </w:r>
          </w:p>
        </w:tc>
        <w:tc>
          <w:tcPr>
            <w:tcW w:w="850" w:type="dxa"/>
            <w:vAlign w:val="center"/>
          </w:tcPr>
          <w:p w14:paraId="33BD8A5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0AA63DED" w14:textId="77777777" w:rsidTr="005962D7">
        <w:trPr>
          <w:jc w:val="right"/>
        </w:trPr>
        <w:tc>
          <w:tcPr>
            <w:tcW w:w="3050" w:type="dxa"/>
            <w:vMerge/>
            <w:textDirection w:val="tbRl"/>
            <w:vAlign w:val="center"/>
          </w:tcPr>
          <w:p w14:paraId="7E4D41D6"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74E3B7B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الابتكار في تطوير خدماتها الأمنية</w:t>
            </w:r>
          </w:p>
        </w:tc>
        <w:tc>
          <w:tcPr>
            <w:tcW w:w="1276" w:type="dxa"/>
            <w:vAlign w:val="center"/>
          </w:tcPr>
          <w:p w14:paraId="5F0B9C7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0.743</w:t>
            </w:r>
          </w:p>
        </w:tc>
        <w:tc>
          <w:tcPr>
            <w:tcW w:w="850" w:type="dxa"/>
            <w:vAlign w:val="center"/>
          </w:tcPr>
          <w:p w14:paraId="5B7DF82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4A83C11F" w14:textId="77777777" w:rsidTr="005962D7">
        <w:trPr>
          <w:jc w:val="right"/>
        </w:trPr>
        <w:tc>
          <w:tcPr>
            <w:tcW w:w="3050" w:type="dxa"/>
            <w:vMerge/>
            <w:textDirection w:val="tbRl"/>
            <w:vAlign w:val="center"/>
          </w:tcPr>
          <w:p w14:paraId="26A25855"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3D23874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تخصص موارد لتطوير المعرفة التقنية للموظفين</w:t>
            </w:r>
          </w:p>
        </w:tc>
        <w:tc>
          <w:tcPr>
            <w:tcW w:w="1276" w:type="dxa"/>
            <w:vAlign w:val="center"/>
          </w:tcPr>
          <w:p w14:paraId="170A675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0.698</w:t>
            </w:r>
          </w:p>
        </w:tc>
        <w:tc>
          <w:tcPr>
            <w:tcW w:w="850" w:type="dxa"/>
            <w:vAlign w:val="center"/>
          </w:tcPr>
          <w:p w14:paraId="052A802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BDDE828" w14:textId="77777777" w:rsidTr="005962D7">
        <w:trPr>
          <w:jc w:val="right"/>
        </w:trPr>
        <w:tc>
          <w:tcPr>
            <w:tcW w:w="3050" w:type="dxa"/>
            <w:vMerge/>
            <w:textDirection w:val="tbRl"/>
            <w:vAlign w:val="center"/>
          </w:tcPr>
          <w:p w14:paraId="3B949163"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4D9A559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تستثمر في حلول أمنية تعزز استمراريتها</w:t>
            </w:r>
          </w:p>
        </w:tc>
        <w:tc>
          <w:tcPr>
            <w:tcW w:w="1276" w:type="dxa"/>
            <w:vAlign w:val="center"/>
          </w:tcPr>
          <w:p w14:paraId="34D328E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0.765</w:t>
            </w:r>
          </w:p>
        </w:tc>
        <w:tc>
          <w:tcPr>
            <w:tcW w:w="850" w:type="dxa"/>
            <w:vAlign w:val="center"/>
          </w:tcPr>
          <w:p w14:paraId="23D5CB1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9C1992B" w14:textId="77777777" w:rsidTr="005962D7">
        <w:trPr>
          <w:jc w:val="right"/>
        </w:trPr>
        <w:tc>
          <w:tcPr>
            <w:tcW w:w="3050" w:type="dxa"/>
            <w:vMerge/>
            <w:textDirection w:val="tbRl"/>
            <w:vAlign w:val="center"/>
          </w:tcPr>
          <w:p w14:paraId="6B203174"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4D1610B2"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 xml:space="preserve">البعد </w:t>
            </w:r>
            <w:r w:rsidRPr="00545ABB">
              <w:rPr>
                <w:rFonts w:ascii="Traditional Arabic" w:hAnsi="Traditional Arabic" w:cs="Traditional Arabic"/>
                <w:b/>
                <w:bCs/>
                <w:color w:val="000000" w:themeColor="text1"/>
                <w:rtl/>
                <w:lang w:bidi="ar-EG"/>
              </w:rPr>
              <w:t>التقني ككل</w:t>
            </w:r>
          </w:p>
        </w:tc>
        <w:tc>
          <w:tcPr>
            <w:tcW w:w="1276" w:type="dxa"/>
            <w:shd w:val="clear" w:color="auto" w:fill="D9D9D9" w:themeFill="background1" w:themeFillShade="D9"/>
            <w:vAlign w:val="center"/>
          </w:tcPr>
          <w:p w14:paraId="628B69A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0.756</w:t>
            </w:r>
          </w:p>
        </w:tc>
        <w:tc>
          <w:tcPr>
            <w:tcW w:w="850" w:type="dxa"/>
            <w:shd w:val="clear" w:color="auto" w:fill="D9D9D9" w:themeFill="background1" w:themeFillShade="D9"/>
            <w:vAlign w:val="center"/>
          </w:tcPr>
          <w:p w14:paraId="1962436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842C10B" w14:textId="77777777" w:rsidTr="005962D7">
        <w:trPr>
          <w:jc w:val="right"/>
        </w:trPr>
        <w:tc>
          <w:tcPr>
            <w:tcW w:w="3050" w:type="dxa"/>
            <w:vMerge w:val="restart"/>
            <w:vAlign w:val="center"/>
          </w:tcPr>
          <w:p w14:paraId="431DE80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جودة الأداء الإداري والتقني</w:t>
            </w:r>
          </w:p>
        </w:tc>
        <w:tc>
          <w:tcPr>
            <w:tcW w:w="4117" w:type="dxa"/>
            <w:vAlign w:val="center"/>
          </w:tcPr>
          <w:p w14:paraId="6D5B337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أداءً إدارياً متوازناً</w:t>
            </w:r>
          </w:p>
        </w:tc>
        <w:tc>
          <w:tcPr>
            <w:tcW w:w="1276" w:type="dxa"/>
            <w:vAlign w:val="center"/>
          </w:tcPr>
          <w:p w14:paraId="5ED2AE7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0.861</w:t>
            </w:r>
          </w:p>
        </w:tc>
        <w:tc>
          <w:tcPr>
            <w:tcW w:w="850" w:type="dxa"/>
            <w:vAlign w:val="center"/>
          </w:tcPr>
          <w:p w14:paraId="537C728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106E2A9F" w14:textId="77777777" w:rsidTr="005962D7">
        <w:trPr>
          <w:jc w:val="right"/>
        </w:trPr>
        <w:tc>
          <w:tcPr>
            <w:tcW w:w="3050" w:type="dxa"/>
            <w:vMerge/>
            <w:textDirection w:val="tbRl"/>
            <w:vAlign w:val="center"/>
          </w:tcPr>
          <w:p w14:paraId="63F4A394"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3B3443C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إجراءات تشغيل فعالة</w:t>
            </w:r>
          </w:p>
        </w:tc>
        <w:tc>
          <w:tcPr>
            <w:tcW w:w="1276" w:type="dxa"/>
            <w:vAlign w:val="center"/>
          </w:tcPr>
          <w:p w14:paraId="5F18E90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0.628</w:t>
            </w:r>
          </w:p>
        </w:tc>
        <w:tc>
          <w:tcPr>
            <w:tcW w:w="850" w:type="dxa"/>
            <w:vAlign w:val="center"/>
          </w:tcPr>
          <w:p w14:paraId="59B1AE0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46EF25B7" w14:textId="77777777" w:rsidTr="005962D7">
        <w:trPr>
          <w:jc w:val="right"/>
        </w:trPr>
        <w:tc>
          <w:tcPr>
            <w:tcW w:w="3050" w:type="dxa"/>
            <w:vMerge/>
            <w:textDirection w:val="tbRl"/>
            <w:vAlign w:val="center"/>
          </w:tcPr>
          <w:p w14:paraId="6D65D4B3"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769DC70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يظهر أداء الفريق التقني بمستوى مهني عال</w:t>
            </w:r>
          </w:p>
        </w:tc>
        <w:tc>
          <w:tcPr>
            <w:tcW w:w="1276" w:type="dxa"/>
            <w:vAlign w:val="center"/>
          </w:tcPr>
          <w:p w14:paraId="1DE9E01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0.875</w:t>
            </w:r>
          </w:p>
        </w:tc>
        <w:tc>
          <w:tcPr>
            <w:tcW w:w="850" w:type="dxa"/>
            <w:vAlign w:val="center"/>
          </w:tcPr>
          <w:p w14:paraId="3047A0C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652E7146" w14:textId="77777777" w:rsidTr="005962D7">
        <w:trPr>
          <w:jc w:val="right"/>
        </w:trPr>
        <w:tc>
          <w:tcPr>
            <w:tcW w:w="3050" w:type="dxa"/>
            <w:vMerge/>
            <w:textDirection w:val="tbRl"/>
            <w:vAlign w:val="center"/>
          </w:tcPr>
          <w:p w14:paraId="5F86C541"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504A3E6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توفر الشركة خدمات أمنية ذات جودة عالية</w:t>
            </w:r>
          </w:p>
        </w:tc>
        <w:tc>
          <w:tcPr>
            <w:tcW w:w="1276" w:type="dxa"/>
            <w:vAlign w:val="center"/>
          </w:tcPr>
          <w:p w14:paraId="4B48F5E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0.752</w:t>
            </w:r>
          </w:p>
        </w:tc>
        <w:tc>
          <w:tcPr>
            <w:tcW w:w="850" w:type="dxa"/>
            <w:vAlign w:val="center"/>
          </w:tcPr>
          <w:p w14:paraId="490F25E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7D7CD7E1" w14:textId="77777777" w:rsidTr="005962D7">
        <w:trPr>
          <w:jc w:val="right"/>
        </w:trPr>
        <w:tc>
          <w:tcPr>
            <w:tcW w:w="3050" w:type="dxa"/>
            <w:vMerge/>
            <w:textDirection w:val="tbRl"/>
            <w:vAlign w:val="center"/>
          </w:tcPr>
          <w:p w14:paraId="41BC8084"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779B2BF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جودة الأداء الإداري والتقني ككل</w:t>
            </w:r>
          </w:p>
        </w:tc>
        <w:tc>
          <w:tcPr>
            <w:tcW w:w="1276" w:type="dxa"/>
            <w:shd w:val="clear" w:color="auto" w:fill="D9D9D9" w:themeFill="background1" w:themeFillShade="D9"/>
            <w:vAlign w:val="center"/>
          </w:tcPr>
          <w:p w14:paraId="16F328D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0.708</w:t>
            </w:r>
          </w:p>
        </w:tc>
        <w:tc>
          <w:tcPr>
            <w:tcW w:w="850" w:type="dxa"/>
            <w:shd w:val="clear" w:color="auto" w:fill="D9D9D9" w:themeFill="background1" w:themeFillShade="D9"/>
            <w:vAlign w:val="center"/>
          </w:tcPr>
          <w:p w14:paraId="0972358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4A81321C" w14:textId="77777777" w:rsidTr="005962D7">
        <w:trPr>
          <w:jc w:val="right"/>
        </w:trPr>
        <w:tc>
          <w:tcPr>
            <w:tcW w:w="3050" w:type="dxa"/>
            <w:vMerge w:val="restart"/>
            <w:vAlign w:val="center"/>
          </w:tcPr>
          <w:p w14:paraId="3972D06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بالكفاءة التشغيلية</w:t>
            </w:r>
          </w:p>
        </w:tc>
        <w:tc>
          <w:tcPr>
            <w:tcW w:w="4117" w:type="dxa"/>
            <w:vAlign w:val="center"/>
          </w:tcPr>
          <w:p w14:paraId="04B17DB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تنجز الشركة مشاريعها ضمن الوقت المحدد</w:t>
            </w:r>
          </w:p>
        </w:tc>
        <w:tc>
          <w:tcPr>
            <w:tcW w:w="1276" w:type="dxa"/>
            <w:vAlign w:val="center"/>
          </w:tcPr>
          <w:p w14:paraId="282FE8B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0.738</w:t>
            </w:r>
          </w:p>
        </w:tc>
        <w:tc>
          <w:tcPr>
            <w:tcW w:w="850" w:type="dxa"/>
            <w:vAlign w:val="center"/>
          </w:tcPr>
          <w:p w14:paraId="50FE654E"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BB529FD" w14:textId="77777777" w:rsidTr="005962D7">
        <w:trPr>
          <w:jc w:val="right"/>
        </w:trPr>
        <w:tc>
          <w:tcPr>
            <w:tcW w:w="3050" w:type="dxa"/>
            <w:vMerge/>
            <w:textDirection w:val="tbRl"/>
            <w:vAlign w:val="center"/>
          </w:tcPr>
          <w:p w14:paraId="596C2EAB"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26472F70"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تستغل الشركة مواردها التشغيلية بكفاءة</w:t>
            </w:r>
          </w:p>
        </w:tc>
        <w:tc>
          <w:tcPr>
            <w:tcW w:w="1276" w:type="dxa"/>
            <w:vAlign w:val="center"/>
          </w:tcPr>
          <w:p w14:paraId="13F3A2F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0.685</w:t>
            </w:r>
          </w:p>
        </w:tc>
        <w:tc>
          <w:tcPr>
            <w:tcW w:w="850" w:type="dxa"/>
            <w:vAlign w:val="center"/>
          </w:tcPr>
          <w:p w14:paraId="04BEEDC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D43358D" w14:textId="77777777" w:rsidTr="005962D7">
        <w:trPr>
          <w:jc w:val="right"/>
        </w:trPr>
        <w:tc>
          <w:tcPr>
            <w:tcW w:w="3050" w:type="dxa"/>
            <w:vMerge/>
            <w:textDirection w:val="tbRl"/>
            <w:vAlign w:val="center"/>
          </w:tcPr>
          <w:p w14:paraId="60188CF3"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28E42F6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تحسن الشركة عملياتها بشكل مستمر</w:t>
            </w:r>
          </w:p>
        </w:tc>
        <w:tc>
          <w:tcPr>
            <w:tcW w:w="1276" w:type="dxa"/>
            <w:vAlign w:val="center"/>
          </w:tcPr>
          <w:p w14:paraId="54FB563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0.751</w:t>
            </w:r>
          </w:p>
        </w:tc>
        <w:tc>
          <w:tcPr>
            <w:tcW w:w="850" w:type="dxa"/>
            <w:vAlign w:val="center"/>
          </w:tcPr>
          <w:p w14:paraId="49264C2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339E39D5" w14:textId="77777777" w:rsidTr="005962D7">
        <w:trPr>
          <w:jc w:val="right"/>
        </w:trPr>
        <w:tc>
          <w:tcPr>
            <w:tcW w:w="3050" w:type="dxa"/>
            <w:vMerge/>
            <w:textDirection w:val="tbRl"/>
            <w:vAlign w:val="center"/>
          </w:tcPr>
          <w:p w14:paraId="766A3876"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640509B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مستويات عالية من الإنتاجية</w:t>
            </w:r>
          </w:p>
        </w:tc>
        <w:tc>
          <w:tcPr>
            <w:tcW w:w="1276" w:type="dxa"/>
            <w:vAlign w:val="center"/>
          </w:tcPr>
          <w:p w14:paraId="3051AAD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0.675</w:t>
            </w:r>
          </w:p>
        </w:tc>
        <w:tc>
          <w:tcPr>
            <w:tcW w:w="850" w:type="dxa"/>
            <w:vAlign w:val="center"/>
          </w:tcPr>
          <w:p w14:paraId="48139DE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145EB55" w14:textId="77777777" w:rsidTr="005962D7">
        <w:trPr>
          <w:jc w:val="right"/>
        </w:trPr>
        <w:tc>
          <w:tcPr>
            <w:tcW w:w="3050" w:type="dxa"/>
            <w:vMerge/>
            <w:textDirection w:val="tbRl"/>
            <w:vAlign w:val="center"/>
          </w:tcPr>
          <w:p w14:paraId="581D64B6"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BFBFBF" w:themeFill="background1" w:themeFillShade="BF"/>
            <w:vAlign w:val="center"/>
          </w:tcPr>
          <w:p w14:paraId="7AAD8D2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بالكفاءة التشغيلية ككل</w:t>
            </w:r>
          </w:p>
        </w:tc>
        <w:tc>
          <w:tcPr>
            <w:tcW w:w="1276" w:type="dxa"/>
            <w:shd w:val="clear" w:color="auto" w:fill="BFBFBF" w:themeFill="background1" w:themeFillShade="BF"/>
            <w:vAlign w:val="center"/>
          </w:tcPr>
          <w:p w14:paraId="6F0C243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0.712</w:t>
            </w:r>
          </w:p>
        </w:tc>
        <w:tc>
          <w:tcPr>
            <w:tcW w:w="850" w:type="dxa"/>
            <w:shd w:val="clear" w:color="auto" w:fill="BFBFBF" w:themeFill="background1" w:themeFillShade="BF"/>
            <w:vAlign w:val="center"/>
          </w:tcPr>
          <w:p w14:paraId="3FD674A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w:t>
            </w:r>
          </w:p>
        </w:tc>
      </w:tr>
      <w:tr w:rsidR="002874C7" w:rsidRPr="00545ABB" w14:paraId="22A1C8CB" w14:textId="77777777" w:rsidTr="005962D7">
        <w:trPr>
          <w:jc w:val="right"/>
        </w:trPr>
        <w:tc>
          <w:tcPr>
            <w:tcW w:w="3050" w:type="dxa"/>
            <w:vMerge w:val="restart"/>
            <w:vAlign w:val="center"/>
          </w:tcPr>
          <w:p w14:paraId="1261EC5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الابتكار والتكيف</w:t>
            </w:r>
          </w:p>
        </w:tc>
        <w:tc>
          <w:tcPr>
            <w:tcW w:w="4117" w:type="dxa"/>
          </w:tcPr>
          <w:p w14:paraId="51B515A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تتبنى الشركة حلولاً جديدة لمواجهة تهديدات الأمن السيبراني</w:t>
            </w:r>
          </w:p>
        </w:tc>
        <w:tc>
          <w:tcPr>
            <w:tcW w:w="1276" w:type="dxa"/>
            <w:vAlign w:val="center"/>
          </w:tcPr>
          <w:p w14:paraId="2B0D9E0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0.728</w:t>
            </w:r>
          </w:p>
        </w:tc>
        <w:tc>
          <w:tcPr>
            <w:tcW w:w="850" w:type="dxa"/>
            <w:vAlign w:val="center"/>
          </w:tcPr>
          <w:p w14:paraId="44739ED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06DB818" w14:textId="77777777" w:rsidTr="005962D7">
        <w:trPr>
          <w:jc w:val="right"/>
        </w:trPr>
        <w:tc>
          <w:tcPr>
            <w:tcW w:w="3050" w:type="dxa"/>
            <w:vMerge/>
            <w:textDirection w:val="tbRl"/>
            <w:vAlign w:val="center"/>
          </w:tcPr>
          <w:p w14:paraId="33A0E50B"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3E7FB3E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تستخدم الشركة تقنيات متطورة في عملياتها</w:t>
            </w:r>
          </w:p>
        </w:tc>
        <w:tc>
          <w:tcPr>
            <w:tcW w:w="1276" w:type="dxa"/>
            <w:vAlign w:val="center"/>
          </w:tcPr>
          <w:p w14:paraId="4425AE1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0.665</w:t>
            </w:r>
          </w:p>
        </w:tc>
        <w:tc>
          <w:tcPr>
            <w:tcW w:w="850" w:type="dxa"/>
            <w:vAlign w:val="center"/>
          </w:tcPr>
          <w:p w14:paraId="7495586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4B753017" w14:textId="77777777" w:rsidTr="005962D7">
        <w:trPr>
          <w:jc w:val="right"/>
        </w:trPr>
        <w:tc>
          <w:tcPr>
            <w:tcW w:w="3050" w:type="dxa"/>
            <w:vMerge/>
            <w:textDirection w:val="tbRl"/>
            <w:vAlign w:val="center"/>
          </w:tcPr>
          <w:p w14:paraId="2C3C459D"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1F476A2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تستجيب الشركة للتغيرات التقنية</w:t>
            </w:r>
          </w:p>
        </w:tc>
        <w:tc>
          <w:tcPr>
            <w:tcW w:w="1276" w:type="dxa"/>
            <w:vAlign w:val="center"/>
          </w:tcPr>
          <w:p w14:paraId="11C05D5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0.742</w:t>
            </w:r>
          </w:p>
        </w:tc>
        <w:tc>
          <w:tcPr>
            <w:tcW w:w="850" w:type="dxa"/>
            <w:vAlign w:val="center"/>
          </w:tcPr>
          <w:p w14:paraId="1BCABB0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4B93ACDD" w14:textId="77777777" w:rsidTr="005962D7">
        <w:trPr>
          <w:jc w:val="right"/>
        </w:trPr>
        <w:tc>
          <w:tcPr>
            <w:tcW w:w="3050" w:type="dxa"/>
            <w:vMerge/>
            <w:textDirection w:val="tbRl"/>
            <w:vAlign w:val="center"/>
          </w:tcPr>
          <w:p w14:paraId="69C2BF90"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6F3BF604"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ثقافة الابتكار داخل بيئة العمل</w:t>
            </w:r>
          </w:p>
        </w:tc>
        <w:tc>
          <w:tcPr>
            <w:tcW w:w="1276" w:type="dxa"/>
            <w:vAlign w:val="center"/>
          </w:tcPr>
          <w:p w14:paraId="6A59D73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0.675</w:t>
            </w:r>
          </w:p>
        </w:tc>
        <w:tc>
          <w:tcPr>
            <w:tcW w:w="850" w:type="dxa"/>
            <w:vAlign w:val="center"/>
          </w:tcPr>
          <w:p w14:paraId="13A211D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13673ABE" w14:textId="77777777" w:rsidTr="005962D7">
        <w:trPr>
          <w:jc w:val="right"/>
        </w:trPr>
        <w:tc>
          <w:tcPr>
            <w:tcW w:w="3050" w:type="dxa"/>
            <w:vMerge/>
            <w:textDirection w:val="tbRl"/>
            <w:vAlign w:val="center"/>
          </w:tcPr>
          <w:p w14:paraId="7B5B7DDD"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7FF8707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الابتكار والتكيف ككل</w:t>
            </w:r>
          </w:p>
        </w:tc>
        <w:tc>
          <w:tcPr>
            <w:tcW w:w="1276" w:type="dxa"/>
            <w:shd w:val="clear" w:color="auto" w:fill="D9D9D9" w:themeFill="background1" w:themeFillShade="D9"/>
            <w:vAlign w:val="center"/>
          </w:tcPr>
          <w:p w14:paraId="79001FC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0.730</w:t>
            </w:r>
          </w:p>
        </w:tc>
        <w:tc>
          <w:tcPr>
            <w:tcW w:w="850" w:type="dxa"/>
            <w:shd w:val="clear" w:color="auto" w:fill="D9D9D9" w:themeFill="background1" w:themeFillShade="D9"/>
            <w:vAlign w:val="center"/>
          </w:tcPr>
          <w:p w14:paraId="14D03AA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3784B0E" w14:textId="77777777" w:rsidTr="005962D7">
        <w:trPr>
          <w:jc w:val="right"/>
        </w:trPr>
        <w:tc>
          <w:tcPr>
            <w:tcW w:w="3050" w:type="dxa"/>
            <w:vMerge w:val="restart"/>
            <w:vAlign w:val="center"/>
          </w:tcPr>
          <w:p w14:paraId="7A453A3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رضا العملاء والنمو المؤسسي</w:t>
            </w:r>
          </w:p>
        </w:tc>
        <w:tc>
          <w:tcPr>
            <w:tcW w:w="4117" w:type="dxa"/>
          </w:tcPr>
          <w:p w14:paraId="4CD7AD8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مستوى جيداً من رضا العملاء</w:t>
            </w:r>
          </w:p>
        </w:tc>
        <w:tc>
          <w:tcPr>
            <w:tcW w:w="1276" w:type="dxa"/>
            <w:vAlign w:val="center"/>
          </w:tcPr>
          <w:p w14:paraId="09298BA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0.873</w:t>
            </w:r>
          </w:p>
        </w:tc>
        <w:tc>
          <w:tcPr>
            <w:tcW w:w="850" w:type="dxa"/>
            <w:vAlign w:val="center"/>
          </w:tcPr>
          <w:p w14:paraId="19E0786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5DA8FF00" w14:textId="77777777" w:rsidTr="005962D7">
        <w:trPr>
          <w:jc w:val="right"/>
        </w:trPr>
        <w:tc>
          <w:tcPr>
            <w:tcW w:w="3050" w:type="dxa"/>
            <w:vMerge/>
            <w:textDirection w:val="tbRl"/>
            <w:vAlign w:val="center"/>
          </w:tcPr>
          <w:p w14:paraId="48E43C0A"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76E0314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تزداد قاعدة العملاء بشكل مستمر</w:t>
            </w:r>
          </w:p>
        </w:tc>
        <w:tc>
          <w:tcPr>
            <w:tcW w:w="1276" w:type="dxa"/>
            <w:vAlign w:val="center"/>
          </w:tcPr>
          <w:p w14:paraId="11D0903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0.692</w:t>
            </w:r>
          </w:p>
        </w:tc>
        <w:tc>
          <w:tcPr>
            <w:tcW w:w="850" w:type="dxa"/>
            <w:vAlign w:val="center"/>
          </w:tcPr>
          <w:p w14:paraId="0938A89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08074195" w14:textId="77777777" w:rsidTr="005962D7">
        <w:trPr>
          <w:jc w:val="right"/>
        </w:trPr>
        <w:tc>
          <w:tcPr>
            <w:tcW w:w="3050" w:type="dxa"/>
            <w:vMerge/>
            <w:textDirection w:val="tbRl"/>
            <w:vAlign w:val="center"/>
          </w:tcPr>
          <w:p w14:paraId="374B81C9"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66BECD3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تتمتع الشركة بسمعة مهنية جيدة في السوق</w:t>
            </w:r>
          </w:p>
        </w:tc>
        <w:tc>
          <w:tcPr>
            <w:tcW w:w="1276" w:type="dxa"/>
            <w:vAlign w:val="center"/>
          </w:tcPr>
          <w:p w14:paraId="40D4997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0.751</w:t>
            </w:r>
          </w:p>
        </w:tc>
        <w:tc>
          <w:tcPr>
            <w:tcW w:w="850" w:type="dxa"/>
            <w:vAlign w:val="center"/>
          </w:tcPr>
          <w:p w14:paraId="3710512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1C41A909" w14:textId="77777777" w:rsidTr="005962D7">
        <w:trPr>
          <w:jc w:val="right"/>
        </w:trPr>
        <w:tc>
          <w:tcPr>
            <w:tcW w:w="3050" w:type="dxa"/>
            <w:vMerge/>
            <w:textDirection w:val="tbRl"/>
            <w:vAlign w:val="center"/>
          </w:tcPr>
          <w:p w14:paraId="196BABE0"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52AD736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نمواً إيجابياً في سوق الأمن السيبراني</w:t>
            </w:r>
          </w:p>
        </w:tc>
        <w:tc>
          <w:tcPr>
            <w:tcW w:w="1276" w:type="dxa"/>
            <w:vAlign w:val="center"/>
          </w:tcPr>
          <w:p w14:paraId="633258F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0.679</w:t>
            </w:r>
          </w:p>
        </w:tc>
        <w:tc>
          <w:tcPr>
            <w:tcW w:w="850" w:type="dxa"/>
            <w:vAlign w:val="center"/>
          </w:tcPr>
          <w:p w14:paraId="1D8BEE4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r w:rsidR="002874C7" w:rsidRPr="00545ABB" w14:paraId="219B367A" w14:textId="77777777" w:rsidTr="005962D7">
        <w:trPr>
          <w:jc w:val="right"/>
        </w:trPr>
        <w:tc>
          <w:tcPr>
            <w:tcW w:w="3050" w:type="dxa"/>
            <w:vMerge/>
            <w:textDirection w:val="tbRl"/>
            <w:vAlign w:val="center"/>
          </w:tcPr>
          <w:p w14:paraId="1DFE866E"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4877DA5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رضا العملاء والنمو المؤسسي ككل</w:t>
            </w:r>
          </w:p>
        </w:tc>
        <w:tc>
          <w:tcPr>
            <w:tcW w:w="1276" w:type="dxa"/>
            <w:shd w:val="clear" w:color="auto" w:fill="D9D9D9" w:themeFill="background1" w:themeFillShade="D9"/>
            <w:vAlign w:val="center"/>
          </w:tcPr>
          <w:p w14:paraId="390108A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0.734</w:t>
            </w:r>
          </w:p>
        </w:tc>
        <w:tc>
          <w:tcPr>
            <w:tcW w:w="850" w:type="dxa"/>
            <w:shd w:val="clear" w:color="auto" w:fill="D9D9D9" w:themeFill="background1" w:themeFillShade="D9"/>
            <w:vAlign w:val="center"/>
          </w:tcPr>
          <w:p w14:paraId="77B6244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w:t>
            </w:r>
          </w:p>
        </w:tc>
      </w:tr>
    </w:tbl>
    <w:p w14:paraId="5A85A915"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54B45E66" w14:textId="77777777" w:rsidR="002874C7" w:rsidRPr="00545ABB" w:rsidRDefault="002874C7" w:rsidP="00022590">
      <w:pPr>
        <w:spacing w:after="0" w:line="360" w:lineRule="auto"/>
        <w:ind w:firstLine="360"/>
        <w:contextualSpacing/>
        <w:jc w:val="lowKashida"/>
        <w:rPr>
          <w:rFonts w:ascii="Traditional Arabic" w:hAnsi="Traditional Arabic" w:cs="Traditional Arabic"/>
          <w:b/>
          <w:bCs/>
          <w:color w:val="000000" w:themeColor="text1"/>
          <w:sz w:val="24"/>
          <w:szCs w:val="24"/>
          <w:lang w:eastAsia="zh-CN"/>
        </w:rPr>
      </w:pPr>
      <w:r w:rsidRPr="00545ABB">
        <w:rPr>
          <w:rFonts w:ascii="Traditional Arabic" w:hAnsi="Traditional Arabic" w:cs="Traditional Arabic"/>
          <w:b/>
          <w:bCs/>
          <w:color w:val="000000" w:themeColor="text1"/>
          <w:sz w:val="24"/>
          <w:szCs w:val="24"/>
          <w:rtl/>
          <w:lang w:eastAsia="zh-CN"/>
        </w:rPr>
        <w:t xml:space="preserve">يوضح الجدول السابق أن: </w:t>
      </w:r>
      <w:r w:rsidRPr="00545ABB">
        <w:rPr>
          <w:rFonts w:ascii="Traditional Arabic" w:hAnsi="Traditional Arabic" w:cs="Traditional Arabic"/>
          <w:b/>
          <w:bCs/>
          <w:color w:val="000000" w:themeColor="text1"/>
          <w:sz w:val="24"/>
          <w:szCs w:val="24"/>
          <w:rtl/>
          <w:lang w:bidi="ar-EG"/>
        </w:rPr>
        <w:t>أبعاد</w:t>
      </w:r>
      <w:r w:rsidRPr="00545ABB">
        <w:rPr>
          <w:rFonts w:ascii="Traditional Arabic" w:hAnsi="Traditional Arabic" w:cs="Traditional Arabic"/>
          <w:b/>
          <w:bCs/>
          <w:color w:val="000000" w:themeColor="text1"/>
          <w:sz w:val="24"/>
          <w:szCs w:val="24"/>
          <w:rtl/>
        </w:rPr>
        <w:t xml:space="preserve"> الأداة دالة عند مستوى معنوية </w:t>
      </w:r>
      <w:r w:rsidRPr="00545ABB">
        <w:rPr>
          <w:rFonts w:ascii="Traditional Arabic" w:hAnsi="Traditional Arabic" w:cs="Traditional Arabic"/>
          <w:b/>
          <w:bCs/>
          <w:color w:val="000000" w:themeColor="text1"/>
          <w:sz w:val="24"/>
          <w:szCs w:val="24"/>
        </w:rPr>
        <w:t>a=0.01)</w:t>
      </w:r>
      <w:r w:rsidRPr="00545ABB">
        <w:rPr>
          <w:rFonts w:ascii="Traditional Arabic" w:hAnsi="Traditional Arabic" w:cs="Traditional Arabic"/>
          <w:b/>
          <w:bCs/>
          <w:color w:val="000000" w:themeColor="text1"/>
          <w:sz w:val="24"/>
          <w:szCs w:val="24"/>
          <w:rtl/>
        </w:rPr>
        <w:t>) لكل بعد على حدة، ومن ثم تحقق مستوى الثقة في الأداة والاعتماد على نتائجها.</w:t>
      </w:r>
    </w:p>
    <w:p w14:paraId="26964BBE" w14:textId="77777777" w:rsidR="002874C7" w:rsidRPr="00545ABB" w:rsidRDefault="002874C7" w:rsidP="00D95153">
      <w:pPr>
        <w:pStyle w:val="ListParagraph"/>
        <w:numPr>
          <w:ilvl w:val="0"/>
          <w:numId w:val="4"/>
        </w:numPr>
        <w:bidi/>
        <w:spacing w:after="0" w:line="360" w:lineRule="auto"/>
        <w:jc w:val="both"/>
        <w:rPr>
          <w:rStyle w:val="1CharChar"/>
          <w:rFonts w:ascii="Traditional Arabic" w:hAnsi="Traditional Arabic" w:cs="Traditional Arabic"/>
          <w:b/>
          <w:bCs/>
          <w:color w:val="000000" w:themeColor="text1"/>
        </w:rPr>
      </w:pPr>
      <w:r w:rsidRPr="00545ABB">
        <w:rPr>
          <w:rStyle w:val="1CharChar"/>
          <w:rFonts w:ascii="Traditional Arabic" w:hAnsi="Traditional Arabic" w:cs="Traditional Arabic"/>
          <w:b/>
          <w:bCs/>
          <w:color w:val="000000" w:themeColor="text1"/>
          <w:rtl/>
        </w:rPr>
        <w:t>ثبات الأداة:</w:t>
      </w:r>
    </w:p>
    <w:p w14:paraId="6EE485F2" w14:textId="77777777" w:rsidR="002874C7" w:rsidRPr="00545ABB" w:rsidRDefault="002874C7" w:rsidP="00022590">
      <w:pPr>
        <w:spacing w:after="0" w:line="360" w:lineRule="auto"/>
        <w:ind w:firstLine="425"/>
        <w:contextualSpacing/>
        <w:jc w:val="both"/>
        <w:rPr>
          <w:rFonts w:ascii="Traditional Arabic" w:hAnsi="Traditional Arabic" w:cs="Traditional Arabic"/>
          <w:b/>
          <w:bCs/>
          <w:color w:val="000000" w:themeColor="text1"/>
          <w:sz w:val="24"/>
          <w:szCs w:val="24"/>
          <w:rtl/>
        </w:rPr>
      </w:pPr>
      <w:r w:rsidRPr="00545ABB">
        <w:rPr>
          <w:rFonts w:ascii="Traditional Arabic" w:hAnsi="Traditional Arabic" w:cs="Traditional Arabic"/>
          <w:b/>
          <w:bCs/>
          <w:color w:val="000000" w:themeColor="text1"/>
          <w:sz w:val="24"/>
          <w:szCs w:val="24"/>
          <w:rtl/>
        </w:rPr>
        <w:t xml:space="preserve">تم حساب ثبات </w:t>
      </w:r>
      <w:r w:rsidRPr="00545ABB">
        <w:rPr>
          <w:rStyle w:val="1CharChar"/>
          <w:rFonts w:ascii="Traditional Arabic" w:hAnsi="Traditional Arabic" w:cs="Traditional Arabic"/>
          <w:b/>
          <w:bCs/>
          <w:color w:val="000000" w:themeColor="text1"/>
          <w:sz w:val="24"/>
          <w:szCs w:val="24"/>
          <w:rtl/>
        </w:rPr>
        <w:t>الأداة</w:t>
      </w:r>
      <w:r w:rsidRPr="00545ABB">
        <w:rPr>
          <w:rFonts w:ascii="Traditional Arabic" w:hAnsi="Traditional Arabic" w:cs="Traditional Arabic"/>
          <w:b/>
          <w:bCs/>
          <w:color w:val="000000" w:themeColor="text1"/>
          <w:sz w:val="24"/>
          <w:szCs w:val="24"/>
          <w:rtl/>
          <w:lang w:bidi="ar-EG"/>
        </w:rPr>
        <w:t xml:space="preserve"> </w:t>
      </w:r>
      <w:r w:rsidRPr="00545ABB">
        <w:rPr>
          <w:rFonts w:ascii="Traditional Arabic" w:hAnsi="Traditional Arabic" w:cs="Traditional Arabic"/>
          <w:b/>
          <w:bCs/>
          <w:color w:val="000000" w:themeColor="text1"/>
          <w:sz w:val="24"/>
          <w:szCs w:val="24"/>
          <w:rtl/>
        </w:rPr>
        <w:t xml:space="preserve">باستخدام معامل ثبات (ألفا ـ كرو نباخ) لقيم الثبات التقديرية لاستبيان الشركات الناشئة في الأمن السيبراني، وذلك بتطبيقه على عينة </w:t>
      </w:r>
      <w:r w:rsidRPr="00545ABB">
        <w:rPr>
          <w:rStyle w:val="1CharChar"/>
          <w:rFonts w:ascii="Traditional Arabic" w:hAnsi="Traditional Arabic" w:cs="Traditional Arabic"/>
          <w:b/>
          <w:bCs/>
          <w:color w:val="000000" w:themeColor="text1"/>
          <w:sz w:val="24"/>
          <w:szCs w:val="24"/>
          <w:rtl/>
        </w:rPr>
        <w:t>قوامها (</w:t>
      </w:r>
      <w:r w:rsidRPr="00545ABB">
        <w:rPr>
          <w:rStyle w:val="1CharChar"/>
          <w:rFonts w:ascii="Traditional Arabic" w:hAnsi="Traditional Arabic" w:cs="Traditional Arabic"/>
          <w:b/>
          <w:bCs/>
          <w:color w:val="000000" w:themeColor="text1"/>
          <w:sz w:val="24"/>
          <w:szCs w:val="24"/>
          <w:rtl/>
          <w:lang w:bidi="ar-EG"/>
        </w:rPr>
        <w:t>10</w:t>
      </w:r>
      <w:r w:rsidRPr="00545ABB">
        <w:rPr>
          <w:rStyle w:val="1CharChar"/>
          <w:rFonts w:ascii="Traditional Arabic" w:hAnsi="Traditional Arabic" w:cs="Traditional Arabic"/>
          <w:b/>
          <w:bCs/>
          <w:color w:val="000000" w:themeColor="text1"/>
          <w:sz w:val="24"/>
          <w:szCs w:val="24"/>
          <w:rtl/>
        </w:rPr>
        <w:t xml:space="preserve">) مفردات من </w:t>
      </w:r>
      <w:r w:rsidRPr="00545ABB">
        <w:rPr>
          <w:rFonts w:ascii="Traditional Arabic" w:hAnsi="Traditional Arabic" w:cs="Traditional Arabic"/>
          <w:b/>
          <w:bCs/>
          <w:color w:val="000000" w:themeColor="text1"/>
          <w:sz w:val="24"/>
          <w:szCs w:val="24"/>
          <w:rtl/>
        </w:rPr>
        <w:t>العاملين في الشركات</w:t>
      </w:r>
      <w:r w:rsidRPr="00545ABB">
        <w:rPr>
          <w:rFonts w:ascii="Traditional Arabic" w:hAnsi="Traditional Arabic" w:cs="Traditional Arabic"/>
          <w:b/>
          <w:bCs/>
          <w:color w:val="000000" w:themeColor="text1"/>
          <w:sz w:val="24"/>
          <w:szCs w:val="24"/>
          <w:rtl/>
          <w:lang w:bidi="ar-EG"/>
        </w:rPr>
        <w:t xml:space="preserve"> </w:t>
      </w:r>
      <w:r w:rsidRPr="00545ABB">
        <w:rPr>
          <w:rStyle w:val="1CharChar"/>
          <w:rFonts w:ascii="Traditional Arabic" w:hAnsi="Traditional Arabic" w:cs="Traditional Arabic"/>
          <w:b/>
          <w:bCs/>
          <w:color w:val="000000" w:themeColor="text1"/>
          <w:sz w:val="24"/>
          <w:szCs w:val="24"/>
          <w:rtl/>
          <w:lang w:bidi="ar-EG"/>
        </w:rPr>
        <w:t xml:space="preserve">(خارج إطار عينة </w:t>
      </w:r>
      <w:r w:rsidRPr="00545ABB">
        <w:rPr>
          <w:rStyle w:val="1CharChar"/>
          <w:rFonts w:ascii="Traditional Arabic" w:hAnsi="Traditional Arabic" w:cs="Traditional Arabic"/>
          <w:b/>
          <w:bCs/>
          <w:color w:val="000000" w:themeColor="text1"/>
          <w:sz w:val="24"/>
          <w:szCs w:val="24"/>
          <w:rtl/>
        </w:rPr>
        <w:t>الدراسة</w:t>
      </w:r>
      <w:r w:rsidRPr="00545ABB">
        <w:rPr>
          <w:rFonts w:ascii="Traditional Arabic" w:hAnsi="Traditional Arabic" w:cs="Traditional Arabic"/>
          <w:b/>
          <w:bCs/>
          <w:color w:val="000000" w:themeColor="text1"/>
          <w:sz w:val="24"/>
          <w:szCs w:val="24"/>
          <w:rtl/>
        </w:rPr>
        <w:t>)</w:t>
      </w:r>
      <w:r w:rsidRPr="00545ABB">
        <w:rPr>
          <w:rStyle w:val="1CharChar"/>
          <w:rFonts w:ascii="Traditional Arabic" w:hAnsi="Traditional Arabic" w:cs="Traditional Arabic"/>
          <w:b/>
          <w:bCs/>
          <w:color w:val="000000" w:themeColor="text1"/>
          <w:sz w:val="24"/>
          <w:szCs w:val="24"/>
          <w:rtl/>
          <w:lang w:bidi="ar-EG"/>
        </w:rPr>
        <w:t xml:space="preserve">، </w:t>
      </w:r>
      <w:r w:rsidRPr="00545ABB">
        <w:rPr>
          <w:rStyle w:val="1CharChar"/>
          <w:rFonts w:ascii="Traditional Arabic" w:hAnsi="Traditional Arabic" w:cs="Traditional Arabic"/>
          <w:b/>
          <w:bCs/>
          <w:color w:val="000000" w:themeColor="text1"/>
          <w:sz w:val="24"/>
          <w:szCs w:val="24"/>
          <w:rtl/>
        </w:rPr>
        <w:t xml:space="preserve">وتبين أن </w:t>
      </w:r>
      <w:r w:rsidRPr="00545ABB">
        <w:rPr>
          <w:rFonts w:ascii="Traditional Arabic" w:hAnsi="Traditional Arabic" w:cs="Traditional Arabic"/>
          <w:b/>
          <w:bCs/>
          <w:color w:val="000000" w:themeColor="text1"/>
          <w:sz w:val="24"/>
          <w:szCs w:val="24"/>
          <w:rtl/>
        </w:rPr>
        <w:t>معاملات الثبات للأبعاد تتمتع بدرجة عالية من الثبات، وذلك كما يلي:</w:t>
      </w:r>
    </w:p>
    <w:p w14:paraId="4FF39185" w14:textId="6F5B8872" w:rsidR="002874C7" w:rsidRPr="00545ABB" w:rsidRDefault="002874C7" w:rsidP="00B760B2">
      <w:pPr>
        <w:tabs>
          <w:tab w:val="left" w:pos="3058"/>
          <w:tab w:val="center" w:pos="3713"/>
        </w:tabs>
        <w:spacing w:after="0" w:line="360" w:lineRule="auto"/>
        <w:ind w:left="-57"/>
        <w:jc w:val="center"/>
        <w:rPr>
          <w:rFonts w:ascii="Traditional Arabic" w:hAnsi="Traditional Arabic" w:cs="Traditional Arabic"/>
          <w:b/>
          <w:bCs/>
          <w:noProof/>
          <w:color w:val="000000" w:themeColor="text1"/>
          <w:sz w:val="28"/>
          <w:szCs w:val="28"/>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65920" behindDoc="0" locked="0" layoutInCell="1" allowOverlap="1" wp14:anchorId="17472096" wp14:editId="1EB9DF5B">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B0F06C9" w14:textId="77777777" w:rsidR="00ED4FB3" w:rsidRPr="002707CA" w:rsidRDefault="00ED4FB3"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72096" id="Rectangle 29" o:spid="_x0000_s1029" style="position:absolute;left:0;text-align:left;margin-left:9.7pt;margin-top:28.85pt;width:66.15pt;height:2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" filled="f" stroked="f" strokeweight="2pt">
                <v:textbox>
                  <w:txbxContent>
                    <w:p w14:paraId="2B0F06C9" w14:textId="77777777" w:rsidR="00ED4FB3" w:rsidRPr="002707CA" w:rsidRDefault="00ED4FB3"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rPr>
        <w:t>جدول (3-2)</w:t>
      </w:r>
      <w:r w:rsidRPr="00545ABB">
        <w:rPr>
          <w:rFonts w:ascii="Traditional Arabic" w:hAnsi="Traditional Arabic" w:cs="Traditional Arabic"/>
          <w:b/>
          <w:bCs/>
          <w:color w:val="000000" w:themeColor="text1"/>
          <w:sz w:val="28"/>
          <w:szCs w:val="28"/>
          <w:rtl/>
        </w:rPr>
        <w:t xml:space="preserve"> يوضح نتائج ثبات استبيان الشركات الناشئة في الأمن السيبراني</w:t>
      </w:r>
      <w:r w:rsidRPr="00545ABB">
        <w:rPr>
          <w:rFonts w:ascii="Traditional Arabic" w:hAnsi="Traditional Arabic" w:cs="Traditional Arabic"/>
          <w:color w:val="000000" w:themeColor="text1"/>
          <w:rtl/>
        </w:rPr>
        <w:t xml:space="preserve"> </w:t>
      </w:r>
      <w:r w:rsidRPr="00545ABB">
        <w:rPr>
          <w:rFonts w:ascii="Traditional Arabic" w:hAnsi="Traditional Arabic" w:cs="Traditional Arabic"/>
          <w:b/>
          <w:bCs/>
          <w:color w:val="000000" w:themeColor="text1"/>
          <w:sz w:val="28"/>
          <w:szCs w:val="28"/>
          <w:rtl/>
        </w:rPr>
        <w:t>باستخدام معامل (ألفا ـ كرو نباخ)</w:t>
      </w:r>
      <w:r w:rsidRPr="00545ABB">
        <w:rPr>
          <w:rFonts w:ascii="Traditional Arabic" w:hAnsi="Traditional Arabic" w:cs="Traditional Arabic"/>
          <w:b/>
          <w:bCs/>
          <w:noProof/>
          <w:color w:val="000000" w:themeColor="text1"/>
          <w:sz w:val="28"/>
          <w:szCs w:val="28"/>
          <w:rtl/>
        </w:rPr>
        <w:t xml:space="preserve"> </w:t>
      </w:r>
    </w:p>
    <w:p w14:paraId="4E2277DA" w14:textId="77777777" w:rsidR="002874C7" w:rsidRPr="00545ABB" w:rsidRDefault="002874C7" w:rsidP="00022590">
      <w:pPr>
        <w:tabs>
          <w:tab w:val="left" w:pos="3058"/>
          <w:tab w:val="center" w:pos="3713"/>
        </w:tabs>
        <w:spacing w:after="0" w:line="360" w:lineRule="auto"/>
        <w:ind w:left="-57"/>
        <w:jc w:val="center"/>
        <w:rPr>
          <w:rFonts w:ascii="Traditional Arabic" w:hAnsi="Traditional Arabic" w:cs="Traditional Arabic"/>
          <w:b/>
          <w:bCs/>
          <w:noProof/>
          <w:color w:val="000000" w:themeColor="text1"/>
          <w:sz w:val="28"/>
          <w:szCs w:val="28"/>
        </w:rPr>
      </w:pPr>
    </w:p>
    <w:tbl>
      <w:tblPr>
        <w:tblStyle w:val="TableGrid"/>
        <w:bidiVisual/>
        <w:tblW w:w="844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tblGrid>
      <w:tr w:rsidR="002874C7" w:rsidRPr="00545ABB" w14:paraId="2F3755A4" w14:textId="77777777" w:rsidTr="002174D5">
        <w:trPr>
          <w:trHeight w:val="311"/>
          <w:jc w:val="center"/>
        </w:trPr>
        <w:tc>
          <w:tcPr>
            <w:tcW w:w="3050" w:type="dxa"/>
            <w:shd w:val="clear" w:color="auto" w:fill="8DB3E2" w:themeFill="text2" w:themeFillTint="66"/>
            <w:vAlign w:val="center"/>
          </w:tcPr>
          <w:p w14:paraId="1B5CCC8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الأبعاد الرئيسة</w:t>
            </w:r>
          </w:p>
        </w:tc>
        <w:tc>
          <w:tcPr>
            <w:tcW w:w="4117" w:type="dxa"/>
            <w:shd w:val="clear" w:color="auto" w:fill="8DB3E2" w:themeFill="text2" w:themeFillTint="66"/>
            <w:vAlign w:val="center"/>
          </w:tcPr>
          <w:p w14:paraId="521FF55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الأبعاد الفرعية</w:t>
            </w:r>
          </w:p>
        </w:tc>
        <w:tc>
          <w:tcPr>
            <w:tcW w:w="1276" w:type="dxa"/>
            <w:shd w:val="clear" w:color="auto" w:fill="8DB3E2" w:themeFill="text2" w:themeFillTint="66"/>
            <w:vAlign w:val="center"/>
          </w:tcPr>
          <w:p w14:paraId="2F140CAF"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معامل الارتباط</w:t>
            </w:r>
          </w:p>
        </w:tc>
      </w:tr>
      <w:tr w:rsidR="002874C7" w:rsidRPr="00545ABB" w14:paraId="248B632D" w14:textId="77777777" w:rsidTr="005962D7">
        <w:trPr>
          <w:trHeight w:val="439"/>
          <w:jc w:val="center"/>
        </w:trPr>
        <w:tc>
          <w:tcPr>
            <w:tcW w:w="3050" w:type="dxa"/>
            <w:vMerge w:val="restart"/>
            <w:vAlign w:val="center"/>
          </w:tcPr>
          <w:p w14:paraId="78DD33AA" w14:textId="77777777" w:rsidR="002874C7" w:rsidRPr="00545ABB" w:rsidRDefault="002874C7" w:rsidP="00022590">
            <w:pPr>
              <w:spacing w:line="360" w:lineRule="auto"/>
              <w:ind w:left="360"/>
              <w:jc w:val="center"/>
              <w:rPr>
                <w:rFonts w:ascii="Traditional Arabic" w:hAnsi="Traditional Arabic" w:cs="Traditional Arabic"/>
                <w:color w:val="000000" w:themeColor="text1"/>
                <w:rtl/>
                <w:lang w:bidi="ar-EG"/>
              </w:rPr>
            </w:pPr>
            <w:r w:rsidRPr="00545ABB">
              <w:rPr>
                <w:rFonts w:ascii="Traditional Arabic" w:hAnsi="Traditional Arabic" w:cs="Traditional Arabic"/>
                <w:b/>
                <w:bCs/>
                <w:color w:val="000000" w:themeColor="text1"/>
                <w:rtl/>
              </w:rPr>
              <w:t>الشفافية والإفصاح</w:t>
            </w:r>
          </w:p>
        </w:tc>
        <w:tc>
          <w:tcPr>
            <w:tcW w:w="4117" w:type="dxa"/>
            <w:vAlign w:val="center"/>
          </w:tcPr>
          <w:p w14:paraId="5913FEB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lang w:bidi="ar-EG"/>
              </w:rPr>
              <w:t>تتوفر سياسات واضحة للإفصاح عن المعلومات الإدارية داخل الشركة</w:t>
            </w:r>
          </w:p>
        </w:tc>
        <w:tc>
          <w:tcPr>
            <w:tcW w:w="1276" w:type="dxa"/>
            <w:vAlign w:val="center"/>
          </w:tcPr>
          <w:p w14:paraId="6F1F72FE"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lang w:bidi="ar-EG"/>
              </w:rPr>
              <w:t>0.974</w:t>
            </w:r>
          </w:p>
        </w:tc>
      </w:tr>
      <w:tr w:rsidR="002874C7" w:rsidRPr="00545ABB" w14:paraId="0354BE8C" w14:textId="77777777" w:rsidTr="005962D7">
        <w:trPr>
          <w:trHeight w:val="371"/>
          <w:jc w:val="center"/>
        </w:trPr>
        <w:tc>
          <w:tcPr>
            <w:tcW w:w="3050" w:type="dxa"/>
            <w:vMerge/>
            <w:vAlign w:val="center"/>
          </w:tcPr>
          <w:p w14:paraId="1268743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4C3F24AB"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lang w:bidi="ar-EG"/>
              </w:rPr>
              <w:t>يتم إتاحة البيانات الجوهرية للموظفين بانتظام ودقة</w:t>
            </w:r>
          </w:p>
        </w:tc>
        <w:tc>
          <w:tcPr>
            <w:tcW w:w="1276" w:type="dxa"/>
            <w:vAlign w:val="center"/>
          </w:tcPr>
          <w:p w14:paraId="2D6E80E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0.978</w:t>
            </w:r>
          </w:p>
        </w:tc>
      </w:tr>
      <w:tr w:rsidR="002874C7" w:rsidRPr="00545ABB" w14:paraId="5E1B0852" w14:textId="77777777" w:rsidTr="005962D7">
        <w:trPr>
          <w:trHeight w:val="151"/>
          <w:jc w:val="center"/>
        </w:trPr>
        <w:tc>
          <w:tcPr>
            <w:tcW w:w="3050" w:type="dxa"/>
            <w:vMerge/>
            <w:vAlign w:val="center"/>
          </w:tcPr>
          <w:p w14:paraId="651EA80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6421AE20"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آليات واضحة لتوثيق القرارات الإدارية</w:t>
            </w:r>
          </w:p>
        </w:tc>
        <w:tc>
          <w:tcPr>
            <w:tcW w:w="1276" w:type="dxa"/>
            <w:vAlign w:val="center"/>
          </w:tcPr>
          <w:p w14:paraId="7B21E35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0.973</w:t>
            </w:r>
          </w:p>
        </w:tc>
      </w:tr>
      <w:tr w:rsidR="002874C7" w:rsidRPr="00545ABB" w14:paraId="4FFF478E" w14:textId="77777777" w:rsidTr="005962D7">
        <w:trPr>
          <w:jc w:val="center"/>
        </w:trPr>
        <w:tc>
          <w:tcPr>
            <w:tcW w:w="3050" w:type="dxa"/>
            <w:vMerge/>
            <w:vAlign w:val="center"/>
          </w:tcPr>
          <w:p w14:paraId="4E1B26E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02B0421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lang w:bidi="ar-EG"/>
              </w:rPr>
              <w:t>تحدث المعلومات التشغيلية والفنية بشكل دوري</w:t>
            </w:r>
          </w:p>
        </w:tc>
        <w:tc>
          <w:tcPr>
            <w:tcW w:w="1276" w:type="dxa"/>
            <w:vAlign w:val="center"/>
          </w:tcPr>
          <w:p w14:paraId="3EE41B7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0.971</w:t>
            </w:r>
          </w:p>
        </w:tc>
      </w:tr>
      <w:tr w:rsidR="002874C7" w:rsidRPr="00545ABB" w14:paraId="630CDEDF" w14:textId="77777777" w:rsidTr="005962D7">
        <w:trPr>
          <w:jc w:val="center"/>
        </w:trPr>
        <w:tc>
          <w:tcPr>
            <w:tcW w:w="3050" w:type="dxa"/>
            <w:vMerge/>
            <w:vAlign w:val="center"/>
          </w:tcPr>
          <w:p w14:paraId="0F68E57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46378F4C" w14:textId="77777777" w:rsidR="002874C7" w:rsidRPr="00545ABB" w:rsidRDefault="002874C7" w:rsidP="00022590">
            <w:pPr>
              <w:spacing w:line="360" w:lineRule="auto"/>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يتم توضيح معايير العمل والإجراءات لجميع العاملين</w:t>
            </w:r>
          </w:p>
        </w:tc>
        <w:tc>
          <w:tcPr>
            <w:tcW w:w="1276" w:type="dxa"/>
            <w:vAlign w:val="center"/>
          </w:tcPr>
          <w:p w14:paraId="5C812F9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0.972</w:t>
            </w:r>
          </w:p>
        </w:tc>
      </w:tr>
      <w:tr w:rsidR="002874C7" w:rsidRPr="00545ABB" w14:paraId="6552435E" w14:textId="77777777" w:rsidTr="005962D7">
        <w:trPr>
          <w:jc w:val="center"/>
        </w:trPr>
        <w:tc>
          <w:tcPr>
            <w:tcW w:w="3050" w:type="dxa"/>
            <w:vMerge/>
            <w:vAlign w:val="center"/>
          </w:tcPr>
          <w:p w14:paraId="7FCEF15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410E939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الشفافية والإفصاح</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6741E09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0.974</w:t>
            </w:r>
          </w:p>
        </w:tc>
      </w:tr>
      <w:tr w:rsidR="002874C7" w:rsidRPr="00545ABB" w14:paraId="521CBE81" w14:textId="77777777" w:rsidTr="005962D7">
        <w:trPr>
          <w:jc w:val="center"/>
        </w:trPr>
        <w:tc>
          <w:tcPr>
            <w:tcW w:w="3050" w:type="dxa"/>
            <w:vMerge w:val="restart"/>
            <w:vAlign w:val="center"/>
          </w:tcPr>
          <w:p w14:paraId="1FEF5BAC"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المساءلة والمسؤولية</w:t>
            </w:r>
          </w:p>
        </w:tc>
        <w:tc>
          <w:tcPr>
            <w:tcW w:w="4117" w:type="dxa"/>
            <w:vAlign w:val="center"/>
          </w:tcPr>
          <w:p w14:paraId="3C9C85E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توجد آليات رسمية لمساءلة الإدارات عن أدائها</w:t>
            </w:r>
          </w:p>
        </w:tc>
        <w:tc>
          <w:tcPr>
            <w:tcW w:w="1276" w:type="dxa"/>
            <w:vAlign w:val="center"/>
          </w:tcPr>
          <w:p w14:paraId="5BC93C57"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lang w:bidi="ar-EG"/>
              </w:rPr>
              <w:t>0.897</w:t>
            </w:r>
          </w:p>
        </w:tc>
      </w:tr>
      <w:tr w:rsidR="002874C7" w:rsidRPr="00545ABB" w14:paraId="3FDF81F0" w14:textId="77777777" w:rsidTr="005962D7">
        <w:trPr>
          <w:jc w:val="center"/>
        </w:trPr>
        <w:tc>
          <w:tcPr>
            <w:tcW w:w="3050" w:type="dxa"/>
            <w:vMerge/>
            <w:vAlign w:val="center"/>
          </w:tcPr>
          <w:p w14:paraId="33C5401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31389B6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يتم تحديد المسؤوليات الوظيفية بشكل واضح</w:t>
            </w:r>
          </w:p>
        </w:tc>
        <w:tc>
          <w:tcPr>
            <w:tcW w:w="1276" w:type="dxa"/>
            <w:vAlign w:val="center"/>
          </w:tcPr>
          <w:p w14:paraId="63AEB19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0.979</w:t>
            </w:r>
          </w:p>
        </w:tc>
      </w:tr>
      <w:tr w:rsidR="002874C7" w:rsidRPr="00545ABB" w14:paraId="33B5783A" w14:textId="77777777" w:rsidTr="005962D7">
        <w:trPr>
          <w:jc w:val="center"/>
        </w:trPr>
        <w:tc>
          <w:tcPr>
            <w:tcW w:w="3050" w:type="dxa"/>
            <w:vMerge/>
            <w:vAlign w:val="center"/>
          </w:tcPr>
          <w:p w14:paraId="7C88A1B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20B1A96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تراجع الشركات التزام الموظفين بمعايير العمل المهنية</w:t>
            </w:r>
          </w:p>
        </w:tc>
        <w:tc>
          <w:tcPr>
            <w:tcW w:w="1276" w:type="dxa"/>
            <w:vAlign w:val="center"/>
          </w:tcPr>
          <w:p w14:paraId="5ABD857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0.974</w:t>
            </w:r>
          </w:p>
        </w:tc>
      </w:tr>
      <w:tr w:rsidR="002874C7" w:rsidRPr="00545ABB" w14:paraId="5C1C5B67" w14:textId="77777777" w:rsidTr="005962D7">
        <w:trPr>
          <w:jc w:val="center"/>
        </w:trPr>
        <w:tc>
          <w:tcPr>
            <w:tcW w:w="3050" w:type="dxa"/>
            <w:vMerge/>
            <w:vAlign w:val="center"/>
          </w:tcPr>
          <w:p w14:paraId="53D20EA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3C89F93C" w14:textId="77777777" w:rsidR="002874C7" w:rsidRPr="00545ABB" w:rsidRDefault="002874C7" w:rsidP="00022590">
            <w:pPr>
              <w:spacing w:line="360" w:lineRule="auto"/>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توجد إجراءات لمعالجة الانحرافات الإدارية</w:t>
            </w:r>
          </w:p>
        </w:tc>
        <w:tc>
          <w:tcPr>
            <w:tcW w:w="1276" w:type="dxa"/>
            <w:vAlign w:val="center"/>
          </w:tcPr>
          <w:p w14:paraId="142B4C5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0.978</w:t>
            </w:r>
          </w:p>
        </w:tc>
      </w:tr>
      <w:tr w:rsidR="002874C7" w:rsidRPr="00545ABB" w14:paraId="2DEA9048" w14:textId="77777777" w:rsidTr="005962D7">
        <w:trPr>
          <w:jc w:val="center"/>
        </w:trPr>
        <w:tc>
          <w:tcPr>
            <w:tcW w:w="3050" w:type="dxa"/>
            <w:vMerge/>
            <w:vAlign w:val="center"/>
          </w:tcPr>
          <w:p w14:paraId="46EB684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500CD1F9" w14:textId="77777777" w:rsidR="002874C7" w:rsidRPr="00545ABB" w:rsidRDefault="002874C7" w:rsidP="00022590">
            <w:pPr>
              <w:spacing w:line="360" w:lineRule="auto"/>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تتسم عمليات المساءلة بالعدالة والشفافية</w:t>
            </w:r>
          </w:p>
        </w:tc>
        <w:tc>
          <w:tcPr>
            <w:tcW w:w="1276" w:type="dxa"/>
            <w:vAlign w:val="center"/>
          </w:tcPr>
          <w:p w14:paraId="16E0174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0.973</w:t>
            </w:r>
          </w:p>
        </w:tc>
      </w:tr>
      <w:tr w:rsidR="002874C7" w:rsidRPr="00545ABB" w14:paraId="3D95565D" w14:textId="77777777" w:rsidTr="005962D7">
        <w:trPr>
          <w:jc w:val="center"/>
        </w:trPr>
        <w:tc>
          <w:tcPr>
            <w:tcW w:w="3050" w:type="dxa"/>
            <w:vMerge/>
            <w:vAlign w:val="center"/>
          </w:tcPr>
          <w:p w14:paraId="1AADF38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1E65101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المساءلة والمسؤولية</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2626E7B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0950</w:t>
            </w:r>
          </w:p>
        </w:tc>
      </w:tr>
      <w:tr w:rsidR="002874C7" w:rsidRPr="00545ABB" w14:paraId="4CA2D4C9" w14:textId="77777777" w:rsidTr="005962D7">
        <w:trPr>
          <w:jc w:val="center"/>
        </w:trPr>
        <w:tc>
          <w:tcPr>
            <w:tcW w:w="3050" w:type="dxa"/>
            <w:vMerge w:val="restart"/>
            <w:vAlign w:val="center"/>
          </w:tcPr>
          <w:p w14:paraId="251F0EAB"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المشاركة في اتخاذ القرار</w:t>
            </w:r>
          </w:p>
        </w:tc>
        <w:tc>
          <w:tcPr>
            <w:tcW w:w="4117" w:type="dxa"/>
            <w:vAlign w:val="center"/>
          </w:tcPr>
          <w:p w14:paraId="33828AA4"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تشجيع الشركة الموظفين على تقديم مقترحات تطويرية</w:t>
            </w:r>
          </w:p>
        </w:tc>
        <w:tc>
          <w:tcPr>
            <w:tcW w:w="1276" w:type="dxa"/>
            <w:vAlign w:val="center"/>
          </w:tcPr>
          <w:p w14:paraId="320D8B39" w14:textId="77777777" w:rsidR="002874C7" w:rsidRPr="00545ABB" w:rsidRDefault="002874C7" w:rsidP="00022590">
            <w:pPr>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lang w:bidi="ar-EG"/>
              </w:rPr>
              <w:t>0.974</w:t>
            </w:r>
          </w:p>
        </w:tc>
      </w:tr>
      <w:tr w:rsidR="002874C7" w:rsidRPr="00545ABB" w14:paraId="7897AC4D" w14:textId="77777777" w:rsidTr="005962D7">
        <w:trPr>
          <w:jc w:val="center"/>
        </w:trPr>
        <w:tc>
          <w:tcPr>
            <w:tcW w:w="3050" w:type="dxa"/>
            <w:vMerge/>
            <w:vAlign w:val="center"/>
          </w:tcPr>
          <w:p w14:paraId="1DC9FD0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68FC155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إشراك الإدارات المختلفة في صياغة القرارات المصيرية</w:t>
            </w:r>
          </w:p>
        </w:tc>
        <w:tc>
          <w:tcPr>
            <w:tcW w:w="1276" w:type="dxa"/>
            <w:vAlign w:val="center"/>
          </w:tcPr>
          <w:p w14:paraId="29CB556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0.976</w:t>
            </w:r>
          </w:p>
        </w:tc>
      </w:tr>
      <w:tr w:rsidR="002874C7" w:rsidRPr="00545ABB" w14:paraId="4EF2730F" w14:textId="77777777" w:rsidTr="005962D7">
        <w:trPr>
          <w:jc w:val="center"/>
        </w:trPr>
        <w:tc>
          <w:tcPr>
            <w:tcW w:w="3050" w:type="dxa"/>
            <w:vMerge/>
            <w:vAlign w:val="center"/>
          </w:tcPr>
          <w:p w14:paraId="6DB9F10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1161229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تتيح الشركة قنوات تواصل لعرض الآراء التنظيمية</w:t>
            </w:r>
          </w:p>
        </w:tc>
        <w:tc>
          <w:tcPr>
            <w:tcW w:w="1276" w:type="dxa"/>
            <w:vAlign w:val="center"/>
          </w:tcPr>
          <w:p w14:paraId="5677D9F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0.974</w:t>
            </w:r>
          </w:p>
        </w:tc>
      </w:tr>
      <w:tr w:rsidR="002874C7" w:rsidRPr="00545ABB" w14:paraId="21D118EC" w14:textId="77777777" w:rsidTr="005962D7">
        <w:trPr>
          <w:jc w:val="center"/>
        </w:trPr>
        <w:tc>
          <w:tcPr>
            <w:tcW w:w="3050" w:type="dxa"/>
            <w:vMerge/>
            <w:vAlign w:val="center"/>
          </w:tcPr>
          <w:p w14:paraId="4634F07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77FA2C9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تشجع الإدارة العليا على تبادل الأفكار حول الأمن السيبراني</w:t>
            </w:r>
          </w:p>
        </w:tc>
        <w:tc>
          <w:tcPr>
            <w:tcW w:w="1276" w:type="dxa"/>
            <w:vAlign w:val="center"/>
          </w:tcPr>
          <w:p w14:paraId="538EA15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0.987</w:t>
            </w:r>
          </w:p>
        </w:tc>
      </w:tr>
      <w:tr w:rsidR="002874C7" w:rsidRPr="00545ABB" w14:paraId="485B082E" w14:textId="77777777" w:rsidTr="005962D7">
        <w:trPr>
          <w:jc w:val="center"/>
        </w:trPr>
        <w:tc>
          <w:tcPr>
            <w:tcW w:w="3050" w:type="dxa"/>
            <w:vMerge/>
            <w:vAlign w:val="center"/>
          </w:tcPr>
          <w:p w14:paraId="6DB5C8A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71E0CF3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تأخذ القيادة برأي الخبراء التقنيين عند اتخاذ قرارات مهمة</w:t>
            </w:r>
          </w:p>
        </w:tc>
        <w:tc>
          <w:tcPr>
            <w:tcW w:w="1276" w:type="dxa"/>
            <w:vAlign w:val="center"/>
          </w:tcPr>
          <w:p w14:paraId="5879811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0.973</w:t>
            </w:r>
          </w:p>
        </w:tc>
      </w:tr>
      <w:tr w:rsidR="002874C7" w:rsidRPr="00545ABB" w14:paraId="758AB8A5" w14:textId="77777777" w:rsidTr="005962D7">
        <w:trPr>
          <w:jc w:val="center"/>
        </w:trPr>
        <w:tc>
          <w:tcPr>
            <w:tcW w:w="3050" w:type="dxa"/>
            <w:vMerge/>
            <w:vAlign w:val="center"/>
          </w:tcPr>
          <w:p w14:paraId="6755B3F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5DE5C9B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المشاركة في اتخاذ القرار</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5379750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0.977</w:t>
            </w:r>
          </w:p>
        </w:tc>
      </w:tr>
      <w:tr w:rsidR="002874C7" w:rsidRPr="00545ABB" w14:paraId="765F16FC" w14:textId="77777777" w:rsidTr="005962D7">
        <w:trPr>
          <w:jc w:val="center"/>
        </w:trPr>
        <w:tc>
          <w:tcPr>
            <w:tcW w:w="3050" w:type="dxa"/>
            <w:vMerge w:val="restart"/>
            <w:vAlign w:val="center"/>
          </w:tcPr>
          <w:p w14:paraId="65DA99DC"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إدارة المخاطر والالتزام</w:t>
            </w:r>
          </w:p>
        </w:tc>
        <w:tc>
          <w:tcPr>
            <w:tcW w:w="4117" w:type="dxa"/>
            <w:vAlign w:val="center"/>
          </w:tcPr>
          <w:p w14:paraId="0E4D79F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rPr>
              <w:t>تمتلك الشركة نظاماً واضحاً لتقييم المخاطر السيبرانية</w:t>
            </w:r>
          </w:p>
        </w:tc>
        <w:tc>
          <w:tcPr>
            <w:tcW w:w="1276" w:type="dxa"/>
            <w:vAlign w:val="center"/>
          </w:tcPr>
          <w:p w14:paraId="4D4BF76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0.973</w:t>
            </w:r>
          </w:p>
        </w:tc>
      </w:tr>
      <w:tr w:rsidR="002874C7" w:rsidRPr="00545ABB" w14:paraId="50EFA8D4" w14:textId="77777777" w:rsidTr="005962D7">
        <w:trPr>
          <w:jc w:val="center"/>
        </w:trPr>
        <w:tc>
          <w:tcPr>
            <w:tcW w:w="3050" w:type="dxa"/>
            <w:vMerge/>
            <w:vAlign w:val="center"/>
          </w:tcPr>
          <w:p w14:paraId="3901C95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1495075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rPr>
              <w:t>تلتزم الشركة بالمعايير الوطنية للأمن السيبراني</w:t>
            </w:r>
          </w:p>
        </w:tc>
        <w:tc>
          <w:tcPr>
            <w:tcW w:w="1276" w:type="dxa"/>
            <w:vAlign w:val="center"/>
          </w:tcPr>
          <w:p w14:paraId="3448339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0.977</w:t>
            </w:r>
          </w:p>
        </w:tc>
      </w:tr>
      <w:tr w:rsidR="002874C7" w:rsidRPr="00545ABB" w14:paraId="4F0E8B8A" w14:textId="77777777" w:rsidTr="005962D7">
        <w:trPr>
          <w:jc w:val="center"/>
        </w:trPr>
        <w:tc>
          <w:tcPr>
            <w:tcW w:w="3050" w:type="dxa"/>
            <w:vMerge/>
            <w:vAlign w:val="center"/>
          </w:tcPr>
          <w:p w14:paraId="152CB4B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6F1DB94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color w:val="000000" w:themeColor="text1"/>
                <w:rtl/>
              </w:rPr>
              <w:t>يتم تحديث سياسات الحماية الأمنية بشكل دوري</w:t>
            </w:r>
          </w:p>
        </w:tc>
        <w:tc>
          <w:tcPr>
            <w:tcW w:w="1276" w:type="dxa"/>
            <w:vAlign w:val="center"/>
          </w:tcPr>
          <w:p w14:paraId="625AC39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0.969</w:t>
            </w:r>
          </w:p>
        </w:tc>
      </w:tr>
      <w:tr w:rsidR="002874C7" w:rsidRPr="00545ABB" w14:paraId="2A2FF7D4" w14:textId="77777777" w:rsidTr="005962D7">
        <w:trPr>
          <w:jc w:val="center"/>
        </w:trPr>
        <w:tc>
          <w:tcPr>
            <w:tcW w:w="3050" w:type="dxa"/>
            <w:vMerge/>
            <w:vAlign w:val="center"/>
          </w:tcPr>
          <w:p w14:paraId="7C0C077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74886F3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تتبع الشركة خطة استجابة للحوادث السيبرانية</w:t>
            </w:r>
          </w:p>
        </w:tc>
        <w:tc>
          <w:tcPr>
            <w:tcW w:w="1276" w:type="dxa"/>
            <w:vAlign w:val="center"/>
          </w:tcPr>
          <w:p w14:paraId="311FC0B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0.966</w:t>
            </w:r>
          </w:p>
        </w:tc>
      </w:tr>
      <w:tr w:rsidR="002874C7" w:rsidRPr="00545ABB" w14:paraId="77086BB7" w14:textId="77777777" w:rsidTr="005962D7">
        <w:trPr>
          <w:jc w:val="center"/>
        </w:trPr>
        <w:tc>
          <w:tcPr>
            <w:tcW w:w="3050" w:type="dxa"/>
            <w:vMerge/>
            <w:vAlign w:val="center"/>
          </w:tcPr>
          <w:p w14:paraId="0D435C5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vAlign w:val="center"/>
          </w:tcPr>
          <w:p w14:paraId="6C39D3F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تنفذ برامج تدريبية لتعزيز الالتزام الأمني</w:t>
            </w:r>
          </w:p>
        </w:tc>
        <w:tc>
          <w:tcPr>
            <w:tcW w:w="1276" w:type="dxa"/>
            <w:vAlign w:val="center"/>
          </w:tcPr>
          <w:p w14:paraId="01856F3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0.975</w:t>
            </w:r>
          </w:p>
        </w:tc>
      </w:tr>
      <w:tr w:rsidR="002874C7" w:rsidRPr="00545ABB" w14:paraId="4A53CDE2" w14:textId="77777777" w:rsidTr="005962D7">
        <w:trPr>
          <w:jc w:val="center"/>
        </w:trPr>
        <w:tc>
          <w:tcPr>
            <w:tcW w:w="3050" w:type="dxa"/>
            <w:vMerge/>
            <w:vAlign w:val="center"/>
          </w:tcPr>
          <w:p w14:paraId="19194A6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7A4877F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إدارة المخاطر والالتزام</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492FD03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0.973</w:t>
            </w:r>
          </w:p>
        </w:tc>
      </w:tr>
      <w:tr w:rsidR="002874C7" w:rsidRPr="00545ABB" w14:paraId="31912E98" w14:textId="77777777" w:rsidTr="005962D7">
        <w:trPr>
          <w:jc w:val="center"/>
        </w:trPr>
        <w:tc>
          <w:tcPr>
            <w:tcW w:w="3050" w:type="dxa"/>
            <w:vMerge w:val="restart"/>
            <w:vAlign w:val="center"/>
          </w:tcPr>
          <w:p w14:paraId="0C0E3344"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الكفاءة في استخدام الموارد</w:t>
            </w:r>
          </w:p>
        </w:tc>
        <w:tc>
          <w:tcPr>
            <w:tcW w:w="4117" w:type="dxa"/>
            <w:vAlign w:val="center"/>
          </w:tcPr>
          <w:p w14:paraId="17D17B3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تدار موارد الشركة البشرية بفعالية</w:t>
            </w:r>
          </w:p>
        </w:tc>
        <w:tc>
          <w:tcPr>
            <w:tcW w:w="1276" w:type="dxa"/>
            <w:vAlign w:val="center"/>
          </w:tcPr>
          <w:p w14:paraId="5A70B9B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0.972</w:t>
            </w:r>
          </w:p>
        </w:tc>
      </w:tr>
      <w:tr w:rsidR="002874C7" w:rsidRPr="00545ABB" w14:paraId="609A80CA" w14:textId="77777777" w:rsidTr="005962D7">
        <w:trPr>
          <w:jc w:val="center"/>
        </w:trPr>
        <w:tc>
          <w:tcPr>
            <w:tcW w:w="3050" w:type="dxa"/>
            <w:vMerge/>
            <w:textDirection w:val="tbRl"/>
            <w:vAlign w:val="center"/>
          </w:tcPr>
          <w:p w14:paraId="29B54EE4"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2BA05A3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تخصيص الميزانية وفق أولويات الأمن السيبراني</w:t>
            </w:r>
          </w:p>
        </w:tc>
        <w:tc>
          <w:tcPr>
            <w:tcW w:w="1276" w:type="dxa"/>
            <w:vAlign w:val="center"/>
          </w:tcPr>
          <w:p w14:paraId="41B1E49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0.984</w:t>
            </w:r>
          </w:p>
        </w:tc>
      </w:tr>
      <w:tr w:rsidR="002874C7" w:rsidRPr="00545ABB" w14:paraId="34815205" w14:textId="77777777" w:rsidTr="005962D7">
        <w:trPr>
          <w:jc w:val="center"/>
        </w:trPr>
        <w:tc>
          <w:tcPr>
            <w:tcW w:w="3050" w:type="dxa"/>
            <w:vMerge/>
            <w:textDirection w:val="tbRl"/>
            <w:vAlign w:val="center"/>
          </w:tcPr>
          <w:p w14:paraId="224BB7BA"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4DD4151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تعتمد الشركة آليات لتحسين كفاءة العمل</w:t>
            </w:r>
          </w:p>
        </w:tc>
        <w:tc>
          <w:tcPr>
            <w:tcW w:w="1276" w:type="dxa"/>
            <w:vAlign w:val="center"/>
          </w:tcPr>
          <w:p w14:paraId="5C39E7E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0.965</w:t>
            </w:r>
          </w:p>
        </w:tc>
      </w:tr>
      <w:tr w:rsidR="002874C7" w:rsidRPr="00545ABB" w14:paraId="1ECCB5F0" w14:textId="77777777" w:rsidTr="005962D7">
        <w:trPr>
          <w:jc w:val="center"/>
        </w:trPr>
        <w:tc>
          <w:tcPr>
            <w:tcW w:w="3050" w:type="dxa"/>
            <w:vMerge/>
            <w:textDirection w:val="tbRl"/>
            <w:vAlign w:val="center"/>
          </w:tcPr>
          <w:p w14:paraId="603454E5"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52A9AF2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توظف الموارد التقنية لدعم الأهداف الاستراتيجية</w:t>
            </w:r>
          </w:p>
        </w:tc>
        <w:tc>
          <w:tcPr>
            <w:tcW w:w="1276" w:type="dxa"/>
            <w:vAlign w:val="center"/>
          </w:tcPr>
          <w:p w14:paraId="52B2575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0.978</w:t>
            </w:r>
          </w:p>
        </w:tc>
      </w:tr>
      <w:tr w:rsidR="002874C7" w:rsidRPr="00545ABB" w14:paraId="61ED2055" w14:textId="77777777" w:rsidTr="005962D7">
        <w:trPr>
          <w:jc w:val="center"/>
        </w:trPr>
        <w:tc>
          <w:tcPr>
            <w:tcW w:w="3050" w:type="dxa"/>
            <w:vMerge/>
            <w:textDirection w:val="tbRl"/>
            <w:vAlign w:val="center"/>
          </w:tcPr>
          <w:p w14:paraId="2E6C872A"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148A1AF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تقييم الأداء لضمان الاستخدام الأمثل للمارد</w:t>
            </w:r>
          </w:p>
        </w:tc>
        <w:tc>
          <w:tcPr>
            <w:tcW w:w="1276" w:type="dxa"/>
            <w:vAlign w:val="center"/>
          </w:tcPr>
          <w:p w14:paraId="1139653A"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0.973</w:t>
            </w:r>
          </w:p>
        </w:tc>
      </w:tr>
      <w:tr w:rsidR="002874C7" w:rsidRPr="00545ABB" w14:paraId="48875F21" w14:textId="77777777" w:rsidTr="005962D7">
        <w:trPr>
          <w:jc w:val="center"/>
        </w:trPr>
        <w:tc>
          <w:tcPr>
            <w:tcW w:w="3050" w:type="dxa"/>
            <w:vMerge/>
            <w:textDirection w:val="tbRl"/>
            <w:vAlign w:val="center"/>
          </w:tcPr>
          <w:p w14:paraId="60FE5AE8"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18F2640E"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الكفاءة في استخدام الموارد</w:t>
            </w:r>
            <w:r w:rsidRPr="00545ABB">
              <w:rPr>
                <w:rFonts w:ascii="Traditional Arabic" w:hAnsi="Traditional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25F5248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0.976</w:t>
            </w:r>
          </w:p>
        </w:tc>
      </w:tr>
      <w:tr w:rsidR="002874C7" w:rsidRPr="00545ABB" w14:paraId="3440B45C" w14:textId="77777777" w:rsidTr="005962D7">
        <w:trPr>
          <w:jc w:val="center"/>
        </w:trPr>
        <w:tc>
          <w:tcPr>
            <w:tcW w:w="3050" w:type="dxa"/>
            <w:vMerge w:val="restart"/>
            <w:vAlign w:val="center"/>
          </w:tcPr>
          <w:p w14:paraId="0C595A25"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lastRenderedPageBreak/>
              <w:t>البعد الاقتصادي</w:t>
            </w:r>
          </w:p>
        </w:tc>
        <w:tc>
          <w:tcPr>
            <w:tcW w:w="4117" w:type="dxa"/>
            <w:vAlign w:val="center"/>
          </w:tcPr>
          <w:p w14:paraId="5AE3F92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مستوى مستقراً من الربحية</w:t>
            </w:r>
          </w:p>
        </w:tc>
        <w:tc>
          <w:tcPr>
            <w:tcW w:w="1276" w:type="dxa"/>
            <w:vAlign w:val="center"/>
          </w:tcPr>
          <w:p w14:paraId="76DA6AD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0.981</w:t>
            </w:r>
          </w:p>
        </w:tc>
      </w:tr>
      <w:tr w:rsidR="002874C7" w:rsidRPr="00545ABB" w14:paraId="14226077" w14:textId="77777777" w:rsidTr="005962D7">
        <w:trPr>
          <w:jc w:val="center"/>
        </w:trPr>
        <w:tc>
          <w:tcPr>
            <w:tcW w:w="3050" w:type="dxa"/>
            <w:vMerge/>
            <w:textDirection w:val="tbRl"/>
            <w:vAlign w:val="center"/>
          </w:tcPr>
          <w:p w14:paraId="3153FE92"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7E59F60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تدير الشركة مواردها المالية بكفاءة</w:t>
            </w:r>
          </w:p>
        </w:tc>
        <w:tc>
          <w:tcPr>
            <w:tcW w:w="1276" w:type="dxa"/>
            <w:vAlign w:val="center"/>
          </w:tcPr>
          <w:p w14:paraId="5C3FBC2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0.967</w:t>
            </w:r>
          </w:p>
        </w:tc>
      </w:tr>
      <w:tr w:rsidR="002874C7" w:rsidRPr="00545ABB" w14:paraId="3418EF31" w14:textId="77777777" w:rsidTr="005962D7">
        <w:trPr>
          <w:jc w:val="center"/>
        </w:trPr>
        <w:tc>
          <w:tcPr>
            <w:tcW w:w="3050" w:type="dxa"/>
            <w:vMerge/>
            <w:textDirection w:val="tbRl"/>
            <w:vAlign w:val="center"/>
          </w:tcPr>
          <w:p w14:paraId="05DB7A78"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4FF5FAC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تنفذ استثمارات تسهم في النمو المستقبلي</w:t>
            </w:r>
          </w:p>
        </w:tc>
        <w:tc>
          <w:tcPr>
            <w:tcW w:w="1276" w:type="dxa"/>
            <w:vAlign w:val="center"/>
          </w:tcPr>
          <w:p w14:paraId="2AA26C13"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0.978</w:t>
            </w:r>
          </w:p>
        </w:tc>
      </w:tr>
      <w:tr w:rsidR="002874C7" w:rsidRPr="00545ABB" w14:paraId="5F42B607" w14:textId="77777777" w:rsidTr="005962D7">
        <w:trPr>
          <w:jc w:val="center"/>
        </w:trPr>
        <w:tc>
          <w:tcPr>
            <w:tcW w:w="3050" w:type="dxa"/>
            <w:vMerge/>
            <w:textDirection w:val="tbRl"/>
            <w:vAlign w:val="center"/>
          </w:tcPr>
          <w:p w14:paraId="3B9CFFEB"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1112C167"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تحافظ الشركة على توازن مالي مستدام</w:t>
            </w:r>
          </w:p>
        </w:tc>
        <w:tc>
          <w:tcPr>
            <w:tcW w:w="1276" w:type="dxa"/>
            <w:vAlign w:val="center"/>
          </w:tcPr>
          <w:p w14:paraId="1792368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0.951</w:t>
            </w:r>
          </w:p>
        </w:tc>
      </w:tr>
      <w:tr w:rsidR="002874C7" w:rsidRPr="00545ABB" w14:paraId="4F649CB4" w14:textId="77777777" w:rsidTr="005962D7">
        <w:trPr>
          <w:jc w:val="center"/>
        </w:trPr>
        <w:tc>
          <w:tcPr>
            <w:tcW w:w="3050" w:type="dxa"/>
            <w:vMerge/>
            <w:textDirection w:val="tbRl"/>
            <w:vAlign w:val="center"/>
          </w:tcPr>
          <w:p w14:paraId="1D4E1458"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576F39B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تمتلك الشركة خططاً مالية طويلة المدى</w:t>
            </w:r>
          </w:p>
        </w:tc>
        <w:tc>
          <w:tcPr>
            <w:tcW w:w="1276" w:type="dxa"/>
            <w:vAlign w:val="center"/>
          </w:tcPr>
          <w:p w14:paraId="6106728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0.975</w:t>
            </w:r>
          </w:p>
        </w:tc>
      </w:tr>
      <w:tr w:rsidR="002874C7" w:rsidRPr="00545ABB" w14:paraId="2BBBA811" w14:textId="77777777" w:rsidTr="005962D7">
        <w:trPr>
          <w:jc w:val="center"/>
        </w:trPr>
        <w:tc>
          <w:tcPr>
            <w:tcW w:w="3050" w:type="dxa"/>
            <w:vMerge/>
            <w:textDirection w:val="tbRl"/>
            <w:vAlign w:val="center"/>
          </w:tcPr>
          <w:p w14:paraId="61DC824D"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637FA6C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البعد الاقتصادي ككل</w:t>
            </w:r>
          </w:p>
        </w:tc>
        <w:tc>
          <w:tcPr>
            <w:tcW w:w="1276" w:type="dxa"/>
            <w:shd w:val="clear" w:color="auto" w:fill="D9D9D9" w:themeFill="background1" w:themeFillShade="D9"/>
            <w:vAlign w:val="center"/>
          </w:tcPr>
          <w:p w14:paraId="332EF6B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0.977</w:t>
            </w:r>
          </w:p>
        </w:tc>
      </w:tr>
      <w:tr w:rsidR="002874C7" w:rsidRPr="00545ABB" w14:paraId="024C843F" w14:textId="77777777" w:rsidTr="005962D7">
        <w:trPr>
          <w:jc w:val="center"/>
        </w:trPr>
        <w:tc>
          <w:tcPr>
            <w:tcW w:w="3050" w:type="dxa"/>
            <w:vMerge w:val="restart"/>
            <w:vAlign w:val="center"/>
          </w:tcPr>
          <w:p w14:paraId="592B68FE" w14:textId="77777777" w:rsidR="002874C7" w:rsidRPr="00545ABB" w:rsidRDefault="002874C7" w:rsidP="00022590">
            <w:pPr>
              <w:spacing w:line="360" w:lineRule="auto"/>
              <w:ind w:left="360"/>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البعد الاجتماعي</w:t>
            </w:r>
          </w:p>
        </w:tc>
        <w:tc>
          <w:tcPr>
            <w:tcW w:w="4117" w:type="dxa"/>
            <w:vAlign w:val="center"/>
          </w:tcPr>
          <w:p w14:paraId="7167C9C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تلتزم الشركة بالمسؤولية الاجتماعية</w:t>
            </w:r>
          </w:p>
        </w:tc>
        <w:tc>
          <w:tcPr>
            <w:tcW w:w="1276" w:type="dxa"/>
            <w:vAlign w:val="center"/>
          </w:tcPr>
          <w:p w14:paraId="35B52B5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0.982</w:t>
            </w:r>
          </w:p>
        </w:tc>
      </w:tr>
      <w:tr w:rsidR="002874C7" w:rsidRPr="00545ABB" w14:paraId="230D54EC" w14:textId="77777777" w:rsidTr="005962D7">
        <w:trPr>
          <w:jc w:val="center"/>
        </w:trPr>
        <w:tc>
          <w:tcPr>
            <w:tcW w:w="3050" w:type="dxa"/>
            <w:vMerge/>
            <w:textDirection w:val="tbRl"/>
            <w:vAlign w:val="center"/>
          </w:tcPr>
          <w:p w14:paraId="4C7A1DFB"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03DD0FC4"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توفر بيئة عمل داعمة ومحفزة</w:t>
            </w:r>
          </w:p>
        </w:tc>
        <w:tc>
          <w:tcPr>
            <w:tcW w:w="1276" w:type="dxa"/>
            <w:vAlign w:val="center"/>
          </w:tcPr>
          <w:p w14:paraId="52B273B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0.838</w:t>
            </w:r>
          </w:p>
        </w:tc>
      </w:tr>
      <w:tr w:rsidR="002874C7" w:rsidRPr="00545ABB" w14:paraId="3132C58C" w14:textId="77777777" w:rsidTr="005962D7">
        <w:trPr>
          <w:jc w:val="center"/>
        </w:trPr>
        <w:tc>
          <w:tcPr>
            <w:tcW w:w="3050" w:type="dxa"/>
            <w:vMerge/>
            <w:textDirection w:val="tbRl"/>
            <w:vAlign w:val="center"/>
          </w:tcPr>
          <w:p w14:paraId="517FB2BB"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2AF8975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تعمل الشركة على رفع رضا موظفيها</w:t>
            </w:r>
          </w:p>
        </w:tc>
        <w:tc>
          <w:tcPr>
            <w:tcW w:w="1276" w:type="dxa"/>
            <w:vAlign w:val="center"/>
          </w:tcPr>
          <w:p w14:paraId="1DD28B3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0.985</w:t>
            </w:r>
          </w:p>
        </w:tc>
      </w:tr>
      <w:tr w:rsidR="002874C7" w:rsidRPr="00545ABB" w14:paraId="2F93388A" w14:textId="77777777" w:rsidTr="005962D7">
        <w:trPr>
          <w:jc w:val="center"/>
        </w:trPr>
        <w:tc>
          <w:tcPr>
            <w:tcW w:w="3050" w:type="dxa"/>
            <w:vMerge/>
            <w:textDirection w:val="tbRl"/>
            <w:vAlign w:val="center"/>
          </w:tcPr>
          <w:p w14:paraId="03D1512C"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1023B923"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تتبنى الشركة سياسات عادلة في التوظيف</w:t>
            </w:r>
          </w:p>
        </w:tc>
        <w:tc>
          <w:tcPr>
            <w:tcW w:w="1276" w:type="dxa"/>
            <w:vAlign w:val="center"/>
          </w:tcPr>
          <w:p w14:paraId="4582376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0.921</w:t>
            </w:r>
          </w:p>
        </w:tc>
      </w:tr>
      <w:tr w:rsidR="002874C7" w:rsidRPr="00545ABB" w14:paraId="7638AD28" w14:textId="77777777" w:rsidTr="005962D7">
        <w:trPr>
          <w:jc w:val="center"/>
        </w:trPr>
        <w:tc>
          <w:tcPr>
            <w:tcW w:w="3050" w:type="dxa"/>
            <w:vMerge/>
            <w:textDirection w:val="tbRl"/>
            <w:vAlign w:val="center"/>
          </w:tcPr>
          <w:p w14:paraId="3DECD7BB"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421CF35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الشركة العمل الجماعي والتواصل</w:t>
            </w:r>
          </w:p>
        </w:tc>
        <w:tc>
          <w:tcPr>
            <w:tcW w:w="1276" w:type="dxa"/>
            <w:vAlign w:val="center"/>
          </w:tcPr>
          <w:p w14:paraId="6BB0BC6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0.985</w:t>
            </w:r>
          </w:p>
        </w:tc>
      </w:tr>
      <w:tr w:rsidR="002874C7" w:rsidRPr="00545ABB" w14:paraId="19220089" w14:textId="77777777" w:rsidTr="005962D7">
        <w:trPr>
          <w:jc w:val="center"/>
        </w:trPr>
        <w:tc>
          <w:tcPr>
            <w:tcW w:w="3050" w:type="dxa"/>
            <w:vMerge/>
            <w:textDirection w:val="tbRl"/>
            <w:vAlign w:val="center"/>
          </w:tcPr>
          <w:p w14:paraId="7757CD8A"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7E752AA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البعد الاجتماعي ككل</w:t>
            </w:r>
          </w:p>
        </w:tc>
        <w:tc>
          <w:tcPr>
            <w:tcW w:w="1276" w:type="dxa"/>
            <w:shd w:val="clear" w:color="auto" w:fill="D9D9D9" w:themeFill="background1" w:themeFillShade="D9"/>
            <w:vAlign w:val="center"/>
          </w:tcPr>
          <w:p w14:paraId="6FF15A4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0.981</w:t>
            </w:r>
          </w:p>
        </w:tc>
      </w:tr>
      <w:tr w:rsidR="002874C7" w:rsidRPr="00545ABB" w14:paraId="26CC30EC" w14:textId="77777777" w:rsidTr="005962D7">
        <w:trPr>
          <w:jc w:val="center"/>
        </w:trPr>
        <w:tc>
          <w:tcPr>
            <w:tcW w:w="3050" w:type="dxa"/>
            <w:vMerge w:val="restart"/>
            <w:vAlign w:val="center"/>
          </w:tcPr>
          <w:p w14:paraId="487B430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 xml:space="preserve">البعد </w:t>
            </w:r>
            <w:r w:rsidRPr="00545ABB">
              <w:rPr>
                <w:rFonts w:ascii="Traditional Arabic" w:hAnsi="Traditional Arabic" w:cs="Traditional Arabic"/>
                <w:b/>
                <w:bCs/>
                <w:color w:val="000000" w:themeColor="text1"/>
                <w:rtl/>
                <w:lang w:bidi="ar-EG"/>
              </w:rPr>
              <w:t>التقني</w:t>
            </w:r>
          </w:p>
        </w:tc>
        <w:tc>
          <w:tcPr>
            <w:tcW w:w="4117" w:type="dxa"/>
            <w:vAlign w:val="center"/>
          </w:tcPr>
          <w:p w14:paraId="3BC7A41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تقنيات حديثة في مجال الأمن السيبراني</w:t>
            </w:r>
          </w:p>
        </w:tc>
        <w:tc>
          <w:tcPr>
            <w:tcW w:w="1276" w:type="dxa"/>
            <w:vAlign w:val="center"/>
          </w:tcPr>
          <w:p w14:paraId="74EF98F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0.935</w:t>
            </w:r>
          </w:p>
        </w:tc>
      </w:tr>
      <w:tr w:rsidR="002874C7" w:rsidRPr="00545ABB" w14:paraId="0832D195" w14:textId="77777777" w:rsidTr="005962D7">
        <w:trPr>
          <w:jc w:val="center"/>
        </w:trPr>
        <w:tc>
          <w:tcPr>
            <w:tcW w:w="3050" w:type="dxa"/>
            <w:vMerge/>
            <w:textDirection w:val="tbRl"/>
            <w:vAlign w:val="center"/>
          </w:tcPr>
          <w:p w14:paraId="027D8483"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2451409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تجدد أنظمتها التقنية باستمرار</w:t>
            </w:r>
          </w:p>
        </w:tc>
        <w:tc>
          <w:tcPr>
            <w:tcW w:w="1276" w:type="dxa"/>
            <w:vAlign w:val="center"/>
          </w:tcPr>
          <w:p w14:paraId="5C28117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0.979</w:t>
            </w:r>
          </w:p>
        </w:tc>
      </w:tr>
      <w:tr w:rsidR="002874C7" w:rsidRPr="00545ABB" w14:paraId="63AF6FBB" w14:textId="77777777" w:rsidTr="005962D7">
        <w:trPr>
          <w:jc w:val="center"/>
        </w:trPr>
        <w:tc>
          <w:tcPr>
            <w:tcW w:w="3050" w:type="dxa"/>
            <w:vMerge/>
            <w:textDirection w:val="tbRl"/>
            <w:vAlign w:val="center"/>
          </w:tcPr>
          <w:p w14:paraId="209F0252"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0F28B85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الابتكار في تطوير خدماتها الأمنية</w:t>
            </w:r>
          </w:p>
        </w:tc>
        <w:tc>
          <w:tcPr>
            <w:tcW w:w="1276" w:type="dxa"/>
            <w:vAlign w:val="center"/>
          </w:tcPr>
          <w:p w14:paraId="2833BB91"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0.943</w:t>
            </w:r>
          </w:p>
        </w:tc>
      </w:tr>
      <w:tr w:rsidR="002874C7" w:rsidRPr="00545ABB" w14:paraId="5D2AB00C" w14:textId="77777777" w:rsidTr="005962D7">
        <w:trPr>
          <w:jc w:val="center"/>
        </w:trPr>
        <w:tc>
          <w:tcPr>
            <w:tcW w:w="3050" w:type="dxa"/>
            <w:vMerge/>
            <w:textDirection w:val="tbRl"/>
            <w:vAlign w:val="center"/>
          </w:tcPr>
          <w:p w14:paraId="5C5E52C4"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299A1062"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تخصص موارد لتطوير المعرفة التقنية للموظفين</w:t>
            </w:r>
          </w:p>
        </w:tc>
        <w:tc>
          <w:tcPr>
            <w:tcW w:w="1276" w:type="dxa"/>
            <w:vAlign w:val="center"/>
          </w:tcPr>
          <w:p w14:paraId="167337A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0.998</w:t>
            </w:r>
          </w:p>
        </w:tc>
      </w:tr>
      <w:tr w:rsidR="002874C7" w:rsidRPr="00545ABB" w14:paraId="4B7ADFD0" w14:textId="77777777" w:rsidTr="005962D7">
        <w:trPr>
          <w:jc w:val="center"/>
        </w:trPr>
        <w:tc>
          <w:tcPr>
            <w:tcW w:w="3050" w:type="dxa"/>
            <w:vMerge/>
            <w:textDirection w:val="tbRl"/>
            <w:vAlign w:val="center"/>
          </w:tcPr>
          <w:p w14:paraId="49B0A6E8"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18FFF75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تستثمر في حلول أمنية تعزز استمراريتها</w:t>
            </w:r>
          </w:p>
        </w:tc>
        <w:tc>
          <w:tcPr>
            <w:tcW w:w="1276" w:type="dxa"/>
            <w:vAlign w:val="center"/>
          </w:tcPr>
          <w:p w14:paraId="2EC15F8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0.965</w:t>
            </w:r>
          </w:p>
        </w:tc>
      </w:tr>
      <w:tr w:rsidR="002874C7" w:rsidRPr="00545ABB" w14:paraId="0AEDDE72" w14:textId="77777777" w:rsidTr="005962D7">
        <w:trPr>
          <w:jc w:val="center"/>
        </w:trPr>
        <w:tc>
          <w:tcPr>
            <w:tcW w:w="3050" w:type="dxa"/>
            <w:vMerge/>
            <w:textDirection w:val="tbRl"/>
            <w:vAlign w:val="center"/>
          </w:tcPr>
          <w:p w14:paraId="43E90E9F"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5EE2BE5B"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 xml:space="preserve">البعد </w:t>
            </w:r>
            <w:r w:rsidRPr="00545ABB">
              <w:rPr>
                <w:rFonts w:ascii="Traditional Arabic" w:hAnsi="Traditional Arabic" w:cs="Traditional Arabic"/>
                <w:b/>
                <w:bCs/>
                <w:color w:val="000000" w:themeColor="text1"/>
                <w:rtl/>
                <w:lang w:bidi="ar-EG"/>
              </w:rPr>
              <w:t>التقني ككل</w:t>
            </w:r>
          </w:p>
        </w:tc>
        <w:tc>
          <w:tcPr>
            <w:tcW w:w="1276" w:type="dxa"/>
            <w:shd w:val="clear" w:color="auto" w:fill="D9D9D9" w:themeFill="background1" w:themeFillShade="D9"/>
            <w:vAlign w:val="center"/>
          </w:tcPr>
          <w:p w14:paraId="3BAD85A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0.956</w:t>
            </w:r>
          </w:p>
        </w:tc>
      </w:tr>
      <w:tr w:rsidR="002874C7" w:rsidRPr="00545ABB" w14:paraId="5E3AB779" w14:textId="77777777" w:rsidTr="005962D7">
        <w:trPr>
          <w:jc w:val="center"/>
        </w:trPr>
        <w:tc>
          <w:tcPr>
            <w:tcW w:w="3050" w:type="dxa"/>
            <w:vMerge w:val="restart"/>
            <w:vAlign w:val="center"/>
          </w:tcPr>
          <w:p w14:paraId="627B6F6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جودة الأداء الإداري والتقني</w:t>
            </w:r>
          </w:p>
        </w:tc>
        <w:tc>
          <w:tcPr>
            <w:tcW w:w="4117" w:type="dxa"/>
            <w:vAlign w:val="center"/>
          </w:tcPr>
          <w:p w14:paraId="346E119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أداءً إدارياً متوازناً</w:t>
            </w:r>
          </w:p>
        </w:tc>
        <w:tc>
          <w:tcPr>
            <w:tcW w:w="1276" w:type="dxa"/>
            <w:vAlign w:val="center"/>
          </w:tcPr>
          <w:p w14:paraId="7DA5D71F"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0.861</w:t>
            </w:r>
          </w:p>
        </w:tc>
      </w:tr>
      <w:tr w:rsidR="002874C7" w:rsidRPr="00545ABB" w14:paraId="0C02ACDA" w14:textId="77777777" w:rsidTr="005962D7">
        <w:trPr>
          <w:jc w:val="center"/>
        </w:trPr>
        <w:tc>
          <w:tcPr>
            <w:tcW w:w="3050" w:type="dxa"/>
            <w:vMerge/>
            <w:textDirection w:val="tbRl"/>
            <w:vAlign w:val="center"/>
          </w:tcPr>
          <w:p w14:paraId="0D9D7680"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6CD7C24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إجراءات تشغيل فعالة</w:t>
            </w:r>
          </w:p>
        </w:tc>
        <w:tc>
          <w:tcPr>
            <w:tcW w:w="1276" w:type="dxa"/>
            <w:vAlign w:val="center"/>
          </w:tcPr>
          <w:p w14:paraId="2C45C77C"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0.928</w:t>
            </w:r>
          </w:p>
        </w:tc>
      </w:tr>
      <w:tr w:rsidR="002874C7" w:rsidRPr="00545ABB" w14:paraId="7BE603F7" w14:textId="77777777" w:rsidTr="005962D7">
        <w:trPr>
          <w:jc w:val="center"/>
        </w:trPr>
        <w:tc>
          <w:tcPr>
            <w:tcW w:w="3050" w:type="dxa"/>
            <w:vMerge/>
            <w:textDirection w:val="tbRl"/>
            <w:vAlign w:val="center"/>
          </w:tcPr>
          <w:p w14:paraId="5DADE1A3"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72B61E20"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يظهر أداء الفريق التقني بمستوى مهني عال</w:t>
            </w:r>
          </w:p>
        </w:tc>
        <w:tc>
          <w:tcPr>
            <w:tcW w:w="1276" w:type="dxa"/>
            <w:vAlign w:val="center"/>
          </w:tcPr>
          <w:p w14:paraId="4FAEB1C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0.975</w:t>
            </w:r>
          </w:p>
        </w:tc>
      </w:tr>
      <w:tr w:rsidR="002874C7" w:rsidRPr="00545ABB" w14:paraId="402E85E2" w14:textId="77777777" w:rsidTr="005962D7">
        <w:trPr>
          <w:jc w:val="center"/>
        </w:trPr>
        <w:tc>
          <w:tcPr>
            <w:tcW w:w="3050" w:type="dxa"/>
            <w:vMerge/>
            <w:textDirection w:val="tbRl"/>
            <w:vAlign w:val="center"/>
          </w:tcPr>
          <w:p w14:paraId="4233062E"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3A80D87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توفر الشركة خدمات أمنية ذات جودة عالية</w:t>
            </w:r>
          </w:p>
        </w:tc>
        <w:tc>
          <w:tcPr>
            <w:tcW w:w="1276" w:type="dxa"/>
            <w:vAlign w:val="center"/>
          </w:tcPr>
          <w:p w14:paraId="7BFD518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0.952</w:t>
            </w:r>
          </w:p>
        </w:tc>
      </w:tr>
      <w:tr w:rsidR="002874C7" w:rsidRPr="00545ABB" w14:paraId="0D70D8D4" w14:textId="77777777" w:rsidTr="005962D7">
        <w:trPr>
          <w:jc w:val="center"/>
        </w:trPr>
        <w:tc>
          <w:tcPr>
            <w:tcW w:w="3050" w:type="dxa"/>
            <w:vMerge/>
            <w:textDirection w:val="tbRl"/>
            <w:vAlign w:val="center"/>
          </w:tcPr>
          <w:p w14:paraId="53D30C16"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628391C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جودة الأداء الإداري والتقني ككل</w:t>
            </w:r>
          </w:p>
        </w:tc>
        <w:tc>
          <w:tcPr>
            <w:tcW w:w="1276" w:type="dxa"/>
            <w:shd w:val="clear" w:color="auto" w:fill="D9D9D9" w:themeFill="background1" w:themeFillShade="D9"/>
            <w:vAlign w:val="center"/>
          </w:tcPr>
          <w:p w14:paraId="6C7CDE8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0.902</w:t>
            </w:r>
          </w:p>
        </w:tc>
      </w:tr>
      <w:tr w:rsidR="002874C7" w:rsidRPr="00545ABB" w14:paraId="42AD475A" w14:textId="77777777" w:rsidTr="005962D7">
        <w:trPr>
          <w:jc w:val="center"/>
        </w:trPr>
        <w:tc>
          <w:tcPr>
            <w:tcW w:w="3050" w:type="dxa"/>
            <w:vMerge w:val="restart"/>
            <w:vAlign w:val="center"/>
          </w:tcPr>
          <w:p w14:paraId="3D3AE81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بالكفاءة التشغيلية</w:t>
            </w:r>
          </w:p>
        </w:tc>
        <w:tc>
          <w:tcPr>
            <w:tcW w:w="4117" w:type="dxa"/>
            <w:vAlign w:val="center"/>
          </w:tcPr>
          <w:p w14:paraId="17E6F1E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تنجز الشركة مشاريعها ضمن الوقت المحدد</w:t>
            </w:r>
          </w:p>
        </w:tc>
        <w:tc>
          <w:tcPr>
            <w:tcW w:w="1276" w:type="dxa"/>
            <w:vAlign w:val="center"/>
          </w:tcPr>
          <w:p w14:paraId="11DC120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0.938</w:t>
            </w:r>
          </w:p>
        </w:tc>
      </w:tr>
      <w:tr w:rsidR="002874C7" w:rsidRPr="00545ABB" w14:paraId="2621225B" w14:textId="77777777" w:rsidTr="005962D7">
        <w:trPr>
          <w:jc w:val="center"/>
        </w:trPr>
        <w:tc>
          <w:tcPr>
            <w:tcW w:w="3050" w:type="dxa"/>
            <w:vMerge/>
            <w:textDirection w:val="tbRl"/>
            <w:vAlign w:val="center"/>
          </w:tcPr>
          <w:p w14:paraId="0C971E3E"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1C6FDC22"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تستغل الشركة مواردها التشغيلية بكفاءة</w:t>
            </w:r>
          </w:p>
        </w:tc>
        <w:tc>
          <w:tcPr>
            <w:tcW w:w="1276" w:type="dxa"/>
            <w:vAlign w:val="center"/>
          </w:tcPr>
          <w:p w14:paraId="0A5CD341"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0.986</w:t>
            </w:r>
          </w:p>
        </w:tc>
      </w:tr>
      <w:tr w:rsidR="002874C7" w:rsidRPr="00545ABB" w14:paraId="547D7C07" w14:textId="77777777" w:rsidTr="005962D7">
        <w:trPr>
          <w:jc w:val="center"/>
        </w:trPr>
        <w:tc>
          <w:tcPr>
            <w:tcW w:w="3050" w:type="dxa"/>
            <w:vMerge/>
            <w:textDirection w:val="tbRl"/>
            <w:vAlign w:val="center"/>
          </w:tcPr>
          <w:p w14:paraId="602FCA4F"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24711CF5"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تحسن الشركة عملياتها بشكل مستمر</w:t>
            </w:r>
          </w:p>
        </w:tc>
        <w:tc>
          <w:tcPr>
            <w:tcW w:w="1276" w:type="dxa"/>
            <w:vAlign w:val="center"/>
          </w:tcPr>
          <w:p w14:paraId="227097D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0.953</w:t>
            </w:r>
          </w:p>
        </w:tc>
      </w:tr>
      <w:tr w:rsidR="002874C7" w:rsidRPr="00545ABB" w14:paraId="07EA0D03" w14:textId="77777777" w:rsidTr="005962D7">
        <w:trPr>
          <w:jc w:val="center"/>
        </w:trPr>
        <w:tc>
          <w:tcPr>
            <w:tcW w:w="3050" w:type="dxa"/>
            <w:vMerge/>
            <w:textDirection w:val="tbRl"/>
            <w:vAlign w:val="center"/>
          </w:tcPr>
          <w:p w14:paraId="6D0BF47A"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vAlign w:val="center"/>
          </w:tcPr>
          <w:p w14:paraId="7EAEE7A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مستويات عالية من الإنتاجية</w:t>
            </w:r>
          </w:p>
        </w:tc>
        <w:tc>
          <w:tcPr>
            <w:tcW w:w="1276" w:type="dxa"/>
            <w:vAlign w:val="center"/>
          </w:tcPr>
          <w:p w14:paraId="16F9CAE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0.975</w:t>
            </w:r>
          </w:p>
        </w:tc>
      </w:tr>
      <w:tr w:rsidR="002874C7" w:rsidRPr="00545ABB" w14:paraId="2BDB947A" w14:textId="77777777" w:rsidTr="005962D7">
        <w:trPr>
          <w:jc w:val="center"/>
        </w:trPr>
        <w:tc>
          <w:tcPr>
            <w:tcW w:w="3050" w:type="dxa"/>
            <w:vMerge/>
            <w:textDirection w:val="tbRl"/>
            <w:vAlign w:val="center"/>
          </w:tcPr>
          <w:p w14:paraId="3901E0B1"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BFBFBF" w:themeFill="background1" w:themeFillShade="BF"/>
            <w:vAlign w:val="center"/>
          </w:tcPr>
          <w:p w14:paraId="1815AD6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بالكفاءة التشغيلية ككل</w:t>
            </w:r>
          </w:p>
        </w:tc>
        <w:tc>
          <w:tcPr>
            <w:tcW w:w="1276" w:type="dxa"/>
            <w:shd w:val="clear" w:color="auto" w:fill="BFBFBF" w:themeFill="background1" w:themeFillShade="BF"/>
            <w:vAlign w:val="center"/>
          </w:tcPr>
          <w:p w14:paraId="12AA571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rPr>
              <w:t>0.911</w:t>
            </w:r>
          </w:p>
        </w:tc>
      </w:tr>
      <w:tr w:rsidR="002874C7" w:rsidRPr="00545ABB" w14:paraId="02806527" w14:textId="77777777" w:rsidTr="005962D7">
        <w:trPr>
          <w:jc w:val="center"/>
        </w:trPr>
        <w:tc>
          <w:tcPr>
            <w:tcW w:w="3050" w:type="dxa"/>
            <w:vMerge w:val="restart"/>
            <w:vAlign w:val="center"/>
          </w:tcPr>
          <w:p w14:paraId="21DBC99D"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الابتكار والتكيف</w:t>
            </w:r>
          </w:p>
        </w:tc>
        <w:tc>
          <w:tcPr>
            <w:tcW w:w="4117" w:type="dxa"/>
          </w:tcPr>
          <w:p w14:paraId="07D255D8"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تتبنى الشركة حلولاً جديدة لمواجهة تهديدات الأمن السيبراني</w:t>
            </w:r>
          </w:p>
        </w:tc>
        <w:tc>
          <w:tcPr>
            <w:tcW w:w="1276" w:type="dxa"/>
            <w:vAlign w:val="center"/>
          </w:tcPr>
          <w:p w14:paraId="2B33EFB9"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0.926</w:t>
            </w:r>
          </w:p>
        </w:tc>
      </w:tr>
      <w:tr w:rsidR="002874C7" w:rsidRPr="00545ABB" w14:paraId="6F9ED25C" w14:textId="77777777" w:rsidTr="005962D7">
        <w:trPr>
          <w:jc w:val="center"/>
        </w:trPr>
        <w:tc>
          <w:tcPr>
            <w:tcW w:w="3050" w:type="dxa"/>
            <w:vMerge/>
            <w:textDirection w:val="tbRl"/>
            <w:vAlign w:val="center"/>
          </w:tcPr>
          <w:p w14:paraId="12B52D96"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4BA2919C"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تستخدم الشركة تقنيات متطورة في عملياتها</w:t>
            </w:r>
          </w:p>
        </w:tc>
        <w:tc>
          <w:tcPr>
            <w:tcW w:w="1276" w:type="dxa"/>
            <w:vAlign w:val="center"/>
          </w:tcPr>
          <w:p w14:paraId="36B8EE6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0.965</w:t>
            </w:r>
          </w:p>
        </w:tc>
      </w:tr>
      <w:tr w:rsidR="002874C7" w:rsidRPr="00545ABB" w14:paraId="619EF291" w14:textId="77777777" w:rsidTr="005962D7">
        <w:trPr>
          <w:jc w:val="center"/>
        </w:trPr>
        <w:tc>
          <w:tcPr>
            <w:tcW w:w="3050" w:type="dxa"/>
            <w:vMerge/>
            <w:textDirection w:val="tbRl"/>
            <w:vAlign w:val="center"/>
          </w:tcPr>
          <w:p w14:paraId="3AF917AC"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010DEBE4"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تستجيب الشركة للتغيرات التقنية</w:t>
            </w:r>
          </w:p>
        </w:tc>
        <w:tc>
          <w:tcPr>
            <w:tcW w:w="1276" w:type="dxa"/>
            <w:vAlign w:val="center"/>
          </w:tcPr>
          <w:p w14:paraId="0E1F4B78"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0.944</w:t>
            </w:r>
          </w:p>
        </w:tc>
      </w:tr>
      <w:tr w:rsidR="002874C7" w:rsidRPr="00545ABB" w14:paraId="50EF45B6" w14:textId="77777777" w:rsidTr="005962D7">
        <w:trPr>
          <w:jc w:val="center"/>
        </w:trPr>
        <w:tc>
          <w:tcPr>
            <w:tcW w:w="3050" w:type="dxa"/>
            <w:vMerge/>
            <w:textDirection w:val="tbRl"/>
            <w:vAlign w:val="center"/>
          </w:tcPr>
          <w:p w14:paraId="29CC7DF4"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2508D08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ثقافة الابتكار داخل بيئة العمل</w:t>
            </w:r>
          </w:p>
        </w:tc>
        <w:tc>
          <w:tcPr>
            <w:tcW w:w="1276" w:type="dxa"/>
            <w:vAlign w:val="center"/>
          </w:tcPr>
          <w:p w14:paraId="5E35CC66"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0.975</w:t>
            </w:r>
          </w:p>
        </w:tc>
      </w:tr>
      <w:tr w:rsidR="002874C7" w:rsidRPr="00545ABB" w14:paraId="1841593C" w14:textId="77777777" w:rsidTr="005962D7">
        <w:trPr>
          <w:jc w:val="center"/>
        </w:trPr>
        <w:tc>
          <w:tcPr>
            <w:tcW w:w="3050" w:type="dxa"/>
            <w:vMerge/>
            <w:textDirection w:val="tbRl"/>
            <w:vAlign w:val="center"/>
          </w:tcPr>
          <w:p w14:paraId="06523D19"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1BFEA3B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الابتكار والتكيف ككل</w:t>
            </w:r>
          </w:p>
        </w:tc>
        <w:tc>
          <w:tcPr>
            <w:tcW w:w="1276" w:type="dxa"/>
            <w:shd w:val="clear" w:color="auto" w:fill="D9D9D9" w:themeFill="background1" w:themeFillShade="D9"/>
            <w:vAlign w:val="center"/>
          </w:tcPr>
          <w:p w14:paraId="12DBE087"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0.928</w:t>
            </w:r>
          </w:p>
        </w:tc>
      </w:tr>
      <w:tr w:rsidR="002874C7" w:rsidRPr="00545ABB" w14:paraId="73353A0B" w14:textId="77777777" w:rsidTr="005962D7">
        <w:trPr>
          <w:jc w:val="center"/>
        </w:trPr>
        <w:tc>
          <w:tcPr>
            <w:tcW w:w="3050" w:type="dxa"/>
            <w:vMerge w:val="restart"/>
            <w:vAlign w:val="center"/>
          </w:tcPr>
          <w:p w14:paraId="1E09237F"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رضا العملاء والنمو المؤسسي</w:t>
            </w:r>
          </w:p>
        </w:tc>
        <w:tc>
          <w:tcPr>
            <w:tcW w:w="4117" w:type="dxa"/>
          </w:tcPr>
          <w:p w14:paraId="5FA38AAA"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مستوى جيداً من رضا العملاء</w:t>
            </w:r>
          </w:p>
        </w:tc>
        <w:tc>
          <w:tcPr>
            <w:tcW w:w="1276" w:type="dxa"/>
            <w:vAlign w:val="center"/>
          </w:tcPr>
          <w:p w14:paraId="200B7932"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0.973</w:t>
            </w:r>
          </w:p>
        </w:tc>
      </w:tr>
      <w:tr w:rsidR="002874C7" w:rsidRPr="00545ABB" w14:paraId="3AC5250D" w14:textId="77777777" w:rsidTr="005962D7">
        <w:trPr>
          <w:jc w:val="center"/>
        </w:trPr>
        <w:tc>
          <w:tcPr>
            <w:tcW w:w="3050" w:type="dxa"/>
            <w:vMerge/>
            <w:textDirection w:val="tbRl"/>
            <w:vAlign w:val="center"/>
          </w:tcPr>
          <w:p w14:paraId="5C00B1C1"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21B01966"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تزداد قاعدة العملاء بشكل مستمر</w:t>
            </w:r>
          </w:p>
        </w:tc>
        <w:tc>
          <w:tcPr>
            <w:tcW w:w="1276" w:type="dxa"/>
            <w:vAlign w:val="center"/>
          </w:tcPr>
          <w:p w14:paraId="7BCB2130"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0.982</w:t>
            </w:r>
          </w:p>
        </w:tc>
      </w:tr>
      <w:tr w:rsidR="002874C7" w:rsidRPr="00545ABB" w14:paraId="2A73FFA3" w14:textId="77777777" w:rsidTr="005962D7">
        <w:trPr>
          <w:jc w:val="center"/>
        </w:trPr>
        <w:tc>
          <w:tcPr>
            <w:tcW w:w="3050" w:type="dxa"/>
            <w:vMerge/>
            <w:textDirection w:val="tbRl"/>
            <w:vAlign w:val="center"/>
          </w:tcPr>
          <w:p w14:paraId="382B2BE1"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6B3F2D81"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تتمتع الشركة بسمعة مهنية جيدة في السوق</w:t>
            </w:r>
          </w:p>
        </w:tc>
        <w:tc>
          <w:tcPr>
            <w:tcW w:w="1276" w:type="dxa"/>
            <w:vAlign w:val="center"/>
          </w:tcPr>
          <w:p w14:paraId="71C194BD"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0.949</w:t>
            </w:r>
          </w:p>
        </w:tc>
      </w:tr>
      <w:tr w:rsidR="002874C7" w:rsidRPr="00545ABB" w14:paraId="7CF567EF" w14:textId="77777777" w:rsidTr="005962D7">
        <w:trPr>
          <w:jc w:val="center"/>
        </w:trPr>
        <w:tc>
          <w:tcPr>
            <w:tcW w:w="3050" w:type="dxa"/>
            <w:vMerge/>
            <w:textDirection w:val="tbRl"/>
            <w:vAlign w:val="center"/>
          </w:tcPr>
          <w:p w14:paraId="3F22D620"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tcPr>
          <w:p w14:paraId="367D4F29"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نمواً إيجابياً في سوق الأمن السيبراني</w:t>
            </w:r>
          </w:p>
        </w:tc>
        <w:tc>
          <w:tcPr>
            <w:tcW w:w="1276" w:type="dxa"/>
            <w:vAlign w:val="center"/>
          </w:tcPr>
          <w:p w14:paraId="0052A0F4"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0.971</w:t>
            </w:r>
          </w:p>
        </w:tc>
      </w:tr>
      <w:tr w:rsidR="002874C7" w:rsidRPr="00545ABB" w14:paraId="37D6B9C7" w14:textId="77777777" w:rsidTr="005962D7">
        <w:trPr>
          <w:jc w:val="center"/>
        </w:trPr>
        <w:tc>
          <w:tcPr>
            <w:tcW w:w="3050" w:type="dxa"/>
            <w:vMerge/>
            <w:textDirection w:val="tbRl"/>
            <w:vAlign w:val="center"/>
          </w:tcPr>
          <w:p w14:paraId="6DA13DF9" w14:textId="77777777" w:rsidR="002874C7" w:rsidRPr="00545ABB" w:rsidRDefault="002874C7" w:rsidP="00022590">
            <w:pPr>
              <w:spacing w:line="360" w:lineRule="auto"/>
              <w:ind w:left="113" w:right="113"/>
              <w:jc w:val="center"/>
              <w:rPr>
                <w:rFonts w:ascii="Traditional Arabic" w:hAnsi="Traditional Arabic" w:cs="Traditional Arabic"/>
                <w:b/>
                <w:bCs/>
                <w:color w:val="000000" w:themeColor="text1"/>
                <w:rtl/>
                <w:lang w:bidi="ar-EG"/>
              </w:rPr>
            </w:pPr>
          </w:p>
        </w:tc>
        <w:tc>
          <w:tcPr>
            <w:tcW w:w="4117" w:type="dxa"/>
            <w:shd w:val="clear" w:color="auto" w:fill="D9D9D9" w:themeFill="background1" w:themeFillShade="D9"/>
            <w:vAlign w:val="center"/>
          </w:tcPr>
          <w:p w14:paraId="5DD37550" w14:textId="77777777" w:rsidR="002874C7" w:rsidRPr="00545ABB" w:rsidRDefault="002874C7" w:rsidP="00022590">
            <w:pPr>
              <w:spacing w:line="360" w:lineRule="auto"/>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رضا العملاء والنمو المؤسسي ككل</w:t>
            </w:r>
          </w:p>
        </w:tc>
        <w:tc>
          <w:tcPr>
            <w:tcW w:w="1276" w:type="dxa"/>
            <w:shd w:val="clear" w:color="auto" w:fill="D9D9D9" w:themeFill="background1" w:themeFillShade="D9"/>
            <w:vAlign w:val="center"/>
          </w:tcPr>
          <w:p w14:paraId="144861A5" w14:textId="77777777" w:rsidR="002874C7" w:rsidRPr="00545ABB" w:rsidRDefault="002874C7" w:rsidP="00022590">
            <w:pPr>
              <w:spacing w:line="360" w:lineRule="auto"/>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0.923</w:t>
            </w:r>
          </w:p>
        </w:tc>
      </w:tr>
    </w:tbl>
    <w:p w14:paraId="43A1E208"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40CF6142" w14:textId="77777777" w:rsidR="002874C7" w:rsidRPr="00545ABB" w:rsidRDefault="002874C7" w:rsidP="00022590">
      <w:pPr>
        <w:tabs>
          <w:tab w:val="left" w:pos="1921"/>
        </w:tabs>
        <w:spacing w:after="0" w:line="360" w:lineRule="auto"/>
        <w:jc w:val="both"/>
        <w:rPr>
          <w:rFonts w:ascii="Traditional Arabic" w:hAnsi="Traditional Arabic" w:cs="Traditional Arabic"/>
          <w:b/>
          <w:bCs/>
          <w:color w:val="000000" w:themeColor="text1"/>
          <w:sz w:val="28"/>
          <w:szCs w:val="28"/>
          <w:rtl/>
          <w:lang w:eastAsia="zh-CN"/>
        </w:rPr>
      </w:pPr>
      <w:r w:rsidRPr="00545ABB">
        <w:rPr>
          <w:rFonts w:ascii="Traditional Arabic" w:hAnsi="Traditional Arabic" w:cs="Traditional Arabic"/>
          <w:b/>
          <w:bCs/>
          <w:color w:val="000000" w:themeColor="text1"/>
          <w:sz w:val="28"/>
          <w:szCs w:val="28"/>
          <w:rtl/>
          <w:lang w:eastAsia="zh-CN"/>
        </w:rPr>
        <w:t>يوضح الجدول السابق أن:</w:t>
      </w:r>
    </w:p>
    <w:p w14:paraId="6ED2F3B2" w14:textId="77777777" w:rsidR="002874C7" w:rsidRPr="00545ABB" w:rsidRDefault="002874C7" w:rsidP="00022590">
      <w:pPr>
        <w:spacing w:after="0" w:line="360" w:lineRule="auto"/>
        <w:ind w:left="-57"/>
        <w:jc w:val="both"/>
        <w:rPr>
          <w:rFonts w:ascii="Traditional Arabic" w:hAnsi="Traditional Arabic" w:cs="Traditional Arabic"/>
          <w:b/>
          <w:bCs/>
          <w:color w:val="000000" w:themeColor="text1"/>
          <w:sz w:val="28"/>
          <w:szCs w:val="28"/>
          <w:rtl/>
        </w:rPr>
      </w:pPr>
      <w:r w:rsidRPr="00545ABB">
        <w:rPr>
          <w:rFonts w:ascii="Traditional Arabic" w:hAnsi="Traditional Arabic" w:cs="Traditional Arabic"/>
          <w:color w:val="000000" w:themeColor="text1"/>
          <w:sz w:val="28"/>
          <w:szCs w:val="28"/>
          <w:rtl/>
        </w:rPr>
        <w:t>معاملات الثبات للأبعاد تتمتع بدرجة عالية من الثبات، وبذلك يمكن الاعتماد على نتائجها وأصبحت الأداة في صورتها النهائية.</w:t>
      </w:r>
    </w:p>
    <w:p w14:paraId="0EA2A3AF" w14:textId="77777777" w:rsidR="000C2B44" w:rsidRPr="00545ABB" w:rsidRDefault="000C2B44" w:rsidP="00822283">
      <w:pPr>
        <w:pStyle w:val="Heading2"/>
        <w:bidi/>
        <w:spacing w:line="360" w:lineRule="auto"/>
        <w:rPr>
          <w:rFonts w:ascii="Traditional Arabic" w:hAnsi="Traditional Arabic" w:cs="Traditional Arabic"/>
          <w:b/>
          <w:bCs/>
          <w:color w:val="000000" w:themeColor="text1"/>
        </w:rPr>
      </w:pPr>
      <w:bookmarkStart w:id="141" w:name="_Toc242325294"/>
      <w:r w:rsidRPr="00545ABB">
        <w:rPr>
          <w:rFonts w:ascii="Traditional Arabic" w:hAnsi="Traditional Arabic" w:cs="Traditional Arabic"/>
          <w:b/>
          <w:bCs/>
          <w:color w:val="000000" w:themeColor="text1"/>
          <w:rtl/>
        </w:rPr>
        <w:lastRenderedPageBreak/>
        <w:t>خاتمة</w:t>
      </w:r>
      <w:bookmarkEnd w:id="141"/>
    </w:p>
    <w:p w14:paraId="106E28A0" w14:textId="77777777" w:rsidR="000C2B44" w:rsidRPr="00545ABB" w:rsidRDefault="000C2B44" w:rsidP="00E631DE">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تناول هذا الفصل الإجراءات المنهجية التي اعتمدت عليها الدراسة لتحقيق أهدافها واختبار فرضياتها، بدءًا من تحديد المنهج المستخدم ومجتمع الدراسة وعينتها، مرورًا بأدوات جمع البيانات ومتغيرات الدراسة وأبعادها، وانتهاءً بإجراءات التنفيذ والمعالجة الإحصائية</w:t>
      </w:r>
      <w:r w:rsidRPr="00545ABB">
        <w:rPr>
          <w:rFonts w:ascii="Traditional Arabic" w:hAnsi="Traditional Arabic" w:cs="Traditional Arabic"/>
          <w:b/>
          <w:bCs/>
          <w:color w:val="000000" w:themeColor="text1"/>
          <w:sz w:val="24"/>
          <w:szCs w:val="24"/>
        </w:rPr>
        <w:t>.</w:t>
      </w:r>
    </w:p>
    <w:p w14:paraId="6D193081" w14:textId="77777777" w:rsidR="000C2B44" w:rsidRPr="00545ABB" w:rsidRDefault="000C2B44" w:rsidP="00E631DE">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وقد اعتمدت الدراسة على المنهج الوصفي التحليلي، وتم اختيار عينة مؤسسية قصدية تمثلت في شركتين ناشئتين تعملان في مجال الأمن السيبراني في المملكة العربية السعودية، إلى جانب عينة بشرية بلغ عدد المشاركين فيها </w:t>
      </w:r>
      <w:r w:rsidRPr="00545ABB">
        <w:rPr>
          <w:rFonts w:ascii="Traditional Arabic" w:hAnsi="Traditional Arabic" w:cs="Traditional Arabic"/>
          <w:b/>
          <w:bCs/>
          <w:color w:val="000000" w:themeColor="text1"/>
          <w:sz w:val="24"/>
          <w:szCs w:val="24"/>
        </w:rPr>
        <w:t xml:space="preserve">(63) </w:t>
      </w:r>
      <w:r w:rsidRPr="00545ABB">
        <w:rPr>
          <w:rFonts w:ascii="Traditional Arabic" w:hAnsi="Traditional Arabic" w:cs="Traditional Arabic"/>
          <w:b/>
          <w:bCs/>
          <w:color w:val="000000" w:themeColor="text1"/>
          <w:sz w:val="24"/>
          <w:szCs w:val="24"/>
          <w:rtl/>
        </w:rPr>
        <w:t>مشاركًا من العاملين والمختصين ذوي العلاقة بمجال الدراسة</w:t>
      </w:r>
      <w:r w:rsidRPr="00545ABB">
        <w:rPr>
          <w:rFonts w:ascii="Traditional Arabic" w:hAnsi="Traditional Arabic" w:cs="Traditional Arabic"/>
          <w:b/>
          <w:bCs/>
          <w:color w:val="000000" w:themeColor="text1"/>
          <w:sz w:val="24"/>
          <w:szCs w:val="24"/>
        </w:rPr>
        <w:t>.</w:t>
      </w:r>
    </w:p>
    <w:p w14:paraId="7A66AF68" w14:textId="77777777" w:rsidR="000C2B44" w:rsidRPr="00545ABB" w:rsidRDefault="000C2B44" w:rsidP="00E631DE">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كما استخدمت الدراسة ثلاث أدوات رئيسة لجمع البيانات، تمثلت في الاستبانة، والمقابلات شبه المقننة، وتحليل الوثائق والتقارير</w:t>
      </w:r>
      <w:r w:rsidRPr="00545ABB">
        <w:rPr>
          <w:rFonts w:ascii="Traditional Arabic" w:hAnsi="Traditional Arabic" w:cs="Traditional Arabic"/>
          <w:b/>
          <w:bCs/>
          <w:color w:val="000000" w:themeColor="text1"/>
          <w:sz w:val="24"/>
          <w:szCs w:val="24"/>
        </w:rPr>
        <w:t xml:space="preserve">. </w:t>
      </w:r>
      <w:r w:rsidRPr="00545ABB">
        <w:rPr>
          <w:rFonts w:ascii="Traditional Arabic" w:hAnsi="Traditional Arabic" w:cs="Traditional Arabic"/>
          <w:b/>
          <w:bCs/>
          <w:color w:val="000000" w:themeColor="text1"/>
          <w:sz w:val="24"/>
          <w:szCs w:val="24"/>
          <w:rtl/>
        </w:rPr>
        <w:t xml:space="preserve">وتكونت أداة القياس الكمية من </w:t>
      </w:r>
      <w:r w:rsidRPr="00545ABB">
        <w:rPr>
          <w:rFonts w:ascii="Traditional Arabic" w:hAnsi="Traditional Arabic" w:cs="Traditional Arabic"/>
          <w:b/>
          <w:bCs/>
          <w:color w:val="000000" w:themeColor="text1"/>
          <w:sz w:val="24"/>
          <w:szCs w:val="24"/>
        </w:rPr>
        <w:t xml:space="preserve">(56) </w:t>
      </w:r>
      <w:r w:rsidRPr="00545ABB">
        <w:rPr>
          <w:rFonts w:ascii="Traditional Arabic" w:hAnsi="Traditional Arabic" w:cs="Traditional Arabic"/>
          <w:b/>
          <w:bCs/>
          <w:color w:val="000000" w:themeColor="text1"/>
          <w:sz w:val="24"/>
          <w:szCs w:val="24"/>
          <w:rtl/>
        </w:rPr>
        <w:t>عبارة موزعة على متغيرات الدراسة الرئيسة، وهي: الحوكمة الفعالة بوصفها المتغير المستقل، والاستدامة المؤسسية والنجاح المؤسسي بوصفهما المتغيرين التابعين</w:t>
      </w:r>
      <w:r w:rsidRPr="00545ABB">
        <w:rPr>
          <w:rFonts w:ascii="Traditional Arabic" w:hAnsi="Traditional Arabic" w:cs="Traditional Arabic"/>
          <w:b/>
          <w:bCs/>
          <w:color w:val="000000" w:themeColor="text1"/>
          <w:sz w:val="24"/>
          <w:szCs w:val="24"/>
        </w:rPr>
        <w:t>.</w:t>
      </w:r>
    </w:p>
    <w:p w14:paraId="5064345F" w14:textId="77777777" w:rsidR="000C2B44" w:rsidRPr="00545ABB" w:rsidRDefault="000C2B44" w:rsidP="00E631DE">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 xml:space="preserve">وقد تم التحقق من صدق أداة الدراسة وثباتها من خلال الإجراءات المنهجية والإحصائية المناسبة، ثم تمت معالجة البيانات الكمية باستخدام برنامج </w:t>
      </w:r>
      <w:r w:rsidRPr="00545ABB">
        <w:rPr>
          <w:rFonts w:ascii="Traditional Arabic" w:hAnsi="Traditional Arabic" w:cs="Traditional Arabic"/>
          <w:b/>
          <w:bCs/>
          <w:color w:val="000000" w:themeColor="text1"/>
          <w:sz w:val="24"/>
          <w:szCs w:val="24"/>
        </w:rPr>
        <w:t>SPSS</w:t>
      </w:r>
      <w:r w:rsidRPr="00545ABB">
        <w:rPr>
          <w:rFonts w:ascii="Traditional Arabic" w:hAnsi="Traditional Arabic" w:cs="Traditional Arabic"/>
          <w:b/>
          <w:bCs/>
          <w:color w:val="000000" w:themeColor="text1"/>
          <w:sz w:val="24"/>
          <w:szCs w:val="24"/>
          <w:rtl/>
        </w:rPr>
        <w:t>، من خلال مجموعة من الأساليب الإحصائية التي شملت الإحصاءات الوصفية، ومعاملات الارتباط، وتحليل الانحدار، واختبارات الفروق، إلى جانب تحليل البيانات النوعية المستخلصة من المقابلات باستخدام التحليل الموضوعي</w:t>
      </w:r>
      <w:r w:rsidRPr="00545ABB">
        <w:rPr>
          <w:rFonts w:ascii="Traditional Arabic" w:hAnsi="Traditional Arabic" w:cs="Traditional Arabic"/>
          <w:b/>
          <w:bCs/>
          <w:color w:val="000000" w:themeColor="text1"/>
          <w:sz w:val="24"/>
          <w:szCs w:val="24"/>
        </w:rPr>
        <w:t>.</w:t>
      </w:r>
    </w:p>
    <w:p w14:paraId="2F3A09A3" w14:textId="77777777" w:rsidR="000C2B44" w:rsidRPr="00545ABB" w:rsidRDefault="000C2B44" w:rsidP="00E631DE">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tl/>
        </w:rPr>
        <w:t>وبذلك يوفر هذا الفصل الأساس المنهجي والتطبيقي اللازم للانتقال إلى الفصل الرابع، الذي يتناول عرض نتائج الدراسة وتحليلها واختبار فرضياتها، وتفسير العلاقات بين متغيراتها في ضوء البيانات التي تم جمعها من عينة الدراسة</w:t>
      </w:r>
      <w:r w:rsidRPr="00545ABB">
        <w:rPr>
          <w:rFonts w:ascii="Traditional Arabic" w:hAnsi="Traditional Arabic" w:cs="Traditional Arabic"/>
          <w:b/>
          <w:bCs/>
          <w:color w:val="000000" w:themeColor="text1"/>
          <w:sz w:val="24"/>
          <w:szCs w:val="24"/>
        </w:rPr>
        <w:t>.</w:t>
      </w:r>
    </w:p>
    <w:p w14:paraId="04EFCFC7" w14:textId="77777777" w:rsidR="00EF5263" w:rsidRPr="00545ABB" w:rsidRDefault="00EF5263" w:rsidP="00022590">
      <w:pPr>
        <w:spacing w:before="100" w:beforeAutospacing="1" w:after="0" w:line="360" w:lineRule="auto"/>
        <w:ind w:left="360"/>
        <w:jc w:val="both"/>
        <w:rPr>
          <w:rFonts w:ascii="Traditional Arabic" w:eastAsia="Times New Roman" w:hAnsi="Traditional Arabic" w:cs="Traditional Arabic"/>
          <w:color w:val="000000" w:themeColor="text1"/>
          <w:sz w:val="28"/>
          <w:szCs w:val="28"/>
          <w:rtl/>
        </w:rPr>
      </w:pPr>
    </w:p>
    <w:p w14:paraId="10E7C96E" w14:textId="77777777" w:rsidR="00FE45D5" w:rsidRPr="00545ABB" w:rsidRDefault="00FE45D5" w:rsidP="00022590">
      <w:pPr>
        <w:spacing w:before="100" w:beforeAutospacing="1" w:after="0" w:line="360" w:lineRule="auto"/>
        <w:ind w:firstLine="598"/>
        <w:jc w:val="both"/>
        <w:rPr>
          <w:rFonts w:ascii="Traditional Arabic" w:eastAsia="Times New Roman" w:hAnsi="Traditional Arabic" w:cs="Traditional Arabic"/>
          <w:color w:val="000000" w:themeColor="text1"/>
          <w:sz w:val="28"/>
          <w:szCs w:val="28"/>
        </w:rPr>
      </w:pPr>
    </w:p>
    <w:p w14:paraId="64F9A25A" w14:textId="77777777" w:rsidR="00FE45D5" w:rsidRPr="00545ABB" w:rsidRDefault="00FE45D5" w:rsidP="00022590">
      <w:pPr>
        <w:spacing w:after="0" w:line="360" w:lineRule="auto"/>
        <w:rPr>
          <w:rFonts w:ascii="Traditional Arabic" w:eastAsia="Times New Roman" w:hAnsi="Traditional Arabic" w:cs="Traditional Arabic"/>
          <w:b/>
          <w:bCs/>
          <w:color w:val="000000" w:themeColor="text1"/>
          <w:sz w:val="32"/>
          <w:szCs w:val="32"/>
          <w:rtl/>
        </w:rPr>
      </w:pPr>
    </w:p>
    <w:p w14:paraId="57D64969" w14:textId="77777777" w:rsidR="00FE45D5" w:rsidRPr="00545ABB" w:rsidRDefault="00FE45D5" w:rsidP="00022590">
      <w:pPr>
        <w:spacing w:after="0" w:line="360" w:lineRule="auto"/>
        <w:rPr>
          <w:rFonts w:ascii="Traditional Arabic" w:eastAsia="Times New Roman" w:hAnsi="Traditional Arabic" w:cs="Traditional Arabic"/>
          <w:b/>
          <w:bCs/>
          <w:color w:val="000000" w:themeColor="text1"/>
          <w:sz w:val="32"/>
          <w:szCs w:val="32"/>
          <w:rtl/>
        </w:rPr>
      </w:pPr>
    </w:p>
    <w:p w14:paraId="52CB1E81" w14:textId="77777777" w:rsidR="00FE45D5" w:rsidRPr="00545ABB" w:rsidRDefault="00FE45D5" w:rsidP="00022590">
      <w:pPr>
        <w:spacing w:after="0" w:line="360" w:lineRule="auto"/>
        <w:rPr>
          <w:rFonts w:ascii="Traditional Arabic" w:eastAsia="Times New Roman" w:hAnsi="Traditional Arabic" w:cs="Traditional Arabic"/>
          <w:b/>
          <w:bCs/>
          <w:color w:val="000000" w:themeColor="text1"/>
          <w:sz w:val="32"/>
          <w:szCs w:val="32"/>
          <w:rtl/>
        </w:rPr>
      </w:pPr>
    </w:p>
    <w:p w14:paraId="250844C7" w14:textId="2870EF55" w:rsidR="00FE45D5" w:rsidRPr="00545ABB" w:rsidRDefault="00FE45D5" w:rsidP="00022590">
      <w:pPr>
        <w:spacing w:after="0" w:line="360" w:lineRule="auto"/>
        <w:rPr>
          <w:rFonts w:ascii="Traditional Arabic" w:eastAsia="Times New Roman" w:hAnsi="Traditional Arabic" w:cs="Traditional Arabic"/>
          <w:b/>
          <w:bCs/>
          <w:color w:val="000000" w:themeColor="text1"/>
          <w:sz w:val="32"/>
          <w:szCs w:val="32"/>
          <w:rtl/>
        </w:rPr>
      </w:pPr>
    </w:p>
    <w:p w14:paraId="736F9D40" w14:textId="5A1DE2CE" w:rsidR="002874C7" w:rsidRPr="00545ABB" w:rsidRDefault="002874C7" w:rsidP="00022590">
      <w:pPr>
        <w:bidi w:val="0"/>
        <w:spacing w:after="0" w:line="360" w:lineRule="auto"/>
        <w:rPr>
          <w:rFonts w:ascii="Traditional Arabic" w:hAnsi="Traditional Arabic" w:cs="Traditional Arabic" w:hint="cs"/>
          <w:b/>
          <w:bCs/>
          <w:color w:val="000000" w:themeColor="text1"/>
          <w:sz w:val="28"/>
          <w:szCs w:val="28"/>
          <w:rtl/>
        </w:rPr>
      </w:pPr>
    </w:p>
    <w:p w14:paraId="684B07BD" w14:textId="50DF15E4" w:rsidR="002874C7" w:rsidRPr="00545ABB" w:rsidRDefault="002874C7" w:rsidP="002174D5">
      <w:pPr>
        <w:pStyle w:val="Heading1"/>
        <w:bidi/>
        <w:jc w:val="center"/>
        <w:rPr>
          <w:rFonts w:ascii="Traditional Arabic" w:hAnsi="Traditional Arabic" w:cs="Traditional Arabic"/>
          <w:color w:val="000000" w:themeColor="text1"/>
          <w:sz w:val="32"/>
          <w:szCs w:val="32"/>
          <w:rtl/>
        </w:rPr>
      </w:pPr>
      <w:bookmarkStart w:id="142" w:name="_Toc242325295"/>
      <w:r w:rsidRPr="00545ABB">
        <w:rPr>
          <w:rFonts w:ascii="Traditional Arabic" w:hAnsi="Traditional Arabic" w:cs="Traditional Arabic"/>
          <w:color w:val="000000" w:themeColor="text1"/>
          <w:sz w:val="32"/>
          <w:szCs w:val="32"/>
          <w:rtl/>
        </w:rPr>
        <w:t>الفصل الرابع</w:t>
      </w:r>
      <w:bookmarkEnd w:id="142"/>
    </w:p>
    <w:p w14:paraId="2174D83F" w14:textId="3B0BF9A7" w:rsidR="002874C7" w:rsidRPr="00545ABB" w:rsidRDefault="002874C7" w:rsidP="002174D5">
      <w:pPr>
        <w:pStyle w:val="Heading1"/>
        <w:bidi/>
        <w:jc w:val="center"/>
        <w:rPr>
          <w:rFonts w:ascii="Traditional Arabic" w:hAnsi="Traditional Arabic" w:cs="Traditional Arabic"/>
          <w:color w:val="000000" w:themeColor="text1"/>
          <w:sz w:val="32"/>
          <w:szCs w:val="32"/>
          <w:rtl/>
        </w:rPr>
      </w:pPr>
      <w:bookmarkStart w:id="143" w:name="_Toc242325296"/>
      <w:r w:rsidRPr="00545ABB">
        <w:rPr>
          <w:rFonts w:ascii="Traditional Arabic" w:hAnsi="Traditional Arabic" w:cs="Traditional Arabic"/>
          <w:color w:val="000000" w:themeColor="text1"/>
          <w:sz w:val="32"/>
          <w:szCs w:val="32"/>
          <w:rtl/>
        </w:rPr>
        <w:t>نتائج الدراسة واختبار الفروض</w:t>
      </w:r>
      <w:bookmarkEnd w:id="143"/>
    </w:p>
    <w:p w14:paraId="1A98B9A9" w14:textId="77777777" w:rsidR="002874C7" w:rsidRPr="00545ABB" w:rsidRDefault="002874C7" w:rsidP="00022590">
      <w:pPr>
        <w:shd w:val="clear" w:color="auto" w:fill="FFFFFF"/>
        <w:spacing w:before="240" w:after="0" w:line="360" w:lineRule="auto"/>
        <w:jc w:val="both"/>
        <w:rPr>
          <w:rFonts w:ascii="Traditional Arabic" w:eastAsia="Times New Roman" w:hAnsi="Traditional Arabic" w:cs="Traditional Arabic"/>
          <w:b/>
          <w:bCs/>
          <w:color w:val="000000" w:themeColor="text1"/>
          <w:sz w:val="36"/>
          <w:szCs w:val="36"/>
          <w:rtl/>
        </w:rPr>
      </w:pPr>
    </w:p>
    <w:p w14:paraId="70175AE3" w14:textId="479EFE1F" w:rsidR="002874C7" w:rsidRPr="00545ABB" w:rsidRDefault="002874C7" w:rsidP="00D95153">
      <w:pPr>
        <w:pStyle w:val="ListParagraph"/>
        <w:numPr>
          <w:ilvl w:val="0"/>
          <w:numId w:val="20"/>
        </w:numPr>
        <w:bidi/>
        <w:spacing w:before="240" w:after="0" w:line="360" w:lineRule="auto"/>
        <w:rPr>
          <w:rFonts w:ascii="Traditional Arabic" w:eastAsia="Times New Roman" w:hAnsi="Traditional Arabic" w:cs="Traditional Arabic"/>
          <w:b/>
          <w:bCs/>
          <w:color w:val="000000" w:themeColor="text1"/>
          <w:sz w:val="28"/>
          <w:szCs w:val="28"/>
          <w:rtl/>
        </w:rPr>
      </w:pPr>
      <w:r w:rsidRPr="00545ABB">
        <w:rPr>
          <w:rFonts w:ascii="Traditional Arabic" w:eastAsia="Times New Roman" w:hAnsi="Traditional Arabic" w:cs="Traditional Arabic"/>
          <w:b/>
          <w:bCs/>
          <w:color w:val="000000" w:themeColor="text1"/>
          <w:sz w:val="32"/>
          <w:szCs w:val="32"/>
          <w:rtl/>
        </w:rPr>
        <w:t>مقدمة</w:t>
      </w:r>
    </w:p>
    <w:p w14:paraId="2628364A" w14:textId="3D92DE7F" w:rsidR="002874C7" w:rsidRPr="00545ABB" w:rsidRDefault="002874C7" w:rsidP="00D95153">
      <w:pPr>
        <w:pStyle w:val="ListParagraph"/>
        <w:numPr>
          <w:ilvl w:val="0"/>
          <w:numId w:val="20"/>
        </w:numPr>
        <w:bidi/>
        <w:spacing w:before="240" w:after="0" w:line="360" w:lineRule="auto"/>
        <w:rPr>
          <w:rFonts w:ascii="Traditional Arabic" w:eastAsia="Times New Roman" w:hAnsi="Traditional Arabic" w:cs="Traditional Arabic"/>
          <w:b/>
          <w:bCs/>
          <w:color w:val="000000" w:themeColor="text1"/>
          <w:sz w:val="32"/>
          <w:szCs w:val="32"/>
        </w:rPr>
      </w:pPr>
      <w:bookmarkStart w:id="144" w:name="_Hlk236254782"/>
      <w:r w:rsidRPr="00545ABB">
        <w:rPr>
          <w:rFonts w:ascii="Traditional Arabic" w:eastAsia="Times New Roman" w:hAnsi="Traditional Arabic" w:cs="Traditional Arabic"/>
          <w:b/>
          <w:bCs/>
          <w:color w:val="000000" w:themeColor="text1"/>
          <w:sz w:val="32"/>
          <w:szCs w:val="32"/>
          <w:rtl/>
        </w:rPr>
        <w:t>الإحصاء والتحليل الوصفي</w:t>
      </w:r>
    </w:p>
    <w:p w14:paraId="6FB787D3" w14:textId="72BD1A02" w:rsidR="002874C7" w:rsidRPr="00545ABB" w:rsidRDefault="002874C7" w:rsidP="00D95153">
      <w:pPr>
        <w:pStyle w:val="ListParagraph"/>
        <w:numPr>
          <w:ilvl w:val="0"/>
          <w:numId w:val="20"/>
        </w:numPr>
        <w:bidi/>
        <w:spacing w:before="240" w:after="0" w:line="360" w:lineRule="auto"/>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الدلالة على الفرضيات</w:t>
      </w:r>
    </w:p>
    <w:p w14:paraId="6EE2ACC6" w14:textId="2E779B70" w:rsidR="002874C7" w:rsidRPr="00545ABB" w:rsidRDefault="002874C7" w:rsidP="00D95153">
      <w:pPr>
        <w:pStyle w:val="ListParagraph"/>
        <w:numPr>
          <w:ilvl w:val="0"/>
          <w:numId w:val="20"/>
        </w:numPr>
        <w:bidi/>
        <w:spacing w:before="240" w:after="0" w:line="360" w:lineRule="auto"/>
        <w:rPr>
          <w:rFonts w:ascii="Traditional Arabic" w:eastAsia="Times New Roman" w:hAnsi="Traditional Arabic" w:cs="Traditional Arabic"/>
          <w:b/>
          <w:bCs/>
          <w:color w:val="000000" w:themeColor="text1"/>
          <w:sz w:val="32"/>
          <w:szCs w:val="32"/>
          <w:rtl/>
        </w:rPr>
      </w:pPr>
      <w:r w:rsidRPr="00545ABB">
        <w:rPr>
          <w:rFonts w:ascii="Traditional Arabic" w:eastAsia="Times New Roman" w:hAnsi="Traditional Arabic" w:cs="Traditional Arabic"/>
          <w:b/>
          <w:bCs/>
          <w:color w:val="000000" w:themeColor="text1"/>
          <w:sz w:val="32"/>
          <w:szCs w:val="32"/>
          <w:rtl/>
        </w:rPr>
        <w:t>تلخيص نتائج الفصل</w:t>
      </w:r>
    </w:p>
    <w:p w14:paraId="774AD7BB" w14:textId="4B4DE1E1" w:rsidR="00EF5263" w:rsidRPr="00545ABB" w:rsidRDefault="00EF5263" w:rsidP="00D95153">
      <w:pPr>
        <w:pStyle w:val="ListParagraph"/>
        <w:numPr>
          <w:ilvl w:val="0"/>
          <w:numId w:val="20"/>
        </w:numPr>
        <w:bidi/>
        <w:spacing w:before="240" w:after="0" w:line="360" w:lineRule="auto"/>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خاتمة</w:t>
      </w:r>
    </w:p>
    <w:p w14:paraId="4EE0DE13" w14:textId="77777777" w:rsidR="002874C7" w:rsidRPr="00545ABB" w:rsidRDefault="002874C7" w:rsidP="00022590">
      <w:pPr>
        <w:bidi w:val="0"/>
        <w:spacing w:after="0" w:line="360" w:lineRule="auto"/>
        <w:rPr>
          <w:rFonts w:ascii="Traditional Arabic" w:hAnsi="Traditional Arabic" w:cs="Traditional Arabic"/>
          <w:b/>
          <w:bCs/>
          <w:color w:val="000000" w:themeColor="text1"/>
          <w:sz w:val="36"/>
          <w:szCs w:val="36"/>
          <w:rtl/>
        </w:rPr>
      </w:pPr>
      <w:r w:rsidRPr="00545ABB">
        <w:rPr>
          <w:rFonts w:ascii="Traditional Arabic" w:hAnsi="Traditional Arabic" w:cs="Traditional Arabic"/>
          <w:b/>
          <w:bCs/>
          <w:color w:val="000000" w:themeColor="text1"/>
          <w:sz w:val="36"/>
          <w:szCs w:val="36"/>
          <w:rtl/>
        </w:rPr>
        <w:br w:type="page"/>
      </w:r>
    </w:p>
    <w:p w14:paraId="1BF09A63" w14:textId="221142CA" w:rsidR="002874C7" w:rsidRPr="00545ABB" w:rsidRDefault="002874C7" w:rsidP="002174D5">
      <w:pPr>
        <w:pStyle w:val="Heading2"/>
        <w:bidi/>
        <w:rPr>
          <w:rFonts w:ascii="Traditional Arabic" w:hAnsi="Traditional Arabic" w:cs="Traditional Arabic"/>
          <w:color w:val="000000" w:themeColor="text1"/>
          <w:rtl/>
        </w:rPr>
      </w:pPr>
      <w:bookmarkStart w:id="145" w:name="_Toc242325297"/>
      <w:bookmarkEnd w:id="144"/>
      <w:r w:rsidRPr="00545ABB">
        <w:rPr>
          <w:rFonts w:ascii="Traditional Arabic" w:hAnsi="Traditional Arabic" w:cs="Traditional Arabic"/>
          <w:color w:val="000000" w:themeColor="text1"/>
          <w:rtl/>
        </w:rPr>
        <w:lastRenderedPageBreak/>
        <w:t>مقدمة</w:t>
      </w:r>
      <w:bookmarkEnd w:id="145"/>
    </w:p>
    <w:p w14:paraId="785F7E6F" w14:textId="77777777" w:rsidR="002874C7" w:rsidRPr="00545ABB" w:rsidRDefault="002874C7" w:rsidP="00022590">
      <w:pPr>
        <w:spacing w:after="0" w:line="360" w:lineRule="auto"/>
        <w:ind w:firstLine="72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يتناول هذا الفصل عرضًا تفصيليًا لنتائج التحليل الإحصائي للبيانات التي تم جمعها من خلال أداة الدراسة (الاستبانة)، والتي صُممت لقياس أثر الحوكمة الفعالة بأبعادها المختلفة على تحقيق الاستدامة المؤسسية والنجاح المؤسسي في شركات الأمن السيبراني الناشئة في المملكة العربية السعودية</w:t>
      </w:r>
      <w:r w:rsidRPr="00545ABB">
        <w:rPr>
          <w:rFonts w:ascii="Traditional Arabic" w:hAnsi="Traditional Arabic" w:cs="Traditional Arabic"/>
          <w:color w:val="000000" w:themeColor="text1"/>
          <w:sz w:val="28"/>
          <w:szCs w:val="28"/>
          <w:lang w:bidi="ar-EG"/>
        </w:rPr>
        <w:t>.</w:t>
      </w:r>
    </w:p>
    <w:p w14:paraId="2AAD239F" w14:textId="77777777" w:rsidR="00E13BD7" w:rsidRPr="00545ABB" w:rsidRDefault="00E13BD7" w:rsidP="00022590">
      <w:pPr>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وقد تم توزيع الاستبانة على عينة مكونة من</w:t>
      </w:r>
      <w:r w:rsidRPr="00545ABB">
        <w:rPr>
          <w:rFonts w:ascii="Traditional Arabic" w:hAnsi="Traditional Arabic" w:cs="Traditional Arabic"/>
          <w:color w:val="000000" w:themeColor="text1"/>
          <w:sz w:val="28"/>
          <w:szCs w:val="28"/>
        </w:rPr>
        <w:t xml:space="preserve"> (63) </w:t>
      </w:r>
      <w:r w:rsidRPr="00545ABB">
        <w:rPr>
          <w:rFonts w:ascii="Traditional Arabic" w:hAnsi="Traditional Arabic" w:cs="Traditional Arabic"/>
          <w:color w:val="000000" w:themeColor="text1"/>
          <w:sz w:val="28"/>
          <w:szCs w:val="28"/>
          <w:rtl/>
        </w:rPr>
        <w:t>مشاركًا من العاملين والمختصين في مجال الأمن السيبراني، مع مراعاة التنوع في الخصائص الديموغرافية للمشاركين من حيث الجنس، والعمر، والمؤهل العلمي، وسنوات الخبرة، والمسمى الوظيفي، بما يسهم في توفير تنوع مناسب في وجهات النظر المرتبطة بمتغيرات الدراسة</w:t>
      </w:r>
      <w:r w:rsidRPr="00545ABB">
        <w:rPr>
          <w:rFonts w:ascii="Traditional Arabic" w:hAnsi="Traditional Arabic" w:cs="Traditional Arabic"/>
          <w:color w:val="000000" w:themeColor="text1"/>
          <w:sz w:val="28"/>
          <w:szCs w:val="28"/>
        </w:rPr>
        <w:t>.</w:t>
      </w:r>
    </w:p>
    <w:p w14:paraId="603E715F" w14:textId="09660A7D" w:rsidR="002874C7" w:rsidRPr="00545ABB" w:rsidRDefault="002874C7" w:rsidP="00022590">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واعتمدت الدراسة على مقياس ليكرت الخماسي لقياس استجابات أفراد العينة، حيث تراوحت الإجابات بين (1) أعارض بشدة و(5) أوافق بشدة، وذلك بهدف قياس اتجاهات المبحوثين بدقة نحو عبارات الاستبانة المتعلقة بمتغيرات الدراسة</w:t>
      </w:r>
      <w:r w:rsidRPr="00545ABB">
        <w:rPr>
          <w:rFonts w:ascii="Traditional Arabic" w:hAnsi="Traditional Arabic" w:cs="Traditional Arabic"/>
          <w:color w:val="000000" w:themeColor="text1"/>
          <w:sz w:val="28"/>
          <w:szCs w:val="28"/>
          <w:lang w:bidi="ar-EG"/>
        </w:rPr>
        <w:t>.</w:t>
      </w:r>
    </w:p>
    <w:p w14:paraId="569034A9"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 xml:space="preserve">وقد تم تحليل البيانات باستخدام مجموعة من </w:t>
      </w:r>
      <w:r w:rsidRPr="00545ABB">
        <w:rPr>
          <w:rFonts w:ascii="Traditional Arabic" w:hAnsi="Traditional Arabic" w:cs="Traditional Arabic"/>
          <w:color w:val="000000" w:themeColor="text1"/>
          <w:sz w:val="28"/>
          <w:szCs w:val="28"/>
          <w:rtl/>
          <w:lang w:bidi="ar-EG"/>
        </w:rPr>
        <w:t>الأساليب</w:t>
      </w:r>
      <w:r w:rsidRPr="00545ABB">
        <w:rPr>
          <w:rFonts w:ascii="Traditional Arabic" w:hAnsi="Traditional Arabic" w:cs="Traditional Arabic"/>
          <w:color w:val="000000" w:themeColor="text1"/>
          <w:sz w:val="28"/>
          <w:szCs w:val="28"/>
          <w:rtl/>
        </w:rPr>
        <w:t xml:space="preserve"> الإحصائية المناسبة لطبيعة الدراسة، وذلك من خلال استخدام برنامج الحزم الإحصائية للعلوم الاجتماعية</w:t>
      </w:r>
      <w:r w:rsidRPr="00545ABB">
        <w:rPr>
          <w:rFonts w:ascii="Traditional Arabic" w:hAnsi="Traditional Arabic" w:cs="Traditional Arabic"/>
          <w:color w:val="000000" w:themeColor="text1"/>
          <w:sz w:val="28"/>
          <w:szCs w:val="28"/>
          <w:lang w:bidi="ar-EG"/>
        </w:rPr>
        <w:t xml:space="preserve"> (SPSS)</w:t>
      </w:r>
      <w:r w:rsidRPr="00545ABB">
        <w:rPr>
          <w:rFonts w:ascii="Traditional Arabic" w:hAnsi="Traditional Arabic" w:cs="Traditional Arabic"/>
          <w:color w:val="000000" w:themeColor="text1"/>
          <w:sz w:val="28"/>
          <w:szCs w:val="28"/>
          <w:rtl/>
        </w:rPr>
        <w:t>، حيث شمل التحليل ما يلي</w:t>
      </w:r>
      <w:r w:rsidRPr="00545ABB">
        <w:rPr>
          <w:rFonts w:ascii="Traditional Arabic" w:hAnsi="Traditional Arabic" w:cs="Traditional Arabic"/>
          <w:color w:val="000000" w:themeColor="text1"/>
          <w:sz w:val="28"/>
          <w:szCs w:val="28"/>
          <w:lang w:bidi="ar-EG"/>
        </w:rPr>
        <w:t>:</w:t>
      </w:r>
    </w:p>
    <w:p w14:paraId="75411E7E" w14:textId="77777777" w:rsidR="002874C7" w:rsidRPr="00545ABB" w:rsidRDefault="002874C7" w:rsidP="00D95153">
      <w:pPr>
        <w:numPr>
          <w:ilvl w:val="0"/>
          <w:numId w:val="5"/>
        </w:num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الإحصاءات الوصفية (المتوسطات الحسابية، والانحرافات المعيارية) لوصف استجابات أفراد العينة</w:t>
      </w:r>
      <w:r w:rsidRPr="00545ABB">
        <w:rPr>
          <w:rFonts w:ascii="Traditional Arabic" w:hAnsi="Traditional Arabic" w:cs="Traditional Arabic"/>
          <w:color w:val="000000" w:themeColor="text1"/>
          <w:sz w:val="28"/>
          <w:szCs w:val="28"/>
          <w:lang w:bidi="ar-EG"/>
        </w:rPr>
        <w:t>.</w:t>
      </w:r>
    </w:p>
    <w:p w14:paraId="5E3BC594" w14:textId="77777777" w:rsidR="002874C7" w:rsidRPr="00545ABB" w:rsidRDefault="002874C7" w:rsidP="00D95153">
      <w:pPr>
        <w:numPr>
          <w:ilvl w:val="0"/>
          <w:numId w:val="5"/>
        </w:num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اختبار الثبات (معامل كرو نباخ ألفا) للتحقق من مدى اتساق أداة الدراسة</w:t>
      </w:r>
      <w:r w:rsidRPr="00545ABB">
        <w:rPr>
          <w:rFonts w:ascii="Traditional Arabic" w:hAnsi="Traditional Arabic" w:cs="Traditional Arabic"/>
          <w:color w:val="000000" w:themeColor="text1"/>
          <w:sz w:val="28"/>
          <w:szCs w:val="28"/>
          <w:lang w:bidi="ar-EG"/>
        </w:rPr>
        <w:t>.</w:t>
      </w:r>
    </w:p>
    <w:p w14:paraId="361797B5" w14:textId="77777777" w:rsidR="002874C7" w:rsidRPr="00545ABB" w:rsidRDefault="002874C7" w:rsidP="00D95153">
      <w:pPr>
        <w:numPr>
          <w:ilvl w:val="0"/>
          <w:numId w:val="5"/>
        </w:num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تحليل الارتباط</w:t>
      </w:r>
      <w:r w:rsidRPr="00545ABB">
        <w:rPr>
          <w:rFonts w:ascii="Traditional Arabic" w:hAnsi="Traditional Arabic" w:cs="Traditional Arabic"/>
          <w:color w:val="000000" w:themeColor="text1"/>
          <w:sz w:val="28"/>
          <w:szCs w:val="28"/>
          <w:lang w:bidi="ar-EG"/>
        </w:rPr>
        <w:t xml:space="preserve"> (Correlation Analysis) </w:t>
      </w:r>
      <w:r w:rsidRPr="00545ABB">
        <w:rPr>
          <w:rFonts w:ascii="Traditional Arabic" w:hAnsi="Traditional Arabic" w:cs="Traditional Arabic"/>
          <w:color w:val="000000" w:themeColor="text1"/>
          <w:sz w:val="28"/>
          <w:szCs w:val="28"/>
          <w:rtl/>
        </w:rPr>
        <w:t>لقياس قوة واتجاه العلاقة بين متغيرات الدراسة</w:t>
      </w:r>
      <w:r w:rsidRPr="00545ABB">
        <w:rPr>
          <w:rFonts w:ascii="Traditional Arabic" w:hAnsi="Traditional Arabic" w:cs="Traditional Arabic"/>
          <w:color w:val="000000" w:themeColor="text1"/>
          <w:sz w:val="28"/>
          <w:szCs w:val="28"/>
          <w:lang w:bidi="ar-EG"/>
        </w:rPr>
        <w:t>.</w:t>
      </w:r>
    </w:p>
    <w:p w14:paraId="4223C588" w14:textId="77777777" w:rsidR="002874C7" w:rsidRPr="00545ABB" w:rsidRDefault="002874C7" w:rsidP="00D95153">
      <w:pPr>
        <w:numPr>
          <w:ilvl w:val="0"/>
          <w:numId w:val="5"/>
        </w:num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تحليل الانحدار</w:t>
      </w:r>
      <w:r w:rsidRPr="00545ABB">
        <w:rPr>
          <w:rFonts w:ascii="Traditional Arabic" w:hAnsi="Traditional Arabic" w:cs="Traditional Arabic"/>
          <w:color w:val="000000" w:themeColor="text1"/>
          <w:sz w:val="28"/>
          <w:szCs w:val="28"/>
          <w:lang w:bidi="ar-EG"/>
        </w:rPr>
        <w:t xml:space="preserve"> (Regression Analysis) </w:t>
      </w:r>
      <w:r w:rsidRPr="00545ABB">
        <w:rPr>
          <w:rFonts w:ascii="Traditional Arabic" w:hAnsi="Traditional Arabic" w:cs="Traditional Arabic"/>
          <w:color w:val="000000" w:themeColor="text1"/>
          <w:sz w:val="28"/>
          <w:szCs w:val="28"/>
          <w:rtl/>
        </w:rPr>
        <w:t>لاختبار أثر الحوكمة الفعالة على كل من الاستدامة المؤسسية والنجاح المؤسسي</w:t>
      </w:r>
      <w:r w:rsidRPr="00545ABB">
        <w:rPr>
          <w:rFonts w:ascii="Traditional Arabic" w:hAnsi="Traditional Arabic" w:cs="Traditional Arabic"/>
          <w:color w:val="000000" w:themeColor="text1"/>
          <w:sz w:val="28"/>
          <w:szCs w:val="28"/>
          <w:lang w:bidi="ar-EG"/>
        </w:rPr>
        <w:t>.</w:t>
      </w:r>
    </w:p>
    <w:p w14:paraId="715DD6E2" w14:textId="77777777" w:rsidR="002874C7" w:rsidRPr="00545ABB" w:rsidRDefault="002874C7" w:rsidP="00022590">
      <w:pPr>
        <w:spacing w:after="0" w:line="360" w:lineRule="auto"/>
        <w:ind w:firstLine="36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ويهدف هذا الفصل إلى تقديم تفسير علمي دقيق للنتائج التي تم التوصل إليها، وربطها بالإطار النظري والدراسات السابقة، بما يسهم في اختبار فرضيات الدراسة والإجابة عن تساؤلاتها، والوصول إلى استنتاجات علمية يمكن الاعتماد عليها في دعم تطوير ممارسات الحوكمة داخل شركات الأمن السيبراني الناشئة</w:t>
      </w:r>
      <w:r w:rsidRPr="00545ABB">
        <w:rPr>
          <w:rFonts w:ascii="Traditional Arabic" w:hAnsi="Traditional Arabic" w:cs="Traditional Arabic"/>
          <w:color w:val="000000" w:themeColor="text1"/>
          <w:sz w:val="28"/>
          <w:szCs w:val="28"/>
          <w:lang w:bidi="ar-EG"/>
        </w:rPr>
        <w:t>.</w:t>
      </w:r>
    </w:p>
    <w:p w14:paraId="38098C32" w14:textId="233F9A7A" w:rsidR="002874C7" w:rsidRPr="00545ABB" w:rsidRDefault="002874C7" w:rsidP="003A206E">
      <w:pPr>
        <w:spacing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rPr>
        <w:lastRenderedPageBreak/>
        <w:t>وسيتم عرض نتائج التحليل وفق ترتيب منطقي يبدأ بوصف خصائص العينة، ثم تحليل محاور الدراسة، يلي ذلك اختبار الفرضيات، وصولًا إلى مناقشة النتائج وتفسيرها في ضوء الأدبيات ذات الصلة</w:t>
      </w:r>
      <w:r w:rsidRPr="00545ABB">
        <w:rPr>
          <w:rFonts w:ascii="Traditional Arabic" w:hAnsi="Traditional Arabic" w:cs="Traditional Arabic"/>
          <w:color w:val="000000" w:themeColor="text1"/>
          <w:sz w:val="28"/>
          <w:szCs w:val="28"/>
          <w:lang w:bidi="ar-EG"/>
        </w:rPr>
        <w:t>.</w:t>
      </w:r>
    </w:p>
    <w:p w14:paraId="6815F346" w14:textId="5F2667AA" w:rsidR="00F201D6" w:rsidRPr="00545ABB" w:rsidRDefault="00F201D6" w:rsidP="003A206E">
      <w:pPr>
        <w:pStyle w:val="Heading2"/>
        <w:bidi/>
        <w:spacing w:after="200" w:line="360" w:lineRule="auto"/>
        <w:rPr>
          <w:rFonts w:ascii="Traditional Arabic" w:eastAsia="Times New Roman" w:hAnsi="Traditional Arabic" w:cs="Traditional Arabic"/>
          <w:color w:val="000000" w:themeColor="text1"/>
        </w:rPr>
      </w:pPr>
      <w:bookmarkStart w:id="146" w:name="_Toc242325298"/>
      <w:r w:rsidRPr="00545ABB">
        <w:rPr>
          <w:rFonts w:ascii="Traditional Arabic" w:eastAsia="Times New Roman" w:hAnsi="Traditional Arabic" w:cs="Traditional Arabic"/>
          <w:color w:val="000000" w:themeColor="text1"/>
          <w:rtl/>
        </w:rPr>
        <w:t>الإحصاء والتحليل الوصفي:</w:t>
      </w:r>
      <w:bookmarkEnd w:id="146"/>
    </w:p>
    <w:p w14:paraId="74D4ED9F" w14:textId="5DB15A08" w:rsidR="002874C7" w:rsidRPr="00545ABB" w:rsidRDefault="00A42C0D" w:rsidP="003A206E">
      <w:pPr>
        <w:pStyle w:val="Heading3"/>
        <w:bidi/>
        <w:spacing w:after="200" w:line="360" w:lineRule="auto"/>
        <w:rPr>
          <w:rFonts w:ascii="Traditional Arabic" w:hAnsi="Traditional Arabic" w:cs="Traditional Arabic"/>
          <w:color w:val="000000" w:themeColor="text1"/>
          <w:lang w:bidi="ar-EG"/>
        </w:rPr>
      </w:pPr>
      <w:bookmarkStart w:id="147" w:name="_Toc242325299"/>
      <w:r w:rsidRPr="00545ABB">
        <w:rPr>
          <w:rFonts w:ascii="Traditional Arabic" w:hAnsi="Traditional Arabic" w:cs="Traditional Arabic"/>
          <w:noProof/>
          <w:color w:val="000000" w:themeColor="text1"/>
          <w:rtl/>
        </w:rPr>
        <mc:AlternateContent>
          <mc:Choice Requires="wps">
            <w:drawing>
              <wp:anchor distT="0" distB="0" distL="114300" distR="114300" simplePos="0" relativeHeight="251671040" behindDoc="0" locked="0" layoutInCell="1" allowOverlap="1" wp14:anchorId="5FA3E46B" wp14:editId="65AD469F">
                <wp:simplePos x="0" y="0"/>
                <wp:positionH relativeFrom="column">
                  <wp:posOffset>-144780</wp:posOffset>
                </wp:positionH>
                <wp:positionV relativeFrom="paragraph">
                  <wp:posOffset>556260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1D91C"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3E46B" id="Rectangle 51" o:spid="_x0000_s1030" style="position:absolute;left:0;text-align:left;margin-left:-11.4pt;margin-top:43.8pt;width:64.5pt;height:29.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FPtg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" filled="f" stroked="f">
                <v:textbox>
                  <w:txbxContent>
                    <w:p w14:paraId="0261D91C" w14:textId="77777777" w:rsidR="00ED4FB3" w:rsidRDefault="00ED4FB3" w:rsidP="002874C7">
                      <w:pPr>
                        <w:jc w:val="center"/>
                      </w:pPr>
                      <w:r>
                        <w:rPr>
                          <w:rFonts w:cs="Simplified Arabic" w:hint="cs"/>
                          <w:sz w:val="28"/>
                          <w:szCs w:val="28"/>
                          <w:rtl/>
                        </w:rPr>
                        <w:t>ن=63</w:t>
                      </w:r>
                    </w:p>
                  </w:txbxContent>
                </v:textbox>
              </v:rect>
            </w:pict>
          </mc:Fallback>
        </mc:AlternateContent>
      </w:r>
      <w:r w:rsidR="002874C7" w:rsidRPr="00545ABB">
        <w:rPr>
          <w:rFonts w:ascii="Traditional Arabic" w:hAnsi="Traditional Arabic" w:cs="Traditional Arabic"/>
          <w:color w:val="000000" w:themeColor="text1"/>
          <w:rtl/>
          <w:lang w:bidi="ar-EG"/>
        </w:rPr>
        <w:t>أولاً: عرض نتائج الدراسة بالخصائص الديموغرافية لأفراد العينة.</w:t>
      </w:r>
      <w:bookmarkEnd w:id="147"/>
    </w:p>
    <w:tbl>
      <w:tblPr>
        <w:tblpPr w:leftFromText="180" w:rightFromText="180" w:vertAnchor="text" w:horzAnchor="margin" w:tblpXSpec="center" w:tblpY="686"/>
        <w:bidiVisual/>
        <w:tblW w:w="6825"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3119"/>
      </w:tblGrid>
      <w:tr w:rsidR="00A42C0D" w:rsidRPr="00545ABB" w14:paraId="6703C3CE" w14:textId="77777777" w:rsidTr="00A42C0D">
        <w:trPr>
          <w:trHeight w:val="210"/>
        </w:trPr>
        <w:tc>
          <w:tcPr>
            <w:tcW w:w="345" w:type="dxa"/>
            <w:tcBorders>
              <w:top w:val="thinThickSmallGap" w:sz="24" w:space="0" w:color="auto"/>
              <w:left w:val="thickThinSmallGap" w:sz="24" w:space="0" w:color="auto"/>
              <w:bottom w:val="thickThinSmallGap" w:sz="24" w:space="0" w:color="auto"/>
            </w:tcBorders>
            <w:shd w:val="clear" w:color="auto" w:fill="8DB3E2" w:themeFill="text2" w:themeFillTint="66"/>
            <w:vAlign w:val="center"/>
          </w:tcPr>
          <w:p w14:paraId="2C8BE6BE" w14:textId="77777777" w:rsidR="00A42C0D" w:rsidRPr="00545ABB" w:rsidRDefault="00A42C0D" w:rsidP="00A42C0D">
            <w:pPr>
              <w:spacing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م</w:t>
            </w:r>
          </w:p>
        </w:tc>
        <w:tc>
          <w:tcPr>
            <w:tcW w:w="2431" w:type="dxa"/>
            <w:tcBorders>
              <w:top w:val="thinThickSmallGap" w:sz="24" w:space="0" w:color="auto"/>
              <w:bottom w:val="thickThinSmallGap" w:sz="24" w:space="0" w:color="auto"/>
            </w:tcBorders>
            <w:shd w:val="clear" w:color="auto" w:fill="8DB3E2" w:themeFill="text2" w:themeFillTint="66"/>
            <w:vAlign w:val="center"/>
          </w:tcPr>
          <w:p w14:paraId="0E1FCD9C" w14:textId="77777777" w:rsidR="00A42C0D" w:rsidRPr="00545ABB" w:rsidRDefault="00A42C0D" w:rsidP="00A42C0D">
            <w:pPr>
              <w:spacing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النوع</w:t>
            </w:r>
          </w:p>
        </w:tc>
        <w:tc>
          <w:tcPr>
            <w:tcW w:w="930" w:type="dxa"/>
            <w:tcBorders>
              <w:top w:val="thinThickSmallGap" w:sz="24" w:space="0" w:color="auto"/>
              <w:bottom w:val="thickThinSmallGap" w:sz="24" w:space="0" w:color="auto"/>
            </w:tcBorders>
            <w:shd w:val="clear" w:color="auto" w:fill="8DB3E2" w:themeFill="text2" w:themeFillTint="66"/>
            <w:vAlign w:val="center"/>
          </w:tcPr>
          <w:p w14:paraId="751F9131" w14:textId="77777777" w:rsidR="00A42C0D" w:rsidRPr="00545ABB" w:rsidRDefault="00A42C0D" w:rsidP="00A42C0D">
            <w:pPr>
              <w:spacing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التكرار</w:t>
            </w:r>
          </w:p>
        </w:tc>
        <w:tc>
          <w:tcPr>
            <w:tcW w:w="3119" w:type="dxa"/>
            <w:tcBorders>
              <w:top w:val="thinThickSmallGap" w:sz="24" w:space="0" w:color="auto"/>
              <w:bottom w:val="thickThinSmallGap" w:sz="24" w:space="0" w:color="auto"/>
            </w:tcBorders>
            <w:shd w:val="clear" w:color="auto" w:fill="8DB3E2" w:themeFill="text2" w:themeFillTint="66"/>
            <w:vAlign w:val="center"/>
          </w:tcPr>
          <w:p w14:paraId="5711F57E" w14:textId="77777777" w:rsidR="00A42C0D" w:rsidRPr="00545ABB" w:rsidRDefault="00A42C0D" w:rsidP="00A42C0D">
            <w:pPr>
              <w:spacing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النسبة المئوية</w:t>
            </w:r>
          </w:p>
        </w:tc>
      </w:tr>
      <w:tr w:rsidR="00A42C0D" w:rsidRPr="00545ABB" w14:paraId="3063F55F" w14:textId="77777777" w:rsidTr="00A42C0D">
        <w:trPr>
          <w:trHeight w:val="294"/>
        </w:trPr>
        <w:tc>
          <w:tcPr>
            <w:tcW w:w="345" w:type="dxa"/>
            <w:tcBorders>
              <w:top w:val="thickThinSmallGap" w:sz="24" w:space="0" w:color="auto"/>
              <w:left w:val="thickThinSmallGap" w:sz="24" w:space="0" w:color="auto"/>
            </w:tcBorders>
          </w:tcPr>
          <w:p w14:paraId="167B984B" w14:textId="77777777" w:rsidR="00A42C0D" w:rsidRPr="00545ABB" w:rsidRDefault="00A42C0D" w:rsidP="00A42C0D">
            <w:pPr>
              <w:pStyle w:val="ListParagraph"/>
              <w:spacing w:after="20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w:t>
            </w:r>
          </w:p>
        </w:tc>
        <w:tc>
          <w:tcPr>
            <w:tcW w:w="2431" w:type="dxa"/>
            <w:tcBorders>
              <w:top w:val="thickThinSmallGap" w:sz="24" w:space="0" w:color="auto"/>
            </w:tcBorders>
          </w:tcPr>
          <w:p w14:paraId="1E8E42A6" w14:textId="77777777" w:rsidR="00A42C0D" w:rsidRPr="00545ABB" w:rsidRDefault="00A42C0D" w:rsidP="00A42C0D">
            <w:pPr>
              <w:pStyle w:val="ListParagraph"/>
              <w:spacing w:after="200" w:line="360" w:lineRule="auto"/>
              <w:ind w:left="0"/>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أنثى</w:t>
            </w:r>
          </w:p>
        </w:tc>
        <w:tc>
          <w:tcPr>
            <w:tcW w:w="930" w:type="dxa"/>
            <w:tcBorders>
              <w:top w:val="thickThinSmallGap" w:sz="24" w:space="0" w:color="auto"/>
            </w:tcBorders>
            <w:vAlign w:val="center"/>
          </w:tcPr>
          <w:p w14:paraId="529FA622" w14:textId="77777777" w:rsidR="00A42C0D" w:rsidRPr="00545ABB" w:rsidRDefault="00A42C0D" w:rsidP="00A42C0D">
            <w:pPr>
              <w:spacing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38</w:t>
            </w:r>
          </w:p>
        </w:tc>
        <w:tc>
          <w:tcPr>
            <w:tcW w:w="3119" w:type="dxa"/>
            <w:tcBorders>
              <w:top w:val="thickThinSmallGap" w:sz="24" w:space="0" w:color="auto"/>
            </w:tcBorders>
            <w:vAlign w:val="center"/>
          </w:tcPr>
          <w:p w14:paraId="51B5394C" w14:textId="77777777" w:rsidR="00A42C0D" w:rsidRPr="00545ABB" w:rsidRDefault="00A42C0D" w:rsidP="00A42C0D">
            <w:pPr>
              <w:autoSpaceDE w:val="0"/>
              <w:autoSpaceDN w:val="0"/>
              <w:adjustRightInd w:val="0"/>
              <w:spacing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rPr>
              <w:t>60.3%</w:t>
            </w:r>
          </w:p>
        </w:tc>
      </w:tr>
      <w:tr w:rsidR="00A42C0D" w:rsidRPr="00545ABB" w14:paraId="14AE0ED3" w14:textId="77777777" w:rsidTr="00A42C0D">
        <w:trPr>
          <w:trHeight w:val="328"/>
        </w:trPr>
        <w:tc>
          <w:tcPr>
            <w:tcW w:w="345" w:type="dxa"/>
            <w:tcBorders>
              <w:left w:val="thickThinSmallGap" w:sz="24" w:space="0" w:color="auto"/>
            </w:tcBorders>
          </w:tcPr>
          <w:p w14:paraId="05C91269" w14:textId="77777777" w:rsidR="00A42C0D" w:rsidRPr="00545ABB" w:rsidRDefault="00A42C0D" w:rsidP="00A42C0D">
            <w:pPr>
              <w:pStyle w:val="ListParagraph"/>
              <w:spacing w:after="20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w:t>
            </w:r>
          </w:p>
        </w:tc>
        <w:tc>
          <w:tcPr>
            <w:tcW w:w="2431" w:type="dxa"/>
          </w:tcPr>
          <w:p w14:paraId="0DD3F1E8" w14:textId="77777777" w:rsidR="00A42C0D" w:rsidRPr="00545ABB" w:rsidRDefault="00A42C0D" w:rsidP="00A42C0D">
            <w:pPr>
              <w:pStyle w:val="ListParagraph"/>
              <w:spacing w:after="200" w:line="360" w:lineRule="auto"/>
              <w:ind w:left="0"/>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ذكر</w:t>
            </w:r>
          </w:p>
        </w:tc>
        <w:tc>
          <w:tcPr>
            <w:tcW w:w="930" w:type="dxa"/>
            <w:vAlign w:val="center"/>
          </w:tcPr>
          <w:p w14:paraId="16F407C2" w14:textId="77777777" w:rsidR="00A42C0D" w:rsidRPr="00545ABB" w:rsidRDefault="00A42C0D" w:rsidP="00A42C0D">
            <w:pPr>
              <w:spacing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25</w:t>
            </w:r>
          </w:p>
        </w:tc>
        <w:tc>
          <w:tcPr>
            <w:tcW w:w="3119" w:type="dxa"/>
            <w:vAlign w:val="center"/>
          </w:tcPr>
          <w:p w14:paraId="2ADA52FA" w14:textId="77777777" w:rsidR="00A42C0D" w:rsidRPr="00545ABB" w:rsidRDefault="00A42C0D" w:rsidP="00A42C0D">
            <w:pPr>
              <w:autoSpaceDE w:val="0"/>
              <w:autoSpaceDN w:val="0"/>
              <w:adjustRightInd w:val="0"/>
              <w:spacing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39.7%</w:t>
            </w:r>
          </w:p>
        </w:tc>
      </w:tr>
    </w:tbl>
    <w:p w14:paraId="27ACDD88" w14:textId="47B314E3" w:rsidR="002874C7" w:rsidRPr="00545ABB" w:rsidRDefault="002874C7" w:rsidP="00B760B2">
      <w:pPr>
        <w:tabs>
          <w:tab w:val="left" w:pos="1087"/>
        </w:tabs>
        <w:spacing w:line="360" w:lineRule="auto"/>
        <w:ind w:left="357"/>
        <w:jc w:val="center"/>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noProof/>
          <w:color w:val="000000" w:themeColor="text1"/>
          <w:rtl/>
        </w:rPr>
        <w:t xml:space="preserve"> </w:t>
      </w:r>
      <w:r w:rsidR="00B760B2" w:rsidRPr="00B760B2">
        <w:rPr>
          <w:rFonts w:ascii="Traditional Arabic" w:hAnsi="Traditional Arabic" w:cs="Traditional Arabic"/>
          <w:b/>
          <w:bCs/>
          <w:color w:val="000000" w:themeColor="text1"/>
          <w:sz w:val="28"/>
          <w:szCs w:val="28"/>
          <w:rtl/>
          <w:lang w:bidi="ar-EG"/>
        </w:rPr>
        <w:t>جدول (4-1)</w:t>
      </w:r>
      <w:r w:rsidR="00B760B2">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 xml:space="preserve">يوضح توزيع </w:t>
      </w:r>
      <w:r w:rsidRPr="00545ABB">
        <w:rPr>
          <w:rFonts w:ascii="Traditional Arabic" w:hAnsi="Traditional Arabic" w:cs="Traditional Arabic"/>
          <w:b/>
          <w:bCs/>
          <w:color w:val="000000" w:themeColor="text1"/>
          <w:sz w:val="28"/>
          <w:szCs w:val="28"/>
          <w:rtl/>
          <w:lang w:bidi="ar-EG"/>
        </w:rPr>
        <w:t xml:space="preserve">عينة الدراسة </w:t>
      </w:r>
      <w:r w:rsidRPr="00545ABB">
        <w:rPr>
          <w:rFonts w:ascii="Traditional Arabic" w:hAnsi="Traditional Arabic" w:cs="Traditional Arabic"/>
          <w:b/>
          <w:bCs/>
          <w:color w:val="000000" w:themeColor="text1"/>
          <w:sz w:val="28"/>
          <w:szCs w:val="28"/>
          <w:rtl/>
        </w:rPr>
        <w:t xml:space="preserve">وفقاً </w:t>
      </w:r>
      <w:r w:rsidRPr="00545ABB">
        <w:rPr>
          <w:rFonts w:ascii="Traditional Arabic" w:hAnsi="Traditional Arabic" w:cs="Traditional Arabic"/>
          <w:b/>
          <w:bCs/>
          <w:color w:val="000000" w:themeColor="text1"/>
          <w:sz w:val="28"/>
          <w:szCs w:val="28"/>
          <w:rtl/>
          <w:lang w:bidi="ar-EG"/>
        </w:rPr>
        <w:t>للجنس</w:t>
      </w:r>
    </w:p>
    <w:p w14:paraId="27363D6F" w14:textId="77777777" w:rsidR="002874C7" w:rsidRPr="00545ABB" w:rsidRDefault="002874C7" w:rsidP="003A206E">
      <w:pPr>
        <w:tabs>
          <w:tab w:val="left" w:pos="1087"/>
        </w:tabs>
        <w:spacing w:line="360" w:lineRule="auto"/>
        <w:ind w:left="357"/>
        <w:jc w:val="center"/>
        <w:rPr>
          <w:rFonts w:ascii="Traditional Arabic" w:hAnsi="Traditional Arabic" w:cs="Traditional Arabic"/>
          <w:b/>
          <w:bCs/>
          <w:color w:val="000000" w:themeColor="text1"/>
          <w:sz w:val="28"/>
          <w:szCs w:val="28"/>
          <w:rtl/>
          <w:lang w:bidi="ar-EG"/>
        </w:rPr>
      </w:pPr>
    </w:p>
    <w:p w14:paraId="66DF8E3C" w14:textId="77777777" w:rsidR="002874C7" w:rsidRPr="00545ABB" w:rsidRDefault="002874C7" w:rsidP="003A206E">
      <w:pPr>
        <w:tabs>
          <w:tab w:val="left" w:pos="1087"/>
        </w:tabs>
        <w:spacing w:line="360" w:lineRule="auto"/>
        <w:ind w:left="357"/>
        <w:jc w:val="center"/>
        <w:rPr>
          <w:rFonts w:ascii="Traditional Arabic" w:hAnsi="Traditional Arabic" w:cs="Traditional Arabic"/>
          <w:b/>
          <w:bCs/>
          <w:color w:val="000000" w:themeColor="text1"/>
          <w:sz w:val="28"/>
          <w:szCs w:val="28"/>
          <w:rtl/>
          <w:lang w:bidi="ar-EG"/>
        </w:rPr>
      </w:pPr>
    </w:p>
    <w:p w14:paraId="29607581" w14:textId="77777777" w:rsidR="002874C7" w:rsidRPr="00545ABB" w:rsidRDefault="002874C7" w:rsidP="003A206E">
      <w:pPr>
        <w:tabs>
          <w:tab w:val="left" w:pos="1087"/>
        </w:tabs>
        <w:spacing w:line="360" w:lineRule="auto"/>
        <w:ind w:left="357"/>
        <w:jc w:val="center"/>
        <w:rPr>
          <w:rFonts w:ascii="Traditional Arabic" w:hAnsi="Traditional Arabic" w:cs="Traditional Arabic"/>
          <w:b/>
          <w:bCs/>
          <w:color w:val="000000" w:themeColor="text1"/>
          <w:sz w:val="28"/>
          <w:szCs w:val="28"/>
          <w:rtl/>
          <w:lang w:bidi="ar-EG"/>
        </w:rPr>
      </w:pPr>
    </w:p>
    <w:p w14:paraId="565C9D39" w14:textId="32864E11" w:rsidR="002874C7" w:rsidRPr="00545ABB" w:rsidRDefault="002874C7" w:rsidP="003A206E">
      <w:pPr>
        <w:tabs>
          <w:tab w:val="left" w:pos="1087"/>
        </w:tabs>
        <w:spacing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3A087B42" w14:textId="442CB2C9" w:rsidR="002874C7" w:rsidRPr="00545ABB" w:rsidRDefault="002874C7" w:rsidP="00B760B2">
      <w:pPr>
        <w:spacing w:line="360" w:lineRule="auto"/>
        <w:ind w:firstLine="357"/>
        <w:contextualSpacing/>
        <w:jc w:val="lowKashida"/>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ab/>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(4-1)</w:t>
      </w:r>
      <w:r w:rsidRPr="00545ABB">
        <w:rPr>
          <w:rFonts w:ascii="Traditional Arabic" w:hAnsi="Traditional Arabic" w:cs="Traditional Arabic"/>
          <w:color w:val="000000" w:themeColor="text1"/>
          <w:sz w:val="28"/>
          <w:szCs w:val="28"/>
          <w:rtl/>
          <w:lang w:bidi="ar-EG"/>
        </w:rPr>
        <w:t xml:space="preserve"> والخاص بتوزيع عينة الدراسة وفقاً للجنس أن نسبة الإناث في عينة الدراسة أكبر حيث بلغت (</w:t>
      </w:r>
      <w:r w:rsidRPr="00545ABB">
        <w:rPr>
          <w:rFonts w:ascii="Traditional Arabic" w:hAnsi="Traditional Arabic" w:cs="Traditional Arabic"/>
          <w:color w:val="000000" w:themeColor="text1"/>
          <w:rtl/>
        </w:rPr>
        <w:t>60.3%</w:t>
      </w:r>
      <w:r w:rsidRPr="00545ABB">
        <w:rPr>
          <w:rFonts w:ascii="Traditional Arabic" w:hAnsi="Traditional Arabic" w:cs="Traditional Arabic"/>
          <w:color w:val="000000" w:themeColor="text1"/>
          <w:sz w:val="28"/>
          <w:szCs w:val="28"/>
          <w:rtl/>
          <w:lang w:bidi="ar-EG"/>
        </w:rPr>
        <w:t>) بينما بلغت نسبة الذكور (39.7%)</w:t>
      </w:r>
    </w:p>
    <w:p w14:paraId="726D6DDD" w14:textId="518CFD2B" w:rsidR="002874C7" w:rsidRPr="00545ABB" w:rsidRDefault="002874C7" w:rsidP="00B760B2">
      <w:pPr>
        <w:tabs>
          <w:tab w:val="left" w:pos="1087"/>
        </w:tabs>
        <w:spacing w:after="0" w:line="360" w:lineRule="auto"/>
        <w:ind w:left="357"/>
        <w:jc w:val="center"/>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noProof/>
          <w:color w:val="000000" w:themeColor="text1"/>
          <w:rtl/>
        </w:rPr>
        <mc:AlternateContent>
          <mc:Choice Requires="wps">
            <w:drawing>
              <wp:anchor distT="0" distB="0" distL="114300" distR="114300" simplePos="0" relativeHeight="251683328" behindDoc="0" locked="0" layoutInCell="1" allowOverlap="1" wp14:anchorId="75A68293" wp14:editId="0FEC2C7A">
                <wp:simplePos x="0" y="0"/>
                <wp:positionH relativeFrom="column">
                  <wp:posOffset>118110</wp:posOffset>
                </wp:positionH>
                <wp:positionV relativeFrom="paragraph">
                  <wp:posOffset>190500</wp:posOffset>
                </wp:positionV>
                <wp:extent cx="819150" cy="371475"/>
                <wp:effectExtent l="0" t="0" r="0" b="9525"/>
                <wp:wrapNone/>
                <wp:docPr id="3306605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2B181"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68293" id="_x0000_s1031" style="position:absolute;left:0;text-align:left;margin-left:9.3pt;margin-top:15pt;width:64.5pt;height:29.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" filled="f" stroked="f">
                <v:textbox>
                  <w:txbxContent>
                    <w:p w14:paraId="7ED2B181"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B760B2">
        <w:rPr>
          <w:rFonts w:ascii="Traditional Arabic" w:hAnsi="Traditional Arabic" w:cs="Traditional Arabic" w:hint="cs"/>
          <w:b/>
          <w:bCs/>
          <w:color w:val="000000" w:themeColor="text1"/>
          <w:sz w:val="28"/>
          <w:szCs w:val="28"/>
          <w:rtl/>
          <w:lang w:bidi="ar-EG"/>
        </w:rPr>
        <w:t>2</w:t>
      </w:r>
      <w:r w:rsidR="00B760B2" w:rsidRPr="00B760B2">
        <w:rPr>
          <w:rFonts w:ascii="Traditional Arabic" w:hAnsi="Traditional Arabic" w:cs="Traditional Arabic"/>
          <w:b/>
          <w:bCs/>
          <w:color w:val="000000" w:themeColor="text1"/>
          <w:sz w:val="28"/>
          <w:szCs w:val="28"/>
          <w:rtl/>
          <w:lang w:bidi="ar-EG"/>
        </w:rPr>
        <w:t>)</w:t>
      </w:r>
      <w:r w:rsidR="00B760B2">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 xml:space="preserve">يوضح توزيع </w:t>
      </w:r>
      <w:r w:rsidRPr="00545ABB">
        <w:rPr>
          <w:rFonts w:ascii="Traditional Arabic" w:hAnsi="Traditional Arabic" w:cs="Traditional Arabic"/>
          <w:b/>
          <w:bCs/>
          <w:color w:val="000000" w:themeColor="text1"/>
          <w:sz w:val="28"/>
          <w:szCs w:val="28"/>
          <w:rtl/>
          <w:lang w:bidi="ar-EG"/>
        </w:rPr>
        <w:t>عينة الدراسة وفقاً للعمر</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545ABB" w14:paraId="047AE5D9" w14:textId="77777777" w:rsidTr="002174D5">
        <w:trPr>
          <w:trHeight w:val="210"/>
        </w:trPr>
        <w:tc>
          <w:tcPr>
            <w:tcW w:w="345" w:type="dxa"/>
            <w:tcBorders>
              <w:top w:val="thinThickSmallGap" w:sz="24" w:space="0" w:color="auto"/>
              <w:left w:val="thickThinSmallGap" w:sz="24" w:space="0" w:color="auto"/>
              <w:bottom w:val="thickThinSmallGap" w:sz="24" w:space="0" w:color="auto"/>
            </w:tcBorders>
            <w:shd w:val="clear" w:color="auto" w:fill="8DB3E2" w:themeFill="text2" w:themeFillTint="66"/>
            <w:vAlign w:val="center"/>
          </w:tcPr>
          <w:p w14:paraId="6B1C9DC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م</w:t>
            </w:r>
          </w:p>
        </w:tc>
        <w:tc>
          <w:tcPr>
            <w:tcW w:w="2431" w:type="dxa"/>
            <w:tcBorders>
              <w:top w:val="thinThickSmallGap" w:sz="24" w:space="0" w:color="auto"/>
              <w:bottom w:val="thickThinSmallGap" w:sz="24" w:space="0" w:color="auto"/>
            </w:tcBorders>
            <w:shd w:val="clear" w:color="auto" w:fill="8DB3E2" w:themeFill="text2" w:themeFillTint="66"/>
            <w:vAlign w:val="center"/>
          </w:tcPr>
          <w:p w14:paraId="43DE147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السن</w:t>
            </w:r>
          </w:p>
        </w:tc>
        <w:tc>
          <w:tcPr>
            <w:tcW w:w="930" w:type="dxa"/>
            <w:tcBorders>
              <w:top w:val="thinThickSmallGap" w:sz="24" w:space="0" w:color="auto"/>
              <w:bottom w:val="thickThinSmallGap" w:sz="24" w:space="0" w:color="auto"/>
            </w:tcBorders>
            <w:shd w:val="clear" w:color="auto" w:fill="8DB3E2" w:themeFill="text2" w:themeFillTint="66"/>
            <w:vAlign w:val="center"/>
          </w:tcPr>
          <w:p w14:paraId="39C3069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التكرار</w:t>
            </w:r>
          </w:p>
        </w:tc>
        <w:tc>
          <w:tcPr>
            <w:tcW w:w="1856" w:type="dxa"/>
            <w:tcBorders>
              <w:top w:val="thinThickSmallGap" w:sz="24" w:space="0" w:color="auto"/>
              <w:bottom w:val="thickThinSmallGap" w:sz="24" w:space="0" w:color="auto"/>
            </w:tcBorders>
            <w:shd w:val="clear" w:color="auto" w:fill="8DB3E2" w:themeFill="text2" w:themeFillTint="66"/>
            <w:vAlign w:val="center"/>
          </w:tcPr>
          <w:p w14:paraId="09E0E35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النسبة المئوية</w:t>
            </w:r>
          </w:p>
        </w:tc>
        <w:tc>
          <w:tcPr>
            <w:tcW w:w="1426" w:type="dxa"/>
            <w:tcBorders>
              <w:top w:val="thinThickSmallGap" w:sz="24" w:space="0" w:color="auto"/>
              <w:bottom w:val="thickThinSmallGap" w:sz="24" w:space="0" w:color="auto"/>
            </w:tcBorders>
            <w:shd w:val="clear" w:color="auto" w:fill="8DB3E2" w:themeFill="text2" w:themeFillTint="66"/>
          </w:tcPr>
          <w:p w14:paraId="137F411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المتوسط</w:t>
            </w:r>
          </w:p>
        </w:tc>
        <w:tc>
          <w:tcPr>
            <w:tcW w:w="1855" w:type="dxa"/>
            <w:tcBorders>
              <w:top w:val="thinThickSmallGap" w:sz="24" w:space="0" w:color="auto"/>
              <w:bottom w:val="thickThinSmallGap" w:sz="24" w:space="0" w:color="auto"/>
            </w:tcBorders>
            <w:shd w:val="clear" w:color="auto" w:fill="8DB3E2" w:themeFill="text2" w:themeFillTint="66"/>
          </w:tcPr>
          <w:p w14:paraId="13F04B0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الانحراف المعياري</w:t>
            </w:r>
          </w:p>
        </w:tc>
      </w:tr>
      <w:tr w:rsidR="002874C7" w:rsidRPr="00545ABB" w14:paraId="7E4A64E4" w14:textId="77777777" w:rsidTr="005962D7">
        <w:trPr>
          <w:trHeight w:val="294"/>
        </w:trPr>
        <w:tc>
          <w:tcPr>
            <w:tcW w:w="345" w:type="dxa"/>
            <w:tcBorders>
              <w:top w:val="thickThinSmallGap" w:sz="24" w:space="0" w:color="auto"/>
              <w:left w:val="thickThinSmallGap" w:sz="24" w:space="0" w:color="auto"/>
            </w:tcBorders>
          </w:tcPr>
          <w:p w14:paraId="79D05FF0"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w:t>
            </w:r>
          </w:p>
        </w:tc>
        <w:tc>
          <w:tcPr>
            <w:tcW w:w="2431" w:type="dxa"/>
            <w:tcBorders>
              <w:top w:val="thickThinSmallGap" w:sz="24" w:space="0" w:color="auto"/>
            </w:tcBorders>
          </w:tcPr>
          <w:p w14:paraId="49FD7D89"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أقل من 30</w:t>
            </w:r>
          </w:p>
        </w:tc>
        <w:tc>
          <w:tcPr>
            <w:tcW w:w="930" w:type="dxa"/>
            <w:tcBorders>
              <w:top w:val="thickThinSmallGap" w:sz="24" w:space="0" w:color="auto"/>
            </w:tcBorders>
            <w:vAlign w:val="center"/>
          </w:tcPr>
          <w:p w14:paraId="1CC5DAA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21</w:t>
            </w:r>
          </w:p>
        </w:tc>
        <w:tc>
          <w:tcPr>
            <w:tcW w:w="1856" w:type="dxa"/>
            <w:tcBorders>
              <w:top w:val="thickThinSmallGap" w:sz="24" w:space="0" w:color="auto"/>
            </w:tcBorders>
            <w:vAlign w:val="center"/>
          </w:tcPr>
          <w:p w14:paraId="6D61B8AA"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rPr>
              <w:t>33.3%</w:t>
            </w:r>
          </w:p>
        </w:tc>
        <w:tc>
          <w:tcPr>
            <w:tcW w:w="1426" w:type="dxa"/>
            <w:vMerge w:val="restart"/>
            <w:tcBorders>
              <w:top w:val="thickThinSmallGap" w:sz="24" w:space="0" w:color="auto"/>
            </w:tcBorders>
            <w:vAlign w:val="center"/>
          </w:tcPr>
          <w:p w14:paraId="58F651F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38.17</w:t>
            </w:r>
          </w:p>
        </w:tc>
        <w:tc>
          <w:tcPr>
            <w:tcW w:w="1855" w:type="dxa"/>
            <w:vMerge w:val="restart"/>
            <w:tcBorders>
              <w:top w:val="thickThinSmallGap" w:sz="24" w:space="0" w:color="auto"/>
            </w:tcBorders>
            <w:vAlign w:val="center"/>
          </w:tcPr>
          <w:p w14:paraId="7CB31C1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11.35</w:t>
            </w:r>
          </w:p>
        </w:tc>
      </w:tr>
      <w:tr w:rsidR="002874C7" w:rsidRPr="00545ABB" w14:paraId="7A0D12CE" w14:textId="77777777" w:rsidTr="005962D7">
        <w:trPr>
          <w:trHeight w:val="328"/>
        </w:trPr>
        <w:tc>
          <w:tcPr>
            <w:tcW w:w="345" w:type="dxa"/>
            <w:tcBorders>
              <w:left w:val="thickThinSmallGap" w:sz="24" w:space="0" w:color="auto"/>
            </w:tcBorders>
          </w:tcPr>
          <w:p w14:paraId="070D6F73"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w:t>
            </w:r>
          </w:p>
        </w:tc>
        <w:tc>
          <w:tcPr>
            <w:tcW w:w="2431" w:type="dxa"/>
          </w:tcPr>
          <w:p w14:paraId="2979428E"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من (30) إلى أقل من (40)</w:t>
            </w:r>
          </w:p>
        </w:tc>
        <w:tc>
          <w:tcPr>
            <w:tcW w:w="930" w:type="dxa"/>
            <w:vAlign w:val="center"/>
          </w:tcPr>
          <w:p w14:paraId="2BFB08C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15</w:t>
            </w:r>
          </w:p>
        </w:tc>
        <w:tc>
          <w:tcPr>
            <w:tcW w:w="1856" w:type="dxa"/>
            <w:vAlign w:val="center"/>
          </w:tcPr>
          <w:p w14:paraId="588C3678"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23.8%</w:t>
            </w:r>
          </w:p>
        </w:tc>
        <w:tc>
          <w:tcPr>
            <w:tcW w:w="1426" w:type="dxa"/>
            <w:vMerge/>
          </w:tcPr>
          <w:p w14:paraId="16128FA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c>
          <w:tcPr>
            <w:tcW w:w="1855" w:type="dxa"/>
            <w:vMerge/>
          </w:tcPr>
          <w:p w14:paraId="611EEA3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p>
        </w:tc>
      </w:tr>
      <w:tr w:rsidR="002874C7" w:rsidRPr="00545ABB" w14:paraId="40CBBBC1" w14:textId="77777777" w:rsidTr="005962D7">
        <w:trPr>
          <w:trHeight w:val="214"/>
        </w:trPr>
        <w:tc>
          <w:tcPr>
            <w:tcW w:w="345" w:type="dxa"/>
            <w:tcBorders>
              <w:left w:val="thickThinSmallGap" w:sz="24" w:space="0" w:color="auto"/>
            </w:tcBorders>
          </w:tcPr>
          <w:p w14:paraId="62975136"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w:t>
            </w:r>
          </w:p>
        </w:tc>
        <w:tc>
          <w:tcPr>
            <w:tcW w:w="2431" w:type="dxa"/>
          </w:tcPr>
          <w:p w14:paraId="62135F81"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من (40) إلى أقل من (50)</w:t>
            </w:r>
          </w:p>
        </w:tc>
        <w:tc>
          <w:tcPr>
            <w:tcW w:w="930" w:type="dxa"/>
            <w:vAlign w:val="center"/>
          </w:tcPr>
          <w:p w14:paraId="1C43BE5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r w:rsidRPr="00545ABB">
              <w:rPr>
                <w:rFonts w:ascii="Traditional Arabic" w:hAnsi="Traditional Arabic" w:cs="Traditional Arabic"/>
                <w:color w:val="000000" w:themeColor="text1"/>
                <w:rtl/>
              </w:rPr>
              <w:t>13</w:t>
            </w:r>
          </w:p>
        </w:tc>
        <w:tc>
          <w:tcPr>
            <w:tcW w:w="1856" w:type="dxa"/>
            <w:vAlign w:val="center"/>
          </w:tcPr>
          <w:p w14:paraId="6DEAE234"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20.6%</w:t>
            </w:r>
          </w:p>
        </w:tc>
        <w:tc>
          <w:tcPr>
            <w:tcW w:w="1426" w:type="dxa"/>
            <w:vMerge/>
          </w:tcPr>
          <w:p w14:paraId="66F4DEB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c>
          <w:tcPr>
            <w:tcW w:w="1855" w:type="dxa"/>
            <w:vMerge/>
          </w:tcPr>
          <w:p w14:paraId="5B11468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r>
      <w:tr w:rsidR="002874C7" w:rsidRPr="00545ABB" w14:paraId="29CBA8C9" w14:textId="77777777" w:rsidTr="005962D7">
        <w:trPr>
          <w:trHeight w:val="268"/>
        </w:trPr>
        <w:tc>
          <w:tcPr>
            <w:tcW w:w="345" w:type="dxa"/>
            <w:tcBorders>
              <w:left w:val="thickThinSmallGap" w:sz="24" w:space="0" w:color="auto"/>
            </w:tcBorders>
          </w:tcPr>
          <w:p w14:paraId="62EEA79D"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4</w:t>
            </w:r>
          </w:p>
        </w:tc>
        <w:tc>
          <w:tcPr>
            <w:tcW w:w="2431" w:type="dxa"/>
          </w:tcPr>
          <w:p w14:paraId="78A11D54"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أكثر من (50)</w:t>
            </w:r>
          </w:p>
        </w:tc>
        <w:tc>
          <w:tcPr>
            <w:tcW w:w="930" w:type="dxa"/>
            <w:vAlign w:val="center"/>
          </w:tcPr>
          <w:p w14:paraId="57EF23E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r w:rsidRPr="00545ABB">
              <w:rPr>
                <w:rFonts w:ascii="Traditional Arabic" w:hAnsi="Traditional Arabic" w:cs="Traditional Arabic"/>
                <w:color w:val="000000" w:themeColor="text1"/>
                <w:rtl/>
              </w:rPr>
              <w:t>14</w:t>
            </w:r>
          </w:p>
        </w:tc>
        <w:tc>
          <w:tcPr>
            <w:tcW w:w="1856" w:type="dxa"/>
            <w:vAlign w:val="center"/>
          </w:tcPr>
          <w:p w14:paraId="0C41A05A"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22.2%</w:t>
            </w:r>
          </w:p>
        </w:tc>
        <w:tc>
          <w:tcPr>
            <w:tcW w:w="1426" w:type="dxa"/>
            <w:vMerge/>
          </w:tcPr>
          <w:p w14:paraId="4CB1561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p>
        </w:tc>
        <w:tc>
          <w:tcPr>
            <w:tcW w:w="1855" w:type="dxa"/>
            <w:vMerge/>
          </w:tcPr>
          <w:p w14:paraId="4A408F7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p>
        </w:tc>
      </w:tr>
    </w:tbl>
    <w:p w14:paraId="0516EC7B"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5B7AECC5" w14:textId="196167C7" w:rsidR="002874C7" w:rsidRPr="00545ABB" w:rsidRDefault="002874C7" w:rsidP="00B760B2">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B760B2">
        <w:rPr>
          <w:rFonts w:ascii="Traditional Arabic" w:hAnsi="Traditional Arabic" w:cs="Traditional Arabic" w:hint="cs"/>
          <w:color w:val="000000" w:themeColor="text1"/>
          <w:sz w:val="28"/>
          <w:szCs w:val="28"/>
          <w:rtl/>
          <w:lang w:bidi="ar-EG"/>
        </w:rPr>
        <w:t>2</w:t>
      </w:r>
      <w:r w:rsidR="00B760B2" w:rsidRPr="00B760B2">
        <w:rPr>
          <w:rFonts w:ascii="Traditional Arabic" w:hAnsi="Traditional Arabic" w:cs="Traditional Arabic"/>
          <w:color w:val="000000" w:themeColor="text1"/>
          <w:sz w:val="28"/>
          <w:szCs w:val="28"/>
          <w:rtl/>
          <w:lang w:bidi="ar-EG"/>
        </w:rPr>
        <w:t>)</w:t>
      </w:r>
      <w:r w:rsidR="00B760B2">
        <w:rPr>
          <w:rFonts w:ascii="Traditional Arabic" w:hAnsi="Traditional Arabic" w:cs="Traditional Arabic" w:hint="cs"/>
          <w:color w:val="000000" w:themeColor="text1"/>
          <w:sz w:val="28"/>
          <w:szCs w:val="28"/>
          <w:rtl/>
          <w:lang w:bidi="ar-EG"/>
        </w:rPr>
        <w:t xml:space="preserve"> </w:t>
      </w:r>
      <w:r w:rsidRPr="00545ABB">
        <w:rPr>
          <w:rFonts w:ascii="Traditional Arabic" w:hAnsi="Traditional Arabic" w:cs="Traditional Arabic"/>
          <w:color w:val="000000" w:themeColor="text1"/>
          <w:sz w:val="28"/>
          <w:szCs w:val="28"/>
          <w:rtl/>
          <w:lang w:bidi="ar-EG"/>
        </w:rPr>
        <w:t xml:space="preserve"> والخاص بتوزيع عينة الدراسة وفقاً للسن حيث جاء في الترتيب الأول: الفئة العمرية أقل من (30) سنة بنسبة (</w:t>
      </w:r>
      <w:r w:rsidRPr="00545ABB">
        <w:rPr>
          <w:rFonts w:ascii="Traditional Arabic" w:hAnsi="Traditional Arabic" w:cs="Traditional Arabic"/>
          <w:color w:val="000000" w:themeColor="text1"/>
          <w:sz w:val="28"/>
          <w:szCs w:val="28"/>
          <w:rtl/>
        </w:rPr>
        <w:t>33.3%)</w:t>
      </w:r>
      <w:r w:rsidRPr="00545ABB">
        <w:rPr>
          <w:rFonts w:ascii="Traditional Arabic" w:hAnsi="Traditional Arabic" w:cs="Traditional Arabic"/>
          <w:color w:val="000000" w:themeColor="text1"/>
          <w:sz w:val="28"/>
          <w:szCs w:val="28"/>
          <w:rtl/>
          <w:lang w:bidi="ar-EG"/>
        </w:rPr>
        <w:t>، وجاء في الترتيب الثاني: الفئة العمرية من (30) إلى أقل من (40) سنة بنسبة (</w:t>
      </w:r>
      <w:r w:rsidRPr="00545ABB">
        <w:rPr>
          <w:rFonts w:ascii="Traditional Arabic" w:hAnsi="Traditional Arabic" w:cs="Traditional Arabic"/>
          <w:color w:val="000000" w:themeColor="text1"/>
          <w:sz w:val="28"/>
          <w:szCs w:val="28"/>
          <w:rtl/>
        </w:rPr>
        <w:t>23.8%</w:t>
      </w:r>
      <w:r w:rsidRPr="00545ABB">
        <w:rPr>
          <w:rFonts w:ascii="Traditional Arabic" w:hAnsi="Traditional Arabic" w:cs="Traditional Arabic"/>
          <w:color w:val="000000" w:themeColor="text1"/>
          <w:sz w:val="28"/>
          <w:szCs w:val="28"/>
          <w:rtl/>
          <w:lang w:bidi="ar-EG"/>
        </w:rPr>
        <w:t>)، وجاء في الترتيب الثالث: الفئة العمرية أكثر من (50) سنة بنسبة (</w:t>
      </w:r>
      <w:r w:rsidRPr="00545ABB">
        <w:rPr>
          <w:rFonts w:ascii="Traditional Arabic" w:hAnsi="Traditional Arabic" w:cs="Traditional Arabic"/>
          <w:color w:val="000000" w:themeColor="text1"/>
          <w:sz w:val="28"/>
          <w:szCs w:val="28"/>
          <w:rtl/>
        </w:rPr>
        <w:t>22.2%</w:t>
      </w:r>
      <w:r w:rsidRPr="00545ABB">
        <w:rPr>
          <w:rFonts w:ascii="Traditional Arabic" w:hAnsi="Traditional Arabic" w:cs="Traditional Arabic"/>
          <w:color w:val="000000" w:themeColor="text1"/>
          <w:sz w:val="28"/>
          <w:szCs w:val="28"/>
          <w:rtl/>
          <w:lang w:bidi="ar-EG"/>
        </w:rPr>
        <w:t>)، جاء في الترتيب الرابع والأخير: الفئة العمرية من (40) إلى أقل من (50) سنة بنسبة (</w:t>
      </w:r>
      <w:r w:rsidRPr="00545ABB">
        <w:rPr>
          <w:rFonts w:ascii="Traditional Arabic" w:hAnsi="Traditional Arabic" w:cs="Traditional Arabic"/>
          <w:color w:val="000000" w:themeColor="text1"/>
          <w:sz w:val="28"/>
          <w:szCs w:val="28"/>
          <w:rtl/>
        </w:rPr>
        <w:t>20.6%</w:t>
      </w:r>
      <w:r w:rsidRPr="00545ABB">
        <w:rPr>
          <w:rFonts w:ascii="Traditional Arabic" w:hAnsi="Traditional Arabic" w:cs="Traditional Arabic"/>
          <w:color w:val="000000" w:themeColor="text1"/>
          <w:sz w:val="28"/>
          <w:szCs w:val="28"/>
          <w:rtl/>
          <w:lang w:bidi="ar-EG"/>
        </w:rPr>
        <w:t xml:space="preserve">). </w:t>
      </w:r>
    </w:p>
    <w:p w14:paraId="15DA235A" w14:textId="7EB2E15E" w:rsidR="002874C7" w:rsidRPr="00545ABB" w:rsidRDefault="002874C7" w:rsidP="00B760B2">
      <w:pPr>
        <w:tabs>
          <w:tab w:val="left" w:pos="1087"/>
        </w:tabs>
        <w:spacing w:after="0" w:line="360" w:lineRule="auto"/>
        <w:ind w:left="357"/>
        <w:jc w:val="center"/>
        <w:rPr>
          <w:rFonts w:ascii="Traditional Arabic" w:hAnsi="Traditional Arabic" w:cs="Traditional Arabic"/>
          <w:b/>
          <w:bCs/>
          <w:color w:val="000000" w:themeColor="text1"/>
          <w:sz w:val="28"/>
          <w:szCs w:val="28"/>
          <w:lang w:bidi="ar-EG"/>
        </w:rPr>
      </w:pPr>
      <w:r w:rsidRPr="00545ABB">
        <w:rPr>
          <w:rFonts w:ascii="Traditional Arabic" w:hAnsi="Traditional Arabic" w:cs="Traditional Arabic"/>
          <w:noProof/>
          <w:color w:val="000000" w:themeColor="text1"/>
          <w:rtl/>
        </w:rPr>
        <mc:AlternateContent>
          <mc:Choice Requires="wps">
            <w:drawing>
              <wp:anchor distT="0" distB="0" distL="114300" distR="114300" simplePos="0" relativeHeight="251684352" behindDoc="0" locked="0" layoutInCell="1" allowOverlap="1" wp14:anchorId="72730D86" wp14:editId="42DAB947">
                <wp:simplePos x="0" y="0"/>
                <wp:positionH relativeFrom="column">
                  <wp:posOffset>49530</wp:posOffset>
                </wp:positionH>
                <wp:positionV relativeFrom="paragraph">
                  <wp:posOffset>190500</wp:posOffset>
                </wp:positionV>
                <wp:extent cx="819150" cy="371475"/>
                <wp:effectExtent l="0" t="0" r="0" b="9525"/>
                <wp:wrapNone/>
                <wp:docPr id="15537143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093C1"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30D86" id="_x0000_s1032" style="position:absolute;left:0;text-align:left;margin-left:3.9pt;margin-top:15pt;width:64.5pt;height:29.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" filled="f" stroked="f">
                <v:textbox>
                  <w:txbxContent>
                    <w:p w14:paraId="73F093C1"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B760B2">
        <w:rPr>
          <w:rFonts w:ascii="Traditional Arabic" w:hAnsi="Traditional Arabic" w:cs="Traditional Arabic" w:hint="cs"/>
          <w:b/>
          <w:bCs/>
          <w:color w:val="000000" w:themeColor="text1"/>
          <w:sz w:val="28"/>
          <w:szCs w:val="28"/>
          <w:rtl/>
          <w:lang w:bidi="ar-EG"/>
        </w:rPr>
        <w:t>3</w:t>
      </w:r>
      <w:r w:rsidR="00B760B2" w:rsidRPr="00B760B2">
        <w:rPr>
          <w:rFonts w:ascii="Traditional Arabic" w:hAnsi="Traditional Arabic" w:cs="Traditional Arabic"/>
          <w:b/>
          <w:bCs/>
          <w:color w:val="000000" w:themeColor="text1"/>
          <w:sz w:val="28"/>
          <w:szCs w:val="28"/>
          <w:rtl/>
          <w:lang w:bidi="ar-EG"/>
        </w:rPr>
        <w:t>)</w:t>
      </w:r>
      <w:r w:rsidR="00B760B2">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 xml:space="preserve">يوضح توزيع </w:t>
      </w:r>
      <w:r w:rsidRPr="00545ABB">
        <w:rPr>
          <w:rFonts w:ascii="Traditional Arabic" w:hAnsi="Traditional Arabic" w:cs="Traditional Arabic"/>
          <w:b/>
          <w:bCs/>
          <w:color w:val="000000" w:themeColor="text1"/>
          <w:sz w:val="28"/>
          <w:szCs w:val="28"/>
          <w:rtl/>
          <w:lang w:bidi="ar-EG"/>
        </w:rPr>
        <w:t>عينة الدراسة وفقاً للمؤهل العلمي</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545ABB" w14:paraId="46F4C9F0" w14:textId="77777777" w:rsidTr="002174D5">
        <w:trPr>
          <w:trHeight w:val="210"/>
        </w:trPr>
        <w:tc>
          <w:tcPr>
            <w:tcW w:w="345" w:type="dxa"/>
            <w:tcBorders>
              <w:top w:val="thinThickSmallGap" w:sz="24" w:space="0" w:color="auto"/>
              <w:left w:val="thickThinSmallGap" w:sz="24" w:space="0" w:color="auto"/>
              <w:bottom w:val="thickThinSmallGap" w:sz="24" w:space="0" w:color="auto"/>
            </w:tcBorders>
            <w:shd w:val="clear" w:color="auto" w:fill="8DB3E2" w:themeFill="text2" w:themeFillTint="66"/>
            <w:vAlign w:val="center"/>
          </w:tcPr>
          <w:p w14:paraId="6C8AE8B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م</w:t>
            </w:r>
          </w:p>
        </w:tc>
        <w:tc>
          <w:tcPr>
            <w:tcW w:w="2431" w:type="dxa"/>
            <w:tcBorders>
              <w:top w:val="thinThickSmallGap" w:sz="24" w:space="0" w:color="auto"/>
              <w:bottom w:val="thickThinSmallGap" w:sz="24" w:space="0" w:color="auto"/>
            </w:tcBorders>
            <w:shd w:val="clear" w:color="auto" w:fill="8DB3E2" w:themeFill="text2" w:themeFillTint="66"/>
            <w:vAlign w:val="center"/>
          </w:tcPr>
          <w:p w14:paraId="280FB1F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السن</w:t>
            </w:r>
          </w:p>
        </w:tc>
        <w:tc>
          <w:tcPr>
            <w:tcW w:w="930" w:type="dxa"/>
            <w:tcBorders>
              <w:top w:val="thinThickSmallGap" w:sz="24" w:space="0" w:color="auto"/>
              <w:bottom w:val="thickThinSmallGap" w:sz="24" w:space="0" w:color="auto"/>
            </w:tcBorders>
            <w:shd w:val="clear" w:color="auto" w:fill="8DB3E2" w:themeFill="text2" w:themeFillTint="66"/>
            <w:vAlign w:val="center"/>
          </w:tcPr>
          <w:p w14:paraId="7D2A3A3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التكرار</w:t>
            </w:r>
          </w:p>
        </w:tc>
        <w:tc>
          <w:tcPr>
            <w:tcW w:w="1856" w:type="dxa"/>
            <w:tcBorders>
              <w:top w:val="thinThickSmallGap" w:sz="24" w:space="0" w:color="auto"/>
              <w:bottom w:val="thickThinSmallGap" w:sz="24" w:space="0" w:color="auto"/>
            </w:tcBorders>
            <w:shd w:val="clear" w:color="auto" w:fill="8DB3E2" w:themeFill="text2" w:themeFillTint="66"/>
            <w:vAlign w:val="center"/>
          </w:tcPr>
          <w:p w14:paraId="5807939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النسبة المئوية</w:t>
            </w:r>
          </w:p>
        </w:tc>
        <w:tc>
          <w:tcPr>
            <w:tcW w:w="1426" w:type="dxa"/>
            <w:tcBorders>
              <w:top w:val="thinThickSmallGap" w:sz="24" w:space="0" w:color="auto"/>
              <w:bottom w:val="thickThinSmallGap" w:sz="24" w:space="0" w:color="auto"/>
            </w:tcBorders>
            <w:shd w:val="clear" w:color="auto" w:fill="8DB3E2" w:themeFill="text2" w:themeFillTint="66"/>
          </w:tcPr>
          <w:p w14:paraId="35B5D26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المتوسط</w:t>
            </w:r>
          </w:p>
        </w:tc>
        <w:tc>
          <w:tcPr>
            <w:tcW w:w="1855" w:type="dxa"/>
            <w:tcBorders>
              <w:top w:val="thinThickSmallGap" w:sz="24" w:space="0" w:color="auto"/>
              <w:bottom w:val="thickThinSmallGap" w:sz="24" w:space="0" w:color="auto"/>
            </w:tcBorders>
            <w:shd w:val="clear" w:color="auto" w:fill="8DB3E2" w:themeFill="text2" w:themeFillTint="66"/>
          </w:tcPr>
          <w:p w14:paraId="1B55D5B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الانحراف المعياري</w:t>
            </w:r>
          </w:p>
        </w:tc>
      </w:tr>
      <w:tr w:rsidR="002874C7" w:rsidRPr="00545ABB" w14:paraId="6CEE47AE" w14:textId="77777777" w:rsidTr="005962D7">
        <w:trPr>
          <w:trHeight w:val="294"/>
        </w:trPr>
        <w:tc>
          <w:tcPr>
            <w:tcW w:w="345" w:type="dxa"/>
            <w:tcBorders>
              <w:top w:val="thickThinSmallGap" w:sz="24" w:space="0" w:color="auto"/>
              <w:left w:val="thickThinSmallGap" w:sz="24" w:space="0" w:color="auto"/>
            </w:tcBorders>
          </w:tcPr>
          <w:p w14:paraId="37F3CAB7"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w:t>
            </w:r>
          </w:p>
        </w:tc>
        <w:tc>
          <w:tcPr>
            <w:tcW w:w="2431" w:type="dxa"/>
            <w:tcBorders>
              <w:top w:val="thickThinSmallGap" w:sz="24" w:space="0" w:color="auto"/>
            </w:tcBorders>
          </w:tcPr>
          <w:p w14:paraId="1EB48FBF"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بكالوريوس</w:t>
            </w:r>
          </w:p>
        </w:tc>
        <w:tc>
          <w:tcPr>
            <w:tcW w:w="930" w:type="dxa"/>
            <w:tcBorders>
              <w:top w:val="thickThinSmallGap" w:sz="24" w:space="0" w:color="auto"/>
            </w:tcBorders>
            <w:vAlign w:val="center"/>
          </w:tcPr>
          <w:p w14:paraId="0FFB4DE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22</w:t>
            </w:r>
          </w:p>
        </w:tc>
        <w:tc>
          <w:tcPr>
            <w:tcW w:w="1856" w:type="dxa"/>
            <w:tcBorders>
              <w:top w:val="thickThinSmallGap" w:sz="24" w:space="0" w:color="auto"/>
            </w:tcBorders>
            <w:vAlign w:val="center"/>
          </w:tcPr>
          <w:p w14:paraId="36E7931F"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rPr>
              <w:t>34.9%</w:t>
            </w:r>
          </w:p>
        </w:tc>
        <w:tc>
          <w:tcPr>
            <w:tcW w:w="1426" w:type="dxa"/>
            <w:vMerge w:val="restart"/>
            <w:tcBorders>
              <w:top w:val="thickThinSmallGap" w:sz="24" w:space="0" w:color="auto"/>
            </w:tcBorders>
            <w:vAlign w:val="center"/>
          </w:tcPr>
          <w:p w14:paraId="6D03D2B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1.97</w:t>
            </w:r>
          </w:p>
        </w:tc>
        <w:tc>
          <w:tcPr>
            <w:tcW w:w="1855" w:type="dxa"/>
            <w:vMerge w:val="restart"/>
            <w:tcBorders>
              <w:top w:val="thickThinSmallGap" w:sz="24" w:space="0" w:color="auto"/>
            </w:tcBorders>
            <w:vAlign w:val="center"/>
          </w:tcPr>
          <w:p w14:paraId="46B6C69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0.82</w:t>
            </w:r>
          </w:p>
        </w:tc>
      </w:tr>
      <w:tr w:rsidR="002874C7" w:rsidRPr="00545ABB" w14:paraId="0EBF72FB" w14:textId="77777777" w:rsidTr="005962D7">
        <w:trPr>
          <w:trHeight w:val="328"/>
        </w:trPr>
        <w:tc>
          <w:tcPr>
            <w:tcW w:w="345" w:type="dxa"/>
            <w:tcBorders>
              <w:left w:val="thickThinSmallGap" w:sz="24" w:space="0" w:color="auto"/>
            </w:tcBorders>
          </w:tcPr>
          <w:p w14:paraId="0C40C577"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w:t>
            </w:r>
          </w:p>
        </w:tc>
        <w:tc>
          <w:tcPr>
            <w:tcW w:w="2431" w:type="dxa"/>
          </w:tcPr>
          <w:p w14:paraId="2BE42566"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 xml:space="preserve">ماجستير </w:t>
            </w:r>
          </w:p>
        </w:tc>
        <w:tc>
          <w:tcPr>
            <w:tcW w:w="930" w:type="dxa"/>
            <w:vAlign w:val="center"/>
          </w:tcPr>
          <w:p w14:paraId="6A7B724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21</w:t>
            </w:r>
          </w:p>
        </w:tc>
        <w:tc>
          <w:tcPr>
            <w:tcW w:w="1856" w:type="dxa"/>
            <w:vAlign w:val="center"/>
          </w:tcPr>
          <w:p w14:paraId="1CDAE3EF"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33.3%</w:t>
            </w:r>
          </w:p>
        </w:tc>
        <w:tc>
          <w:tcPr>
            <w:tcW w:w="1426" w:type="dxa"/>
            <w:vMerge/>
          </w:tcPr>
          <w:p w14:paraId="146703C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c>
          <w:tcPr>
            <w:tcW w:w="1855" w:type="dxa"/>
            <w:vMerge/>
          </w:tcPr>
          <w:p w14:paraId="4F085C0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p>
        </w:tc>
      </w:tr>
      <w:tr w:rsidR="002874C7" w:rsidRPr="00545ABB" w14:paraId="0BFD5347" w14:textId="77777777" w:rsidTr="005962D7">
        <w:trPr>
          <w:trHeight w:val="214"/>
        </w:trPr>
        <w:tc>
          <w:tcPr>
            <w:tcW w:w="345" w:type="dxa"/>
            <w:tcBorders>
              <w:left w:val="thickThinSmallGap" w:sz="24" w:space="0" w:color="auto"/>
            </w:tcBorders>
          </w:tcPr>
          <w:p w14:paraId="61AAB304"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w:t>
            </w:r>
          </w:p>
        </w:tc>
        <w:tc>
          <w:tcPr>
            <w:tcW w:w="2431" w:type="dxa"/>
          </w:tcPr>
          <w:p w14:paraId="6CA28441"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دكتوراة</w:t>
            </w:r>
          </w:p>
        </w:tc>
        <w:tc>
          <w:tcPr>
            <w:tcW w:w="930" w:type="dxa"/>
            <w:vAlign w:val="center"/>
          </w:tcPr>
          <w:p w14:paraId="31B8AFB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r w:rsidRPr="00545ABB">
              <w:rPr>
                <w:rFonts w:ascii="Traditional Arabic" w:hAnsi="Traditional Arabic" w:cs="Traditional Arabic"/>
                <w:color w:val="000000" w:themeColor="text1"/>
                <w:rtl/>
              </w:rPr>
              <w:t>20</w:t>
            </w:r>
          </w:p>
        </w:tc>
        <w:tc>
          <w:tcPr>
            <w:tcW w:w="1856" w:type="dxa"/>
            <w:vAlign w:val="center"/>
          </w:tcPr>
          <w:p w14:paraId="1539F44C"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31.7%</w:t>
            </w:r>
          </w:p>
        </w:tc>
        <w:tc>
          <w:tcPr>
            <w:tcW w:w="1426" w:type="dxa"/>
            <w:vMerge/>
          </w:tcPr>
          <w:p w14:paraId="6B5DC1E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c>
          <w:tcPr>
            <w:tcW w:w="1855" w:type="dxa"/>
            <w:vMerge/>
          </w:tcPr>
          <w:p w14:paraId="06E4A0E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r>
    </w:tbl>
    <w:p w14:paraId="1070755B"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p>
    <w:p w14:paraId="4552DE21"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17206910" w14:textId="4E6168A3" w:rsidR="002874C7" w:rsidRPr="00545ABB" w:rsidRDefault="002874C7" w:rsidP="00022590">
      <w:pPr>
        <w:spacing w:after="0" w:line="360" w:lineRule="auto"/>
        <w:ind w:firstLine="357"/>
        <w:contextualSpacing/>
        <w:jc w:val="lowKashida"/>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lang w:bidi="ar-EG"/>
        </w:rPr>
        <w:t>تشير نتائج الجدول السابق رقم (</w:t>
      </w:r>
      <w:r w:rsidR="002B0AD5" w:rsidRPr="00545ABB">
        <w:rPr>
          <w:rFonts w:ascii="Traditional Arabic" w:hAnsi="Traditional Arabic" w:cs="Traditional Arabic"/>
          <w:color w:val="000000" w:themeColor="text1"/>
          <w:sz w:val="28"/>
          <w:szCs w:val="28"/>
          <w:rtl/>
          <w:lang w:bidi="ar-EG"/>
        </w:rPr>
        <w:t>6</w:t>
      </w:r>
      <w:r w:rsidRPr="00545ABB">
        <w:rPr>
          <w:rFonts w:ascii="Traditional Arabic" w:hAnsi="Traditional Arabic" w:cs="Traditional Arabic"/>
          <w:color w:val="000000" w:themeColor="text1"/>
          <w:sz w:val="28"/>
          <w:szCs w:val="28"/>
          <w:rtl/>
          <w:lang w:bidi="ar-EG"/>
        </w:rPr>
        <w:t>) والخاص بتوزيع عينة الدراسة وفقاً للمؤهل العلمي حيث جاء في الترتيب الأول: الحاصلين على البكالوريوس بنسبة (34.9%)، وجاء في الترتيب الثاني: الحاصلين على درجة الماجستير بنسبة (33.3%)، وجاء في الترتيب الثالث: الحاصلين على درجة الدكتوراة بنسبة (31.7%).</w:t>
      </w:r>
    </w:p>
    <w:p w14:paraId="516B52D1" w14:textId="68BA4699" w:rsidR="002874C7" w:rsidRPr="00545ABB" w:rsidRDefault="002874C7" w:rsidP="00B760B2">
      <w:pPr>
        <w:tabs>
          <w:tab w:val="left" w:pos="1087"/>
        </w:tabs>
        <w:spacing w:after="0" w:line="360" w:lineRule="auto"/>
        <w:ind w:left="357"/>
        <w:jc w:val="center"/>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noProof/>
          <w:color w:val="000000" w:themeColor="text1"/>
          <w:rtl/>
        </w:rPr>
        <mc:AlternateContent>
          <mc:Choice Requires="wps">
            <w:drawing>
              <wp:anchor distT="0" distB="0" distL="114300" distR="114300" simplePos="0" relativeHeight="251685376" behindDoc="0" locked="0" layoutInCell="1" allowOverlap="1" wp14:anchorId="5C02AC56" wp14:editId="6D9A4D62">
                <wp:simplePos x="0" y="0"/>
                <wp:positionH relativeFrom="column">
                  <wp:posOffset>118110</wp:posOffset>
                </wp:positionH>
                <wp:positionV relativeFrom="paragraph">
                  <wp:posOffset>121285</wp:posOffset>
                </wp:positionV>
                <wp:extent cx="819150" cy="371475"/>
                <wp:effectExtent l="0" t="0" r="0" b="9525"/>
                <wp:wrapNone/>
                <wp:docPr id="124407429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5B05A"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2AC56" id="_x0000_s1033" style="position:absolute;left:0;text-align:left;margin-left:9.3pt;margin-top:9.55pt;width:64.5pt;height:29.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" filled="f" stroked="f">
                <v:textbox>
                  <w:txbxContent>
                    <w:p w14:paraId="0205B05A"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B760B2">
        <w:rPr>
          <w:rFonts w:ascii="Traditional Arabic" w:hAnsi="Traditional Arabic" w:cs="Traditional Arabic" w:hint="cs"/>
          <w:b/>
          <w:bCs/>
          <w:color w:val="000000" w:themeColor="text1"/>
          <w:sz w:val="28"/>
          <w:szCs w:val="28"/>
          <w:rtl/>
          <w:lang w:bidi="ar-EG"/>
        </w:rPr>
        <w:t>4</w:t>
      </w:r>
      <w:r w:rsidR="00B760B2" w:rsidRPr="00B760B2">
        <w:rPr>
          <w:rFonts w:ascii="Traditional Arabic" w:hAnsi="Traditional Arabic" w:cs="Traditional Arabic"/>
          <w:b/>
          <w:bCs/>
          <w:color w:val="000000" w:themeColor="text1"/>
          <w:sz w:val="28"/>
          <w:szCs w:val="28"/>
          <w:rtl/>
          <w:lang w:bidi="ar-EG"/>
        </w:rPr>
        <w:t>)</w:t>
      </w:r>
      <w:r w:rsidR="00B760B2">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 xml:space="preserve">يوضح توزيع </w:t>
      </w:r>
      <w:r w:rsidRPr="00545ABB">
        <w:rPr>
          <w:rFonts w:ascii="Traditional Arabic" w:hAnsi="Traditional Arabic" w:cs="Traditional Arabic"/>
          <w:b/>
          <w:bCs/>
          <w:color w:val="000000" w:themeColor="text1"/>
          <w:sz w:val="28"/>
          <w:szCs w:val="28"/>
          <w:rtl/>
          <w:lang w:bidi="ar-EG"/>
        </w:rPr>
        <w:t>عينة الدراسة وفقاً لسنوات الخبرة</w:t>
      </w:r>
    </w:p>
    <w:tbl>
      <w:tblPr>
        <w:tblpPr w:leftFromText="180" w:rightFromText="180" w:vertAnchor="text" w:horzAnchor="margin" w:tblpY="319"/>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545ABB" w14:paraId="75BC3467" w14:textId="77777777" w:rsidTr="002174D5">
        <w:trPr>
          <w:trHeight w:val="210"/>
        </w:trPr>
        <w:tc>
          <w:tcPr>
            <w:tcW w:w="345" w:type="dxa"/>
            <w:tcBorders>
              <w:top w:val="thinThickSmallGap" w:sz="24" w:space="0" w:color="auto"/>
              <w:left w:val="thickThinSmallGap" w:sz="24" w:space="0" w:color="auto"/>
              <w:bottom w:val="thickThinSmallGap" w:sz="24" w:space="0" w:color="auto"/>
            </w:tcBorders>
            <w:shd w:val="clear" w:color="auto" w:fill="8DB3E2" w:themeFill="text2" w:themeFillTint="66"/>
            <w:vAlign w:val="center"/>
          </w:tcPr>
          <w:p w14:paraId="1D550B1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م</w:t>
            </w:r>
          </w:p>
        </w:tc>
        <w:tc>
          <w:tcPr>
            <w:tcW w:w="2431" w:type="dxa"/>
            <w:tcBorders>
              <w:top w:val="thinThickSmallGap" w:sz="24" w:space="0" w:color="auto"/>
              <w:bottom w:val="thickThinSmallGap" w:sz="24" w:space="0" w:color="auto"/>
            </w:tcBorders>
            <w:shd w:val="clear" w:color="auto" w:fill="8DB3E2" w:themeFill="text2" w:themeFillTint="66"/>
            <w:vAlign w:val="center"/>
          </w:tcPr>
          <w:p w14:paraId="62986D0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السن</w:t>
            </w:r>
          </w:p>
        </w:tc>
        <w:tc>
          <w:tcPr>
            <w:tcW w:w="930" w:type="dxa"/>
            <w:tcBorders>
              <w:top w:val="thinThickSmallGap" w:sz="24" w:space="0" w:color="auto"/>
              <w:bottom w:val="thickThinSmallGap" w:sz="24" w:space="0" w:color="auto"/>
            </w:tcBorders>
            <w:shd w:val="clear" w:color="auto" w:fill="8DB3E2" w:themeFill="text2" w:themeFillTint="66"/>
            <w:vAlign w:val="center"/>
          </w:tcPr>
          <w:p w14:paraId="0C9B1A9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التكرار</w:t>
            </w:r>
          </w:p>
        </w:tc>
        <w:tc>
          <w:tcPr>
            <w:tcW w:w="1856" w:type="dxa"/>
            <w:tcBorders>
              <w:top w:val="thinThickSmallGap" w:sz="24" w:space="0" w:color="auto"/>
              <w:bottom w:val="thickThinSmallGap" w:sz="24" w:space="0" w:color="auto"/>
            </w:tcBorders>
            <w:shd w:val="clear" w:color="auto" w:fill="8DB3E2" w:themeFill="text2" w:themeFillTint="66"/>
            <w:vAlign w:val="center"/>
          </w:tcPr>
          <w:p w14:paraId="3558723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النسبة المئوية</w:t>
            </w:r>
          </w:p>
        </w:tc>
        <w:tc>
          <w:tcPr>
            <w:tcW w:w="1426" w:type="dxa"/>
            <w:tcBorders>
              <w:top w:val="thinThickSmallGap" w:sz="24" w:space="0" w:color="auto"/>
              <w:bottom w:val="thickThinSmallGap" w:sz="24" w:space="0" w:color="auto"/>
            </w:tcBorders>
            <w:shd w:val="clear" w:color="auto" w:fill="8DB3E2" w:themeFill="text2" w:themeFillTint="66"/>
          </w:tcPr>
          <w:p w14:paraId="1D2293E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المتوسط</w:t>
            </w:r>
          </w:p>
        </w:tc>
        <w:tc>
          <w:tcPr>
            <w:tcW w:w="1855" w:type="dxa"/>
            <w:tcBorders>
              <w:top w:val="thinThickSmallGap" w:sz="24" w:space="0" w:color="auto"/>
              <w:bottom w:val="thickThinSmallGap" w:sz="24" w:space="0" w:color="auto"/>
            </w:tcBorders>
            <w:shd w:val="clear" w:color="auto" w:fill="8DB3E2" w:themeFill="text2" w:themeFillTint="66"/>
          </w:tcPr>
          <w:p w14:paraId="528FE7C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الانحراف المعياري</w:t>
            </w:r>
          </w:p>
        </w:tc>
      </w:tr>
      <w:tr w:rsidR="002874C7" w:rsidRPr="00545ABB" w14:paraId="22E429B3" w14:textId="77777777" w:rsidTr="005962D7">
        <w:trPr>
          <w:trHeight w:val="294"/>
        </w:trPr>
        <w:tc>
          <w:tcPr>
            <w:tcW w:w="345" w:type="dxa"/>
            <w:tcBorders>
              <w:top w:val="thickThinSmallGap" w:sz="24" w:space="0" w:color="auto"/>
              <w:left w:val="thickThinSmallGap" w:sz="24" w:space="0" w:color="auto"/>
            </w:tcBorders>
          </w:tcPr>
          <w:p w14:paraId="50335591"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w:t>
            </w:r>
          </w:p>
        </w:tc>
        <w:tc>
          <w:tcPr>
            <w:tcW w:w="2431" w:type="dxa"/>
            <w:tcBorders>
              <w:top w:val="thickThinSmallGap" w:sz="24" w:space="0" w:color="auto"/>
            </w:tcBorders>
          </w:tcPr>
          <w:p w14:paraId="5C668925"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أقل من (5) سنوات</w:t>
            </w:r>
          </w:p>
        </w:tc>
        <w:tc>
          <w:tcPr>
            <w:tcW w:w="930" w:type="dxa"/>
            <w:tcBorders>
              <w:top w:val="thickThinSmallGap" w:sz="24" w:space="0" w:color="auto"/>
            </w:tcBorders>
            <w:vAlign w:val="center"/>
          </w:tcPr>
          <w:p w14:paraId="64A838B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16</w:t>
            </w:r>
          </w:p>
        </w:tc>
        <w:tc>
          <w:tcPr>
            <w:tcW w:w="1856" w:type="dxa"/>
            <w:tcBorders>
              <w:top w:val="thickThinSmallGap" w:sz="24" w:space="0" w:color="auto"/>
            </w:tcBorders>
            <w:vAlign w:val="center"/>
          </w:tcPr>
          <w:p w14:paraId="2495A4DF"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rPr>
              <w:t>25.4%</w:t>
            </w:r>
          </w:p>
        </w:tc>
        <w:tc>
          <w:tcPr>
            <w:tcW w:w="1426" w:type="dxa"/>
            <w:vMerge w:val="restart"/>
            <w:tcBorders>
              <w:top w:val="thickThinSmallGap" w:sz="24" w:space="0" w:color="auto"/>
            </w:tcBorders>
            <w:vAlign w:val="center"/>
          </w:tcPr>
          <w:p w14:paraId="1BE2BC4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11.15</w:t>
            </w:r>
          </w:p>
        </w:tc>
        <w:tc>
          <w:tcPr>
            <w:tcW w:w="1855" w:type="dxa"/>
            <w:vMerge w:val="restart"/>
            <w:tcBorders>
              <w:top w:val="thickThinSmallGap" w:sz="24" w:space="0" w:color="auto"/>
            </w:tcBorders>
            <w:vAlign w:val="center"/>
          </w:tcPr>
          <w:p w14:paraId="645EC62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5.88</w:t>
            </w:r>
          </w:p>
        </w:tc>
      </w:tr>
      <w:tr w:rsidR="002874C7" w:rsidRPr="00545ABB" w14:paraId="1D6255FE" w14:textId="77777777" w:rsidTr="005962D7">
        <w:trPr>
          <w:trHeight w:val="328"/>
        </w:trPr>
        <w:tc>
          <w:tcPr>
            <w:tcW w:w="345" w:type="dxa"/>
            <w:tcBorders>
              <w:left w:val="thickThinSmallGap" w:sz="24" w:space="0" w:color="auto"/>
            </w:tcBorders>
          </w:tcPr>
          <w:p w14:paraId="26206A9B"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w:t>
            </w:r>
          </w:p>
        </w:tc>
        <w:tc>
          <w:tcPr>
            <w:tcW w:w="2431" w:type="dxa"/>
          </w:tcPr>
          <w:p w14:paraId="44A68716"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من (5) إلى أقل من (10)</w:t>
            </w:r>
          </w:p>
        </w:tc>
        <w:tc>
          <w:tcPr>
            <w:tcW w:w="930" w:type="dxa"/>
            <w:vAlign w:val="center"/>
          </w:tcPr>
          <w:p w14:paraId="43993B7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6</w:t>
            </w:r>
          </w:p>
        </w:tc>
        <w:tc>
          <w:tcPr>
            <w:tcW w:w="1856" w:type="dxa"/>
            <w:vAlign w:val="center"/>
          </w:tcPr>
          <w:p w14:paraId="688B5AAF"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9.5%</w:t>
            </w:r>
          </w:p>
        </w:tc>
        <w:tc>
          <w:tcPr>
            <w:tcW w:w="1426" w:type="dxa"/>
            <w:vMerge/>
          </w:tcPr>
          <w:p w14:paraId="4522E19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c>
          <w:tcPr>
            <w:tcW w:w="1855" w:type="dxa"/>
            <w:vMerge/>
          </w:tcPr>
          <w:p w14:paraId="6635148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p>
        </w:tc>
      </w:tr>
      <w:tr w:rsidR="002874C7" w:rsidRPr="00545ABB" w14:paraId="6531FC30" w14:textId="77777777" w:rsidTr="005962D7">
        <w:trPr>
          <w:trHeight w:val="214"/>
        </w:trPr>
        <w:tc>
          <w:tcPr>
            <w:tcW w:w="345" w:type="dxa"/>
            <w:tcBorders>
              <w:left w:val="thickThinSmallGap" w:sz="24" w:space="0" w:color="auto"/>
            </w:tcBorders>
          </w:tcPr>
          <w:p w14:paraId="6089B2E9"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w:t>
            </w:r>
          </w:p>
        </w:tc>
        <w:tc>
          <w:tcPr>
            <w:tcW w:w="2431" w:type="dxa"/>
          </w:tcPr>
          <w:p w14:paraId="1DA172FB"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من (10) إلى أقل من (15)</w:t>
            </w:r>
          </w:p>
        </w:tc>
        <w:tc>
          <w:tcPr>
            <w:tcW w:w="930" w:type="dxa"/>
            <w:vAlign w:val="center"/>
          </w:tcPr>
          <w:p w14:paraId="55C4D4F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r w:rsidRPr="00545ABB">
              <w:rPr>
                <w:rFonts w:ascii="Traditional Arabic" w:hAnsi="Traditional Arabic" w:cs="Traditional Arabic"/>
                <w:color w:val="000000" w:themeColor="text1"/>
                <w:rtl/>
              </w:rPr>
              <w:t>20</w:t>
            </w:r>
          </w:p>
        </w:tc>
        <w:tc>
          <w:tcPr>
            <w:tcW w:w="1856" w:type="dxa"/>
            <w:vAlign w:val="center"/>
          </w:tcPr>
          <w:p w14:paraId="7B2AA9AB"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31.7%</w:t>
            </w:r>
          </w:p>
        </w:tc>
        <w:tc>
          <w:tcPr>
            <w:tcW w:w="1426" w:type="dxa"/>
            <w:vMerge/>
          </w:tcPr>
          <w:p w14:paraId="2EBC103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c>
          <w:tcPr>
            <w:tcW w:w="1855" w:type="dxa"/>
            <w:vMerge/>
          </w:tcPr>
          <w:p w14:paraId="7FC5E01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p>
        </w:tc>
      </w:tr>
      <w:tr w:rsidR="002874C7" w:rsidRPr="00545ABB" w14:paraId="1C8F8773" w14:textId="77777777" w:rsidTr="005962D7">
        <w:trPr>
          <w:trHeight w:val="268"/>
        </w:trPr>
        <w:tc>
          <w:tcPr>
            <w:tcW w:w="345" w:type="dxa"/>
            <w:tcBorders>
              <w:left w:val="thickThinSmallGap" w:sz="24" w:space="0" w:color="auto"/>
            </w:tcBorders>
          </w:tcPr>
          <w:p w14:paraId="49A49BC6"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4</w:t>
            </w:r>
          </w:p>
        </w:tc>
        <w:tc>
          <w:tcPr>
            <w:tcW w:w="2431" w:type="dxa"/>
          </w:tcPr>
          <w:p w14:paraId="4AF8C8B4"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أكثر من (15) سنة</w:t>
            </w:r>
          </w:p>
        </w:tc>
        <w:tc>
          <w:tcPr>
            <w:tcW w:w="930" w:type="dxa"/>
            <w:vAlign w:val="center"/>
          </w:tcPr>
          <w:p w14:paraId="4538900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rPr>
            </w:pPr>
            <w:r w:rsidRPr="00545ABB">
              <w:rPr>
                <w:rFonts w:ascii="Traditional Arabic" w:hAnsi="Traditional Arabic" w:cs="Traditional Arabic"/>
                <w:color w:val="000000" w:themeColor="text1"/>
                <w:rtl/>
              </w:rPr>
              <w:t>21</w:t>
            </w:r>
          </w:p>
        </w:tc>
        <w:tc>
          <w:tcPr>
            <w:tcW w:w="1856" w:type="dxa"/>
            <w:vAlign w:val="center"/>
          </w:tcPr>
          <w:p w14:paraId="25FB7428" w14:textId="77777777" w:rsidR="002874C7" w:rsidRPr="00545ABB" w:rsidRDefault="002874C7" w:rsidP="00022590">
            <w:pPr>
              <w:autoSpaceDE w:val="0"/>
              <w:autoSpaceDN w:val="0"/>
              <w:adjustRightInd w:val="0"/>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rPr>
              <w:t>33.3%</w:t>
            </w:r>
          </w:p>
        </w:tc>
        <w:tc>
          <w:tcPr>
            <w:tcW w:w="1426" w:type="dxa"/>
            <w:vMerge/>
          </w:tcPr>
          <w:p w14:paraId="3AA3DAC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p>
        </w:tc>
        <w:tc>
          <w:tcPr>
            <w:tcW w:w="1855" w:type="dxa"/>
            <w:vMerge/>
          </w:tcPr>
          <w:p w14:paraId="3B0DD41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p>
        </w:tc>
      </w:tr>
    </w:tbl>
    <w:p w14:paraId="494C069E"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04A6ABF3" w14:textId="5D54F8C7" w:rsidR="002874C7" w:rsidRPr="00545ABB" w:rsidRDefault="002874C7" w:rsidP="00B760B2">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B760B2">
        <w:rPr>
          <w:rFonts w:ascii="Traditional Arabic" w:hAnsi="Traditional Arabic" w:cs="Traditional Arabic" w:hint="cs"/>
          <w:color w:val="000000" w:themeColor="text1"/>
          <w:sz w:val="28"/>
          <w:szCs w:val="28"/>
          <w:rtl/>
          <w:lang w:bidi="ar-EG"/>
        </w:rPr>
        <w:t>3</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والخاص بتوزيع عينة الدراسة وفقاً لسنوات الخبرة حيث جاء في الترتيب الأول: الفئة أكثر من (15) سنة بنسبة (33.3%)، وجاء في الترتيب الثاني: الفئة من (10) إلى أقل من (15) سنة بنسبة (</w:t>
      </w:r>
      <w:r w:rsidRPr="00545ABB">
        <w:rPr>
          <w:rFonts w:ascii="Traditional Arabic" w:hAnsi="Traditional Arabic" w:cs="Traditional Arabic"/>
          <w:color w:val="000000" w:themeColor="text1"/>
          <w:sz w:val="28"/>
          <w:szCs w:val="28"/>
          <w:rtl/>
        </w:rPr>
        <w:t>31.7%</w:t>
      </w:r>
      <w:r w:rsidRPr="00545ABB">
        <w:rPr>
          <w:rFonts w:ascii="Traditional Arabic" w:hAnsi="Traditional Arabic" w:cs="Traditional Arabic"/>
          <w:color w:val="000000" w:themeColor="text1"/>
          <w:sz w:val="28"/>
          <w:szCs w:val="28"/>
          <w:rtl/>
          <w:lang w:bidi="ar-EG"/>
        </w:rPr>
        <w:t>)، وجاء في الترتيب الثالث: الفئة أقل من (5) سنوات بنسبة (25.4%)، جاء في الترتيب الرابع والأخير: الفئة من (5) إلى أقل من (10) سنوات بنسبة (</w:t>
      </w:r>
      <w:r w:rsidRPr="00545ABB">
        <w:rPr>
          <w:rFonts w:ascii="Traditional Arabic" w:hAnsi="Traditional Arabic" w:cs="Traditional Arabic"/>
          <w:color w:val="000000" w:themeColor="text1"/>
          <w:sz w:val="28"/>
          <w:szCs w:val="28"/>
          <w:rtl/>
        </w:rPr>
        <w:t>9.5%</w:t>
      </w:r>
      <w:r w:rsidRPr="00545ABB">
        <w:rPr>
          <w:rFonts w:ascii="Traditional Arabic" w:hAnsi="Traditional Arabic" w:cs="Traditional Arabic"/>
          <w:color w:val="000000" w:themeColor="text1"/>
          <w:sz w:val="28"/>
          <w:szCs w:val="28"/>
          <w:rtl/>
          <w:lang w:bidi="ar-EG"/>
        </w:rPr>
        <w:t xml:space="preserve">). </w:t>
      </w:r>
    </w:p>
    <w:p w14:paraId="091F46DF" w14:textId="77777777" w:rsidR="002874C7" w:rsidRPr="00545ABB" w:rsidRDefault="002874C7" w:rsidP="00022590">
      <w:pPr>
        <w:tabs>
          <w:tab w:val="left" w:pos="1087"/>
        </w:tabs>
        <w:spacing w:after="0" w:line="360" w:lineRule="auto"/>
        <w:rPr>
          <w:rFonts w:ascii="Traditional Arabic" w:hAnsi="Traditional Arabic" w:cs="Traditional Arabic"/>
          <w:b/>
          <w:bCs/>
          <w:color w:val="000000" w:themeColor="text1"/>
          <w:sz w:val="24"/>
          <w:szCs w:val="24"/>
          <w:rtl/>
          <w:lang w:bidi="ar-EG"/>
        </w:rPr>
      </w:pPr>
      <w:r w:rsidRPr="00545ABB">
        <w:rPr>
          <w:rFonts w:ascii="Traditional Arabic" w:hAnsi="Traditional Arabic" w:cs="Traditional Arabic"/>
          <w:b/>
          <w:bCs/>
          <w:color w:val="000000" w:themeColor="text1"/>
          <w:sz w:val="28"/>
          <w:szCs w:val="28"/>
          <w:rtl/>
          <w:lang w:bidi="ar-EG"/>
        </w:rPr>
        <w:t>ثانياً: عرض نتائج الدراسة المرتبطة بمتغيرات الدراسة</w:t>
      </w:r>
      <w:r w:rsidRPr="00545ABB">
        <w:rPr>
          <w:rFonts w:ascii="Traditional Arabic" w:hAnsi="Traditional Arabic" w:cs="Traditional Arabic"/>
          <w:b/>
          <w:bCs/>
          <w:color w:val="000000" w:themeColor="text1"/>
          <w:sz w:val="24"/>
          <w:szCs w:val="24"/>
          <w:rtl/>
          <w:lang w:bidi="ar-EG"/>
        </w:rPr>
        <w:t>.</w:t>
      </w:r>
    </w:p>
    <w:p w14:paraId="0FEE9854" w14:textId="77777777" w:rsidR="002874C7" w:rsidRPr="00545ABB" w:rsidRDefault="002874C7" w:rsidP="00D95153">
      <w:pPr>
        <w:pStyle w:val="ListParagraph"/>
        <w:numPr>
          <w:ilvl w:val="0"/>
          <w:numId w:val="6"/>
        </w:numPr>
        <w:tabs>
          <w:tab w:val="left" w:pos="1087"/>
        </w:tabs>
        <w:bidi/>
        <w:spacing w:after="0" w:line="360" w:lineRule="auto"/>
        <w:rPr>
          <w:rFonts w:ascii="Traditional Arabic" w:hAnsi="Traditional Arabic" w:cs="Traditional Arabic"/>
          <w:b/>
          <w:bCs/>
          <w:color w:val="000000" w:themeColor="text1"/>
          <w:sz w:val="28"/>
          <w:szCs w:val="28"/>
          <w:lang w:bidi="ar-EG"/>
        </w:rPr>
      </w:pPr>
      <w:r w:rsidRPr="00545ABB">
        <w:rPr>
          <w:rFonts w:ascii="Traditional Arabic" w:hAnsi="Traditional Arabic" w:cs="Traditional Arabic"/>
          <w:b/>
          <w:bCs/>
          <w:color w:val="000000" w:themeColor="text1"/>
          <w:sz w:val="28"/>
          <w:szCs w:val="28"/>
          <w:rtl/>
          <w:lang w:bidi="ar-EG"/>
        </w:rPr>
        <w:t>النتائج المتعلقة بالمتغير المستقل: الحوكمة الفعالة:</w:t>
      </w:r>
    </w:p>
    <w:p w14:paraId="4F5694A6" w14:textId="2A5F7B4B" w:rsidR="002874C7" w:rsidRPr="00545ABB" w:rsidRDefault="002874C7" w:rsidP="005D773F">
      <w:pPr>
        <w:spacing w:after="0" w:line="360" w:lineRule="auto"/>
        <w:ind w:left="360"/>
        <w:jc w:val="center"/>
        <w:rPr>
          <w:rFonts w:ascii="Traditional Arabic" w:hAnsi="Traditional Arabic" w:cs="Traditional Arabic"/>
          <w:color w:val="000000" w:themeColor="text1"/>
          <w:lang w:bidi="ar-EG"/>
        </w:rPr>
      </w:pPr>
      <w:r w:rsidRPr="00545ABB">
        <w:rPr>
          <w:rFonts w:ascii="Traditional Arabic" w:hAnsi="Traditional Arabic" w:cs="Traditional Arabic"/>
          <w:noProof/>
          <w:color w:val="000000" w:themeColor="text1"/>
          <w:rtl/>
        </w:rPr>
        <mc:AlternateContent>
          <mc:Choice Requires="wps">
            <w:drawing>
              <wp:anchor distT="0" distB="0" distL="114300" distR="114300" simplePos="0" relativeHeight="251672064" behindDoc="0" locked="0" layoutInCell="1" allowOverlap="1" wp14:anchorId="5397A941" wp14:editId="7C44F7CE">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68E50"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7A941" id="_x0000_s1034" style="position:absolute;left:0;text-align:left;margin-left:-60.3pt;margin-top:12.3pt;width:64.5pt;height:29.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" filled="f" stroked="f">
                <v:textbox>
                  <w:txbxContent>
                    <w:p w14:paraId="6FB68E50"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5</w:t>
      </w:r>
      <w:r w:rsidR="00B760B2" w:rsidRPr="00B760B2">
        <w:rPr>
          <w:rFonts w:ascii="Traditional Arabic" w:hAnsi="Traditional Arabic" w:cs="Traditional Arabic"/>
          <w:b/>
          <w:bCs/>
          <w:color w:val="000000" w:themeColor="text1"/>
          <w:sz w:val="28"/>
          <w:szCs w:val="28"/>
          <w:rtl/>
          <w:lang w:bidi="ar-EG"/>
        </w:rPr>
        <w:t>)</w:t>
      </w:r>
      <w:r w:rsidRPr="00545ABB">
        <w:rPr>
          <w:rFonts w:ascii="Traditional Arabic" w:hAnsi="Traditional Arabic" w:cs="Traditional Arabic"/>
          <w:b/>
          <w:bCs/>
          <w:color w:val="000000" w:themeColor="text1"/>
          <w:sz w:val="28"/>
          <w:szCs w:val="28"/>
          <w:rtl/>
        </w:rPr>
        <w:t xml:space="preserve"> يوضح بعد الشفافية والإفصاح</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2874C7" w:rsidRPr="00545ABB" w14:paraId="76CA58D3" w14:textId="77777777" w:rsidTr="002174D5">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47917EBE"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33B8221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rPr>
              <w:t xml:space="preserve">بعد </w:t>
            </w:r>
            <w:r w:rsidRPr="00545ABB">
              <w:rPr>
                <w:rFonts w:ascii="Traditional Arabic" w:hAnsi="Traditional Arabic" w:cs="Traditional Arabic"/>
                <w:b/>
                <w:bCs/>
                <w:color w:val="000000" w:themeColor="text1"/>
                <w:rtl/>
              </w:rPr>
              <w:t>الشفافية والإفصاح</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3A00380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35731BF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C03E8D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5D09008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3D656B18"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37744AC3" w14:textId="77777777" w:rsidTr="002174D5">
        <w:trPr>
          <w:trHeight w:val="175"/>
        </w:trPr>
        <w:tc>
          <w:tcPr>
            <w:tcW w:w="490" w:type="dxa"/>
            <w:vMerge/>
            <w:tcBorders>
              <w:left w:val="thickThinSmallGap" w:sz="18" w:space="0" w:color="auto"/>
              <w:bottom w:val="thickThinSmallGap" w:sz="18" w:space="0" w:color="auto"/>
              <w:right w:val="single" w:sz="4" w:space="0" w:color="auto"/>
            </w:tcBorders>
            <w:shd w:val="clear" w:color="auto" w:fill="8DB3E2" w:themeFill="text2" w:themeFillTint="66"/>
            <w:vAlign w:val="center"/>
          </w:tcPr>
          <w:p w14:paraId="4BBE801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6644489E"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4A2CEE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54E9722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1ACC248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24A1D59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F8AC79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A1789E7"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412369D"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9C5FAC1"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vAlign w:val="center"/>
            <w:hideMark/>
          </w:tcPr>
          <w:p w14:paraId="7B31902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2A6C6EF7" w14:textId="77777777" w:rsidTr="005962D7">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0364FAFA"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53FCFE05"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تتوفر سياسات واضحة للإفصاح عن المعلومات الإدارية داخل الشركة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BA9DE4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21</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EC2440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6DB8BDB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6354363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7</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30B15A5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1EE46EF7" w14:textId="77777777" w:rsidR="002874C7" w:rsidRPr="00545ABB" w:rsidRDefault="002874C7" w:rsidP="00022590">
            <w:pPr>
              <w:spacing w:after="0" w:line="360" w:lineRule="auto"/>
              <w:contextualSpacing/>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247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3C81B0A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5662D5F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0.99</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28B7B37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132A1988" w14:textId="77777777" w:rsidTr="005962D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1CE9BCF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4E0240C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يتم إتاحة البيانات الجوهرية للموظفين بانتظام ودقة</w:t>
            </w:r>
          </w:p>
        </w:tc>
        <w:tc>
          <w:tcPr>
            <w:tcW w:w="686" w:type="dxa"/>
            <w:tcBorders>
              <w:top w:val="single" w:sz="4" w:space="0" w:color="auto"/>
              <w:left w:val="single" w:sz="4" w:space="0" w:color="auto"/>
              <w:bottom w:val="single" w:sz="4" w:space="0" w:color="auto"/>
              <w:right w:val="single" w:sz="4" w:space="0" w:color="auto"/>
            </w:tcBorders>
            <w:vAlign w:val="center"/>
          </w:tcPr>
          <w:p w14:paraId="477B898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6957D03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w:t>
            </w:r>
          </w:p>
        </w:tc>
        <w:tc>
          <w:tcPr>
            <w:tcW w:w="685" w:type="dxa"/>
            <w:tcBorders>
              <w:top w:val="single" w:sz="4" w:space="0" w:color="auto"/>
              <w:left w:val="single" w:sz="4" w:space="0" w:color="auto"/>
              <w:bottom w:val="single" w:sz="4" w:space="0" w:color="auto"/>
              <w:right w:val="single" w:sz="4" w:space="0" w:color="auto"/>
            </w:tcBorders>
            <w:vAlign w:val="center"/>
          </w:tcPr>
          <w:p w14:paraId="68DBB57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4FCD1D6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0AEEA2D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7FEA979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238</w:t>
            </w:r>
          </w:p>
        </w:tc>
        <w:tc>
          <w:tcPr>
            <w:tcW w:w="773" w:type="dxa"/>
            <w:tcBorders>
              <w:top w:val="single" w:sz="4" w:space="0" w:color="auto"/>
              <w:left w:val="single" w:sz="4" w:space="0" w:color="auto"/>
              <w:bottom w:val="single" w:sz="4" w:space="0" w:color="auto"/>
              <w:right w:val="single" w:sz="4" w:space="0" w:color="auto"/>
            </w:tcBorders>
            <w:vAlign w:val="center"/>
          </w:tcPr>
          <w:p w14:paraId="65C6EC4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B641B7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1.07</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A7E87B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1C55DF8D" w14:textId="77777777" w:rsidTr="005962D7">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51222EE7"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276E2C1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آليات واضحة لتوثيق القرارات الإدارية</w:t>
            </w:r>
          </w:p>
        </w:tc>
        <w:tc>
          <w:tcPr>
            <w:tcW w:w="686" w:type="dxa"/>
            <w:tcBorders>
              <w:top w:val="single" w:sz="4" w:space="0" w:color="auto"/>
              <w:left w:val="single" w:sz="4" w:space="0" w:color="auto"/>
              <w:bottom w:val="single" w:sz="4" w:space="0" w:color="auto"/>
              <w:right w:val="single" w:sz="4" w:space="0" w:color="auto"/>
            </w:tcBorders>
            <w:vAlign w:val="center"/>
          </w:tcPr>
          <w:p w14:paraId="489EFFF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21</w:t>
            </w:r>
          </w:p>
        </w:tc>
        <w:tc>
          <w:tcPr>
            <w:tcW w:w="686" w:type="dxa"/>
            <w:tcBorders>
              <w:top w:val="single" w:sz="4" w:space="0" w:color="auto"/>
              <w:left w:val="single" w:sz="4" w:space="0" w:color="auto"/>
              <w:bottom w:val="single" w:sz="4" w:space="0" w:color="auto"/>
              <w:right w:val="single" w:sz="4" w:space="0" w:color="auto"/>
            </w:tcBorders>
            <w:vAlign w:val="center"/>
          </w:tcPr>
          <w:p w14:paraId="16CF9A9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85" w:type="dxa"/>
            <w:tcBorders>
              <w:top w:val="single" w:sz="4" w:space="0" w:color="auto"/>
              <w:left w:val="single" w:sz="4" w:space="0" w:color="auto"/>
              <w:bottom w:val="single" w:sz="4" w:space="0" w:color="auto"/>
              <w:right w:val="single" w:sz="4" w:space="0" w:color="auto"/>
            </w:tcBorders>
            <w:vAlign w:val="center"/>
          </w:tcPr>
          <w:p w14:paraId="356ACBE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13</w:t>
            </w:r>
          </w:p>
        </w:tc>
        <w:tc>
          <w:tcPr>
            <w:tcW w:w="819" w:type="dxa"/>
            <w:tcBorders>
              <w:top w:val="single" w:sz="4" w:space="0" w:color="auto"/>
              <w:left w:val="single" w:sz="4" w:space="0" w:color="auto"/>
              <w:bottom w:val="single" w:sz="4" w:space="0" w:color="auto"/>
              <w:right w:val="single" w:sz="4" w:space="0" w:color="auto"/>
            </w:tcBorders>
            <w:vAlign w:val="center"/>
          </w:tcPr>
          <w:p w14:paraId="5D1E35F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6B0909A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95" w:type="dxa"/>
            <w:tcBorders>
              <w:top w:val="single" w:sz="4" w:space="0" w:color="auto"/>
              <w:left w:val="single" w:sz="4" w:space="0" w:color="auto"/>
              <w:bottom w:val="single" w:sz="4" w:space="0" w:color="auto"/>
              <w:right w:val="single" w:sz="4" w:space="0" w:color="auto"/>
            </w:tcBorders>
            <w:vAlign w:val="center"/>
          </w:tcPr>
          <w:p w14:paraId="54C49CC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240</w:t>
            </w:r>
          </w:p>
        </w:tc>
        <w:tc>
          <w:tcPr>
            <w:tcW w:w="773" w:type="dxa"/>
            <w:tcBorders>
              <w:top w:val="single" w:sz="4" w:space="0" w:color="auto"/>
              <w:left w:val="single" w:sz="4" w:space="0" w:color="auto"/>
              <w:bottom w:val="single" w:sz="4" w:space="0" w:color="auto"/>
              <w:right w:val="single" w:sz="4" w:space="0" w:color="auto"/>
            </w:tcBorders>
            <w:vAlign w:val="center"/>
          </w:tcPr>
          <w:p w14:paraId="15BFF01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7F6A5BB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E4EB3D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4A8E2B56" w14:textId="77777777" w:rsidTr="005962D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256DF0A7"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05B5F4A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تحدث المعلومات التشغيلية والفنية بشكل دوري</w:t>
            </w:r>
          </w:p>
        </w:tc>
        <w:tc>
          <w:tcPr>
            <w:tcW w:w="686" w:type="dxa"/>
            <w:tcBorders>
              <w:top w:val="single" w:sz="4" w:space="0" w:color="auto"/>
              <w:left w:val="single" w:sz="4" w:space="0" w:color="auto"/>
              <w:bottom w:val="single" w:sz="4" w:space="0" w:color="auto"/>
              <w:right w:val="single" w:sz="4" w:space="0" w:color="auto"/>
            </w:tcBorders>
            <w:vAlign w:val="center"/>
          </w:tcPr>
          <w:p w14:paraId="3076CD0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58A39D9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22</w:t>
            </w:r>
          </w:p>
        </w:tc>
        <w:tc>
          <w:tcPr>
            <w:tcW w:w="685" w:type="dxa"/>
            <w:tcBorders>
              <w:top w:val="single" w:sz="4" w:space="0" w:color="auto"/>
              <w:left w:val="single" w:sz="4" w:space="0" w:color="auto"/>
              <w:bottom w:val="single" w:sz="4" w:space="0" w:color="auto"/>
              <w:right w:val="single" w:sz="4" w:space="0" w:color="auto"/>
            </w:tcBorders>
            <w:vAlign w:val="center"/>
          </w:tcPr>
          <w:p w14:paraId="17E292B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6A23219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60CB7C2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79670B7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239</w:t>
            </w:r>
          </w:p>
        </w:tc>
        <w:tc>
          <w:tcPr>
            <w:tcW w:w="773" w:type="dxa"/>
            <w:tcBorders>
              <w:top w:val="single" w:sz="4" w:space="0" w:color="auto"/>
              <w:left w:val="single" w:sz="4" w:space="0" w:color="auto"/>
              <w:bottom w:val="single" w:sz="4" w:space="0" w:color="auto"/>
              <w:right w:val="single" w:sz="4" w:space="0" w:color="auto"/>
            </w:tcBorders>
            <w:vAlign w:val="center"/>
          </w:tcPr>
          <w:p w14:paraId="01305EA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7ACE96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F82734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3FB34B48" w14:textId="77777777" w:rsidTr="005962D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B215E7B"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5A325F29"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lang w:bidi="ar-EG"/>
              </w:rPr>
              <w:t>يتم توضيح معايير العمل والإجراءات لجميع العاملين</w:t>
            </w:r>
          </w:p>
        </w:tc>
        <w:tc>
          <w:tcPr>
            <w:tcW w:w="686" w:type="dxa"/>
            <w:tcBorders>
              <w:top w:val="single" w:sz="4" w:space="0" w:color="auto"/>
              <w:left w:val="single" w:sz="4" w:space="0" w:color="auto"/>
              <w:bottom w:val="single" w:sz="4" w:space="0" w:color="auto"/>
              <w:right w:val="single" w:sz="4" w:space="0" w:color="auto"/>
            </w:tcBorders>
            <w:vAlign w:val="center"/>
          </w:tcPr>
          <w:p w14:paraId="597996D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14</w:t>
            </w:r>
          </w:p>
        </w:tc>
        <w:tc>
          <w:tcPr>
            <w:tcW w:w="686" w:type="dxa"/>
            <w:tcBorders>
              <w:top w:val="single" w:sz="4" w:space="0" w:color="auto"/>
              <w:left w:val="single" w:sz="4" w:space="0" w:color="auto"/>
              <w:bottom w:val="single" w:sz="4" w:space="0" w:color="auto"/>
              <w:right w:val="single" w:sz="4" w:space="0" w:color="auto"/>
            </w:tcBorders>
            <w:vAlign w:val="center"/>
          </w:tcPr>
          <w:p w14:paraId="289D768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27</w:t>
            </w:r>
          </w:p>
        </w:tc>
        <w:tc>
          <w:tcPr>
            <w:tcW w:w="685" w:type="dxa"/>
            <w:tcBorders>
              <w:top w:val="single" w:sz="4" w:space="0" w:color="auto"/>
              <w:left w:val="single" w:sz="4" w:space="0" w:color="auto"/>
              <w:bottom w:val="single" w:sz="4" w:space="0" w:color="auto"/>
              <w:right w:val="single" w:sz="4" w:space="0" w:color="auto"/>
            </w:tcBorders>
            <w:vAlign w:val="center"/>
          </w:tcPr>
          <w:p w14:paraId="3BD7DAA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819" w:type="dxa"/>
            <w:tcBorders>
              <w:top w:val="single" w:sz="4" w:space="0" w:color="auto"/>
              <w:left w:val="single" w:sz="4" w:space="0" w:color="auto"/>
              <w:bottom w:val="single" w:sz="4" w:space="0" w:color="auto"/>
              <w:right w:val="single" w:sz="4" w:space="0" w:color="auto"/>
            </w:tcBorders>
            <w:vAlign w:val="center"/>
          </w:tcPr>
          <w:p w14:paraId="62EBFD7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1" w:type="dxa"/>
            <w:tcBorders>
              <w:top w:val="single" w:sz="4" w:space="0" w:color="auto"/>
              <w:left w:val="single" w:sz="4" w:space="0" w:color="auto"/>
              <w:bottom w:val="single" w:sz="4" w:space="0" w:color="auto"/>
              <w:right w:val="single" w:sz="4" w:space="0" w:color="auto"/>
            </w:tcBorders>
            <w:vAlign w:val="center"/>
          </w:tcPr>
          <w:p w14:paraId="12671B3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188CD3A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234</w:t>
            </w:r>
          </w:p>
        </w:tc>
        <w:tc>
          <w:tcPr>
            <w:tcW w:w="773" w:type="dxa"/>
            <w:tcBorders>
              <w:top w:val="single" w:sz="4" w:space="0" w:color="auto"/>
              <w:left w:val="single" w:sz="4" w:space="0" w:color="auto"/>
              <w:bottom w:val="single" w:sz="4" w:space="0" w:color="auto"/>
              <w:right w:val="single" w:sz="4" w:space="0" w:color="auto"/>
            </w:tcBorders>
            <w:vAlign w:val="center"/>
          </w:tcPr>
          <w:p w14:paraId="6DA11F2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935522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1.05</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D9D1EC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023ED055" w14:textId="77777777" w:rsidTr="005962D7">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C5BD49C"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9F83B24"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019F1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93</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40BBA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114</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E6BB30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69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4C0310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31</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2653E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8</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6CB34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1198</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25C09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5.27</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15B5ED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18.05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952381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1295FA5B" w14:textId="77777777" w:rsidTr="005962D7">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ECAF7AA"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B8C03BD"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5781F0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76%</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C4A762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FA39BA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3.61</w:t>
            </w:r>
          </w:p>
        </w:tc>
      </w:tr>
    </w:tbl>
    <w:p w14:paraId="1EB23580"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35BB2B12" w14:textId="1DD431B1"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5</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الشفافية والإفصاح "بمستوى مرتفع" حيث جاء المتوسط الحسابي (3.61) وكذلك بلغت القوة النسبية لهذا المتغير (76%) وبمجموع وزني بلغ (1198).</w:t>
      </w:r>
    </w:p>
    <w:p w14:paraId="68701486"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2ED0415B"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lang w:bidi="ar-EG"/>
        </w:rPr>
        <w:lastRenderedPageBreak/>
        <w:t xml:space="preserve">حيث جاءت بالترتيب الأول عبارة " تتوفر سياسات واضحة للإفصاح عن المعلومات الإدارية داخل الشركة" بمتوسط حسابي (3.9)، </w:t>
      </w:r>
      <w:r w:rsidRPr="00545ABB">
        <w:rPr>
          <w:rFonts w:ascii="Traditional Arabic" w:hAnsi="Traditional Arabic" w:cs="Traditional Arabic"/>
          <w:color w:val="000000" w:themeColor="text1"/>
          <w:sz w:val="28"/>
          <w:szCs w:val="28"/>
          <w:rtl/>
        </w:rPr>
        <w:t>وقد يرجع ذلك إلى ضرورة وجود سياسات معلوماتية واضحة داخل شركات الأمن السيبراني.</w:t>
      </w:r>
    </w:p>
    <w:p w14:paraId="06681063"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الثاني عبارة " يتم إتاحة البيانات الجوهرية للموظفين بانتظام ودقة" بمتوسط حسابي (3.8)، وقد يرجع ذلك إلى ضرورة انتظام ودقة إتاحة المعلومات لتجنب أي خلل في الأنظمة السيبرانية.</w:t>
      </w:r>
    </w:p>
    <w:p w14:paraId="61494EA6"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545B2858"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حيث جاءت بالترتيب الخامس والأخير عبارة " يتم توضيح معايير العمل والإجراءات لجميع العاملين بمتوسط حسابي (3.7)، وقد يرجع ذلك إلى أن توضيح معايير العمل للمسئولين فقط وليس جميع العاملين.</w:t>
      </w:r>
    </w:p>
    <w:p w14:paraId="4827A357" w14:textId="77777777" w:rsidR="002874C7"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w:t>
      </w:r>
      <w:r w:rsidRPr="00545ABB">
        <w:rPr>
          <w:rFonts w:ascii="Traditional Arabic" w:hAnsi="Traditional Arabic" w:cs="Traditional Arabic"/>
          <w:color w:val="000000" w:themeColor="text1"/>
          <w:sz w:val="28"/>
          <w:szCs w:val="28"/>
          <w:rtl/>
          <w:lang w:bidi="ar-EG"/>
        </w:rPr>
        <w:t>بعد الشفافية هي وجود سياسات واضحة ومعلومات متاحة بانتظام ودقة للحفاظ على أنظمة الأمن السيبراني</w:t>
      </w:r>
      <w:r w:rsidRPr="00545ABB">
        <w:rPr>
          <w:rFonts w:ascii="Traditional Arabic" w:hAnsi="Traditional Arabic" w:cs="Traditional Arabic"/>
          <w:color w:val="000000" w:themeColor="text1"/>
          <w:sz w:val="28"/>
          <w:szCs w:val="28"/>
          <w:rtl/>
        </w:rPr>
        <w:t>.</w:t>
      </w:r>
    </w:p>
    <w:p w14:paraId="33B2259C" w14:textId="526DB469" w:rsidR="002874C7" w:rsidRPr="00545ABB" w:rsidRDefault="002874C7" w:rsidP="005D773F">
      <w:pPr>
        <w:spacing w:after="0" w:line="360" w:lineRule="auto"/>
        <w:ind w:left="360"/>
        <w:jc w:val="center"/>
        <w:rPr>
          <w:rFonts w:ascii="Traditional Arabic" w:hAnsi="Traditional Arabic" w:cs="Traditional Arabic"/>
          <w:b/>
          <w:bCs/>
          <w:color w:val="000000" w:themeColor="text1"/>
        </w:rPr>
      </w:pPr>
      <w:r w:rsidRPr="00545ABB">
        <w:rPr>
          <w:rFonts w:ascii="Traditional Arabic" w:hAnsi="Traditional Arabic" w:cs="Traditional Arabic"/>
          <w:noProof/>
          <w:color w:val="000000" w:themeColor="text1"/>
          <w:rtl/>
        </w:rPr>
        <mc:AlternateContent>
          <mc:Choice Requires="wps">
            <w:drawing>
              <wp:anchor distT="0" distB="0" distL="114300" distR="114300" simplePos="0" relativeHeight="251673088" behindDoc="0" locked="0" layoutInCell="1" allowOverlap="1" wp14:anchorId="7CE387D4" wp14:editId="3FDEC2BB">
                <wp:simplePos x="0" y="0"/>
                <wp:positionH relativeFrom="column">
                  <wp:posOffset>-704850</wp:posOffset>
                </wp:positionH>
                <wp:positionV relativeFrom="paragraph">
                  <wp:posOffset>59055</wp:posOffset>
                </wp:positionV>
                <wp:extent cx="819150" cy="371475"/>
                <wp:effectExtent l="0" t="0" r="0" b="9525"/>
                <wp:wrapNone/>
                <wp:docPr id="11348554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26D76"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387D4" id="_x0000_s1035" style="position:absolute;left:0;text-align:left;margin-left:-55.5pt;margin-top:4.65pt;width:64.5pt;height:2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" filled="f" stroked="f">
                <v:textbox>
                  <w:txbxContent>
                    <w:p w14:paraId="14C26D76"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6</w:t>
      </w:r>
      <w:r w:rsidR="00B760B2" w:rsidRPr="00B760B2">
        <w:rPr>
          <w:rFonts w:ascii="Traditional Arabic" w:hAnsi="Traditional Arabic" w:cs="Traditional Arabic"/>
          <w:b/>
          <w:bCs/>
          <w:color w:val="000000" w:themeColor="text1"/>
          <w:sz w:val="28"/>
          <w:szCs w:val="28"/>
          <w:rtl/>
          <w:lang w:bidi="ar-EG"/>
        </w:rPr>
        <w:t>)</w:t>
      </w:r>
      <w:r w:rsidR="00B760B2">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يوضح بعد المساءلة والمسؤولية</w:t>
      </w:r>
    </w:p>
    <w:tbl>
      <w:tblPr>
        <w:tblpPr w:leftFromText="180" w:rightFromText="180" w:vertAnchor="text" w:horzAnchor="margin" w:tblpXSpec="center" w:tblpY="79"/>
        <w:bidiVisual/>
        <w:tblW w:w="10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3912"/>
        <w:gridCol w:w="676"/>
        <w:gridCol w:w="676"/>
        <w:gridCol w:w="675"/>
        <w:gridCol w:w="807"/>
        <w:gridCol w:w="681"/>
        <w:gridCol w:w="685"/>
        <w:gridCol w:w="762"/>
        <w:gridCol w:w="35"/>
        <w:gridCol w:w="810"/>
        <w:gridCol w:w="407"/>
      </w:tblGrid>
      <w:tr w:rsidR="002874C7" w:rsidRPr="00545ABB" w14:paraId="651155FE" w14:textId="77777777" w:rsidTr="002174D5">
        <w:trPr>
          <w:trHeight w:val="325"/>
        </w:trPr>
        <w:tc>
          <w:tcPr>
            <w:tcW w:w="483"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5459A5D1"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91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0E3B1C18" w14:textId="77777777" w:rsidR="002874C7" w:rsidRPr="00545ABB" w:rsidRDefault="002874C7" w:rsidP="00022590">
            <w:pPr>
              <w:spacing w:after="0" w:line="360" w:lineRule="auto"/>
              <w:ind w:left="360"/>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sz w:val="28"/>
                <w:szCs w:val="28"/>
                <w:rtl/>
              </w:rPr>
              <w:t>بعد</w:t>
            </w:r>
            <w:r w:rsidRPr="00545ABB">
              <w:rPr>
                <w:rFonts w:ascii="Traditional Arabic" w:hAnsi="Traditional Arabic" w:cs="Traditional Arabic"/>
                <w:b/>
                <w:bCs/>
                <w:color w:val="000000" w:themeColor="text1"/>
                <w:rtl/>
              </w:rPr>
              <w:t xml:space="preserve"> المساءلة والمسؤولية</w:t>
            </w:r>
          </w:p>
        </w:tc>
        <w:tc>
          <w:tcPr>
            <w:tcW w:w="3515"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0CB17E0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85"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103D1DC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3AB199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4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2602146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38D52C4D"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02DBE2B8" w14:textId="77777777" w:rsidTr="002174D5">
        <w:trPr>
          <w:trHeight w:val="175"/>
        </w:trPr>
        <w:tc>
          <w:tcPr>
            <w:tcW w:w="483" w:type="dxa"/>
            <w:vMerge/>
            <w:tcBorders>
              <w:left w:val="thickThinSmallGap" w:sz="18" w:space="0" w:color="auto"/>
              <w:bottom w:val="thickThinSmallGap" w:sz="18" w:space="0" w:color="auto"/>
              <w:right w:val="single" w:sz="4" w:space="0" w:color="auto"/>
            </w:tcBorders>
            <w:vAlign w:val="center"/>
          </w:tcPr>
          <w:p w14:paraId="651CF12D"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91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225D278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7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AC1901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7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1EC2022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75"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13DA2BD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3D00F5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81"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4FE8BC8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أعارض بشدة</w:t>
            </w:r>
          </w:p>
        </w:tc>
        <w:tc>
          <w:tcPr>
            <w:tcW w:w="685" w:type="dxa"/>
            <w:vMerge/>
            <w:tcBorders>
              <w:top w:val="thinThickSmallGap" w:sz="18" w:space="0" w:color="auto"/>
              <w:left w:val="single" w:sz="4" w:space="0" w:color="auto"/>
              <w:bottom w:val="thickThinSmallGap" w:sz="18" w:space="0" w:color="auto"/>
              <w:right w:val="single" w:sz="4" w:space="0" w:color="auto"/>
            </w:tcBorders>
            <w:vAlign w:val="center"/>
            <w:hideMark/>
          </w:tcPr>
          <w:p w14:paraId="2E95EEB9"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8F3FAF6"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4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2EF7B5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85BBFDA"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5BC5DEBD" w14:textId="77777777" w:rsidTr="005962D7">
        <w:trPr>
          <w:trHeight w:val="285"/>
        </w:trPr>
        <w:tc>
          <w:tcPr>
            <w:tcW w:w="483" w:type="dxa"/>
            <w:tcBorders>
              <w:top w:val="thickThinSmallGap" w:sz="18" w:space="0" w:color="auto"/>
              <w:left w:val="thickThinSmallGap" w:sz="18" w:space="0" w:color="auto"/>
              <w:bottom w:val="single" w:sz="4" w:space="0" w:color="auto"/>
              <w:right w:val="single" w:sz="4" w:space="0" w:color="auto"/>
            </w:tcBorders>
            <w:vAlign w:val="center"/>
          </w:tcPr>
          <w:p w14:paraId="48955C20"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912" w:type="dxa"/>
            <w:tcBorders>
              <w:top w:val="thickThinSmallGap" w:sz="18" w:space="0" w:color="auto"/>
              <w:left w:val="thickThinSmallGap" w:sz="18" w:space="0" w:color="auto"/>
              <w:bottom w:val="single" w:sz="4" w:space="0" w:color="auto"/>
              <w:right w:val="single" w:sz="4" w:space="0" w:color="auto"/>
            </w:tcBorders>
          </w:tcPr>
          <w:p w14:paraId="24FC02B5"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توجد آليات رسمية لمساءلة الإدارات عن أدائها</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300A46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9</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AAF1A2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33</w:t>
            </w:r>
          </w:p>
        </w:tc>
        <w:tc>
          <w:tcPr>
            <w:tcW w:w="675" w:type="dxa"/>
            <w:tcBorders>
              <w:top w:val="thickThinSmallGap" w:sz="18" w:space="0" w:color="auto"/>
              <w:left w:val="single" w:sz="4" w:space="0" w:color="auto"/>
              <w:bottom w:val="single" w:sz="4" w:space="0" w:color="auto"/>
              <w:right w:val="single" w:sz="4" w:space="0" w:color="auto"/>
            </w:tcBorders>
            <w:vAlign w:val="center"/>
          </w:tcPr>
          <w:p w14:paraId="2A8ACF7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17</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2A46C45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1" w:type="dxa"/>
            <w:tcBorders>
              <w:top w:val="thickThinSmallGap" w:sz="18" w:space="0" w:color="auto"/>
              <w:left w:val="single" w:sz="4" w:space="0" w:color="auto"/>
              <w:bottom w:val="single" w:sz="4" w:space="0" w:color="auto"/>
              <w:right w:val="single" w:sz="4" w:space="0" w:color="auto"/>
            </w:tcBorders>
            <w:vAlign w:val="center"/>
          </w:tcPr>
          <w:p w14:paraId="77E797A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0AB184D0" w14:textId="77777777" w:rsidR="002874C7" w:rsidRPr="00545ABB" w:rsidRDefault="002874C7" w:rsidP="00022590">
            <w:pPr>
              <w:spacing w:after="0" w:line="360" w:lineRule="auto"/>
              <w:contextualSpacing/>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5740DA6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45" w:type="dxa"/>
            <w:gridSpan w:val="2"/>
            <w:tcBorders>
              <w:top w:val="thickThinSmallGap" w:sz="18" w:space="0" w:color="auto"/>
              <w:left w:val="single" w:sz="4" w:space="0" w:color="auto"/>
              <w:bottom w:val="single" w:sz="4" w:space="0" w:color="auto"/>
              <w:right w:val="single" w:sz="4" w:space="0" w:color="auto"/>
            </w:tcBorders>
            <w:vAlign w:val="center"/>
          </w:tcPr>
          <w:p w14:paraId="6E06ABA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0.87</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10F32B0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0FBDA7BC" w14:textId="77777777" w:rsidTr="005962D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50FEF1E5"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912" w:type="dxa"/>
            <w:tcBorders>
              <w:top w:val="single" w:sz="4" w:space="0" w:color="auto"/>
              <w:left w:val="thickThinSmallGap" w:sz="18" w:space="0" w:color="auto"/>
              <w:bottom w:val="single" w:sz="4" w:space="0" w:color="auto"/>
              <w:right w:val="single" w:sz="4" w:space="0" w:color="auto"/>
            </w:tcBorders>
          </w:tcPr>
          <w:p w14:paraId="5F92B3F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يتم تحديد المسؤوليات الوظيفية بشكل واضح</w:t>
            </w:r>
          </w:p>
        </w:tc>
        <w:tc>
          <w:tcPr>
            <w:tcW w:w="676" w:type="dxa"/>
            <w:tcBorders>
              <w:top w:val="single" w:sz="4" w:space="0" w:color="auto"/>
              <w:left w:val="single" w:sz="4" w:space="0" w:color="auto"/>
              <w:bottom w:val="single" w:sz="4" w:space="0" w:color="auto"/>
              <w:right w:val="single" w:sz="4" w:space="0" w:color="auto"/>
            </w:tcBorders>
            <w:vAlign w:val="center"/>
          </w:tcPr>
          <w:p w14:paraId="1A0FA39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676" w:type="dxa"/>
            <w:tcBorders>
              <w:top w:val="single" w:sz="4" w:space="0" w:color="auto"/>
              <w:left w:val="single" w:sz="4" w:space="0" w:color="auto"/>
              <w:bottom w:val="single" w:sz="4" w:space="0" w:color="auto"/>
              <w:right w:val="single" w:sz="4" w:space="0" w:color="auto"/>
            </w:tcBorders>
            <w:vAlign w:val="center"/>
          </w:tcPr>
          <w:p w14:paraId="65029D0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31</w:t>
            </w:r>
          </w:p>
        </w:tc>
        <w:tc>
          <w:tcPr>
            <w:tcW w:w="675" w:type="dxa"/>
            <w:tcBorders>
              <w:top w:val="single" w:sz="4" w:space="0" w:color="auto"/>
              <w:left w:val="single" w:sz="4" w:space="0" w:color="auto"/>
              <w:bottom w:val="single" w:sz="4" w:space="0" w:color="auto"/>
              <w:right w:val="single" w:sz="4" w:space="0" w:color="auto"/>
            </w:tcBorders>
            <w:vAlign w:val="center"/>
          </w:tcPr>
          <w:p w14:paraId="305028C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0E3A574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81" w:type="dxa"/>
            <w:tcBorders>
              <w:top w:val="single" w:sz="4" w:space="0" w:color="auto"/>
              <w:left w:val="single" w:sz="4" w:space="0" w:color="auto"/>
              <w:bottom w:val="single" w:sz="4" w:space="0" w:color="auto"/>
              <w:right w:val="single" w:sz="4" w:space="0" w:color="auto"/>
            </w:tcBorders>
            <w:vAlign w:val="center"/>
          </w:tcPr>
          <w:p w14:paraId="6F34177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85" w:type="dxa"/>
            <w:tcBorders>
              <w:top w:val="single" w:sz="4" w:space="0" w:color="auto"/>
              <w:left w:val="single" w:sz="4" w:space="0" w:color="auto"/>
              <w:bottom w:val="single" w:sz="4" w:space="0" w:color="auto"/>
              <w:right w:val="single" w:sz="4" w:space="0" w:color="auto"/>
            </w:tcBorders>
            <w:vAlign w:val="center"/>
          </w:tcPr>
          <w:p w14:paraId="3C74F8B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252</w:t>
            </w:r>
          </w:p>
        </w:tc>
        <w:tc>
          <w:tcPr>
            <w:tcW w:w="762" w:type="dxa"/>
            <w:tcBorders>
              <w:top w:val="single" w:sz="4" w:space="0" w:color="auto"/>
              <w:left w:val="single" w:sz="4" w:space="0" w:color="auto"/>
              <w:bottom w:val="single" w:sz="4" w:space="0" w:color="auto"/>
              <w:right w:val="single" w:sz="4" w:space="0" w:color="auto"/>
            </w:tcBorders>
            <w:vAlign w:val="center"/>
          </w:tcPr>
          <w:p w14:paraId="6E75444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23C9A83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1.02</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0A4838F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28E88BFE" w14:textId="77777777" w:rsidTr="005962D7">
        <w:trPr>
          <w:trHeight w:val="931"/>
        </w:trPr>
        <w:tc>
          <w:tcPr>
            <w:tcW w:w="483" w:type="dxa"/>
            <w:tcBorders>
              <w:top w:val="single" w:sz="4" w:space="0" w:color="auto"/>
              <w:left w:val="thickThinSmallGap" w:sz="18" w:space="0" w:color="auto"/>
              <w:bottom w:val="single" w:sz="4" w:space="0" w:color="auto"/>
              <w:right w:val="single" w:sz="4" w:space="0" w:color="auto"/>
            </w:tcBorders>
            <w:vAlign w:val="center"/>
          </w:tcPr>
          <w:p w14:paraId="79D8888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912" w:type="dxa"/>
            <w:tcBorders>
              <w:top w:val="single" w:sz="4" w:space="0" w:color="auto"/>
              <w:left w:val="thickThinSmallGap" w:sz="18" w:space="0" w:color="auto"/>
              <w:bottom w:val="single" w:sz="4" w:space="0" w:color="auto"/>
              <w:right w:val="single" w:sz="4" w:space="0" w:color="auto"/>
            </w:tcBorders>
          </w:tcPr>
          <w:p w14:paraId="02FA637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تراجع الشركات التزام الموظفين بمعايير العمل المهنية</w:t>
            </w:r>
          </w:p>
        </w:tc>
        <w:tc>
          <w:tcPr>
            <w:tcW w:w="676" w:type="dxa"/>
            <w:tcBorders>
              <w:top w:val="single" w:sz="4" w:space="0" w:color="auto"/>
              <w:left w:val="single" w:sz="4" w:space="0" w:color="auto"/>
              <w:bottom w:val="single" w:sz="4" w:space="0" w:color="auto"/>
              <w:right w:val="single" w:sz="4" w:space="0" w:color="auto"/>
            </w:tcBorders>
            <w:vAlign w:val="center"/>
          </w:tcPr>
          <w:p w14:paraId="5AC7479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18</w:t>
            </w:r>
          </w:p>
        </w:tc>
        <w:tc>
          <w:tcPr>
            <w:tcW w:w="676" w:type="dxa"/>
            <w:tcBorders>
              <w:top w:val="single" w:sz="4" w:space="0" w:color="auto"/>
              <w:left w:val="single" w:sz="4" w:space="0" w:color="auto"/>
              <w:bottom w:val="single" w:sz="4" w:space="0" w:color="auto"/>
              <w:right w:val="single" w:sz="4" w:space="0" w:color="auto"/>
            </w:tcBorders>
            <w:vAlign w:val="center"/>
          </w:tcPr>
          <w:p w14:paraId="2A133B6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w:t>
            </w:r>
          </w:p>
        </w:tc>
        <w:tc>
          <w:tcPr>
            <w:tcW w:w="675" w:type="dxa"/>
            <w:tcBorders>
              <w:top w:val="single" w:sz="4" w:space="0" w:color="auto"/>
              <w:left w:val="single" w:sz="4" w:space="0" w:color="auto"/>
              <w:bottom w:val="single" w:sz="4" w:space="0" w:color="auto"/>
              <w:right w:val="single" w:sz="4" w:space="0" w:color="auto"/>
            </w:tcBorders>
            <w:vAlign w:val="center"/>
          </w:tcPr>
          <w:p w14:paraId="3EDA1E4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50C8776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3599ED6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6D34943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238</w:t>
            </w:r>
          </w:p>
        </w:tc>
        <w:tc>
          <w:tcPr>
            <w:tcW w:w="762" w:type="dxa"/>
            <w:tcBorders>
              <w:top w:val="single" w:sz="4" w:space="0" w:color="auto"/>
              <w:left w:val="single" w:sz="4" w:space="0" w:color="auto"/>
              <w:bottom w:val="single" w:sz="4" w:space="0" w:color="auto"/>
              <w:right w:val="single" w:sz="4" w:space="0" w:color="auto"/>
            </w:tcBorders>
            <w:vAlign w:val="center"/>
          </w:tcPr>
          <w:p w14:paraId="1526734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7F21ED5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539C294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66DAE579" w14:textId="77777777" w:rsidTr="005962D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7C4F6B2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912" w:type="dxa"/>
            <w:tcBorders>
              <w:top w:val="single" w:sz="4" w:space="0" w:color="auto"/>
              <w:left w:val="thickThinSmallGap" w:sz="18" w:space="0" w:color="auto"/>
              <w:bottom w:val="single" w:sz="4" w:space="0" w:color="auto"/>
              <w:right w:val="single" w:sz="4" w:space="0" w:color="auto"/>
            </w:tcBorders>
          </w:tcPr>
          <w:p w14:paraId="0DCDEBB8"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توجد إجراءات لمعالجة الانحرافات الإدارية</w:t>
            </w:r>
          </w:p>
        </w:tc>
        <w:tc>
          <w:tcPr>
            <w:tcW w:w="676" w:type="dxa"/>
            <w:tcBorders>
              <w:top w:val="single" w:sz="4" w:space="0" w:color="auto"/>
              <w:left w:val="single" w:sz="4" w:space="0" w:color="auto"/>
              <w:bottom w:val="single" w:sz="4" w:space="0" w:color="auto"/>
              <w:right w:val="single" w:sz="4" w:space="0" w:color="auto"/>
            </w:tcBorders>
            <w:vAlign w:val="center"/>
          </w:tcPr>
          <w:p w14:paraId="2FD8A8C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17</w:t>
            </w:r>
          </w:p>
        </w:tc>
        <w:tc>
          <w:tcPr>
            <w:tcW w:w="676" w:type="dxa"/>
            <w:tcBorders>
              <w:top w:val="single" w:sz="4" w:space="0" w:color="auto"/>
              <w:left w:val="single" w:sz="4" w:space="0" w:color="auto"/>
              <w:bottom w:val="single" w:sz="4" w:space="0" w:color="auto"/>
              <w:right w:val="single" w:sz="4" w:space="0" w:color="auto"/>
            </w:tcBorders>
            <w:vAlign w:val="center"/>
          </w:tcPr>
          <w:p w14:paraId="25CF468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28</w:t>
            </w:r>
          </w:p>
        </w:tc>
        <w:tc>
          <w:tcPr>
            <w:tcW w:w="675" w:type="dxa"/>
            <w:tcBorders>
              <w:top w:val="single" w:sz="4" w:space="0" w:color="auto"/>
              <w:left w:val="single" w:sz="4" w:space="0" w:color="auto"/>
              <w:bottom w:val="single" w:sz="4" w:space="0" w:color="auto"/>
              <w:right w:val="single" w:sz="4" w:space="0" w:color="auto"/>
            </w:tcBorders>
            <w:vAlign w:val="center"/>
          </w:tcPr>
          <w:p w14:paraId="1BD0EB3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38DCEF8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81" w:type="dxa"/>
            <w:tcBorders>
              <w:top w:val="single" w:sz="4" w:space="0" w:color="auto"/>
              <w:left w:val="single" w:sz="4" w:space="0" w:color="auto"/>
              <w:bottom w:val="single" w:sz="4" w:space="0" w:color="auto"/>
              <w:right w:val="single" w:sz="4" w:space="0" w:color="auto"/>
            </w:tcBorders>
            <w:vAlign w:val="center"/>
          </w:tcPr>
          <w:p w14:paraId="0EDDF79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74713F9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239</w:t>
            </w:r>
          </w:p>
        </w:tc>
        <w:tc>
          <w:tcPr>
            <w:tcW w:w="762" w:type="dxa"/>
            <w:tcBorders>
              <w:top w:val="single" w:sz="4" w:space="0" w:color="auto"/>
              <w:left w:val="single" w:sz="4" w:space="0" w:color="auto"/>
              <w:bottom w:val="single" w:sz="4" w:space="0" w:color="auto"/>
              <w:right w:val="single" w:sz="4" w:space="0" w:color="auto"/>
            </w:tcBorders>
            <w:vAlign w:val="center"/>
          </w:tcPr>
          <w:p w14:paraId="37A2545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698B1DA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1.08</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18FE179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35F6DB1D" w14:textId="77777777" w:rsidTr="005962D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76A23DF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w:t>
            </w:r>
          </w:p>
        </w:tc>
        <w:tc>
          <w:tcPr>
            <w:tcW w:w="3912" w:type="dxa"/>
            <w:tcBorders>
              <w:top w:val="single" w:sz="4" w:space="0" w:color="auto"/>
              <w:left w:val="thickThinSmallGap" w:sz="18" w:space="0" w:color="auto"/>
              <w:bottom w:val="single" w:sz="4" w:space="0" w:color="auto"/>
              <w:right w:val="single" w:sz="4" w:space="0" w:color="auto"/>
            </w:tcBorders>
          </w:tcPr>
          <w:p w14:paraId="492FA22A"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lang w:bidi="ar-EG"/>
              </w:rPr>
              <w:t>تتسم عمليات المساءلة بالعدالة والشفافية</w:t>
            </w:r>
          </w:p>
        </w:tc>
        <w:tc>
          <w:tcPr>
            <w:tcW w:w="676" w:type="dxa"/>
            <w:tcBorders>
              <w:top w:val="single" w:sz="4" w:space="0" w:color="auto"/>
              <w:left w:val="single" w:sz="4" w:space="0" w:color="auto"/>
              <w:bottom w:val="single" w:sz="4" w:space="0" w:color="auto"/>
              <w:right w:val="single" w:sz="4" w:space="0" w:color="auto"/>
            </w:tcBorders>
            <w:vAlign w:val="center"/>
          </w:tcPr>
          <w:p w14:paraId="436D0E1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w:t>
            </w:r>
          </w:p>
        </w:tc>
        <w:tc>
          <w:tcPr>
            <w:tcW w:w="676" w:type="dxa"/>
            <w:tcBorders>
              <w:top w:val="single" w:sz="4" w:space="0" w:color="auto"/>
              <w:left w:val="single" w:sz="4" w:space="0" w:color="auto"/>
              <w:bottom w:val="single" w:sz="4" w:space="0" w:color="auto"/>
              <w:right w:val="single" w:sz="4" w:space="0" w:color="auto"/>
            </w:tcBorders>
            <w:vAlign w:val="center"/>
          </w:tcPr>
          <w:p w14:paraId="49C219E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75" w:type="dxa"/>
            <w:tcBorders>
              <w:top w:val="single" w:sz="4" w:space="0" w:color="auto"/>
              <w:left w:val="single" w:sz="4" w:space="0" w:color="auto"/>
              <w:bottom w:val="single" w:sz="4" w:space="0" w:color="auto"/>
              <w:right w:val="single" w:sz="4" w:space="0" w:color="auto"/>
            </w:tcBorders>
            <w:vAlign w:val="center"/>
          </w:tcPr>
          <w:p w14:paraId="366806A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4FD367A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7C3BE2E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207CC07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246</w:t>
            </w:r>
          </w:p>
        </w:tc>
        <w:tc>
          <w:tcPr>
            <w:tcW w:w="762" w:type="dxa"/>
            <w:tcBorders>
              <w:top w:val="single" w:sz="4" w:space="0" w:color="auto"/>
              <w:left w:val="single" w:sz="4" w:space="0" w:color="auto"/>
              <w:bottom w:val="single" w:sz="4" w:space="0" w:color="auto"/>
              <w:right w:val="single" w:sz="4" w:space="0" w:color="auto"/>
            </w:tcBorders>
            <w:vAlign w:val="center"/>
          </w:tcPr>
          <w:p w14:paraId="6CEF60B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365EA9D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8A5A6A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16DC8EA5" w14:textId="77777777" w:rsidTr="005962D7">
        <w:trPr>
          <w:trHeight w:val="355"/>
        </w:trPr>
        <w:tc>
          <w:tcPr>
            <w:tcW w:w="48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A40B2D6"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1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F19AAA2"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6B4027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88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2CF3B3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134</w:t>
            </w:r>
          </w:p>
        </w:tc>
        <w:tc>
          <w:tcPr>
            <w:tcW w:w="67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1F785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59</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5930E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22</w:t>
            </w:r>
          </w:p>
        </w:tc>
        <w:tc>
          <w:tcPr>
            <w:tcW w:w="6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B69CD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12</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AC769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1209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4D7FE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19.2</w:t>
            </w:r>
          </w:p>
        </w:tc>
        <w:tc>
          <w:tcPr>
            <w:tcW w:w="81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318CA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5.14</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5FECB4A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1593817B" w14:textId="77777777" w:rsidTr="005962D7">
        <w:trPr>
          <w:trHeight w:val="223"/>
        </w:trPr>
        <w:tc>
          <w:tcPr>
            <w:tcW w:w="48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6590717"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1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071CB35"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8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88D7F8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77%</w:t>
            </w:r>
          </w:p>
        </w:tc>
        <w:tc>
          <w:tcPr>
            <w:tcW w:w="2163"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7623EA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1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F095F2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3.84</w:t>
            </w:r>
          </w:p>
        </w:tc>
      </w:tr>
    </w:tbl>
    <w:p w14:paraId="56DB1543"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2DCB936B" w14:textId="53482D36"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6</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المساءلة والمسؤولية "بمستوى مرتفع" حيث جاء المتوسط الحسابي (3.84) وكذلك بلغت القوة النسبية لهذا المتغير (77%) وبمجموع وزني بلغ (1209).</w:t>
      </w:r>
    </w:p>
    <w:p w14:paraId="75E32ECF"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2787AB38"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"يتم تحديد المسؤوليات الوظيفية بشكل واضح" بمتوسط حسابي (4)، وقد يرجع ذلك إلى ضرورة تحديد المسئوليات الوظيفية وبيان مهام كل موظف.</w:t>
      </w:r>
    </w:p>
    <w:p w14:paraId="1AC04C1A"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الثاني عبارة "تتسم عمليات المساءلة بالعدالة والشفافية" بمتوسط حسابي (3.9)، وقد يرجع ذلك إلى ضرورة الوضوح والشفافية والعدالة التامة في عمليات المساءلة.</w:t>
      </w:r>
    </w:p>
    <w:p w14:paraId="5E34433B"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16041AB5"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حيث جاءت بالترتيب الخامس والأخير عبارة "توجد آليات رسمية لمساءلة الإدارات عن أدائها" بمتوسط حسابي (3.7)، وقد يرجع ذلك إلى أن بالرغم من أهمية وجود آليات رسمية للمساءلة إلا أنه ممكن الالتفاف حولها بطرق آخري وبالتالي كانت هناك أولويات غيرها.</w:t>
      </w:r>
    </w:p>
    <w:p w14:paraId="3681574A" w14:textId="77777777" w:rsidR="002874C7"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وبالنظر للجدول السابق نستنتج أن من أهم محددات بعد المساءلة والمسؤولية هي تحديد المسؤوليات الوظيفية وتوفير العدالة والشفافية عن المساءلة.</w:t>
      </w:r>
    </w:p>
    <w:p w14:paraId="1AFE7AF1" w14:textId="241C63F6" w:rsidR="002874C7" w:rsidRPr="00545ABB" w:rsidRDefault="002874C7" w:rsidP="005D773F">
      <w:pPr>
        <w:spacing w:after="0" w:line="360" w:lineRule="auto"/>
        <w:ind w:left="360"/>
        <w:jc w:val="center"/>
        <w:rPr>
          <w:rFonts w:ascii="Traditional Arabic" w:hAnsi="Traditional Arabic" w:cs="Traditional Arabic"/>
          <w:b/>
          <w:bCs/>
          <w:color w:val="000000" w:themeColor="text1"/>
          <w:sz w:val="28"/>
          <w:szCs w:val="28"/>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74112" behindDoc="0" locked="0" layoutInCell="1" allowOverlap="1" wp14:anchorId="5FE15D5E" wp14:editId="63C7CC64">
                <wp:simplePos x="0" y="0"/>
                <wp:positionH relativeFrom="column">
                  <wp:posOffset>-506730</wp:posOffset>
                </wp:positionH>
                <wp:positionV relativeFrom="paragraph">
                  <wp:posOffset>28575</wp:posOffset>
                </wp:positionV>
                <wp:extent cx="819150" cy="371475"/>
                <wp:effectExtent l="0" t="0" r="0" b="9525"/>
                <wp:wrapNone/>
                <wp:docPr id="3903586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D35C"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15D5E" id="_x0000_s1036" style="position:absolute;left:0;text-align:left;margin-left:-39.9pt;margin-top:2.25pt;width:64.5pt;height:29.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" filled="f" stroked="f">
                <v:textbox>
                  <w:txbxContent>
                    <w:p w14:paraId="2193D35C"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rPr>
        <w:t>جدول (4-</w:t>
      </w:r>
      <w:r w:rsidR="005D773F">
        <w:rPr>
          <w:rFonts w:ascii="Traditional Arabic" w:hAnsi="Traditional Arabic" w:cs="Traditional Arabic"/>
          <w:b/>
          <w:bCs/>
          <w:color w:val="000000" w:themeColor="text1"/>
          <w:sz w:val="28"/>
          <w:szCs w:val="28"/>
        </w:rPr>
        <w:t>7</w:t>
      </w:r>
      <w:r w:rsidR="00B760B2" w:rsidRPr="00B760B2">
        <w:rPr>
          <w:rFonts w:ascii="Traditional Arabic" w:hAnsi="Traditional Arabic" w:cs="Traditional Arabic"/>
          <w:b/>
          <w:bCs/>
          <w:color w:val="000000" w:themeColor="text1"/>
          <w:sz w:val="28"/>
          <w:szCs w:val="28"/>
          <w:rtl/>
        </w:rPr>
        <w:t>)</w:t>
      </w:r>
      <w:r w:rsidR="00B760B2">
        <w:rPr>
          <w:rFonts w:ascii="Traditional Arabic" w:hAnsi="Traditional Arabic" w:cs="Traditional Arabic" w:hint="cs"/>
          <w:b/>
          <w:bCs/>
          <w:color w:val="000000" w:themeColor="text1"/>
          <w:sz w:val="28"/>
          <w:szCs w:val="28"/>
          <w:rtl/>
        </w:rPr>
        <w:t xml:space="preserve"> </w:t>
      </w:r>
      <w:r w:rsidRPr="00545ABB">
        <w:rPr>
          <w:rFonts w:ascii="Traditional Arabic" w:hAnsi="Traditional Arabic" w:cs="Traditional Arabic"/>
          <w:b/>
          <w:bCs/>
          <w:color w:val="000000" w:themeColor="text1"/>
          <w:sz w:val="28"/>
          <w:szCs w:val="28"/>
          <w:rtl/>
        </w:rPr>
        <w:t>يوضح بعد المشاركة في اتخاذ القرار</w:t>
      </w:r>
    </w:p>
    <w:tbl>
      <w:tblPr>
        <w:tblpPr w:leftFromText="180" w:rightFromText="180" w:vertAnchor="text" w:horzAnchor="margin" w:tblpXSpec="center" w:tblpY="59"/>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2874C7" w:rsidRPr="00545ABB" w14:paraId="33997CFE" w14:textId="77777777" w:rsidTr="002174D5">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2FBF26D9"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53422E9E" w14:textId="77777777" w:rsidR="002874C7" w:rsidRPr="00545ABB" w:rsidRDefault="002874C7" w:rsidP="00022590">
            <w:pPr>
              <w:spacing w:after="0" w:line="360" w:lineRule="auto"/>
              <w:ind w:left="360"/>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sz w:val="28"/>
                <w:szCs w:val="28"/>
                <w:rtl/>
              </w:rPr>
              <w:t>بعد</w:t>
            </w:r>
            <w:r w:rsidRPr="00545ABB">
              <w:rPr>
                <w:rFonts w:ascii="Traditional Arabic" w:hAnsi="Traditional Arabic" w:cs="Traditional Arabic"/>
                <w:b/>
                <w:bCs/>
                <w:color w:val="000000" w:themeColor="text1"/>
                <w:rtl/>
              </w:rPr>
              <w:t xml:space="preserve"> المشاركة في اتخاذ القرار</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2D0350C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733F5D1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0E2A03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129DAD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6DBE2B8C"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4602E991" w14:textId="77777777" w:rsidTr="002174D5">
        <w:trPr>
          <w:trHeight w:val="175"/>
        </w:trPr>
        <w:tc>
          <w:tcPr>
            <w:tcW w:w="490" w:type="dxa"/>
            <w:vMerge/>
            <w:tcBorders>
              <w:left w:val="thickThinSmallGap" w:sz="18" w:space="0" w:color="auto"/>
              <w:bottom w:val="thickThinSmallGap" w:sz="18" w:space="0" w:color="auto"/>
              <w:right w:val="single" w:sz="4" w:space="0" w:color="auto"/>
            </w:tcBorders>
            <w:vAlign w:val="center"/>
          </w:tcPr>
          <w:p w14:paraId="225CDBBD"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F66B5BA"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0256992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4F3D6AC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0236C57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0A4331C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4ED9E30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17E69F4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0579565D"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AF2F306"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561DA5C"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0E5ED2EC" w14:textId="77777777" w:rsidTr="005962D7">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78C73A1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0E0D4D98"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تشجيع الشركة الموظفين على تقديم مقترحات تطويرية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F6678C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0934BC8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26</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4731EE3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618BDBD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4D7E961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0C518E6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2FD1FF2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3.76</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263587C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1.058</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6EA6C19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74D6B3CA" w14:textId="77777777" w:rsidTr="005962D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66CE5969"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1548FB65"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إشراك الإدارات المختلفة في صياغة القرارات المصيرية</w:t>
            </w:r>
          </w:p>
        </w:tc>
        <w:tc>
          <w:tcPr>
            <w:tcW w:w="686" w:type="dxa"/>
            <w:tcBorders>
              <w:top w:val="single" w:sz="4" w:space="0" w:color="auto"/>
              <w:left w:val="single" w:sz="4" w:space="0" w:color="auto"/>
              <w:bottom w:val="single" w:sz="4" w:space="0" w:color="auto"/>
              <w:right w:val="single" w:sz="4" w:space="0" w:color="auto"/>
            </w:tcBorders>
            <w:vAlign w:val="center"/>
          </w:tcPr>
          <w:p w14:paraId="2BE11AE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75D1AEC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082B4EE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007FC85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4134ACA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1CD1869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237</w:t>
            </w:r>
          </w:p>
        </w:tc>
        <w:tc>
          <w:tcPr>
            <w:tcW w:w="773" w:type="dxa"/>
            <w:tcBorders>
              <w:top w:val="single" w:sz="4" w:space="0" w:color="auto"/>
              <w:left w:val="single" w:sz="4" w:space="0" w:color="auto"/>
              <w:bottom w:val="single" w:sz="4" w:space="0" w:color="auto"/>
              <w:right w:val="single" w:sz="4" w:space="0" w:color="auto"/>
            </w:tcBorders>
            <w:vAlign w:val="center"/>
          </w:tcPr>
          <w:p w14:paraId="2D2481E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C98663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1.058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D962A0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6C29B4D2" w14:textId="77777777" w:rsidTr="005962D7">
        <w:trPr>
          <w:trHeight w:val="506"/>
        </w:trPr>
        <w:tc>
          <w:tcPr>
            <w:tcW w:w="490" w:type="dxa"/>
            <w:tcBorders>
              <w:top w:val="single" w:sz="4" w:space="0" w:color="auto"/>
              <w:left w:val="thickThinSmallGap" w:sz="18" w:space="0" w:color="auto"/>
              <w:bottom w:val="single" w:sz="4" w:space="0" w:color="auto"/>
              <w:right w:val="single" w:sz="4" w:space="0" w:color="auto"/>
            </w:tcBorders>
            <w:vAlign w:val="center"/>
          </w:tcPr>
          <w:p w14:paraId="6BBC5281"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32B5FE19"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تتيح الشركة قنوات تواصل لعرض الآراء التنظيمية</w:t>
            </w:r>
          </w:p>
        </w:tc>
        <w:tc>
          <w:tcPr>
            <w:tcW w:w="686" w:type="dxa"/>
            <w:tcBorders>
              <w:top w:val="single" w:sz="4" w:space="0" w:color="auto"/>
              <w:left w:val="single" w:sz="4" w:space="0" w:color="auto"/>
              <w:bottom w:val="single" w:sz="4" w:space="0" w:color="auto"/>
              <w:right w:val="single" w:sz="4" w:space="0" w:color="auto"/>
            </w:tcBorders>
            <w:vAlign w:val="center"/>
          </w:tcPr>
          <w:p w14:paraId="0AE1D9D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156E5E3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21</w:t>
            </w:r>
          </w:p>
        </w:tc>
        <w:tc>
          <w:tcPr>
            <w:tcW w:w="685" w:type="dxa"/>
            <w:tcBorders>
              <w:top w:val="single" w:sz="4" w:space="0" w:color="auto"/>
              <w:left w:val="single" w:sz="4" w:space="0" w:color="auto"/>
              <w:bottom w:val="single" w:sz="4" w:space="0" w:color="auto"/>
              <w:right w:val="single" w:sz="4" w:space="0" w:color="auto"/>
            </w:tcBorders>
            <w:vAlign w:val="center"/>
          </w:tcPr>
          <w:p w14:paraId="4620AF9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15</w:t>
            </w:r>
          </w:p>
        </w:tc>
        <w:tc>
          <w:tcPr>
            <w:tcW w:w="819" w:type="dxa"/>
            <w:tcBorders>
              <w:top w:val="single" w:sz="4" w:space="0" w:color="auto"/>
              <w:left w:val="single" w:sz="4" w:space="0" w:color="auto"/>
              <w:bottom w:val="single" w:sz="4" w:space="0" w:color="auto"/>
              <w:right w:val="single" w:sz="4" w:space="0" w:color="auto"/>
            </w:tcBorders>
            <w:vAlign w:val="center"/>
          </w:tcPr>
          <w:p w14:paraId="6EFDA86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91" w:type="dxa"/>
            <w:tcBorders>
              <w:top w:val="single" w:sz="4" w:space="0" w:color="auto"/>
              <w:left w:val="single" w:sz="4" w:space="0" w:color="auto"/>
              <w:bottom w:val="single" w:sz="4" w:space="0" w:color="auto"/>
              <w:right w:val="single" w:sz="4" w:space="0" w:color="auto"/>
            </w:tcBorders>
            <w:vAlign w:val="center"/>
          </w:tcPr>
          <w:p w14:paraId="14330C4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c>
          <w:tcPr>
            <w:tcW w:w="695" w:type="dxa"/>
            <w:tcBorders>
              <w:top w:val="single" w:sz="4" w:space="0" w:color="auto"/>
              <w:left w:val="single" w:sz="4" w:space="0" w:color="auto"/>
              <w:bottom w:val="single" w:sz="4" w:space="0" w:color="auto"/>
              <w:right w:val="single" w:sz="4" w:space="0" w:color="auto"/>
            </w:tcBorders>
            <w:vAlign w:val="center"/>
          </w:tcPr>
          <w:p w14:paraId="056ADFE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236</w:t>
            </w:r>
          </w:p>
        </w:tc>
        <w:tc>
          <w:tcPr>
            <w:tcW w:w="773" w:type="dxa"/>
            <w:tcBorders>
              <w:top w:val="single" w:sz="4" w:space="0" w:color="auto"/>
              <w:left w:val="single" w:sz="4" w:space="0" w:color="auto"/>
              <w:bottom w:val="single" w:sz="4" w:space="0" w:color="auto"/>
              <w:right w:val="single" w:sz="4" w:space="0" w:color="auto"/>
            </w:tcBorders>
            <w:vAlign w:val="center"/>
          </w:tcPr>
          <w:p w14:paraId="701D62A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3.75</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25EC5E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1.062</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8DA5CD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4BCB3963" w14:textId="77777777" w:rsidTr="005962D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170AC60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135B465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تشجع الإدارة العليا على تبادل الأفكار حول الأمن السيبراني</w:t>
            </w:r>
          </w:p>
        </w:tc>
        <w:tc>
          <w:tcPr>
            <w:tcW w:w="686" w:type="dxa"/>
            <w:tcBorders>
              <w:top w:val="single" w:sz="4" w:space="0" w:color="auto"/>
              <w:left w:val="single" w:sz="4" w:space="0" w:color="auto"/>
              <w:bottom w:val="single" w:sz="4" w:space="0" w:color="auto"/>
              <w:right w:val="single" w:sz="4" w:space="0" w:color="auto"/>
            </w:tcBorders>
            <w:vAlign w:val="center"/>
          </w:tcPr>
          <w:p w14:paraId="2FA57A7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15</w:t>
            </w:r>
          </w:p>
        </w:tc>
        <w:tc>
          <w:tcPr>
            <w:tcW w:w="686" w:type="dxa"/>
            <w:tcBorders>
              <w:top w:val="single" w:sz="4" w:space="0" w:color="auto"/>
              <w:left w:val="single" w:sz="4" w:space="0" w:color="auto"/>
              <w:bottom w:val="single" w:sz="4" w:space="0" w:color="auto"/>
              <w:right w:val="single" w:sz="4" w:space="0" w:color="auto"/>
            </w:tcBorders>
            <w:vAlign w:val="center"/>
          </w:tcPr>
          <w:p w14:paraId="7A58671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26</w:t>
            </w:r>
          </w:p>
        </w:tc>
        <w:tc>
          <w:tcPr>
            <w:tcW w:w="685" w:type="dxa"/>
            <w:tcBorders>
              <w:top w:val="single" w:sz="4" w:space="0" w:color="auto"/>
              <w:left w:val="single" w:sz="4" w:space="0" w:color="auto"/>
              <w:bottom w:val="single" w:sz="4" w:space="0" w:color="auto"/>
              <w:right w:val="single" w:sz="4" w:space="0" w:color="auto"/>
            </w:tcBorders>
            <w:vAlign w:val="center"/>
          </w:tcPr>
          <w:p w14:paraId="2C78F11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10</w:t>
            </w:r>
          </w:p>
        </w:tc>
        <w:tc>
          <w:tcPr>
            <w:tcW w:w="819" w:type="dxa"/>
            <w:tcBorders>
              <w:top w:val="single" w:sz="4" w:space="0" w:color="auto"/>
              <w:left w:val="single" w:sz="4" w:space="0" w:color="auto"/>
              <w:bottom w:val="single" w:sz="4" w:space="0" w:color="auto"/>
              <w:right w:val="single" w:sz="4" w:space="0" w:color="auto"/>
            </w:tcBorders>
            <w:vAlign w:val="center"/>
          </w:tcPr>
          <w:p w14:paraId="36C50D1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4094051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099540F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231</w:t>
            </w:r>
          </w:p>
        </w:tc>
        <w:tc>
          <w:tcPr>
            <w:tcW w:w="773" w:type="dxa"/>
            <w:tcBorders>
              <w:top w:val="single" w:sz="4" w:space="0" w:color="auto"/>
              <w:left w:val="single" w:sz="4" w:space="0" w:color="auto"/>
              <w:bottom w:val="single" w:sz="4" w:space="0" w:color="auto"/>
              <w:right w:val="single" w:sz="4" w:space="0" w:color="auto"/>
            </w:tcBorders>
            <w:vAlign w:val="center"/>
          </w:tcPr>
          <w:p w14:paraId="3DEA213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3.67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A0A155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FE2D32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3744FA04" w14:textId="77777777" w:rsidTr="005962D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4E6569F9"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lastRenderedPageBreak/>
              <w:t>5</w:t>
            </w:r>
          </w:p>
        </w:tc>
        <w:tc>
          <w:tcPr>
            <w:tcW w:w="3969" w:type="dxa"/>
            <w:tcBorders>
              <w:top w:val="single" w:sz="4" w:space="0" w:color="auto"/>
              <w:left w:val="thickThinSmallGap" w:sz="18" w:space="0" w:color="auto"/>
              <w:bottom w:val="single" w:sz="4" w:space="0" w:color="auto"/>
              <w:right w:val="single" w:sz="4" w:space="0" w:color="auto"/>
            </w:tcBorders>
          </w:tcPr>
          <w:p w14:paraId="239F5B96"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rPr>
              <w:t>تأخذ القيادة برأي الخبراء التقنيين عند اتخاذ قرارات مهمة</w:t>
            </w:r>
          </w:p>
        </w:tc>
        <w:tc>
          <w:tcPr>
            <w:tcW w:w="686" w:type="dxa"/>
            <w:tcBorders>
              <w:top w:val="single" w:sz="4" w:space="0" w:color="auto"/>
              <w:left w:val="single" w:sz="4" w:space="0" w:color="auto"/>
              <w:bottom w:val="single" w:sz="4" w:space="0" w:color="auto"/>
              <w:right w:val="single" w:sz="4" w:space="0" w:color="auto"/>
            </w:tcBorders>
            <w:vAlign w:val="center"/>
          </w:tcPr>
          <w:p w14:paraId="3389531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17</w:t>
            </w:r>
          </w:p>
        </w:tc>
        <w:tc>
          <w:tcPr>
            <w:tcW w:w="686" w:type="dxa"/>
            <w:tcBorders>
              <w:top w:val="single" w:sz="4" w:space="0" w:color="auto"/>
              <w:left w:val="single" w:sz="4" w:space="0" w:color="auto"/>
              <w:bottom w:val="single" w:sz="4" w:space="0" w:color="auto"/>
              <w:right w:val="single" w:sz="4" w:space="0" w:color="auto"/>
            </w:tcBorders>
            <w:vAlign w:val="center"/>
          </w:tcPr>
          <w:p w14:paraId="3644C19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06C4895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3CD5984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693F0B0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3296A00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229</w:t>
            </w:r>
          </w:p>
        </w:tc>
        <w:tc>
          <w:tcPr>
            <w:tcW w:w="773" w:type="dxa"/>
            <w:tcBorders>
              <w:top w:val="single" w:sz="4" w:space="0" w:color="auto"/>
              <w:left w:val="single" w:sz="4" w:space="0" w:color="auto"/>
              <w:bottom w:val="single" w:sz="4" w:space="0" w:color="auto"/>
              <w:right w:val="single" w:sz="4" w:space="0" w:color="auto"/>
            </w:tcBorders>
            <w:vAlign w:val="center"/>
          </w:tcPr>
          <w:p w14:paraId="5784EA0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3.63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2112FA1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1.14</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0102AC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0930211C" w14:textId="77777777" w:rsidTr="005962D7">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6C384571"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5CCDFA9"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FAD278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85</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2CE7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109</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47BCA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79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1DB54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30</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BF3CE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12</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8F726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1170</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24E47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18.6</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A5E47A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5.5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2DF0C7D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60E6D03F" w14:textId="77777777" w:rsidTr="005962D7">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672EF03"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24816A3"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2994F2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74%</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E7F0A4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ABAF21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3.71</w:t>
            </w:r>
          </w:p>
        </w:tc>
      </w:tr>
    </w:tbl>
    <w:p w14:paraId="11CFE3F2"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6F687355" w14:textId="3AB6BD32"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7</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المشاركة في اتخاذ القرار "بمستوى مرتفع" حيث جاء المتوسط الحسابي (3.71) وكذلك بلغت القوة النسبية لهذا المتغير (74%) وبمجموع وزني بلغ (1170).</w:t>
      </w:r>
    </w:p>
    <w:p w14:paraId="151D7B78"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27165A2D"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"تشجيع الشركة الموظفين على تقديم مقترحات تطويرية" بمتوسط حسابي (3.76)، وقد يرجع ذلك إلى ضرورة تشجيع الشركات لموظفيها وحثهم على تقديم المقترحات لأنهم من يواجهون المشكلات ويبحثون في حلها بشكل واقعي.</w:t>
      </w:r>
    </w:p>
    <w:p w14:paraId="1F8E30F0"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مكرر عبارة "يتم إشراك الإدارات المختلفة في صياغة القرارات المصيرية" بمتوسط حسابي (3.76)، وقد يرجع ذلك إلى ضرورة أن تكون اتخاذ القرارات تخدم تطوير كافة الإدارات.</w:t>
      </w:r>
    </w:p>
    <w:p w14:paraId="2CF830B2"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4870D768"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حيث جاءت بالترتيب الخامس والأخير عبارة " تأخذ القيادة برأي الخبراء التقنيين عند اتخاذ قرارات مهمة " بمتوسط حسابي (3.63)، وقد يرجع ذلك إلى أن بالرغم من أهمية الأخذ برأي الخبراء إلا أن هناك من هم رأيهم له الأولوية وهم من يتعاملون ميدانياً.</w:t>
      </w:r>
    </w:p>
    <w:p w14:paraId="2C049A35" w14:textId="77777777" w:rsidR="002874C7" w:rsidRPr="00545ABB" w:rsidRDefault="002874C7" w:rsidP="00022590">
      <w:pPr>
        <w:spacing w:after="0" w:line="360" w:lineRule="auto"/>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بعد </w:t>
      </w:r>
      <w:r w:rsidRPr="00545ABB">
        <w:rPr>
          <w:rFonts w:ascii="Traditional Arabic" w:hAnsi="Traditional Arabic" w:cs="Traditional Arabic"/>
          <w:color w:val="000000" w:themeColor="text1"/>
          <w:sz w:val="28"/>
          <w:szCs w:val="28"/>
          <w:rtl/>
          <w:lang w:bidi="ar-EG"/>
        </w:rPr>
        <w:t xml:space="preserve">المشاركة في اتخاذ القرار </w:t>
      </w:r>
      <w:r w:rsidRPr="00545ABB">
        <w:rPr>
          <w:rFonts w:ascii="Traditional Arabic" w:hAnsi="Traditional Arabic" w:cs="Traditional Arabic"/>
          <w:color w:val="000000" w:themeColor="text1"/>
          <w:sz w:val="28"/>
          <w:szCs w:val="28"/>
          <w:rtl/>
        </w:rPr>
        <w:t>هي مشاركة جميع الموظفين بكافة الإدارات بمقترحات تساعد في عملية اتخاذ القرار.</w:t>
      </w:r>
    </w:p>
    <w:p w14:paraId="5F26358F" w14:textId="77777777" w:rsidR="00F55820" w:rsidRPr="00545ABB" w:rsidRDefault="00F55820" w:rsidP="00022590">
      <w:pPr>
        <w:spacing w:after="0" w:line="360" w:lineRule="auto"/>
        <w:rPr>
          <w:rFonts w:ascii="Traditional Arabic" w:hAnsi="Traditional Arabic" w:cs="Traditional Arabic"/>
          <w:color w:val="000000" w:themeColor="text1"/>
          <w:sz w:val="28"/>
          <w:szCs w:val="28"/>
          <w:rtl/>
        </w:rPr>
      </w:pPr>
    </w:p>
    <w:p w14:paraId="030CF644" w14:textId="77777777" w:rsidR="00F55820" w:rsidRPr="00545ABB" w:rsidRDefault="00F55820" w:rsidP="00022590">
      <w:pPr>
        <w:spacing w:after="0" w:line="360" w:lineRule="auto"/>
        <w:rPr>
          <w:rFonts w:ascii="Traditional Arabic" w:hAnsi="Traditional Arabic" w:cs="Traditional Arabic"/>
          <w:color w:val="000000" w:themeColor="text1"/>
          <w:sz w:val="28"/>
          <w:szCs w:val="28"/>
          <w:rtl/>
        </w:rPr>
      </w:pPr>
    </w:p>
    <w:p w14:paraId="479CAC89" w14:textId="6613052C" w:rsidR="002874C7" w:rsidRPr="00545ABB" w:rsidRDefault="002874C7" w:rsidP="005D773F">
      <w:pPr>
        <w:spacing w:after="0" w:line="360" w:lineRule="auto"/>
        <w:jc w:val="center"/>
        <w:rPr>
          <w:rFonts w:ascii="Traditional Arabic" w:hAnsi="Traditional Arabic" w:cs="Traditional Arabic"/>
          <w:b/>
          <w:bCs/>
          <w:color w:val="000000" w:themeColor="text1"/>
          <w:sz w:val="28"/>
          <w:szCs w:val="28"/>
          <w:rtl/>
        </w:rPr>
      </w:pPr>
      <w:r w:rsidRPr="00545ABB">
        <w:rPr>
          <w:rFonts w:ascii="Traditional Arabic" w:hAnsi="Traditional Arabic" w:cs="Traditional Arabic"/>
          <w:noProof/>
          <w:color w:val="000000" w:themeColor="text1"/>
          <w:rtl/>
        </w:rPr>
        <w:lastRenderedPageBreak/>
        <mc:AlternateContent>
          <mc:Choice Requires="wps">
            <w:drawing>
              <wp:anchor distT="0" distB="0" distL="114300" distR="114300" simplePos="0" relativeHeight="251686400" behindDoc="0" locked="0" layoutInCell="1" allowOverlap="1" wp14:anchorId="02F91217" wp14:editId="2837B634">
                <wp:simplePos x="0" y="0"/>
                <wp:positionH relativeFrom="column">
                  <wp:posOffset>-468630</wp:posOffset>
                </wp:positionH>
                <wp:positionV relativeFrom="paragraph">
                  <wp:posOffset>66675</wp:posOffset>
                </wp:positionV>
                <wp:extent cx="819150" cy="371475"/>
                <wp:effectExtent l="0" t="0" r="0" b="9525"/>
                <wp:wrapNone/>
                <wp:docPr id="102278125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56710"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91217" id="_x0000_s1037" style="position:absolute;left:0;text-align:left;margin-left:-36.9pt;margin-top:5.25pt;width:64.5pt;height:29.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" filled="f" stroked="f">
                <v:textbox>
                  <w:txbxContent>
                    <w:p w14:paraId="50756710"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8</w:t>
      </w:r>
      <w:r w:rsidR="00B760B2" w:rsidRPr="00B760B2">
        <w:rPr>
          <w:rFonts w:ascii="Traditional Arabic" w:hAnsi="Traditional Arabic" w:cs="Traditional Arabic"/>
          <w:b/>
          <w:bCs/>
          <w:color w:val="000000" w:themeColor="text1"/>
          <w:sz w:val="28"/>
          <w:szCs w:val="28"/>
          <w:rtl/>
          <w:lang w:bidi="ar-EG"/>
        </w:rPr>
        <w:t>)</w:t>
      </w:r>
      <w:r w:rsidRPr="00545ABB">
        <w:rPr>
          <w:rFonts w:ascii="Traditional Arabic" w:hAnsi="Traditional Arabic" w:cs="Traditional Arabic"/>
          <w:b/>
          <w:bCs/>
          <w:color w:val="000000" w:themeColor="text1"/>
          <w:sz w:val="28"/>
          <w:szCs w:val="28"/>
          <w:rtl/>
        </w:rPr>
        <w:t xml:space="preserve"> يوضح بعد إدارة المخاطر والالتزام</w:t>
      </w:r>
    </w:p>
    <w:tbl>
      <w:tblPr>
        <w:tblpPr w:leftFromText="180" w:rightFromText="180" w:vertAnchor="text" w:horzAnchor="margin" w:tblpXSpec="center" w:tblpY="276"/>
        <w:bidiVisual/>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3916"/>
        <w:gridCol w:w="677"/>
        <w:gridCol w:w="677"/>
        <w:gridCol w:w="676"/>
        <w:gridCol w:w="807"/>
        <w:gridCol w:w="682"/>
        <w:gridCol w:w="686"/>
        <w:gridCol w:w="762"/>
        <w:gridCol w:w="35"/>
        <w:gridCol w:w="811"/>
        <w:gridCol w:w="407"/>
      </w:tblGrid>
      <w:tr w:rsidR="002874C7" w:rsidRPr="00545ABB" w14:paraId="544F8F32" w14:textId="77777777" w:rsidTr="002174D5">
        <w:trPr>
          <w:trHeight w:val="324"/>
        </w:trPr>
        <w:tc>
          <w:tcPr>
            <w:tcW w:w="484" w:type="dxa"/>
            <w:vMerge w:val="restart"/>
            <w:tcBorders>
              <w:top w:val="thinThickSmallGap" w:sz="18" w:space="0" w:color="auto"/>
              <w:left w:val="thickThinSmallGap" w:sz="18" w:space="0" w:color="auto"/>
              <w:right w:val="single" w:sz="4" w:space="0" w:color="auto"/>
            </w:tcBorders>
            <w:shd w:val="clear" w:color="auto" w:fill="F2F2F2"/>
            <w:vAlign w:val="center"/>
          </w:tcPr>
          <w:p w14:paraId="6093CFF8"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rPr>
            </w:pPr>
          </w:p>
        </w:tc>
        <w:tc>
          <w:tcPr>
            <w:tcW w:w="3916"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219E52E2" w14:textId="77777777" w:rsidR="002874C7" w:rsidRPr="00545ABB" w:rsidRDefault="002874C7" w:rsidP="00022590">
            <w:pPr>
              <w:spacing w:after="0" w:line="360" w:lineRule="auto"/>
              <w:ind w:left="360"/>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sz w:val="28"/>
                <w:szCs w:val="28"/>
                <w:rtl/>
              </w:rPr>
              <w:t>بعد</w:t>
            </w:r>
            <w:r w:rsidRPr="00545ABB">
              <w:rPr>
                <w:rFonts w:ascii="Traditional Arabic" w:hAnsi="Traditional Arabic" w:cs="Traditional Arabic"/>
                <w:b/>
                <w:bCs/>
                <w:color w:val="000000" w:themeColor="text1"/>
                <w:rtl/>
              </w:rPr>
              <w:t xml:space="preserve"> إدارة المخاطر والالتزام</w:t>
            </w:r>
          </w:p>
        </w:tc>
        <w:tc>
          <w:tcPr>
            <w:tcW w:w="3519"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51DE704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86"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5D856AB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25CE1E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4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20531D7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2F9DD05F"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5591F49F" w14:textId="77777777" w:rsidTr="002174D5">
        <w:trPr>
          <w:trHeight w:val="175"/>
        </w:trPr>
        <w:tc>
          <w:tcPr>
            <w:tcW w:w="484" w:type="dxa"/>
            <w:vMerge/>
            <w:tcBorders>
              <w:left w:val="thickThinSmallGap" w:sz="18" w:space="0" w:color="auto"/>
              <w:bottom w:val="thickThinSmallGap" w:sz="18" w:space="0" w:color="auto"/>
              <w:right w:val="single" w:sz="4" w:space="0" w:color="auto"/>
            </w:tcBorders>
            <w:vAlign w:val="center"/>
          </w:tcPr>
          <w:p w14:paraId="0B356455"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916"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A56CB5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7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0EC2FCB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7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69655F2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7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71004C3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379774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82"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55E2DF8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أعارض بشدة</w:t>
            </w:r>
          </w:p>
        </w:tc>
        <w:tc>
          <w:tcPr>
            <w:tcW w:w="686" w:type="dxa"/>
            <w:vMerge/>
            <w:tcBorders>
              <w:top w:val="thinThickSmallGap" w:sz="18" w:space="0" w:color="auto"/>
              <w:left w:val="single" w:sz="4" w:space="0" w:color="auto"/>
              <w:bottom w:val="thickThinSmallGap" w:sz="18" w:space="0" w:color="auto"/>
              <w:right w:val="single" w:sz="4" w:space="0" w:color="auto"/>
            </w:tcBorders>
            <w:vAlign w:val="center"/>
            <w:hideMark/>
          </w:tcPr>
          <w:p w14:paraId="7BA6F37E"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ED82FB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4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6AB84ED"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D176532"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27AB7DA8" w14:textId="77777777" w:rsidTr="005962D7">
        <w:trPr>
          <w:trHeight w:val="284"/>
        </w:trPr>
        <w:tc>
          <w:tcPr>
            <w:tcW w:w="484" w:type="dxa"/>
            <w:tcBorders>
              <w:top w:val="thickThinSmallGap" w:sz="18" w:space="0" w:color="auto"/>
              <w:left w:val="thickThinSmallGap" w:sz="18" w:space="0" w:color="auto"/>
              <w:bottom w:val="single" w:sz="4" w:space="0" w:color="auto"/>
              <w:right w:val="single" w:sz="4" w:space="0" w:color="auto"/>
            </w:tcBorders>
            <w:vAlign w:val="center"/>
          </w:tcPr>
          <w:p w14:paraId="5B62603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916" w:type="dxa"/>
            <w:tcBorders>
              <w:top w:val="thickThinSmallGap" w:sz="18" w:space="0" w:color="auto"/>
              <w:left w:val="thickThinSmallGap" w:sz="18" w:space="0" w:color="auto"/>
              <w:bottom w:val="single" w:sz="4" w:space="0" w:color="auto"/>
              <w:right w:val="single" w:sz="4" w:space="0" w:color="auto"/>
            </w:tcBorders>
          </w:tcPr>
          <w:p w14:paraId="6811D96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تمتلك الشركة نظاماً واضحاً لتقييم المخاطر السيبرانية</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0FCDF97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6BE83B2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33</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731F06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61DF8F7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82" w:type="dxa"/>
            <w:tcBorders>
              <w:top w:val="thickThinSmallGap" w:sz="18" w:space="0" w:color="auto"/>
              <w:left w:val="single" w:sz="4" w:space="0" w:color="auto"/>
              <w:bottom w:val="single" w:sz="4" w:space="0" w:color="auto"/>
              <w:right w:val="single" w:sz="4" w:space="0" w:color="auto"/>
            </w:tcBorders>
            <w:vAlign w:val="center"/>
          </w:tcPr>
          <w:p w14:paraId="58903E2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30ACF0D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759FB14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46" w:type="dxa"/>
            <w:gridSpan w:val="2"/>
            <w:tcBorders>
              <w:top w:val="thickThinSmallGap" w:sz="18" w:space="0" w:color="auto"/>
              <w:left w:val="single" w:sz="4" w:space="0" w:color="auto"/>
              <w:bottom w:val="single" w:sz="4" w:space="0" w:color="auto"/>
              <w:right w:val="single" w:sz="4" w:space="0" w:color="auto"/>
            </w:tcBorders>
            <w:vAlign w:val="center"/>
          </w:tcPr>
          <w:p w14:paraId="0A600C5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0.89</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21C5431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39B42AC2" w14:textId="77777777" w:rsidTr="005962D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790067A0"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916" w:type="dxa"/>
            <w:tcBorders>
              <w:top w:val="single" w:sz="4" w:space="0" w:color="auto"/>
              <w:left w:val="thickThinSmallGap" w:sz="18" w:space="0" w:color="auto"/>
              <w:bottom w:val="single" w:sz="4" w:space="0" w:color="auto"/>
              <w:right w:val="single" w:sz="4" w:space="0" w:color="auto"/>
            </w:tcBorders>
          </w:tcPr>
          <w:p w14:paraId="1F945DE9"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تلتزم الشركة بالمعايير الوطنية للأمن السيبراني</w:t>
            </w:r>
          </w:p>
        </w:tc>
        <w:tc>
          <w:tcPr>
            <w:tcW w:w="677" w:type="dxa"/>
            <w:tcBorders>
              <w:top w:val="single" w:sz="4" w:space="0" w:color="auto"/>
              <w:left w:val="single" w:sz="4" w:space="0" w:color="auto"/>
              <w:bottom w:val="single" w:sz="4" w:space="0" w:color="auto"/>
              <w:right w:val="single" w:sz="4" w:space="0" w:color="auto"/>
            </w:tcBorders>
            <w:vAlign w:val="center"/>
          </w:tcPr>
          <w:p w14:paraId="19E385F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677" w:type="dxa"/>
            <w:tcBorders>
              <w:top w:val="single" w:sz="4" w:space="0" w:color="auto"/>
              <w:left w:val="single" w:sz="4" w:space="0" w:color="auto"/>
              <w:bottom w:val="single" w:sz="4" w:space="0" w:color="auto"/>
              <w:right w:val="single" w:sz="4" w:space="0" w:color="auto"/>
            </w:tcBorders>
            <w:vAlign w:val="center"/>
          </w:tcPr>
          <w:p w14:paraId="48982CA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25</w:t>
            </w:r>
          </w:p>
        </w:tc>
        <w:tc>
          <w:tcPr>
            <w:tcW w:w="676" w:type="dxa"/>
            <w:tcBorders>
              <w:top w:val="single" w:sz="4" w:space="0" w:color="auto"/>
              <w:left w:val="single" w:sz="4" w:space="0" w:color="auto"/>
              <w:bottom w:val="single" w:sz="4" w:space="0" w:color="auto"/>
              <w:right w:val="single" w:sz="4" w:space="0" w:color="auto"/>
            </w:tcBorders>
            <w:vAlign w:val="center"/>
          </w:tcPr>
          <w:p w14:paraId="10F5D22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418C8AB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82" w:type="dxa"/>
            <w:tcBorders>
              <w:top w:val="single" w:sz="4" w:space="0" w:color="auto"/>
              <w:left w:val="single" w:sz="4" w:space="0" w:color="auto"/>
              <w:bottom w:val="single" w:sz="4" w:space="0" w:color="auto"/>
              <w:right w:val="single" w:sz="4" w:space="0" w:color="auto"/>
            </w:tcBorders>
            <w:vAlign w:val="center"/>
          </w:tcPr>
          <w:p w14:paraId="47B3940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4F42DE2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236</w:t>
            </w:r>
          </w:p>
        </w:tc>
        <w:tc>
          <w:tcPr>
            <w:tcW w:w="762" w:type="dxa"/>
            <w:tcBorders>
              <w:top w:val="single" w:sz="4" w:space="0" w:color="auto"/>
              <w:left w:val="single" w:sz="4" w:space="0" w:color="auto"/>
              <w:bottom w:val="single" w:sz="4" w:space="0" w:color="auto"/>
              <w:right w:val="single" w:sz="4" w:space="0" w:color="auto"/>
            </w:tcBorders>
            <w:vAlign w:val="center"/>
          </w:tcPr>
          <w:p w14:paraId="535189E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A24804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1.05</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5599BA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10C90173" w14:textId="77777777" w:rsidTr="005962D7">
        <w:trPr>
          <w:trHeight w:val="503"/>
        </w:trPr>
        <w:tc>
          <w:tcPr>
            <w:tcW w:w="484" w:type="dxa"/>
            <w:tcBorders>
              <w:top w:val="single" w:sz="4" w:space="0" w:color="auto"/>
              <w:left w:val="thickThinSmallGap" w:sz="18" w:space="0" w:color="auto"/>
              <w:bottom w:val="single" w:sz="4" w:space="0" w:color="auto"/>
              <w:right w:val="single" w:sz="4" w:space="0" w:color="auto"/>
            </w:tcBorders>
            <w:vAlign w:val="center"/>
          </w:tcPr>
          <w:p w14:paraId="4FD921F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916" w:type="dxa"/>
            <w:tcBorders>
              <w:top w:val="single" w:sz="4" w:space="0" w:color="auto"/>
              <w:left w:val="thickThinSmallGap" w:sz="18" w:space="0" w:color="auto"/>
              <w:bottom w:val="single" w:sz="4" w:space="0" w:color="auto"/>
              <w:right w:val="single" w:sz="4" w:space="0" w:color="auto"/>
            </w:tcBorders>
            <w:vAlign w:val="center"/>
          </w:tcPr>
          <w:p w14:paraId="57F8606F"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تحديث سياسات الحماية الأمنية بشكل دوري</w:t>
            </w:r>
          </w:p>
        </w:tc>
        <w:tc>
          <w:tcPr>
            <w:tcW w:w="677" w:type="dxa"/>
            <w:tcBorders>
              <w:top w:val="single" w:sz="4" w:space="0" w:color="auto"/>
              <w:left w:val="single" w:sz="4" w:space="0" w:color="auto"/>
              <w:bottom w:val="single" w:sz="4" w:space="0" w:color="auto"/>
              <w:right w:val="single" w:sz="4" w:space="0" w:color="auto"/>
            </w:tcBorders>
            <w:vAlign w:val="center"/>
          </w:tcPr>
          <w:p w14:paraId="6E98778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6A2DB9B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34</w:t>
            </w:r>
          </w:p>
        </w:tc>
        <w:tc>
          <w:tcPr>
            <w:tcW w:w="676" w:type="dxa"/>
            <w:tcBorders>
              <w:top w:val="single" w:sz="4" w:space="0" w:color="auto"/>
              <w:left w:val="single" w:sz="4" w:space="0" w:color="auto"/>
              <w:bottom w:val="single" w:sz="4" w:space="0" w:color="auto"/>
              <w:right w:val="single" w:sz="4" w:space="0" w:color="auto"/>
            </w:tcBorders>
            <w:vAlign w:val="center"/>
          </w:tcPr>
          <w:p w14:paraId="773AE60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2997124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23A5EEB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2FC394A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237</w:t>
            </w:r>
          </w:p>
        </w:tc>
        <w:tc>
          <w:tcPr>
            <w:tcW w:w="762" w:type="dxa"/>
            <w:tcBorders>
              <w:top w:val="single" w:sz="4" w:space="0" w:color="auto"/>
              <w:left w:val="single" w:sz="4" w:space="0" w:color="auto"/>
              <w:bottom w:val="single" w:sz="4" w:space="0" w:color="auto"/>
              <w:right w:val="single" w:sz="4" w:space="0" w:color="auto"/>
            </w:tcBorders>
            <w:vAlign w:val="center"/>
          </w:tcPr>
          <w:p w14:paraId="7D2BCBD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1439231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1.03</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F043DF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2EC3C2F2" w14:textId="77777777" w:rsidTr="005962D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0A494391"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916" w:type="dxa"/>
            <w:tcBorders>
              <w:top w:val="single" w:sz="4" w:space="0" w:color="auto"/>
              <w:left w:val="thickThinSmallGap" w:sz="18" w:space="0" w:color="auto"/>
              <w:bottom w:val="single" w:sz="4" w:space="0" w:color="auto"/>
              <w:right w:val="single" w:sz="4" w:space="0" w:color="auto"/>
            </w:tcBorders>
          </w:tcPr>
          <w:p w14:paraId="37B1BA4A"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تتبع الشركة خطة استجابة للحوادث السيبرانية</w:t>
            </w:r>
          </w:p>
        </w:tc>
        <w:tc>
          <w:tcPr>
            <w:tcW w:w="677" w:type="dxa"/>
            <w:tcBorders>
              <w:top w:val="single" w:sz="4" w:space="0" w:color="auto"/>
              <w:left w:val="single" w:sz="4" w:space="0" w:color="auto"/>
              <w:bottom w:val="single" w:sz="4" w:space="0" w:color="auto"/>
              <w:right w:val="single" w:sz="4" w:space="0" w:color="auto"/>
            </w:tcBorders>
            <w:vAlign w:val="center"/>
          </w:tcPr>
          <w:p w14:paraId="38446D9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342D295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43981FF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3E0EF80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82" w:type="dxa"/>
            <w:tcBorders>
              <w:top w:val="single" w:sz="4" w:space="0" w:color="auto"/>
              <w:left w:val="single" w:sz="4" w:space="0" w:color="auto"/>
              <w:bottom w:val="single" w:sz="4" w:space="0" w:color="auto"/>
              <w:right w:val="single" w:sz="4" w:space="0" w:color="auto"/>
            </w:tcBorders>
            <w:vAlign w:val="center"/>
          </w:tcPr>
          <w:p w14:paraId="5F4E38A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56E122A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235</w:t>
            </w:r>
          </w:p>
        </w:tc>
        <w:tc>
          <w:tcPr>
            <w:tcW w:w="762" w:type="dxa"/>
            <w:tcBorders>
              <w:top w:val="single" w:sz="4" w:space="0" w:color="auto"/>
              <w:left w:val="single" w:sz="4" w:space="0" w:color="auto"/>
              <w:bottom w:val="single" w:sz="4" w:space="0" w:color="auto"/>
              <w:right w:val="single" w:sz="4" w:space="0" w:color="auto"/>
            </w:tcBorders>
            <w:vAlign w:val="center"/>
          </w:tcPr>
          <w:p w14:paraId="15FB70C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6A21814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2268EFC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115356CD" w14:textId="77777777" w:rsidTr="005962D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271A77F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w:t>
            </w:r>
          </w:p>
        </w:tc>
        <w:tc>
          <w:tcPr>
            <w:tcW w:w="3916" w:type="dxa"/>
            <w:tcBorders>
              <w:top w:val="single" w:sz="4" w:space="0" w:color="auto"/>
              <w:left w:val="thickThinSmallGap" w:sz="18" w:space="0" w:color="auto"/>
              <w:bottom w:val="single" w:sz="4" w:space="0" w:color="auto"/>
              <w:right w:val="single" w:sz="4" w:space="0" w:color="auto"/>
            </w:tcBorders>
          </w:tcPr>
          <w:p w14:paraId="3D79CF9F"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rPr>
              <w:t>تنفذ برامج تدريبية لتعزيز الالتزام الأمني</w:t>
            </w:r>
          </w:p>
        </w:tc>
        <w:tc>
          <w:tcPr>
            <w:tcW w:w="677" w:type="dxa"/>
            <w:tcBorders>
              <w:top w:val="single" w:sz="4" w:space="0" w:color="auto"/>
              <w:left w:val="single" w:sz="4" w:space="0" w:color="auto"/>
              <w:bottom w:val="single" w:sz="4" w:space="0" w:color="auto"/>
              <w:right w:val="single" w:sz="4" w:space="0" w:color="auto"/>
            </w:tcBorders>
            <w:vAlign w:val="center"/>
          </w:tcPr>
          <w:p w14:paraId="051ECEC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19</w:t>
            </w:r>
          </w:p>
        </w:tc>
        <w:tc>
          <w:tcPr>
            <w:tcW w:w="677" w:type="dxa"/>
            <w:tcBorders>
              <w:top w:val="single" w:sz="4" w:space="0" w:color="auto"/>
              <w:left w:val="single" w:sz="4" w:space="0" w:color="auto"/>
              <w:bottom w:val="single" w:sz="4" w:space="0" w:color="auto"/>
              <w:right w:val="single" w:sz="4" w:space="0" w:color="auto"/>
            </w:tcBorders>
            <w:vAlign w:val="center"/>
          </w:tcPr>
          <w:p w14:paraId="09EF246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365425D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553B5E5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619F689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86" w:type="dxa"/>
            <w:tcBorders>
              <w:top w:val="single" w:sz="4" w:space="0" w:color="auto"/>
              <w:left w:val="single" w:sz="4" w:space="0" w:color="auto"/>
              <w:bottom w:val="single" w:sz="4" w:space="0" w:color="auto"/>
              <w:right w:val="single" w:sz="4" w:space="0" w:color="auto"/>
            </w:tcBorders>
            <w:vAlign w:val="center"/>
          </w:tcPr>
          <w:p w14:paraId="3B7CC7D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247</w:t>
            </w:r>
          </w:p>
        </w:tc>
        <w:tc>
          <w:tcPr>
            <w:tcW w:w="762" w:type="dxa"/>
            <w:tcBorders>
              <w:top w:val="single" w:sz="4" w:space="0" w:color="auto"/>
              <w:left w:val="single" w:sz="4" w:space="0" w:color="auto"/>
              <w:bottom w:val="single" w:sz="4" w:space="0" w:color="auto"/>
              <w:right w:val="single" w:sz="4" w:space="0" w:color="auto"/>
            </w:tcBorders>
            <w:vAlign w:val="center"/>
          </w:tcPr>
          <w:p w14:paraId="3D0B728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B355C5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4924516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6C4A77A0" w14:textId="77777777" w:rsidTr="005962D7">
        <w:trPr>
          <w:trHeight w:val="354"/>
        </w:trPr>
        <w:tc>
          <w:tcPr>
            <w:tcW w:w="484"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4535B869"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16"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8F067FD"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9D2389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71</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0DC7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148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7A7316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56</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41E0FC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34</w:t>
            </w:r>
          </w:p>
        </w:tc>
        <w:tc>
          <w:tcPr>
            <w:tcW w:w="68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5058A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6</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66C9B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0"/>
                <w:szCs w:val="20"/>
                <w:rtl/>
                <w:lang w:bidi="ar-EG"/>
              </w:rPr>
              <w:t>1189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354C49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18.9</w:t>
            </w:r>
          </w:p>
        </w:tc>
        <w:tc>
          <w:tcPr>
            <w:tcW w:w="81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0702F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4.91</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560A82D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3FB1D480" w14:textId="77777777" w:rsidTr="005962D7">
        <w:trPr>
          <w:trHeight w:val="222"/>
        </w:trPr>
        <w:tc>
          <w:tcPr>
            <w:tcW w:w="484"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FDC292F"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16"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C24FE37"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83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2394D7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75%</w:t>
            </w:r>
          </w:p>
        </w:tc>
        <w:tc>
          <w:tcPr>
            <w:tcW w:w="216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B5E6F2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18"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0DB149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3.78</w:t>
            </w:r>
          </w:p>
        </w:tc>
      </w:tr>
    </w:tbl>
    <w:p w14:paraId="2431FEB4"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2D050ED1" w14:textId="06305704"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8</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إدارة المخاطر والالتزام "بمستوى مرتفع" حيث جاء المتوسط الحسابي (3.78) وكذلك بلغت القوة النسبية لهذا المتغير (75%) وبمجموع وزني بلغ (1189).</w:t>
      </w:r>
    </w:p>
    <w:p w14:paraId="36163015"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0C3F6C66"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 تنفذ برامج تدريبية لتعزيز الالتزام الأمني" بمتوسط حسابي (3.9)، وقد يرجع ذلك إلى ضرورة عمل برامج تدريبية بشكل دوري.</w:t>
      </w:r>
    </w:p>
    <w:p w14:paraId="782E4591"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الثاني عبارة " يتم تحديث سياسات الحماية الأمنية بشكل دوري " بمتوسط حسابي (3.8)، وقد يرجع ذلك إلى ضرورة التحديث الدائم لسياسات الحماية حتى لا يتم تسريب الشفرات الأمنية بسهولة.</w:t>
      </w:r>
    </w:p>
    <w:p w14:paraId="222FB494"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1B2F50A2"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lastRenderedPageBreak/>
        <w:t>حيث جاءت بالترتيب الخامس والأخير عبارة " تتبع الشركة خطة استجابة للحوادث السيبرانية " بمتوسط حسابي (3.7)، وقد يرجع ذلك إلى أن بالرغم من أهمية التخطيط إلا أن وجود أولويات أهم أدى إلى تأخر ترتيب اتباع خطط.</w:t>
      </w:r>
    </w:p>
    <w:p w14:paraId="0135198B" w14:textId="77777777" w:rsidR="002874C7"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بعد </w:t>
      </w:r>
      <w:r w:rsidRPr="00545ABB">
        <w:rPr>
          <w:rFonts w:ascii="Traditional Arabic" w:hAnsi="Traditional Arabic" w:cs="Traditional Arabic"/>
          <w:color w:val="000000" w:themeColor="text1"/>
          <w:sz w:val="28"/>
          <w:szCs w:val="28"/>
          <w:rtl/>
          <w:lang w:bidi="ar-EG"/>
        </w:rPr>
        <w:t xml:space="preserve">المشاركة في اتخاذ القرار </w:t>
      </w:r>
      <w:r w:rsidRPr="00545ABB">
        <w:rPr>
          <w:rFonts w:ascii="Traditional Arabic" w:hAnsi="Traditional Arabic" w:cs="Traditional Arabic"/>
          <w:color w:val="000000" w:themeColor="text1"/>
          <w:sz w:val="28"/>
          <w:szCs w:val="28"/>
          <w:rtl/>
        </w:rPr>
        <w:t>هي تنفيذ برامج تدريبية وتحديث سياسات الأمان والحماية.</w:t>
      </w:r>
    </w:p>
    <w:p w14:paraId="6D218FEF" w14:textId="77A1FE18" w:rsidR="002874C7" w:rsidRPr="00545ABB" w:rsidRDefault="002874C7" w:rsidP="005D773F">
      <w:pPr>
        <w:spacing w:after="0" w:line="360" w:lineRule="auto"/>
        <w:ind w:left="360"/>
        <w:jc w:val="center"/>
        <w:rPr>
          <w:rFonts w:ascii="Traditional Arabic" w:hAnsi="Traditional Arabic" w:cs="Traditional Arabic"/>
          <w:b/>
          <w:bCs/>
          <w:color w:val="000000" w:themeColor="text1"/>
          <w:sz w:val="28"/>
          <w:szCs w:val="28"/>
        </w:rPr>
      </w:pPr>
      <w:r w:rsidRPr="00545ABB">
        <w:rPr>
          <w:rFonts w:ascii="Traditional Arabic" w:hAnsi="Traditional Arabic" w:cs="Traditional Arabic"/>
          <w:noProof/>
          <w:color w:val="000000" w:themeColor="text1"/>
          <w:rtl/>
        </w:rPr>
        <mc:AlternateContent>
          <mc:Choice Requires="wps">
            <w:drawing>
              <wp:anchor distT="0" distB="0" distL="114300" distR="114300" simplePos="0" relativeHeight="251675136" behindDoc="0" locked="0" layoutInCell="1" allowOverlap="1" wp14:anchorId="7C55A50F" wp14:editId="7CAA1BD1">
                <wp:simplePos x="0" y="0"/>
                <wp:positionH relativeFrom="column">
                  <wp:posOffset>-521970</wp:posOffset>
                </wp:positionH>
                <wp:positionV relativeFrom="paragraph">
                  <wp:posOffset>363855</wp:posOffset>
                </wp:positionV>
                <wp:extent cx="819150" cy="371475"/>
                <wp:effectExtent l="0" t="0" r="0" b="9525"/>
                <wp:wrapNone/>
                <wp:docPr id="33036834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FC4DF"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5A50F" id="_x0000_s1038" style="position:absolute;left:0;text-align:left;margin-left:-41.1pt;margin-top:28.65pt;width:64.5pt;height:29.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" filled="f" stroked="f">
                <v:textbox>
                  <w:txbxContent>
                    <w:p w14:paraId="671FC4DF"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9</w:t>
      </w:r>
      <w:r w:rsidR="00B760B2" w:rsidRPr="00B760B2">
        <w:rPr>
          <w:rFonts w:ascii="Traditional Arabic" w:hAnsi="Traditional Arabic" w:cs="Traditional Arabic"/>
          <w:b/>
          <w:bCs/>
          <w:color w:val="000000" w:themeColor="text1"/>
          <w:sz w:val="28"/>
          <w:szCs w:val="28"/>
          <w:rtl/>
          <w:lang w:bidi="ar-EG"/>
        </w:rPr>
        <w:t>)</w:t>
      </w:r>
      <w:r w:rsidRPr="00545ABB">
        <w:rPr>
          <w:rFonts w:ascii="Traditional Arabic" w:hAnsi="Traditional Arabic" w:cs="Traditional Arabic"/>
          <w:b/>
          <w:bCs/>
          <w:color w:val="000000" w:themeColor="text1"/>
          <w:sz w:val="28"/>
          <w:szCs w:val="28"/>
          <w:rtl/>
        </w:rPr>
        <w:t xml:space="preserve"> يوضح بعد الكفاءة في استخدام الموارد</w:t>
      </w:r>
    </w:p>
    <w:p w14:paraId="1406462C" w14:textId="77777777" w:rsidR="002174D5" w:rsidRPr="00545ABB" w:rsidRDefault="002174D5" w:rsidP="00022590">
      <w:pPr>
        <w:spacing w:after="0" w:line="360" w:lineRule="auto"/>
        <w:jc w:val="both"/>
        <w:rPr>
          <w:rFonts w:ascii="Traditional Arabic" w:hAnsi="Traditional Arabic" w:cs="Traditional Arabic"/>
          <w:color w:val="000000" w:themeColor="text1"/>
          <w:sz w:val="28"/>
          <w:szCs w:val="28"/>
          <w:lang w:bidi="ar-EG"/>
        </w:rPr>
      </w:pPr>
    </w:p>
    <w:tbl>
      <w:tblPr>
        <w:tblpPr w:leftFromText="180" w:rightFromText="180" w:vertAnchor="text" w:horzAnchor="margin" w:tblpXSpec="center" w:tblpY="64"/>
        <w:bidiVisual/>
        <w:tblW w:w="10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938"/>
        <w:gridCol w:w="680"/>
        <w:gridCol w:w="680"/>
        <w:gridCol w:w="679"/>
        <w:gridCol w:w="679"/>
        <w:gridCol w:w="821"/>
        <w:gridCol w:w="690"/>
        <w:gridCol w:w="767"/>
        <w:gridCol w:w="34"/>
        <w:gridCol w:w="816"/>
        <w:gridCol w:w="409"/>
      </w:tblGrid>
      <w:tr w:rsidR="002874C7" w:rsidRPr="00545ABB" w14:paraId="1F37DDB2" w14:textId="77777777" w:rsidTr="002174D5">
        <w:trPr>
          <w:trHeight w:val="325"/>
        </w:trPr>
        <w:tc>
          <w:tcPr>
            <w:tcW w:w="486"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5D07B3F1"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938"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0B8EFD45" w14:textId="77777777" w:rsidR="002874C7" w:rsidRPr="00545ABB" w:rsidRDefault="002874C7" w:rsidP="00022590">
            <w:pPr>
              <w:spacing w:after="0" w:line="360" w:lineRule="auto"/>
              <w:ind w:left="360"/>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sz w:val="28"/>
                <w:szCs w:val="28"/>
                <w:rtl/>
              </w:rPr>
              <w:t>بعد</w:t>
            </w:r>
            <w:r w:rsidRPr="00545ABB">
              <w:rPr>
                <w:rFonts w:ascii="Traditional Arabic" w:hAnsi="Traditional Arabic" w:cs="Traditional Arabic"/>
                <w:b/>
                <w:bCs/>
                <w:color w:val="000000" w:themeColor="text1"/>
                <w:rtl/>
              </w:rPr>
              <w:t xml:space="preserve"> الكفاءة في استخدام الموارد</w:t>
            </w:r>
          </w:p>
        </w:tc>
        <w:tc>
          <w:tcPr>
            <w:tcW w:w="3539"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0796F5F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الاستجابات </w:t>
            </w:r>
          </w:p>
        </w:tc>
        <w:tc>
          <w:tcPr>
            <w:tcW w:w="690"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4565E90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67"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1A9A08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5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37F9BC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0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2188FBFD"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3D1EBEC0" w14:textId="77777777" w:rsidTr="002174D5">
        <w:trPr>
          <w:trHeight w:val="175"/>
        </w:trPr>
        <w:tc>
          <w:tcPr>
            <w:tcW w:w="486" w:type="dxa"/>
            <w:vMerge/>
            <w:tcBorders>
              <w:left w:val="thickThinSmallGap" w:sz="18" w:space="0" w:color="auto"/>
              <w:bottom w:val="thickThinSmallGap" w:sz="18" w:space="0" w:color="auto"/>
              <w:right w:val="single" w:sz="4" w:space="0" w:color="auto"/>
            </w:tcBorders>
            <w:vAlign w:val="center"/>
          </w:tcPr>
          <w:p w14:paraId="3D40C5C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938"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8EFAA5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80"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D66F06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80"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112056D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7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20B01FE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67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FC53B7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18"/>
                <w:szCs w:val="18"/>
                <w:rtl/>
                <w:lang w:bidi="ar-EG"/>
              </w:rPr>
              <w:t>أعارض</w:t>
            </w:r>
          </w:p>
        </w:tc>
        <w:tc>
          <w:tcPr>
            <w:tcW w:w="821"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C87D7F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أعارض بشدة</w:t>
            </w:r>
          </w:p>
        </w:tc>
        <w:tc>
          <w:tcPr>
            <w:tcW w:w="690" w:type="dxa"/>
            <w:vMerge/>
            <w:tcBorders>
              <w:top w:val="thinThickSmallGap" w:sz="18" w:space="0" w:color="auto"/>
              <w:left w:val="single" w:sz="4" w:space="0" w:color="auto"/>
              <w:bottom w:val="thickThinSmallGap" w:sz="18" w:space="0" w:color="auto"/>
              <w:right w:val="single" w:sz="4" w:space="0" w:color="auto"/>
            </w:tcBorders>
            <w:vAlign w:val="center"/>
            <w:hideMark/>
          </w:tcPr>
          <w:p w14:paraId="3275095B"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67" w:type="dxa"/>
            <w:vMerge/>
            <w:tcBorders>
              <w:top w:val="thinThickSmallGap" w:sz="18" w:space="0" w:color="auto"/>
              <w:left w:val="single" w:sz="4" w:space="0" w:color="auto"/>
              <w:bottom w:val="thickThinSmallGap" w:sz="18" w:space="0" w:color="auto"/>
              <w:right w:val="single" w:sz="4" w:space="0" w:color="auto"/>
            </w:tcBorders>
            <w:vAlign w:val="center"/>
            <w:hideMark/>
          </w:tcPr>
          <w:p w14:paraId="4EF4ADD1"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5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BBD08E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09"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E0ABDC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43A67C9E" w14:textId="77777777" w:rsidTr="005962D7">
        <w:trPr>
          <w:trHeight w:val="285"/>
        </w:trPr>
        <w:tc>
          <w:tcPr>
            <w:tcW w:w="486" w:type="dxa"/>
            <w:tcBorders>
              <w:top w:val="thickThinSmallGap" w:sz="18" w:space="0" w:color="auto"/>
              <w:left w:val="thickThinSmallGap" w:sz="18" w:space="0" w:color="auto"/>
              <w:bottom w:val="single" w:sz="4" w:space="0" w:color="auto"/>
              <w:right w:val="single" w:sz="4" w:space="0" w:color="auto"/>
            </w:tcBorders>
            <w:vAlign w:val="center"/>
          </w:tcPr>
          <w:p w14:paraId="5F88AE9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938" w:type="dxa"/>
            <w:tcBorders>
              <w:top w:val="thickThinSmallGap" w:sz="18" w:space="0" w:color="auto"/>
              <w:left w:val="thickThinSmallGap" w:sz="18" w:space="0" w:color="auto"/>
              <w:bottom w:val="single" w:sz="4" w:space="0" w:color="auto"/>
              <w:right w:val="single" w:sz="4" w:space="0" w:color="auto"/>
            </w:tcBorders>
          </w:tcPr>
          <w:p w14:paraId="199E540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تدار موارد الشركة البشرية بفعالية</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6A09AE4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13</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107107E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34</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5B48344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7C09829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821" w:type="dxa"/>
            <w:tcBorders>
              <w:top w:val="thickThinSmallGap" w:sz="18" w:space="0" w:color="auto"/>
              <w:left w:val="single" w:sz="4" w:space="0" w:color="auto"/>
              <w:bottom w:val="single" w:sz="4" w:space="0" w:color="auto"/>
              <w:right w:val="single" w:sz="4" w:space="0" w:color="auto"/>
            </w:tcBorders>
            <w:vAlign w:val="center"/>
          </w:tcPr>
          <w:p w14:paraId="13E2F68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0" w:type="dxa"/>
            <w:tcBorders>
              <w:top w:val="thickThinSmallGap" w:sz="18" w:space="0" w:color="auto"/>
              <w:left w:val="single" w:sz="4" w:space="0" w:color="auto"/>
              <w:bottom w:val="single" w:sz="4" w:space="0" w:color="auto"/>
              <w:right w:val="single" w:sz="4" w:space="0" w:color="auto"/>
            </w:tcBorders>
            <w:vAlign w:val="center"/>
          </w:tcPr>
          <w:p w14:paraId="05186AA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237</w:t>
            </w:r>
          </w:p>
        </w:tc>
        <w:tc>
          <w:tcPr>
            <w:tcW w:w="767" w:type="dxa"/>
            <w:tcBorders>
              <w:top w:val="thickThinSmallGap" w:sz="18" w:space="0" w:color="auto"/>
              <w:left w:val="single" w:sz="4" w:space="0" w:color="auto"/>
              <w:bottom w:val="single" w:sz="4" w:space="0" w:color="auto"/>
              <w:right w:val="single" w:sz="4" w:space="0" w:color="auto"/>
            </w:tcBorders>
            <w:vAlign w:val="center"/>
          </w:tcPr>
          <w:p w14:paraId="14BFE80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3.76</w:t>
            </w:r>
          </w:p>
        </w:tc>
        <w:tc>
          <w:tcPr>
            <w:tcW w:w="850" w:type="dxa"/>
            <w:gridSpan w:val="2"/>
            <w:tcBorders>
              <w:top w:val="thickThinSmallGap" w:sz="18" w:space="0" w:color="auto"/>
              <w:left w:val="single" w:sz="4" w:space="0" w:color="auto"/>
              <w:bottom w:val="single" w:sz="4" w:space="0" w:color="auto"/>
              <w:right w:val="single" w:sz="4" w:space="0" w:color="auto"/>
            </w:tcBorders>
            <w:vAlign w:val="center"/>
          </w:tcPr>
          <w:p w14:paraId="21341A5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1.03</w:t>
            </w:r>
          </w:p>
        </w:tc>
        <w:tc>
          <w:tcPr>
            <w:tcW w:w="409" w:type="dxa"/>
            <w:tcBorders>
              <w:top w:val="thickThinSmallGap" w:sz="18" w:space="0" w:color="auto"/>
              <w:left w:val="single" w:sz="4" w:space="0" w:color="auto"/>
              <w:bottom w:val="single" w:sz="4" w:space="0" w:color="auto"/>
              <w:right w:val="thinThickSmallGap" w:sz="18" w:space="0" w:color="auto"/>
            </w:tcBorders>
            <w:vAlign w:val="center"/>
          </w:tcPr>
          <w:p w14:paraId="66E393B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0C39452E" w14:textId="77777777" w:rsidTr="005962D7">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65078885"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938" w:type="dxa"/>
            <w:tcBorders>
              <w:top w:val="single" w:sz="4" w:space="0" w:color="auto"/>
              <w:left w:val="thickThinSmallGap" w:sz="18" w:space="0" w:color="auto"/>
              <w:bottom w:val="single" w:sz="4" w:space="0" w:color="auto"/>
              <w:right w:val="single" w:sz="4" w:space="0" w:color="auto"/>
            </w:tcBorders>
          </w:tcPr>
          <w:p w14:paraId="6D0D4F5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يتم تخصيص الميزانية وفق أولويات الأمن السيبراني</w:t>
            </w:r>
          </w:p>
        </w:tc>
        <w:tc>
          <w:tcPr>
            <w:tcW w:w="680" w:type="dxa"/>
            <w:tcBorders>
              <w:top w:val="single" w:sz="4" w:space="0" w:color="auto"/>
              <w:left w:val="single" w:sz="4" w:space="0" w:color="auto"/>
              <w:bottom w:val="single" w:sz="4" w:space="0" w:color="auto"/>
              <w:right w:val="single" w:sz="4" w:space="0" w:color="auto"/>
            </w:tcBorders>
            <w:vAlign w:val="center"/>
          </w:tcPr>
          <w:p w14:paraId="32A90A6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680" w:type="dxa"/>
            <w:tcBorders>
              <w:top w:val="single" w:sz="4" w:space="0" w:color="auto"/>
              <w:left w:val="single" w:sz="4" w:space="0" w:color="auto"/>
              <w:bottom w:val="single" w:sz="4" w:space="0" w:color="auto"/>
              <w:right w:val="single" w:sz="4" w:space="0" w:color="auto"/>
            </w:tcBorders>
            <w:vAlign w:val="center"/>
          </w:tcPr>
          <w:p w14:paraId="1A00F6F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31</w:t>
            </w:r>
          </w:p>
        </w:tc>
        <w:tc>
          <w:tcPr>
            <w:tcW w:w="679" w:type="dxa"/>
            <w:tcBorders>
              <w:top w:val="single" w:sz="4" w:space="0" w:color="auto"/>
              <w:left w:val="single" w:sz="4" w:space="0" w:color="auto"/>
              <w:bottom w:val="single" w:sz="4" w:space="0" w:color="auto"/>
              <w:right w:val="single" w:sz="4" w:space="0" w:color="auto"/>
            </w:tcBorders>
            <w:vAlign w:val="center"/>
          </w:tcPr>
          <w:p w14:paraId="320E807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716384A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11E4438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7CFF2B2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236</w:t>
            </w:r>
          </w:p>
        </w:tc>
        <w:tc>
          <w:tcPr>
            <w:tcW w:w="767" w:type="dxa"/>
            <w:tcBorders>
              <w:top w:val="single" w:sz="4" w:space="0" w:color="auto"/>
              <w:left w:val="single" w:sz="4" w:space="0" w:color="auto"/>
              <w:bottom w:val="single" w:sz="4" w:space="0" w:color="auto"/>
              <w:right w:val="single" w:sz="4" w:space="0" w:color="auto"/>
            </w:tcBorders>
            <w:vAlign w:val="center"/>
          </w:tcPr>
          <w:p w14:paraId="6426FE8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6FEB9F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352FF79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74386502" w14:textId="77777777" w:rsidTr="005962D7">
        <w:trPr>
          <w:trHeight w:val="505"/>
        </w:trPr>
        <w:tc>
          <w:tcPr>
            <w:tcW w:w="486" w:type="dxa"/>
            <w:tcBorders>
              <w:top w:val="single" w:sz="4" w:space="0" w:color="auto"/>
              <w:left w:val="thickThinSmallGap" w:sz="18" w:space="0" w:color="auto"/>
              <w:bottom w:val="single" w:sz="4" w:space="0" w:color="auto"/>
              <w:right w:val="single" w:sz="4" w:space="0" w:color="auto"/>
            </w:tcBorders>
            <w:vAlign w:val="center"/>
          </w:tcPr>
          <w:p w14:paraId="0C1F9E7A"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938" w:type="dxa"/>
            <w:tcBorders>
              <w:top w:val="single" w:sz="4" w:space="0" w:color="auto"/>
              <w:left w:val="thickThinSmallGap" w:sz="18" w:space="0" w:color="auto"/>
              <w:bottom w:val="single" w:sz="4" w:space="0" w:color="auto"/>
              <w:right w:val="single" w:sz="4" w:space="0" w:color="auto"/>
            </w:tcBorders>
          </w:tcPr>
          <w:p w14:paraId="340F5A9B"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تعتمد الشركة آليات لتحسين كفاءة العمل</w:t>
            </w:r>
          </w:p>
        </w:tc>
        <w:tc>
          <w:tcPr>
            <w:tcW w:w="680" w:type="dxa"/>
            <w:tcBorders>
              <w:top w:val="single" w:sz="4" w:space="0" w:color="auto"/>
              <w:left w:val="single" w:sz="4" w:space="0" w:color="auto"/>
              <w:bottom w:val="single" w:sz="4" w:space="0" w:color="auto"/>
              <w:right w:val="single" w:sz="4" w:space="0" w:color="auto"/>
            </w:tcBorders>
            <w:vAlign w:val="center"/>
          </w:tcPr>
          <w:p w14:paraId="4C13AD3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27</w:t>
            </w:r>
          </w:p>
        </w:tc>
        <w:tc>
          <w:tcPr>
            <w:tcW w:w="680" w:type="dxa"/>
            <w:tcBorders>
              <w:top w:val="single" w:sz="4" w:space="0" w:color="auto"/>
              <w:left w:val="single" w:sz="4" w:space="0" w:color="auto"/>
              <w:bottom w:val="single" w:sz="4" w:space="0" w:color="auto"/>
              <w:right w:val="single" w:sz="4" w:space="0" w:color="auto"/>
            </w:tcBorders>
            <w:vAlign w:val="center"/>
          </w:tcPr>
          <w:p w14:paraId="29E83C8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679" w:type="dxa"/>
            <w:tcBorders>
              <w:top w:val="single" w:sz="4" w:space="0" w:color="auto"/>
              <w:left w:val="single" w:sz="4" w:space="0" w:color="auto"/>
              <w:bottom w:val="single" w:sz="4" w:space="0" w:color="auto"/>
              <w:right w:val="single" w:sz="4" w:space="0" w:color="auto"/>
            </w:tcBorders>
            <w:vAlign w:val="center"/>
          </w:tcPr>
          <w:p w14:paraId="4D67711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146B76D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79BA37D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77FD465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249</w:t>
            </w:r>
          </w:p>
        </w:tc>
        <w:tc>
          <w:tcPr>
            <w:tcW w:w="767" w:type="dxa"/>
            <w:tcBorders>
              <w:top w:val="single" w:sz="4" w:space="0" w:color="auto"/>
              <w:left w:val="single" w:sz="4" w:space="0" w:color="auto"/>
              <w:bottom w:val="single" w:sz="4" w:space="0" w:color="auto"/>
              <w:right w:val="single" w:sz="4" w:space="0" w:color="auto"/>
            </w:tcBorders>
            <w:vAlign w:val="center"/>
          </w:tcPr>
          <w:p w14:paraId="4A804E9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754191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1.17</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3052D16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68485B38" w14:textId="77777777" w:rsidTr="005962D7">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328802F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938" w:type="dxa"/>
            <w:tcBorders>
              <w:top w:val="single" w:sz="4" w:space="0" w:color="auto"/>
              <w:left w:val="thickThinSmallGap" w:sz="18" w:space="0" w:color="auto"/>
              <w:bottom w:val="single" w:sz="4" w:space="0" w:color="auto"/>
              <w:right w:val="single" w:sz="4" w:space="0" w:color="auto"/>
            </w:tcBorders>
          </w:tcPr>
          <w:p w14:paraId="26E5FC9F"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rPr>
              <w:t>توظف الموارد التقنية لدعم الأهداف الاستراتيجية</w:t>
            </w:r>
          </w:p>
        </w:tc>
        <w:tc>
          <w:tcPr>
            <w:tcW w:w="680" w:type="dxa"/>
            <w:tcBorders>
              <w:top w:val="single" w:sz="4" w:space="0" w:color="auto"/>
              <w:left w:val="single" w:sz="4" w:space="0" w:color="auto"/>
              <w:bottom w:val="single" w:sz="4" w:space="0" w:color="auto"/>
              <w:right w:val="single" w:sz="4" w:space="0" w:color="auto"/>
            </w:tcBorders>
            <w:vAlign w:val="center"/>
          </w:tcPr>
          <w:p w14:paraId="6019192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17</w:t>
            </w:r>
          </w:p>
        </w:tc>
        <w:tc>
          <w:tcPr>
            <w:tcW w:w="680" w:type="dxa"/>
            <w:tcBorders>
              <w:top w:val="single" w:sz="4" w:space="0" w:color="auto"/>
              <w:left w:val="single" w:sz="4" w:space="0" w:color="auto"/>
              <w:bottom w:val="single" w:sz="4" w:space="0" w:color="auto"/>
              <w:right w:val="single" w:sz="4" w:space="0" w:color="auto"/>
            </w:tcBorders>
            <w:vAlign w:val="center"/>
          </w:tcPr>
          <w:p w14:paraId="3DE6F29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26</w:t>
            </w:r>
          </w:p>
        </w:tc>
        <w:tc>
          <w:tcPr>
            <w:tcW w:w="679" w:type="dxa"/>
            <w:tcBorders>
              <w:top w:val="single" w:sz="4" w:space="0" w:color="auto"/>
              <w:left w:val="single" w:sz="4" w:space="0" w:color="auto"/>
              <w:bottom w:val="single" w:sz="4" w:space="0" w:color="auto"/>
              <w:right w:val="single" w:sz="4" w:space="0" w:color="auto"/>
            </w:tcBorders>
            <w:vAlign w:val="center"/>
          </w:tcPr>
          <w:p w14:paraId="5FF65E2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098603D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821" w:type="dxa"/>
            <w:tcBorders>
              <w:top w:val="single" w:sz="4" w:space="0" w:color="auto"/>
              <w:left w:val="single" w:sz="4" w:space="0" w:color="auto"/>
              <w:bottom w:val="single" w:sz="4" w:space="0" w:color="auto"/>
              <w:right w:val="single" w:sz="4" w:space="0" w:color="auto"/>
            </w:tcBorders>
            <w:vAlign w:val="center"/>
          </w:tcPr>
          <w:p w14:paraId="754D04A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90" w:type="dxa"/>
            <w:tcBorders>
              <w:top w:val="single" w:sz="4" w:space="0" w:color="auto"/>
              <w:left w:val="single" w:sz="4" w:space="0" w:color="auto"/>
              <w:bottom w:val="single" w:sz="4" w:space="0" w:color="auto"/>
              <w:right w:val="single" w:sz="4" w:space="0" w:color="auto"/>
            </w:tcBorders>
            <w:vAlign w:val="center"/>
          </w:tcPr>
          <w:p w14:paraId="26B8361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237</w:t>
            </w:r>
          </w:p>
        </w:tc>
        <w:tc>
          <w:tcPr>
            <w:tcW w:w="767" w:type="dxa"/>
            <w:tcBorders>
              <w:top w:val="single" w:sz="4" w:space="0" w:color="auto"/>
              <w:left w:val="single" w:sz="4" w:space="0" w:color="auto"/>
              <w:bottom w:val="single" w:sz="4" w:space="0" w:color="auto"/>
              <w:right w:val="single" w:sz="4" w:space="0" w:color="auto"/>
            </w:tcBorders>
            <w:vAlign w:val="center"/>
          </w:tcPr>
          <w:p w14:paraId="03FFC57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3.76</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647D13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1.12</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0C31A9B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055F1F9E" w14:textId="77777777" w:rsidTr="005962D7">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3AE064B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w:t>
            </w:r>
          </w:p>
        </w:tc>
        <w:tc>
          <w:tcPr>
            <w:tcW w:w="3938" w:type="dxa"/>
            <w:tcBorders>
              <w:top w:val="single" w:sz="4" w:space="0" w:color="auto"/>
              <w:left w:val="thickThinSmallGap" w:sz="18" w:space="0" w:color="auto"/>
              <w:bottom w:val="single" w:sz="4" w:space="0" w:color="auto"/>
              <w:right w:val="single" w:sz="4" w:space="0" w:color="auto"/>
            </w:tcBorders>
          </w:tcPr>
          <w:p w14:paraId="4D846D23"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rPr>
              <w:t>يتم تقييم الأداء لضمان الاستخدام الأمثل للمارد</w:t>
            </w:r>
          </w:p>
        </w:tc>
        <w:tc>
          <w:tcPr>
            <w:tcW w:w="680" w:type="dxa"/>
            <w:tcBorders>
              <w:top w:val="single" w:sz="4" w:space="0" w:color="auto"/>
              <w:left w:val="single" w:sz="4" w:space="0" w:color="auto"/>
              <w:bottom w:val="single" w:sz="4" w:space="0" w:color="auto"/>
              <w:right w:val="single" w:sz="4" w:space="0" w:color="auto"/>
            </w:tcBorders>
            <w:vAlign w:val="center"/>
          </w:tcPr>
          <w:p w14:paraId="6C5BBB7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22</w:t>
            </w:r>
          </w:p>
        </w:tc>
        <w:tc>
          <w:tcPr>
            <w:tcW w:w="680" w:type="dxa"/>
            <w:tcBorders>
              <w:top w:val="single" w:sz="4" w:space="0" w:color="auto"/>
              <w:left w:val="single" w:sz="4" w:space="0" w:color="auto"/>
              <w:bottom w:val="single" w:sz="4" w:space="0" w:color="auto"/>
              <w:right w:val="single" w:sz="4" w:space="0" w:color="auto"/>
            </w:tcBorders>
            <w:vAlign w:val="center"/>
          </w:tcPr>
          <w:p w14:paraId="1632D53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79" w:type="dxa"/>
            <w:tcBorders>
              <w:top w:val="single" w:sz="4" w:space="0" w:color="auto"/>
              <w:left w:val="single" w:sz="4" w:space="0" w:color="auto"/>
              <w:bottom w:val="single" w:sz="4" w:space="0" w:color="auto"/>
              <w:right w:val="single" w:sz="4" w:space="0" w:color="auto"/>
            </w:tcBorders>
            <w:vAlign w:val="center"/>
          </w:tcPr>
          <w:p w14:paraId="3729651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4A17BDE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0BDC461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1C7ABD8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240</w:t>
            </w:r>
          </w:p>
        </w:tc>
        <w:tc>
          <w:tcPr>
            <w:tcW w:w="767" w:type="dxa"/>
            <w:tcBorders>
              <w:top w:val="single" w:sz="4" w:space="0" w:color="auto"/>
              <w:left w:val="single" w:sz="4" w:space="0" w:color="auto"/>
              <w:bottom w:val="single" w:sz="4" w:space="0" w:color="auto"/>
              <w:right w:val="single" w:sz="4" w:space="0" w:color="auto"/>
            </w:tcBorders>
            <w:vAlign w:val="center"/>
          </w:tcPr>
          <w:p w14:paraId="2BC5823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3.81</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3223FB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63F33C5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5550ED5F" w14:textId="77777777" w:rsidTr="005962D7">
        <w:trPr>
          <w:trHeight w:val="355"/>
        </w:trPr>
        <w:tc>
          <w:tcPr>
            <w:tcW w:w="48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D4C987D"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3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E82ADB4"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64EB85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93</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03D03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128</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58385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76DB7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36</w:t>
            </w:r>
          </w:p>
        </w:tc>
        <w:tc>
          <w:tcPr>
            <w:tcW w:w="82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CF41E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12</w:t>
            </w:r>
          </w:p>
        </w:tc>
        <w:tc>
          <w:tcPr>
            <w:tcW w:w="6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D20C9B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1199</w:t>
            </w:r>
          </w:p>
        </w:tc>
        <w:tc>
          <w:tcPr>
            <w:tcW w:w="801"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E70FF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19.03</w:t>
            </w:r>
          </w:p>
        </w:tc>
        <w:tc>
          <w:tcPr>
            <w:tcW w:w="81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45CC0F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5.5</w:t>
            </w:r>
          </w:p>
        </w:tc>
        <w:tc>
          <w:tcPr>
            <w:tcW w:w="409" w:type="dxa"/>
            <w:tcBorders>
              <w:top w:val="thinThickSmallGap" w:sz="18" w:space="0" w:color="auto"/>
              <w:left w:val="single" w:sz="4" w:space="0" w:color="auto"/>
              <w:right w:val="thinThickSmallGap" w:sz="18" w:space="0" w:color="auto"/>
            </w:tcBorders>
            <w:shd w:val="clear" w:color="auto" w:fill="F2F2F2"/>
            <w:vAlign w:val="center"/>
          </w:tcPr>
          <w:p w14:paraId="056380C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1C38C5EA" w14:textId="77777777" w:rsidTr="005962D7">
        <w:trPr>
          <w:trHeight w:val="223"/>
        </w:trPr>
        <w:tc>
          <w:tcPr>
            <w:tcW w:w="48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CAF387F"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3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9171198"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71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50AA33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76%</w:t>
            </w:r>
          </w:p>
        </w:tc>
        <w:tc>
          <w:tcPr>
            <w:tcW w:w="231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423B11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25"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84DD03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3.81</w:t>
            </w:r>
          </w:p>
        </w:tc>
      </w:tr>
    </w:tbl>
    <w:p w14:paraId="490D5AE1"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20643E69" w14:textId="74F3D2A9"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9</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الكفاءة في استخدام الموارد "بمستوى مرتفع" حيث جاء المتوسط الحسابي (3.81) وكذلك بلغت القوة النسبية لهذا المتغير (76%) وبمجموع وزني بلغ (1199).</w:t>
      </w:r>
    </w:p>
    <w:p w14:paraId="40BAFF5C"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60E3559F"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 تعتمد الشركة آليات لتحسين كفاءة العمل " بمتوسط حسابي (3.95)، وقد يرجع ذلك إلى ضرورة اعتماد آليات تحسين وتطوير العمل.</w:t>
      </w:r>
    </w:p>
    <w:p w14:paraId="0C588F81"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حيث جاءت بالترتيب الثاني عبارة " يتم تقييم الأداء لضمان الاستخدام الأمثل للمارد " بمتوسط حسابي (3.81)، وقد يرجع ذلك إلى أهمية عملية التقييم بشكل مستمر لتحسين الأداء.</w:t>
      </w:r>
    </w:p>
    <w:p w14:paraId="3C85FA11"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7AD72C79"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حيث جاءت بالترتيب الخامس والأخير عبارة "يتم تخصيص الميزانية وفق أولويات الأمن السيبراني" بمتوسط حسابي (3.7)، وقد يرجع ذلك إلى أن أهمية وضع آليات العمل أهم من تخصيص الميزانيات حتى لا يتم إنفاق الميزانيات بلا أهداف واضحة.</w:t>
      </w:r>
    </w:p>
    <w:p w14:paraId="2BD2170B" w14:textId="77777777" w:rsidR="002874C7"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بعد </w:t>
      </w:r>
      <w:r w:rsidRPr="00545ABB">
        <w:rPr>
          <w:rFonts w:ascii="Traditional Arabic" w:hAnsi="Traditional Arabic" w:cs="Traditional Arabic"/>
          <w:color w:val="000000" w:themeColor="text1"/>
          <w:sz w:val="28"/>
          <w:szCs w:val="28"/>
          <w:rtl/>
          <w:lang w:bidi="ar-EG"/>
        </w:rPr>
        <w:t xml:space="preserve">الكفاءة في استخدام الموارد </w:t>
      </w:r>
      <w:r w:rsidRPr="00545ABB">
        <w:rPr>
          <w:rFonts w:ascii="Traditional Arabic" w:hAnsi="Traditional Arabic" w:cs="Traditional Arabic"/>
          <w:color w:val="000000" w:themeColor="text1"/>
          <w:sz w:val="28"/>
          <w:szCs w:val="28"/>
          <w:rtl/>
        </w:rPr>
        <w:t>هي وضع آليات العمل والتقييم المستمر للأداء.</w:t>
      </w:r>
    </w:p>
    <w:p w14:paraId="35CAC8DA" w14:textId="77777777" w:rsidR="002874C7" w:rsidRPr="00545ABB" w:rsidRDefault="002874C7" w:rsidP="00D95153">
      <w:pPr>
        <w:pStyle w:val="ListParagraph"/>
        <w:numPr>
          <w:ilvl w:val="0"/>
          <w:numId w:val="6"/>
        </w:numPr>
        <w:tabs>
          <w:tab w:val="left" w:pos="1087"/>
        </w:tabs>
        <w:bidi/>
        <w:spacing w:after="0" w:line="360" w:lineRule="auto"/>
        <w:rPr>
          <w:rFonts w:ascii="Traditional Arabic" w:hAnsi="Traditional Arabic" w:cs="Traditional Arabic"/>
          <w:b/>
          <w:bCs/>
          <w:color w:val="000000" w:themeColor="text1"/>
          <w:sz w:val="28"/>
          <w:szCs w:val="28"/>
          <w:lang w:bidi="ar-EG"/>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76160" behindDoc="0" locked="0" layoutInCell="1" allowOverlap="1" wp14:anchorId="24FA2C5F" wp14:editId="2C84ED56">
                <wp:simplePos x="0" y="0"/>
                <wp:positionH relativeFrom="column">
                  <wp:posOffset>-537210</wp:posOffset>
                </wp:positionH>
                <wp:positionV relativeFrom="paragraph">
                  <wp:posOffset>421640</wp:posOffset>
                </wp:positionV>
                <wp:extent cx="819150" cy="371475"/>
                <wp:effectExtent l="0" t="0" r="0" b="9525"/>
                <wp:wrapNone/>
                <wp:docPr id="156812107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F0A86"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A2C5F" id="_x0000_s1039" style="position:absolute;left:0;text-align:left;margin-left:-42.3pt;margin-top:33.2pt;width:64.5pt;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" filled="f" stroked="f">
                <v:textbox>
                  <w:txbxContent>
                    <w:p w14:paraId="019F0A86" w14:textId="77777777" w:rsidR="00ED4FB3" w:rsidRDefault="00ED4FB3" w:rsidP="002874C7">
                      <w:pPr>
                        <w:jc w:val="center"/>
                      </w:pPr>
                      <w:r>
                        <w:rPr>
                          <w:rFonts w:cs="Simplified Arabic" w:hint="cs"/>
                          <w:sz w:val="28"/>
                          <w:szCs w:val="28"/>
                          <w:rtl/>
                        </w:rPr>
                        <w:t>ن=63</w:t>
                      </w:r>
                    </w:p>
                  </w:txbxContent>
                </v:textbox>
              </v:rect>
            </w:pict>
          </mc:Fallback>
        </mc:AlternateContent>
      </w:r>
      <w:r w:rsidRPr="00545ABB">
        <w:rPr>
          <w:rFonts w:ascii="Traditional Arabic" w:hAnsi="Traditional Arabic" w:cs="Traditional Arabic"/>
          <w:b/>
          <w:bCs/>
          <w:color w:val="000000" w:themeColor="text1"/>
          <w:sz w:val="28"/>
          <w:szCs w:val="28"/>
          <w:rtl/>
          <w:lang w:bidi="ar-EG"/>
        </w:rPr>
        <w:t>النتائج المتعلقة المتغير التابع الأول: الاستدامة المؤسسية:</w:t>
      </w:r>
    </w:p>
    <w:p w14:paraId="3F883474" w14:textId="57309FFD" w:rsidR="002874C7" w:rsidRPr="00545ABB" w:rsidRDefault="00B760B2" w:rsidP="005D773F">
      <w:pPr>
        <w:spacing w:after="0" w:line="360" w:lineRule="auto"/>
        <w:ind w:left="360"/>
        <w:jc w:val="center"/>
        <w:rPr>
          <w:rFonts w:ascii="Traditional Arabic" w:hAnsi="Traditional Arabic" w:cs="Traditional Arabic"/>
          <w:color w:val="000000" w:themeColor="text1"/>
          <w:rtl/>
          <w:lang w:bidi="ar-EG"/>
        </w:rPr>
      </w:pPr>
      <w:r w:rsidRPr="00B760B2">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10</w:t>
      </w:r>
      <w:r w:rsidRPr="00B760B2">
        <w:rPr>
          <w:rFonts w:ascii="Traditional Arabic" w:hAnsi="Traditional Arabic" w:cs="Traditional Arabic"/>
          <w:b/>
          <w:bCs/>
          <w:color w:val="000000" w:themeColor="text1"/>
          <w:sz w:val="28"/>
          <w:szCs w:val="28"/>
          <w:rtl/>
          <w:lang w:bidi="ar-EG"/>
        </w:rPr>
        <w:t>)</w:t>
      </w:r>
      <w:r>
        <w:rPr>
          <w:rFonts w:ascii="Traditional Arabic" w:hAnsi="Traditional Arabic" w:cs="Traditional Arabic" w:hint="cs"/>
          <w:b/>
          <w:bCs/>
          <w:color w:val="000000" w:themeColor="text1"/>
          <w:sz w:val="28"/>
          <w:szCs w:val="28"/>
          <w:rtl/>
          <w:lang w:bidi="ar-EG"/>
        </w:rPr>
        <w:t xml:space="preserve"> </w:t>
      </w:r>
      <w:r w:rsidR="002874C7" w:rsidRPr="00545ABB">
        <w:rPr>
          <w:rFonts w:ascii="Traditional Arabic" w:hAnsi="Traditional Arabic" w:cs="Traditional Arabic"/>
          <w:b/>
          <w:bCs/>
          <w:color w:val="000000" w:themeColor="text1"/>
          <w:sz w:val="28"/>
          <w:szCs w:val="28"/>
          <w:rtl/>
        </w:rPr>
        <w:t xml:space="preserve">يوضح </w:t>
      </w:r>
      <w:r w:rsidR="002874C7" w:rsidRPr="00545ABB">
        <w:rPr>
          <w:rFonts w:ascii="Traditional Arabic" w:hAnsi="Traditional Arabic" w:cs="Traditional Arabic"/>
          <w:b/>
          <w:bCs/>
          <w:color w:val="000000" w:themeColor="text1"/>
          <w:sz w:val="28"/>
          <w:szCs w:val="28"/>
          <w:rtl/>
          <w:lang w:bidi="ar-EG"/>
        </w:rPr>
        <w:t>البعد الاقتصادي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2874C7" w:rsidRPr="00545ABB" w14:paraId="73BC8D11" w14:textId="77777777" w:rsidTr="002174D5">
        <w:trPr>
          <w:trHeight w:val="326"/>
        </w:trPr>
        <w:tc>
          <w:tcPr>
            <w:tcW w:w="482"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67511723"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2CF1811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lang w:bidi="ar-EG"/>
              </w:rPr>
              <w:t>البعد الاقتصادي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47F328D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5672FB9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42A221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المتوسط 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2F6A0D6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12918589"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الترتيب</w:t>
            </w:r>
          </w:p>
        </w:tc>
      </w:tr>
      <w:tr w:rsidR="002874C7" w:rsidRPr="00545ABB" w14:paraId="02AAA863" w14:textId="77777777" w:rsidTr="002174D5">
        <w:trPr>
          <w:trHeight w:val="176"/>
        </w:trPr>
        <w:tc>
          <w:tcPr>
            <w:tcW w:w="482" w:type="dxa"/>
            <w:vMerge/>
            <w:tcBorders>
              <w:left w:val="thickThinSmallGap" w:sz="18" w:space="0" w:color="auto"/>
              <w:bottom w:val="thickThinSmallGap" w:sz="18" w:space="0" w:color="auto"/>
              <w:right w:val="single" w:sz="4" w:space="0" w:color="auto"/>
            </w:tcBorders>
            <w:vAlign w:val="center"/>
          </w:tcPr>
          <w:p w14:paraId="237CBD2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370BA37"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6A482E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403FD21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rtl/>
                <w:lang w:bidi="ar-EG"/>
              </w:rPr>
            </w:pPr>
            <w:r w:rsidRPr="00545ABB">
              <w:rPr>
                <w:rFonts w:ascii="Traditional Arabic" w:hAnsi="Traditional Arabic" w:cs="Traditional Arabic"/>
                <w:b/>
                <w:bCs/>
                <w:color w:val="000000" w:themeColor="text1"/>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6B6B3F8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rtl/>
                <w:lang w:bidi="ar-EG"/>
              </w:rPr>
            </w:pPr>
            <w:r w:rsidRPr="00545ABB">
              <w:rPr>
                <w:rFonts w:ascii="Traditional Arabic" w:hAnsi="Traditional Arabic" w:cs="Traditional Arabic"/>
                <w:b/>
                <w:bCs/>
                <w:color w:val="000000" w:themeColor="text1"/>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0C70037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4041D0B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37F09FD9"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2531177C"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75EA6BE"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52FB7CB"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r>
      <w:tr w:rsidR="002874C7" w:rsidRPr="00545ABB" w14:paraId="13CC70AC" w14:textId="77777777" w:rsidTr="005962D7">
        <w:trPr>
          <w:trHeight w:val="286"/>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680A95EF"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7926E5F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مستوى مستقراً من الربحية</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451140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17</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57A9F4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26</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1C3CF98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6A3D734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527B5BD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617EBE56" w14:textId="77777777" w:rsidR="002874C7" w:rsidRPr="00545ABB" w:rsidRDefault="002874C7" w:rsidP="00022590">
            <w:pPr>
              <w:spacing w:after="0" w:line="360" w:lineRule="auto"/>
              <w:contextualSpacing/>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239</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5658DFC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3.79</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2A8DBCC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1.08</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1A8FA57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23ADF309" w14:textId="77777777" w:rsidTr="005962D7">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250B3C2B"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3B10149D"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تدير الشركة مواردها المالية بكفاءة</w:t>
            </w:r>
          </w:p>
        </w:tc>
        <w:tc>
          <w:tcPr>
            <w:tcW w:w="674" w:type="dxa"/>
            <w:tcBorders>
              <w:top w:val="single" w:sz="4" w:space="0" w:color="auto"/>
              <w:left w:val="single" w:sz="4" w:space="0" w:color="auto"/>
              <w:bottom w:val="single" w:sz="4" w:space="0" w:color="auto"/>
              <w:right w:val="single" w:sz="4" w:space="0" w:color="auto"/>
            </w:tcBorders>
            <w:vAlign w:val="center"/>
          </w:tcPr>
          <w:p w14:paraId="72F3A07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21</w:t>
            </w:r>
          </w:p>
        </w:tc>
        <w:tc>
          <w:tcPr>
            <w:tcW w:w="674" w:type="dxa"/>
            <w:tcBorders>
              <w:top w:val="single" w:sz="4" w:space="0" w:color="auto"/>
              <w:left w:val="single" w:sz="4" w:space="0" w:color="auto"/>
              <w:bottom w:val="single" w:sz="4" w:space="0" w:color="auto"/>
              <w:right w:val="single" w:sz="4" w:space="0" w:color="auto"/>
            </w:tcBorders>
            <w:vAlign w:val="center"/>
          </w:tcPr>
          <w:p w14:paraId="075F5EA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673" w:type="dxa"/>
            <w:tcBorders>
              <w:top w:val="single" w:sz="4" w:space="0" w:color="auto"/>
              <w:left w:val="single" w:sz="4" w:space="0" w:color="auto"/>
              <w:bottom w:val="single" w:sz="4" w:space="0" w:color="auto"/>
              <w:right w:val="single" w:sz="4" w:space="0" w:color="auto"/>
            </w:tcBorders>
            <w:vAlign w:val="center"/>
          </w:tcPr>
          <w:p w14:paraId="70BFF94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0FCAD7E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73C8D0D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7A00BCD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0959845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4A359C7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1.17</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05BFA1C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09069B14" w14:textId="77777777" w:rsidTr="005962D7">
        <w:trPr>
          <w:trHeight w:val="470"/>
        </w:trPr>
        <w:tc>
          <w:tcPr>
            <w:tcW w:w="482" w:type="dxa"/>
            <w:tcBorders>
              <w:top w:val="single" w:sz="4" w:space="0" w:color="auto"/>
              <w:left w:val="thickThinSmallGap" w:sz="18" w:space="0" w:color="auto"/>
              <w:bottom w:val="single" w:sz="4" w:space="0" w:color="auto"/>
              <w:right w:val="single" w:sz="4" w:space="0" w:color="auto"/>
            </w:tcBorders>
            <w:vAlign w:val="center"/>
          </w:tcPr>
          <w:p w14:paraId="63516C65"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45B84D8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تنفذ استثمارات تسهم في النمو المستقبلي</w:t>
            </w:r>
          </w:p>
        </w:tc>
        <w:tc>
          <w:tcPr>
            <w:tcW w:w="674" w:type="dxa"/>
            <w:tcBorders>
              <w:top w:val="single" w:sz="4" w:space="0" w:color="auto"/>
              <w:left w:val="single" w:sz="4" w:space="0" w:color="auto"/>
              <w:bottom w:val="single" w:sz="4" w:space="0" w:color="auto"/>
              <w:right w:val="single" w:sz="4" w:space="0" w:color="auto"/>
            </w:tcBorders>
            <w:vAlign w:val="center"/>
          </w:tcPr>
          <w:p w14:paraId="4A8266D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17</w:t>
            </w:r>
          </w:p>
        </w:tc>
        <w:tc>
          <w:tcPr>
            <w:tcW w:w="674" w:type="dxa"/>
            <w:tcBorders>
              <w:top w:val="single" w:sz="4" w:space="0" w:color="auto"/>
              <w:left w:val="single" w:sz="4" w:space="0" w:color="auto"/>
              <w:bottom w:val="single" w:sz="4" w:space="0" w:color="auto"/>
              <w:right w:val="single" w:sz="4" w:space="0" w:color="auto"/>
            </w:tcBorders>
            <w:vAlign w:val="center"/>
          </w:tcPr>
          <w:p w14:paraId="07B1290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24</w:t>
            </w:r>
          </w:p>
        </w:tc>
        <w:tc>
          <w:tcPr>
            <w:tcW w:w="673" w:type="dxa"/>
            <w:tcBorders>
              <w:top w:val="single" w:sz="4" w:space="0" w:color="auto"/>
              <w:left w:val="single" w:sz="4" w:space="0" w:color="auto"/>
              <w:bottom w:val="single" w:sz="4" w:space="0" w:color="auto"/>
              <w:right w:val="single" w:sz="4" w:space="0" w:color="auto"/>
            </w:tcBorders>
            <w:vAlign w:val="center"/>
          </w:tcPr>
          <w:p w14:paraId="32804F0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7F64BD0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56B558B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061938E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10A9AAC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58093D2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57AF49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5E6F2093" w14:textId="77777777" w:rsidTr="005962D7">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5D780DBA"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61B39300"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تحافظ الشركة على توازن مالي مستدام</w:t>
            </w:r>
          </w:p>
        </w:tc>
        <w:tc>
          <w:tcPr>
            <w:tcW w:w="674" w:type="dxa"/>
            <w:tcBorders>
              <w:top w:val="single" w:sz="4" w:space="0" w:color="auto"/>
              <w:left w:val="single" w:sz="4" w:space="0" w:color="auto"/>
              <w:bottom w:val="single" w:sz="4" w:space="0" w:color="auto"/>
              <w:right w:val="single" w:sz="4" w:space="0" w:color="auto"/>
            </w:tcBorders>
            <w:vAlign w:val="center"/>
          </w:tcPr>
          <w:p w14:paraId="411B5F8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14</w:t>
            </w:r>
          </w:p>
        </w:tc>
        <w:tc>
          <w:tcPr>
            <w:tcW w:w="674" w:type="dxa"/>
            <w:tcBorders>
              <w:top w:val="single" w:sz="4" w:space="0" w:color="auto"/>
              <w:left w:val="single" w:sz="4" w:space="0" w:color="auto"/>
              <w:bottom w:val="single" w:sz="4" w:space="0" w:color="auto"/>
              <w:right w:val="single" w:sz="4" w:space="0" w:color="auto"/>
            </w:tcBorders>
            <w:vAlign w:val="center"/>
          </w:tcPr>
          <w:p w14:paraId="522DD4C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4347C7D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33CAEAE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0AA3AC8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441E07B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232</w:t>
            </w:r>
          </w:p>
        </w:tc>
        <w:tc>
          <w:tcPr>
            <w:tcW w:w="760" w:type="dxa"/>
            <w:tcBorders>
              <w:top w:val="single" w:sz="4" w:space="0" w:color="auto"/>
              <w:left w:val="single" w:sz="4" w:space="0" w:color="auto"/>
              <w:bottom w:val="single" w:sz="4" w:space="0" w:color="auto"/>
              <w:right w:val="single" w:sz="4" w:space="0" w:color="auto"/>
            </w:tcBorders>
            <w:vAlign w:val="center"/>
          </w:tcPr>
          <w:p w14:paraId="4F19CC9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3.68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2BC9CA8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76AFCB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5CA73558" w14:textId="77777777" w:rsidTr="005962D7">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68418489"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34867382"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lang w:bidi="ar-EG"/>
              </w:rPr>
              <w:t>تمتلك الشركة خططاً مالية طويلة المدى</w:t>
            </w:r>
          </w:p>
        </w:tc>
        <w:tc>
          <w:tcPr>
            <w:tcW w:w="674" w:type="dxa"/>
            <w:tcBorders>
              <w:top w:val="single" w:sz="4" w:space="0" w:color="auto"/>
              <w:left w:val="single" w:sz="4" w:space="0" w:color="auto"/>
              <w:bottom w:val="single" w:sz="4" w:space="0" w:color="auto"/>
              <w:right w:val="single" w:sz="4" w:space="0" w:color="auto"/>
            </w:tcBorders>
            <w:vAlign w:val="center"/>
          </w:tcPr>
          <w:p w14:paraId="2509FFB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12</w:t>
            </w:r>
          </w:p>
        </w:tc>
        <w:tc>
          <w:tcPr>
            <w:tcW w:w="674" w:type="dxa"/>
            <w:tcBorders>
              <w:top w:val="single" w:sz="4" w:space="0" w:color="auto"/>
              <w:left w:val="single" w:sz="4" w:space="0" w:color="auto"/>
              <w:bottom w:val="single" w:sz="4" w:space="0" w:color="auto"/>
              <w:right w:val="single" w:sz="4" w:space="0" w:color="auto"/>
            </w:tcBorders>
            <w:vAlign w:val="center"/>
          </w:tcPr>
          <w:p w14:paraId="0BA4FAB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5333C88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807" w:type="dxa"/>
            <w:tcBorders>
              <w:top w:val="single" w:sz="4" w:space="0" w:color="auto"/>
              <w:left w:val="single" w:sz="4" w:space="0" w:color="auto"/>
              <w:bottom w:val="single" w:sz="4" w:space="0" w:color="auto"/>
              <w:right w:val="single" w:sz="4" w:space="0" w:color="auto"/>
            </w:tcBorders>
            <w:vAlign w:val="center"/>
          </w:tcPr>
          <w:p w14:paraId="04A1A34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48020E1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11E3A21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234</w:t>
            </w:r>
          </w:p>
        </w:tc>
        <w:tc>
          <w:tcPr>
            <w:tcW w:w="760" w:type="dxa"/>
            <w:tcBorders>
              <w:top w:val="single" w:sz="4" w:space="0" w:color="auto"/>
              <w:left w:val="single" w:sz="4" w:space="0" w:color="auto"/>
              <w:bottom w:val="single" w:sz="4" w:space="0" w:color="auto"/>
              <w:right w:val="single" w:sz="4" w:space="0" w:color="auto"/>
            </w:tcBorders>
            <w:vAlign w:val="center"/>
          </w:tcPr>
          <w:p w14:paraId="64CEDB8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3.71</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6EC864D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0.88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18D2738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76C78153" w14:textId="77777777" w:rsidTr="005962D7">
        <w:trPr>
          <w:trHeight w:val="356"/>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5B6645C"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134ECC6"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66C291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81</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723EC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122</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DF8B8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74</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F859B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977B2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12</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5B882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1179</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B8391A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18.7</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17821D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5.3</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68B805E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1A044F54" w14:textId="77777777" w:rsidTr="005962D7">
        <w:trPr>
          <w:trHeight w:val="223"/>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5EB94A81"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56C32B9"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2E2A05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75%</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B2E589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C086B2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3.74</w:t>
            </w:r>
          </w:p>
        </w:tc>
      </w:tr>
    </w:tbl>
    <w:p w14:paraId="326402FD"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41D36399" w14:textId="663DBEA5"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10</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البعد الاقتصادي "بمستوى مرتفع" حيث جاء المتوسط الحسابي (3.75) وكذلك بلغت القوة النسبية لهذا المتغير (75%) وبمجموع وزني بلغ (1179).</w:t>
      </w:r>
    </w:p>
    <w:p w14:paraId="65A0CD8E"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64FAACC8"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 تحقق الشركة مستوى مستقراً من الربحية" بمتوسط حسابي (3.79)، وقد يرجع ذلك إلى أن أهم معيار اقتصادي لأي شركة هو تحقيق الربح.</w:t>
      </w:r>
    </w:p>
    <w:p w14:paraId="7FC35995"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الثاني عبارة " تنفذ استثمارات تسهم في النمو المستقبلي" بمتوسط حسابي (3.76)، وقد يرجع ذلك إلى أهمية العمل على ضمان مستقبل الشركة.</w:t>
      </w:r>
    </w:p>
    <w:p w14:paraId="04509CAC"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2397298F"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حيث جاءت بالترتيب الخامس والأخير عبارة " تحافظ الشركة على توازن مالي مستدام " بمتوسط حسابي (3.68)، وقد يرجع ذلك إلى أن أهمية النمو المستدام أكثر من التوازن المستدام.</w:t>
      </w:r>
    </w:p>
    <w:p w14:paraId="792219D4" w14:textId="77777777" w:rsidR="002874C7"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w:t>
      </w:r>
      <w:r w:rsidRPr="00545ABB">
        <w:rPr>
          <w:rFonts w:ascii="Traditional Arabic" w:hAnsi="Traditional Arabic" w:cs="Traditional Arabic"/>
          <w:color w:val="000000" w:themeColor="text1"/>
          <w:sz w:val="28"/>
          <w:szCs w:val="28"/>
          <w:rtl/>
          <w:lang w:bidi="ar-EG"/>
        </w:rPr>
        <w:t xml:space="preserve">البعد الاقتصادي </w:t>
      </w:r>
      <w:r w:rsidRPr="00545ABB">
        <w:rPr>
          <w:rFonts w:ascii="Traditional Arabic" w:hAnsi="Traditional Arabic" w:cs="Traditional Arabic"/>
          <w:color w:val="000000" w:themeColor="text1"/>
          <w:sz w:val="28"/>
          <w:szCs w:val="28"/>
          <w:rtl/>
        </w:rPr>
        <w:t>هي وضع تحقيق الأرباح وكذلك النمو المستقبلي المستدام.</w:t>
      </w:r>
    </w:p>
    <w:p w14:paraId="2C45D3C7" w14:textId="70EB9F3F" w:rsidR="002874C7" w:rsidRPr="00545ABB" w:rsidRDefault="002874C7" w:rsidP="005D773F">
      <w:pPr>
        <w:spacing w:after="0" w:line="360" w:lineRule="auto"/>
        <w:ind w:left="360"/>
        <w:jc w:val="center"/>
        <w:rPr>
          <w:rFonts w:ascii="Traditional Arabic" w:hAnsi="Traditional Arabic" w:cs="Traditional Arabic"/>
          <w:b/>
          <w:bCs/>
          <w:color w:val="000000" w:themeColor="text1"/>
          <w:sz w:val="28"/>
          <w:szCs w:val="28"/>
          <w:rtl/>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77184" behindDoc="0" locked="0" layoutInCell="1" allowOverlap="1" wp14:anchorId="0291D842" wp14:editId="3022118D">
                <wp:simplePos x="0" y="0"/>
                <wp:positionH relativeFrom="column">
                  <wp:posOffset>-681990</wp:posOffset>
                </wp:positionH>
                <wp:positionV relativeFrom="paragraph">
                  <wp:posOffset>182880</wp:posOffset>
                </wp:positionV>
                <wp:extent cx="819150" cy="371475"/>
                <wp:effectExtent l="0" t="0" r="0" b="9525"/>
                <wp:wrapNone/>
                <wp:docPr id="13422342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0F814"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1D842" id="_x0000_s1040" style="position:absolute;left:0;text-align:left;margin-left:-53.7pt;margin-top:14.4pt;width:64.5pt;height:29.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" filled="f" stroked="f">
                <v:textbox>
                  <w:txbxContent>
                    <w:p w14:paraId="7C30F814"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11</w:t>
      </w:r>
      <w:r w:rsidR="00B760B2" w:rsidRPr="00B760B2">
        <w:rPr>
          <w:rFonts w:ascii="Traditional Arabic" w:hAnsi="Traditional Arabic" w:cs="Traditional Arabic"/>
          <w:b/>
          <w:bCs/>
          <w:color w:val="000000" w:themeColor="text1"/>
          <w:sz w:val="28"/>
          <w:szCs w:val="28"/>
          <w:rtl/>
          <w:lang w:bidi="ar-EG"/>
        </w:rPr>
        <w:t>)</w:t>
      </w:r>
      <w:r w:rsidR="00B760B2">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يوضح البعد الاجتماعي</w:t>
      </w:r>
    </w:p>
    <w:tbl>
      <w:tblPr>
        <w:tblpPr w:leftFromText="180" w:rightFromText="180" w:vertAnchor="text" w:horzAnchor="margin" w:tblpXSpec="center" w:tblpY="290"/>
        <w:bidiVisual/>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4"/>
        <w:gridCol w:w="667"/>
        <w:gridCol w:w="667"/>
        <w:gridCol w:w="666"/>
        <w:gridCol w:w="799"/>
        <w:gridCol w:w="673"/>
        <w:gridCol w:w="677"/>
        <w:gridCol w:w="752"/>
        <w:gridCol w:w="34"/>
        <w:gridCol w:w="800"/>
        <w:gridCol w:w="401"/>
      </w:tblGrid>
      <w:tr w:rsidR="002874C7" w:rsidRPr="00545ABB" w14:paraId="776ABBF3" w14:textId="77777777" w:rsidTr="002174D5">
        <w:trPr>
          <w:trHeight w:val="324"/>
        </w:trPr>
        <w:tc>
          <w:tcPr>
            <w:tcW w:w="477"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0DDA3337"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86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06EB881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lang w:bidi="ar-EG"/>
              </w:rPr>
              <w:t xml:space="preserve">البعد </w:t>
            </w:r>
            <w:r w:rsidRPr="00545ABB">
              <w:rPr>
                <w:rFonts w:ascii="Traditional Arabic" w:hAnsi="Traditional Arabic" w:cs="Traditional Arabic"/>
                <w:b/>
                <w:bCs/>
                <w:color w:val="000000" w:themeColor="text1"/>
                <w:rtl/>
                <w:lang w:bidi="ar-EG"/>
              </w:rPr>
              <w:t>الاجتماعي</w:t>
            </w:r>
          </w:p>
        </w:tc>
        <w:tc>
          <w:tcPr>
            <w:tcW w:w="3472"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14D1B72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 xml:space="preserve">الاستجابات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4C6BF4E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49E784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المتوسط 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2E788D5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61D304C4"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الترتيب</w:t>
            </w:r>
          </w:p>
        </w:tc>
      </w:tr>
      <w:tr w:rsidR="002874C7" w:rsidRPr="00545ABB" w14:paraId="2C49EC25" w14:textId="77777777" w:rsidTr="002174D5">
        <w:trPr>
          <w:trHeight w:val="175"/>
        </w:trPr>
        <w:tc>
          <w:tcPr>
            <w:tcW w:w="477" w:type="dxa"/>
            <w:vMerge/>
            <w:tcBorders>
              <w:left w:val="thickThinSmallGap" w:sz="18" w:space="0" w:color="auto"/>
              <w:bottom w:val="thickThinSmallGap" w:sz="18" w:space="0" w:color="auto"/>
              <w:right w:val="single" w:sz="4" w:space="0" w:color="auto"/>
            </w:tcBorders>
            <w:shd w:val="clear" w:color="auto" w:fill="8DB3E2" w:themeFill="text2" w:themeFillTint="66"/>
            <w:vAlign w:val="center"/>
          </w:tcPr>
          <w:p w14:paraId="54B956EE"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864" w:type="dxa"/>
            <w:vMerge/>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6548D9D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6D96D0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4E38D60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rtl/>
                <w:lang w:bidi="ar-EG"/>
              </w:rPr>
            </w:pPr>
            <w:r w:rsidRPr="00545ABB">
              <w:rPr>
                <w:rFonts w:ascii="Traditional Arabic" w:hAnsi="Traditional Arabic" w:cs="Traditional Arabic"/>
                <w:b/>
                <w:bCs/>
                <w:color w:val="000000" w:themeColor="text1"/>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75768EC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rtl/>
                <w:lang w:bidi="ar-EG"/>
              </w:rPr>
            </w:pPr>
            <w:r w:rsidRPr="00545ABB">
              <w:rPr>
                <w:rFonts w:ascii="Traditional Arabic" w:hAnsi="Traditional Arabic" w:cs="Traditional Arabic"/>
                <w:b/>
                <w:bCs/>
                <w:color w:val="000000" w:themeColor="text1"/>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050146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 xml:space="preserve">أعارض </w:t>
            </w:r>
          </w:p>
        </w:tc>
        <w:tc>
          <w:tcPr>
            <w:tcW w:w="673"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B2C72F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73442222"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17DE647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9C11BA5"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04E70CC"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r>
      <w:tr w:rsidR="002874C7" w:rsidRPr="00545ABB" w14:paraId="683887B9" w14:textId="77777777" w:rsidTr="005962D7">
        <w:trPr>
          <w:trHeight w:val="284"/>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2AF51D7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864" w:type="dxa"/>
            <w:tcBorders>
              <w:top w:val="thickThinSmallGap" w:sz="18" w:space="0" w:color="auto"/>
              <w:left w:val="thickThinSmallGap" w:sz="18" w:space="0" w:color="auto"/>
              <w:bottom w:val="single" w:sz="4" w:space="0" w:color="auto"/>
              <w:right w:val="single" w:sz="4" w:space="0" w:color="auto"/>
            </w:tcBorders>
          </w:tcPr>
          <w:p w14:paraId="1877FF6D"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تلتزم الشركة بالمسؤولية الاجتماعية</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4E8EBDF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51B27A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DCD8AA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14D506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E13806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3D31AD3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35CFAB0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3.75</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7AE0989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1.14</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154A8E0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17AEA4F5" w14:textId="77777777" w:rsidTr="005962D7">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5BBBBFD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864" w:type="dxa"/>
            <w:tcBorders>
              <w:top w:val="single" w:sz="4" w:space="0" w:color="auto"/>
              <w:left w:val="thickThinSmallGap" w:sz="18" w:space="0" w:color="auto"/>
              <w:bottom w:val="single" w:sz="4" w:space="0" w:color="auto"/>
              <w:right w:val="single" w:sz="4" w:space="0" w:color="auto"/>
            </w:tcBorders>
          </w:tcPr>
          <w:p w14:paraId="4CBB69B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توفر بيئة عمل داعمة ومحفزة</w:t>
            </w:r>
          </w:p>
        </w:tc>
        <w:tc>
          <w:tcPr>
            <w:tcW w:w="667" w:type="dxa"/>
            <w:tcBorders>
              <w:top w:val="single" w:sz="4" w:space="0" w:color="auto"/>
              <w:left w:val="single" w:sz="4" w:space="0" w:color="auto"/>
              <w:bottom w:val="single" w:sz="4" w:space="0" w:color="auto"/>
              <w:right w:val="single" w:sz="4" w:space="0" w:color="auto"/>
            </w:tcBorders>
            <w:vAlign w:val="center"/>
          </w:tcPr>
          <w:p w14:paraId="4CD30CF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22</w:t>
            </w:r>
          </w:p>
        </w:tc>
        <w:tc>
          <w:tcPr>
            <w:tcW w:w="667" w:type="dxa"/>
            <w:tcBorders>
              <w:top w:val="single" w:sz="4" w:space="0" w:color="auto"/>
              <w:left w:val="single" w:sz="4" w:space="0" w:color="auto"/>
              <w:bottom w:val="single" w:sz="4" w:space="0" w:color="auto"/>
              <w:right w:val="single" w:sz="4" w:space="0" w:color="auto"/>
            </w:tcBorders>
            <w:vAlign w:val="center"/>
          </w:tcPr>
          <w:p w14:paraId="57A5FD4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w:t>
            </w:r>
          </w:p>
        </w:tc>
        <w:tc>
          <w:tcPr>
            <w:tcW w:w="666" w:type="dxa"/>
            <w:tcBorders>
              <w:top w:val="single" w:sz="4" w:space="0" w:color="auto"/>
              <w:left w:val="single" w:sz="4" w:space="0" w:color="auto"/>
              <w:bottom w:val="single" w:sz="4" w:space="0" w:color="auto"/>
              <w:right w:val="single" w:sz="4" w:space="0" w:color="auto"/>
            </w:tcBorders>
            <w:vAlign w:val="center"/>
          </w:tcPr>
          <w:p w14:paraId="15F295E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166DF4E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1359BD1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4B77CB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3E3820C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0A4EDB1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E380F4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1B87FAC0" w14:textId="77777777" w:rsidTr="005962D7">
        <w:trPr>
          <w:trHeight w:val="467"/>
        </w:trPr>
        <w:tc>
          <w:tcPr>
            <w:tcW w:w="477" w:type="dxa"/>
            <w:tcBorders>
              <w:top w:val="single" w:sz="4" w:space="0" w:color="auto"/>
              <w:left w:val="thickThinSmallGap" w:sz="18" w:space="0" w:color="auto"/>
              <w:bottom w:val="single" w:sz="4" w:space="0" w:color="auto"/>
              <w:right w:val="single" w:sz="4" w:space="0" w:color="auto"/>
            </w:tcBorders>
            <w:vAlign w:val="center"/>
          </w:tcPr>
          <w:p w14:paraId="21FB0B25"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864" w:type="dxa"/>
            <w:tcBorders>
              <w:top w:val="single" w:sz="4" w:space="0" w:color="auto"/>
              <w:left w:val="thickThinSmallGap" w:sz="18" w:space="0" w:color="auto"/>
              <w:bottom w:val="single" w:sz="4" w:space="0" w:color="auto"/>
              <w:right w:val="single" w:sz="4" w:space="0" w:color="auto"/>
            </w:tcBorders>
          </w:tcPr>
          <w:p w14:paraId="36E75080"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تعمل الشركة على رفع رضا موظفيها</w:t>
            </w:r>
          </w:p>
        </w:tc>
        <w:tc>
          <w:tcPr>
            <w:tcW w:w="667" w:type="dxa"/>
            <w:tcBorders>
              <w:top w:val="single" w:sz="4" w:space="0" w:color="auto"/>
              <w:left w:val="single" w:sz="4" w:space="0" w:color="auto"/>
              <w:bottom w:val="single" w:sz="4" w:space="0" w:color="auto"/>
              <w:right w:val="single" w:sz="4" w:space="0" w:color="auto"/>
            </w:tcBorders>
            <w:vAlign w:val="center"/>
          </w:tcPr>
          <w:p w14:paraId="630811F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18</w:t>
            </w:r>
          </w:p>
        </w:tc>
        <w:tc>
          <w:tcPr>
            <w:tcW w:w="667" w:type="dxa"/>
            <w:tcBorders>
              <w:top w:val="single" w:sz="4" w:space="0" w:color="auto"/>
              <w:left w:val="single" w:sz="4" w:space="0" w:color="auto"/>
              <w:bottom w:val="single" w:sz="4" w:space="0" w:color="auto"/>
              <w:right w:val="single" w:sz="4" w:space="0" w:color="auto"/>
            </w:tcBorders>
            <w:vAlign w:val="center"/>
          </w:tcPr>
          <w:p w14:paraId="47A63E4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27</w:t>
            </w:r>
          </w:p>
        </w:tc>
        <w:tc>
          <w:tcPr>
            <w:tcW w:w="666" w:type="dxa"/>
            <w:tcBorders>
              <w:top w:val="single" w:sz="4" w:space="0" w:color="auto"/>
              <w:left w:val="single" w:sz="4" w:space="0" w:color="auto"/>
              <w:bottom w:val="single" w:sz="4" w:space="0" w:color="auto"/>
              <w:right w:val="single" w:sz="4" w:space="0" w:color="auto"/>
            </w:tcBorders>
            <w:vAlign w:val="center"/>
          </w:tcPr>
          <w:p w14:paraId="4FAFBB7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23B80C1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66B3AC5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15E82A8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242</w:t>
            </w:r>
          </w:p>
        </w:tc>
        <w:tc>
          <w:tcPr>
            <w:tcW w:w="752" w:type="dxa"/>
            <w:tcBorders>
              <w:top w:val="single" w:sz="4" w:space="0" w:color="auto"/>
              <w:left w:val="single" w:sz="4" w:space="0" w:color="auto"/>
              <w:bottom w:val="single" w:sz="4" w:space="0" w:color="auto"/>
              <w:right w:val="single" w:sz="4" w:space="0" w:color="auto"/>
            </w:tcBorders>
            <w:vAlign w:val="center"/>
          </w:tcPr>
          <w:p w14:paraId="06B34B9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3.84</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7689B1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3122E5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7F55F2C9" w14:textId="77777777" w:rsidTr="005962D7">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4AAB4E1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864" w:type="dxa"/>
            <w:tcBorders>
              <w:top w:val="single" w:sz="4" w:space="0" w:color="auto"/>
              <w:left w:val="thickThinSmallGap" w:sz="18" w:space="0" w:color="auto"/>
              <w:bottom w:val="single" w:sz="4" w:space="0" w:color="auto"/>
              <w:right w:val="single" w:sz="4" w:space="0" w:color="auto"/>
            </w:tcBorders>
          </w:tcPr>
          <w:p w14:paraId="28DEFCD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تتبنى الشركة سياسات عادلة في التوظيف</w:t>
            </w:r>
          </w:p>
        </w:tc>
        <w:tc>
          <w:tcPr>
            <w:tcW w:w="667" w:type="dxa"/>
            <w:tcBorders>
              <w:top w:val="single" w:sz="4" w:space="0" w:color="auto"/>
              <w:left w:val="single" w:sz="4" w:space="0" w:color="auto"/>
              <w:bottom w:val="single" w:sz="4" w:space="0" w:color="auto"/>
              <w:right w:val="single" w:sz="4" w:space="0" w:color="auto"/>
            </w:tcBorders>
            <w:vAlign w:val="center"/>
          </w:tcPr>
          <w:p w14:paraId="0D96274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14</w:t>
            </w:r>
          </w:p>
        </w:tc>
        <w:tc>
          <w:tcPr>
            <w:tcW w:w="667" w:type="dxa"/>
            <w:tcBorders>
              <w:top w:val="single" w:sz="4" w:space="0" w:color="auto"/>
              <w:left w:val="single" w:sz="4" w:space="0" w:color="auto"/>
              <w:bottom w:val="single" w:sz="4" w:space="0" w:color="auto"/>
              <w:right w:val="single" w:sz="4" w:space="0" w:color="auto"/>
            </w:tcBorders>
            <w:vAlign w:val="center"/>
          </w:tcPr>
          <w:p w14:paraId="546CEB7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7191071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63C9202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35E306C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6187EA3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238</w:t>
            </w:r>
          </w:p>
        </w:tc>
        <w:tc>
          <w:tcPr>
            <w:tcW w:w="752" w:type="dxa"/>
            <w:tcBorders>
              <w:top w:val="single" w:sz="4" w:space="0" w:color="auto"/>
              <w:left w:val="single" w:sz="4" w:space="0" w:color="auto"/>
              <w:bottom w:val="single" w:sz="4" w:space="0" w:color="auto"/>
              <w:right w:val="single" w:sz="4" w:space="0" w:color="auto"/>
            </w:tcBorders>
            <w:vAlign w:val="center"/>
          </w:tcPr>
          <w:p w14:paraId="3632203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3.78</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C0ADA1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75C69D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7BF5B89C" w14:textId="77777777" w:rsidTr="005962D7">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1F500F5E"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w:t>
            </w:r>
          </w:p>
        </w:tc>
        <w:tc>
          <w:tcPr>
            <w:tcW w:w="3864" w:type="dxa"/>
            <w:tcBorders>
              <w:top w:val="single" w:sz="4" w:space="0" w:color="auto"/>
              <w:left w:val="thickThinSmallGap" w:sz="18" w:space="0" w:color="auto"/>
              <w:bottom w:val="single" w:sz="4" w:space="0" w:color="auto"/>
              <w:right w:val="single" w:sz="4" w:space="0" w:color="auto"/>
            </w:tcBorders>
          </w:tcPr>
          <w:p w14:paraId="5D6A56D9"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lang w:bidi="ar-EG"/>
              </w:rPr>
              <w:t>تشجع الشركة العمل الجماعي والتواصل</w:t>
            </w:r>
          </w:p>
        </w:tc>
        <w:tc>
          <w:tcPr>
            <w:tcW w:w="667" w:type="dxa"/>
            <w:tcBorders>
              <w:top w:val="single" w:sz="4" w:space="0" w:color="auto"/>
              <w:left w:val="single" w:sz="4" w:space="0" w:color="auto"/>
              <w:bottom w:val="single" w:sz="4" w:space="0" w:color="auto"/>
              <w:right w:val="single" w:sz="4" w:space="0" w:color="auto"/>
            </w:tcBorders>
            <w:vAlign w:val="center"/>
          </w:tcPr>
          <w:p w14:paraId="5392AA8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CA50C3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26</w:t>
            </w:r>
          </w:p>
        </w:tc>
        <w:tc>
          <w:tcPr>
            <w:tcW w:w="666" w:type="dxa"/>
            <w:tcBorders>
              <w:top w:val="single" w:sz="4" w:space="0" w:color="auto"/>
              <w:left w:val="single" w:sz="4" w:space="0" w:color="auto"/>
              <w:bottom w:val="single" w:sz="4" w:space="0" w:color="auto"/>
              <w:right w:val="single" w:sz="4" w:space="0" w:color="auto"/>
            </w:tcBorders>
            <w:vAlign w:val="center"/>
          </w:tcPr>
          <w:p w14:paraId="22D311B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165AA07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2DCB0E6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61F3A9E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243</w:t>
            </w:r>
          </w:p>
        </w:tc>
        <w:tc>
          <w:tcPr>
            <w:tcW w:w="752" w:type="dxa"/>
            <w:tcBorders>
              <w:top w:val="single" w:sz="4" w:space="0" w:color="auto"/>
              <w:left w:val="single" w:sz="4" w:space="0" w:color="auto"/>
              <w:bottom w:val="single" w:sz="4" w:space="0" w:color="auto"/>
              <w:right w:val="single" w:sz="4" w:space="0" w:color="auto"/>
            </w:tcBorders>
            <w:vAlign w:val="center"/>
          </w:tcPr>
          <w:p w14:paraId="5BCAF19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3A4124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85E7D3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5151433D" w14:textId="77777777" w:rsidTr="005962D7">
        <w:trPr>
          <w:trHeight w:val="354"/>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CB82386"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6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F37800E"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3871A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91</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6CE1F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130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25B9E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54</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9592EA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28</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5F99C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12</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79C453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1205</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117E62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19.4</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CE4851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5.4</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05D1811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1588141A" w14:textId="77777777" w:rsidTr="005962D7">
        <w:trPr>
          <w:trHeight w:val="222"/>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58D61BD"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6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BEB5CB1"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F4F9B4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77%</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C05271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CB8B86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3.83</w:t>
            </w:r>
          </w:p>
        </w:tc>
      </w:tr>
    </w:tbl>
    <w:p w14:paraId="2077EF81"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342BFB56" w14:textId="20FA449F"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11</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البعد الاجتماعي "بمستوى مرتفع" حيث جاء المتوسط الحسابي (3.83) وكذلك بلغت القوة النسبية لهذا المتغير (77%) وبمجموع وزني بلغ (1205).</w:t>
      </w:r>
    </w:p>
    <w:p w14:paraId="1655D30F"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758E9E7E"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 توفر بيئة عمل داعمة ومحفزة " بمتوسط حسابي (3.9)، وقد يرجع ذلك إلى ضرورة توفير البيئة الداعمة التي تساعد على أداء العمل.</w:t>
      </w:r>
    </w:p>
    <w:p w14:paraId="7B6342E1"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الثاني عبارة " تشجع الشركة العمل الجماعي والتواصل " بمتوسط حسابي (3.86)، وقد يرجع ذلك إلى أهمية العمل الجماعي.</w:t>
      </w:r>
    </w:p>
    <w:p w14:paraId="2A099C5D"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4DC0618B"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حيث جاءت بالترتيب الخامس والأخير عبارة "تلتزم الشركة بالمسؤولية الاجتماعية" بمتوسط حسابي (3.68)، وقد يرجع ذلك إلى عدم وجود ما يلزم الشركة بالمسؤولية الاجتماعية.</w:t>
      </w:r>
    </w:p>
    <w:p w14:paraId="686AEF74" w14:textId="77777777" w:rsidR="002874C7"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w:t>
      </w:r>
      <w:r w:rsidRPr="00545ABB">
        <w:rPr>
          <w:rFonts w:ascii="Traditional Arabic" w:hAnsi="Traditional Arabic" w:cs="Traditional Arabic"/>
          <w:color w:val="000000" w:themeColor="text1"/>
          <w:sz w:val="28"/>
          <w:szCs w:val="28"/>
          <w:rtl/>
          <w:lang w:bidi="ar-EG"/>
        </w:rPr>
        <w:t xml:space="preserve">البعد الاجتماعي </w:t>
      </w:r>
      <w:r w:rsidRPr="00545ABB">
        <w:rPr>
          <w:rFonts w:ascii="Traditional Arabic" w:hAnsi="Traditional Arabic" w:cs="Traditional Arabic"/>
          <w:color w:val="000000" w:themeColor="text1"/>
          <w:sz w:val="28"/>
          <w:szCs w:val="28"/>
          <w:rtl/>
        </w:rPr>
        <w:t>هي توفير البيئة الداعمة وتشجيع العمل الجماعي.</w:t>
      </w:r>
    </w:p>
    <w:p w14:paraId="69712CCD" w14:textId="584FBBC5" w:rsidR="002874C7" w:rsidRPr="00545ABB" w:rsidRDefault="002874C7" w:rsidP="005D773F">
      <w:pPr>
        <w:spacing w:after="0" w:line="360" w:lineRule="auto"/>
        <w:ind w:left="360"/>
        <w:jc w:val="center"/>
        <w:rPr>
          <w:rFonts w:ascii="Traditional Arabic" w:hAnsi="Traditional Arabic" w:cs="Traditional Arabic"/>
          <w:color w:val="000000" w:themeColor="text1"/>
          <w:rtl/>
          <w:lang w:bidi="ar-EG"/>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78208" behindDoc="0" locked="0" layoutInCell="1" allowOverlap="1" wp14:anchorId="26082332" wp14:editId="213AFEE5">
                <wp:simplePos x="0" y="0"/>
                <wp:positionH relativeFrom="column">
                  <wp:posOffset>-689610</wp:posOffset>
                </wp:positionH>
                <wp:positionV relativeFrom="paragraph">
                  <wp:posOffset>175260</wp:posOffset>
                </wp:positionV>
                <wp:extent cx="819150" cy="371475"/>
                <wp:effectExtent l="0" t="0" r="0" b="9525"/>
                <wp:wrapNone/>
                <wp:docPr id="95708931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4A38D"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82332" id="_x0000_s1041" style="position:absolute;left:0;text-align:left;margin-left:-54.3pt;margin-top:13.8pt;width:64.5pt;height:29.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" filled="f" stroked="f">
                <v:textbox>
                  <w:txbxContent>
                    <w:p w14:paraId="7EF4A38D" w14:textId="77777777" w:rsidR="00ED4FB3" w:rsidRDefault="00ED4FB3" w:rsidP="002874C7">
                      <w:pPr>
                        <w:jc w:val="center"/>
                      </w:pPr>
                      <w:r>
                        <w:rPr>
                          <w:rFonts w:cs="Simplified Arabic" w:hint="cs"/>
                          <w:sz w:val="28"/>
                          <w:szCs w:val="28"/>
                          <w:rtl/>
                        </w:rPr>
                        <w:t>ن=63</w:t>
                      </w:r>
                    </w:p>
                  </w:txbxContent>
                </v:textbox>
              </v:rect>
            </w:pict>
          </mc:Fallback>
        </mc:AlternateContent>
      </w:r>
      <w:r w:rsidR="00B760B2" w:rsidRPr="00B760B2">
        <w:rPr>
          <w:rtl/>
        </w:rPr>
        <w:t xml:space="preserve"> </w:t>
      </w:r>
      <w:r w:rsidR="00B760B2" w:rsidRPr="00B760B2">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12</w:t>
      </w:r>
      <w:r w:rsidR="00B760B2" w:rsidRPr="00B760B2">
        <w:rPr>
          <w:rFonts w:ascii="Traditional Arabic" w:hAnsi="Traditional Arabic" w:cs="Traditional Arabic"/>
          <w:b/>
          <w:bCs/>
          <w:color w:val="000000" w:themeColor="text1"/>
          <w:sz w:val="28"/>
          <w:szCs w:val="28"/>
          <w:rtl/>
          <w:lang w:bidi="ar-EG"/>
        </w:rPr>
        <w:t>)</w:t>
      </w:r>
      <w:r w:rsidRPr="00545ABB">
        <w:rPr>
          <w:rFonts w:ascii="Traditional Arabic" w:hAnsi="Traditional Arabic" w:cs="Traditional Arabic"/>
          <w:b/>
          <w:bCs/>
          <w:color w:val="000000" w:themeColor="text1"/>
          <w:sz w:val="28"/>
          <w:szCs w:val="28"/>
          <w:rtl/>
        </w:rPr>
        <w:t xml:space="preserve"> يوضح البعد التقني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2874C7" w:rsidRPr="00545ABB" w14:paraId="20C58C18" w14:textId="77777777" w:rsidTr="002174D5">
        <w:trPr>
          <w:trHeight w:val="321"/>
        </w:trPr>
        <w:tc>
          <w:tcPr>
            <w:tcW w:w="482"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35D09162"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1D663F6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lang w:bidi="ar-EG"/>
              </w:rPr>
              <w:t xml:space="preserve">البعد </w:t>
            </w:r>
            <w:r w:rsidRPr="00545ABB">
              <w:rPr>
                <w:rFonts w:ascii="Traditional Arabic" w:hAnsi="Traditional Arabic" w:cs="Traditional Arabic"/>
                <w:b/>
                <w:bCs/>
                <w:color w:val="000000" w:themeColor="text1"/>
                <w:rtl/>
                <w:lang w:bidi="ar-EG"/>
              </w:rPr>
              <w:t>التقني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769C4F3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65975B7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A9D2C3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المتوسط 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AB60C1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34FB1E48"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3929F566" w14:textId="77777777" w:rsidTr="002174D5">
        <w:trPr>
          <w:trHeight w:val="173"/>
        </w:trPr>
        <w:tc>
          <w:tcPr>
            <w:tcW w:w="482" w:type="dxa"/>
            <w:vMerge/>
            <w:tcBorders>
              <w:left w:val="thickThinSmallGap" w:sz="18" w:space="0" w:color="auto"/>
              <w:bottom w:val="thickThinSmallGap" w:sz="18" w:space="0" w:color="auto"/>
              <w:right w:val="single" w:sz="4" w:space="0" w:color="auto"/>
            </w:tcBorders>
            <w:vAlign w:val="center"/>
          </w:tcPr>
          <w:p w14:paraId="559C49B0"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7C3BE06"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5B5DEB4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3D171F3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rtl/>
                <w:lang w:bidi="ar-EG"/>
              </w:rPr>
            </w:pPr>
            <w:r w:rsidRPr="00545ABB">
              <w:rPr>
                <w:rFonts w:ascii="Traditional Arabic" w:hAnsi="Traditional Arabic" w:cs="Traditional Arabic"/>
                <w:b/>
                <w:bCs/>
                <w:color w:val="000000" w:themeColor="text1"/>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3B154B7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rtl/>
                <w:lang w:bidi="ar-EG"/>
              </w:rPr>
            </w:pPr>
            <w:r w:rsidRPr="00545ABB">
              <w:rPr>
                <w:rFonts w:ascii="Traditional Arabic" w:hAnsi="Traditional Arabic" w:cs="Traditional Arabic"/>
                <w:b/>
                <w:bCs/>
                <w:color w:val="000000" w:themeColor="text1"/>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AFCB67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0BF11A2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18"/>
                <w:szCs w:val="18"/>
                <w:lang w:bidi="ar-EG"/>
              </w:rPr>
            </w:pPr>
            <w:r w:rsidRPr="00545ABB">
              <w:rPr>
                <w:rFonts w:ascii="Traditional Arabic" w:hAnsi="Traditional Arabic" w:cs="Traditional Arabic"/>
                <w:b/>
                <w:bCs/>
                <w:color w:val="000000" w:themeColor="text1"/>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3B85D82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18C17B80"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1ABAD99"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22FA717"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25B3346C" w14:textId="77777777" w:rsidTr="005962D7">
        <w:trPr>
          <w:trHeight w:val="281"/>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19B80DF1"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44FB9FC1"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تقنيات حديثة في مجال الأمن السيبراني</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042C9AB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3E380BA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0724408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14CCC86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0F31AC5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7FADDFB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237</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4C6C8CA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3.76</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7B5DCC5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1.09</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587543B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5</w:t>
            </w:r>
          </w:p>
        </w:tc>
      </w:tr>
      <w:tr w:rsidR="002874C7" w:rsidRPr="00545ABB" w14:paraId="14F15566" w14:textId="77777777" w:rsidTr="005962D7">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66EED98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741B855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تجدد أنظمتها التقنية باستمرار</w:t>
            </w:r>
          </w:p>
        </w:tc>
        <w:tc>
          <w:tcPr>
            <w:tcW w:w="674" w:type="dxa"/>
            <w:tcBorders>
              <w:top w:val="single" w:sz="4" w:space="0" w:color="auto"/>
              <w:left w:val="single" w:sz="4" w:space="0" w:color="auto"/>
              <w:bottom w:val="single" w:sz="4" w:space="0" w:color="auto"/>
              <w:right w:val="single" w:sz="4" w:space="0" w:color="auto"/>
            </w:tcBorders>
            <w:vAlign w:val="center"/>
          </w:tcPr>
          <w:p w14:paraId="5ED6C25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22</w:t>
            </w:r>
          </w:p>
        </w:tc>
        <w:tc>
          <w:tcPr>
            <w:tcW w:w="674" w:type="dxa"/>
            <w:tcBorders>
              <w:top w:val="single" w:sz="4" w:space="0" w:color="auto"/>
              <w:left w:val="single" w:sz="4" w:space="0" w:color="auto"/>
              <w:bottom w:val="single" w:sz="4" w:space="0" w:color="auto"/>
              <w:right w:val="single" w:sz="4" w:space="0" w:color="auto"/>
            </w:tcBorders>
            <w:vAlign w:val="center"/>
          </w:tcPr>
          <w:p w14:paraId="6FE9F00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73" w:type="dxa"/>
            <w:tcBorders>
              <w:top w:val="single" w:sz="4" w:space="0" w:color="auto"/>
              <w:left w:val="single" w:sz="4" w:space="0" w:color="auto"/>
              <w:bottom w:val="single" w:sz="4" w:space="0" w:color="auto"/>
              <w:right w:val="single" w:sz="4" w:space="0" w:color="auto"/>
            </w:tcBorders>
            <w:vAlign w:val="center"/>
          </w:tcPr>
          <w:p w14:paraId="7CAAECE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444F2D2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2C84769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70C6E3A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244</w:t>
            </w:r>
          </w:p>
        </w:tc>
        <w:tc>
          <w:tcPr>
            <w:tcW w:w="760" w:type="dxa"/>
            <w:tcBorders>
              <w:top w:val="single" w:sz="4" w:space="0" w:color="auto"/>
              <w:left w:val="single" w:sz="4" w:space="0" w:color="auto"/>
              <w:bottom w:val="single" w:sz="4" w:space="0" w:color="auto"/>
              <w:right w:val="single" w:sz="4" w:space="0" w:color="auto"/>
            </w:tcBorders>
            <w:vAlign w:val="center"/>
          </w:tcPr>
          <w:p w14:paraId="1919A67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3.87</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812E5E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1.04</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580A0F1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72F9B173" w14:textId="77777777" w:rsidTr="005962D7">
        <w:trPr>
          <w:trHeight w:val="463"/>
        </w:trPr>
        <w:tc>
          <w:tcPr>
            <w:tcW w:w="482" w:type="dxa"/>
            <w:tcBorders>
              <w:top w:val="single" w:sz="4" w:space="0" w:color="auto"/>
              <w:left w:val="thickThinSmallGap" w:sz="18" w:space="0" w:color="auto"/>
              <w:bottom w:val="single" w:sz="4" w:space="0" w:color="auto"/>
              <w:right w:val="single" w:sz="4" w:space="0" w:color="auto"/>
            </w:tcBorders>
            <w:vAlign w:val="center"/>
          </w:tcPr>
          <w:p w14:paraId="0965E97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25B9878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الابتكار في تطوير خدماتها الأمنية</w:t>
            </w:r>
          </w:p>
        </w:tc>
        <w:tc>
          <w:tcPr>
            <w:tcW w:w="674" w:type="dxa"/>
            <w:tcBorders>
              <w:top w:val="single" w:sz="4" w:space="0" w:color="auto"/>
              <w:left w:val="single" w:sz="4" w:space="0" w:color="auto"/>
              <w:bottom w:val="single" w:sz="4" w:space="0" w:color="auto"/>
              <w:right w:val="single" w:sz="4" w:space="0" w:color="auto"/>
            </w:tcBorders>
            <w:vAlign w:val="center"/>
          </w:tcPr>
          <w:p w14:paraId="5990A94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1DBA9F8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673" w:type="dxa"/>
            <w:tcBorders>
              <w:top w:val="single" w:sz="4" w:space="0" w:color="auto"/>
              <w:left w:val="single" w:sz="4" w:space="0" w:color="auto"/>
              <w:bottom w:val="single" w:sz="4" w:space="0" w:color="auto"/>
              <w:right w:val="single" w:sz="4" w:space="0" w:color="auto"/>
            </w:tcBorders>
            <w:vAlign w:val="center"/>
          </w:tcPr>
          <w:p w14:paraId="1B85A66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807" w:type="dxa"/>
            <w:tcBorders>
              <w:top w:val="single" w:sz="4" w:space="0" w:color="auto"/>
              <w:left w:val="single" w:sz="4" w:space="0" w:color="auto"/>
              <w:bottom w:val="single" w:sz="4" w:space="0" w:color="auto"/>
              <w:right w:val="single" w:sz="4" w:space="0" w:color="auto"/>
            </w:tcBorders>
            <w:vAlign w:val="center"/>
          </w:tcPr>
          <w:p w14:paraId="714D7A0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444F831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3964B85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239</w:t>
            </w:r>
          </w:p>
        </w:tc>
        <w:tc>
          <w:tcPr>
            <w:tcW w:w="760" w:type="dxa"/>
            <w:tcBorders>
              <w:top w:val="single" w:sz="4" w:space="0" w:color="auto"/>
              <w:left w:val="single" w:sz="4" w:space="0" w:color="auto"/>
              <w:bottom w:val="single" w:sz="4" w:space="0" w:color="auto"/>
              <w:right w:val="single" w:sz="4" w:space="0" w:color="auto"/>
            </w:tcBorders>
            <w:vAlign w:val="center"/>
          </w:tcPr>
          <w:p w14:paraId="680090C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3.79</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78C03FA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0257879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2085F66A" w14:textId="77777777" w:rsidTr="005962D7">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701983CF"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lastRenderedPageBreak/>
              <w:t>4</w:t>
            </w:r>
          </w:p>
        </w:tc>
        <w:tc>
          <w:tcPr>
            <w:tcW w:w="3903" w:type="dxa"/>
            <w:tcBorders>
              <w:top w:val="single" w:sz="4" w:space="0" w:color="auto"/>
              <w:left w:val="thickThinSmallGap" w:sz="18" w:space="0" w:color="auto"/>
              <w:bottom w:val="single" w:sz="4" w:space="0" w:color="auto"/>
              <w:right w:val="single" w:sz="4" w:space="0" w:color="auto"/>
            </w:tcBorders>
          </w:tcPr>
          <w:p w14:paraId="1DE296D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تخصص موارد لتطوير المعرفة التقنية للموظفين</w:t>
            </w:r>
          </w:p>
        </w:tc>
        <w:tc>
          <w:tcPr>
            <w:tcW w:w="674" w:type="dxa"/>
            <w:tcBorders>
              <w:top w:val="single" w:sz="4" w:space="0" w:color="auto"/>
              <w:left w:val="single" w:sz="4" w:space="0" w:color="auto"/>
              <w:bottom w:val="single" w:sz="4" w:space="0" w:color="auto"/>
              <w:right w:val="single" w:sz="4" w:space="0" w:color="auto"/>
            </w:tcBorders>
            <w:vAlign w:val="center"/>
          </w:tcPr>
          <w:p w14:paraId="18C236B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29</w:t>
            </w:r>
          </w:p>
        </w:tc>
        <w:tc>
          <w:tcPr>
            <w:tcW w:w="674" w:type="dxa"/>
            <w:tcBorders>
              <w:top w:val="single" w:sz="4" w:space="0" w:color="auto"/>
              <w:left w:val="single" w:sz="4" w:space="0" w:color="auto"/>
              <w:bottom w:val="single" w:sz="4" w:space="0" w:color="auto"/>
              <w:right w:val="single" w:sz="4" w:space="0" w:color="auto"/>
            </w:tcBorders>
            <w:vAlign w:val="center"/>
          </w:tcPr>
          <w:p w14:paraId="6DBAA8B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673" w:type="dxa"/>
            <w:tcBorders>
              <w:top w:val="single" w:sz="4" w:space="0" w:color="auto"/>
              <w:left w:val="single" w:sz="4" w:space="0" w:color="auto"/>
              <w:bottom w:val="single" w:sz="4" w:space="0" w:color="auto"/>
              <w:right w:val="single" w:sz="4" w:space="0" w:color="auto"/>
            </w:tcBorders>
            <w:vAlign w:val="center"/>
          </w:tcPr>
          <w:p w14:paraId="2CE6FC8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34717EC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0118C48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2E381FA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251</w:t>
            </w:r>
          </w:p>
        </w:tc>
        <w:tc>
          <w:tcPr>
            <w:tcW w:w="760" w:type="dxa"/>
            <w:tcBorders>
              <w:top w:val="single" w:sz="4" w:space="0" w:color="auto"/>
              <w:left w:val="single" w:sz="4" w:space="0" w:color="auto"/>
              <w:bottom w:val="single" w:sz="4" w:space="0" w:color="auto"/>
              <w:right w:val="single" w:sz="4" w:space="0" w:color="auto"/>
            </w:tcBorders>
            <w:vAlign w:val="center"/>
          </w:tcPr>
          <w:p w14:paraId="3A23DEE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D2B2BF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1.13</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4C4224A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27CE36B1" w14:textId="77777777" w:rsidTr="005962D7">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4E4AF3C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2C763C9C" w14:textId="77777777" w:rsidR="002874C7" w:rsidRPr="00545ABB" w:rsidRDefault="002874C7" w:rsidP="00022590">
            <w:pPr>
              <w:spacing w:after="0" w:line="360" w:lineRule="auto"/>
              <w:jc w:val="both"/>
              <w:rPr>
                <w:rFonts w:ascii="Traditional Arabic" w:hAnsi="Traditional Arabic" w:cs="Traditional Arabic"/>
                <w:b/>
                <w:bCs/>
                <w:color w:val="000000" w:themeColor="text1"/>
                <w:lang w:bidi="ar-EG"/>
              </w:rPr>
            </w:pPr>
            <w:r w:rsidRPr="00545ABB">
              <w:rPr>
                <w:rFonts w:ascii="Traditional Arabic" w:hAnsi="Traditional Arabic" w:cs="Traditional Arabic"/>
                <w:color w:val="000000" w:themeColor="text1"/>
                <w:rtl/>
                <w:lang w:bidi="ar-EG"/>
              </w:rPr>
              <w:t>تستثمر في حلول أمنية تعزز استمراريتها</w:t>
            </w:r>
          </w:p>
        </w:tc>
        <w:tc>
          <w:tcPr>
            <w:tcW w:w="674" w:type="dxa"/>
            <w:tcBorders>
              <w:top w:val="single" w:sz="4" w:space="0" w:color="auto"/>
              <w:left w:val="single" w:sz="4" w:space="0" w:color="auto"/>
              <w:bottom w:val="single" w:sz="4" w:space="0" w:color="auto"/>
              <w:right w:val="single" w:sz="4" w:space="0" w:color="auto"/>
            </w:tcBorders>
            <w:vAlign w:val="center"/>
          </w:tcPr>
          <w:p w14:paraId="4EFFEC1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4B0FEEE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28</w:t>
            </w:r>
          </w:p>
        </w:tc>
        <w:tc>
          <w:tcPr>
            <w:tcW w:w="673" w:type="dxa"/>
            <w:tcBorders>
              <w:top w:val="single" w:sz="4" w:space="0" w:color="auto"/>
              <w:left w:val="single" w:sz="4" w:space="0" w:color="auto"/>
              <w:bottom w:val="single" w:sz="4" w:space="0" w:color="auto"/>
              <w:right w:val="single" w:sz="4" w:space="0" w:color="auto"/>
            </w:tcBorders>
            <w:vAlign w:val="center"/>
          </w:tcPr>
          <w:p w14:paraId="3D4D5D5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5C021C9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580F5B6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6031EE4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243</w:t>
            </w:r>
          </w:p>
        </w:tc>
        <w:tc>
          <w:tcPr>
            <w:tcW w:w="760" w:type="dxa"/>
            <w:tcBorders>
              <w:top w:val="single" w:sz="4" w:space="0" w:color="auto"/>
              <w:left w:val="single" w:sz="4" w:space="0" w:color="auto"/>
              <w:bottom w:val="single" w:sz="4" w:space="0" w:color="auto"/>
              <w:right w:val="single" w:sz="4" w:space="0" w:color="auto"/>
            </w:tcBorders>
            <w:vAlign w:val="center"/>
          </w:tcPr>
          <w:p w14:paraId="7690248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12D5B14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1.09</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2AFF864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6C6EC856" w14:textId="77777777" w:rsidTr="005962D7">
        <w:trPr>
          <w:trHeight w:val="351"/>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D14FE4B"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96C3C7E"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597EE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108</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C66F2B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99</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479F4D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72</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5B2322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3A9A1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10</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357C4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1214</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EDA48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19.3</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CDCF3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5.4</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3A94758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1DD0FD25" w14:textId="77777777" w:rsidTr="005962D7">
        <w:trPr>
          <w:trHeight w:val="220"/>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1087FD4"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E1CDA21"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3E9166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77%</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00D555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A8FE85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3.85</w:t>
            </w:r>
          </w:p>
        </w:tc>
      </w:tr>
    </w:tbl>
    <w:p w14:paraId="758C23A9"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1C41135E" w14:textId="23A77D74"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B760B2" w:rsidRPr="00B760B2">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12</w:t>
      </w:r>
      <w:r w:rsidR="00B760B2" w:rsidRPr="00B760B2">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البعد التقني "بمستوى مرتفع" حيث جاء المتوسط الحسابي (3.85) وكذلك بلغت القوة النسبية لهذا المتغير (77%) وبمجموع وزني بلغ (1214).</w:t>
      </w:r>
    </w:p>
    <w:p w14:paraId="0790B220"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550E3936"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 تخصص موارد لتطوير المعرفة التقنية للموظفين " بمتوسط حسابي (3.98)، وقد يرجع ذلك إلى ضرورة أهمية التطوير المعرفي وهو ما يستلزم توفير الموارد اللازمة.</w:t>
      </w:r>
    </w:p>
    <w:p w14:paraId="1DB5A051"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الثاني عبارة " تجدد أنظمتها التقنية باستمرار " بمتوسط حسابي (3.87)، وقد يرجع ذلك إلى أهمية التجدد التقني المستمر ومواكبة كل ما هو حديث.</w:t>
      </w:r>
    </w:p>
    <w:p w14:paraId="5BD3F2C7"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6D15B4B3"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حيث جاءت بالترتيب الخامس والأخير عبارة " تعتمد الشركة تقنيات حديثة في مجال الأمن السيبراني" بمتوسط حسابي (3.76)، وقد يرجع ذلك إلى وجوب توافر ما هو أحدث.</w:t>
      </w:r>
    </w:p>
    <w:p w14:paraId="4ABFF06F" w14:textId="288B1BC9" w:rsidR="002B0AD5"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وبالنظر للجدول السابق نستنتج أن من أهم محددات البعد التقني هي تخصيص الموارد اللازمة للتحديث التقني المستدام.</w:t>
      </w:r>
    </w:p>
    <w:p w14:paraId="508280A8" w14:textId="77777777" w:rsidR="002874C7" w:rsidRPr="00545ABB" w:rsidRDefault="002874C7" w:rsidP="00D95153">
      <w:pPr>
        <w:pStyle w:val="ListParagraph"/>
        <w:numPr>
          <w:ilvl w:val="0"/>
          <w:numId w:val="6"/>
        </w:numPr>
        <w:tabs>
          <w:tab w:val="left" w:pos="1087"/>
        </w:tabs>
        <w:bidi/>
        <w:spacing w:after="0" w:line="360" w:lineRule="auto"/>
        <w:rPr>
          <w:rFonts w:ascii="Traditional Arabic" w:hAnsi="Traditional Arabic" w:cs="Traditional Arabic"/>
          <w:b/>
          <w:bCs/>
          <w:color w:val="000000" w:themeColor="text1"/>
          <w:sz w:val="28"/>
          <w:szCs w:val="28"/>
          <w:lang w:bidi="ar-EG"/>
        </w:rPr>
      </w:pPr>
      <w:r w:rsidRPr="00545ABB">
        <w:rPr>
          <w:rFonts w:ascii="Traditional Arabic" w:hAnsi="Traditional Arabic" w:cs="Traditional Arabic"/>
          <w:b/>
          <w:bCs/>
          <w:color w:val="000000" w:themeColor="text1"/>
          <w:sz w:val="28"/>
          <w:szCs w:val="28"/>
          <w:rtl/>
          <w:lang w:bidi="ar-EG"/>
        </w:rPr>
        <w:t>النتائج المتعلقة المتغير التابع الثاني: النجاح المؤسسي:</w:t>
      </w:r>
    </w:p>
    <w:p w14:paraId="3D50418E" w14:textId="77777777" w:rsidR="00C97725" w:rsidRPr="00545ABB" w:rsidRDefault="00C97725" w:rsidP="00C97725">
      <w:pPr>
        <w:tabs>
          <w:tab w:val="left" w:pos="1087"/>
        </w:tabs>
        <w:spacing w:after="0" w:line="360" w:lineRule="auto"/>
        <w:rPr>
          <w:rFonts w:ascii="Traditional Arabic" w:hAnsi="Traditional Arabic" w:cs="Traditional Arabic"/>
          <w:b/>
          <w:bCs/>
          <w:color w:val="000000" w:themeColor="text1"/>
          <w:sz w:val="28"/>
          <w:szCs w:val="28"/>
          <w:rtl/>
          <w:lang w:bidi="ar-EG"/>
        </w:rPr>
      </w:pPr>
    </w:p>
    <w:p w14:paraId="7A37BC58" w14:textId="77777777" w:rsidR="00C97725" w:rsidRPr="00545ABB" w:rsidRDefault="00C97725" w:rsidP="00C97725">
      <w:pPr>
        <w:tabs>
          <w:tab w:val="left" w:pos="1087"/>
        </w:tabs>
        <w:spacing w:after="0" w:line="360" w:lineRule="auto"/>
        <w:rPr>
          <w:rFonts w:ascii="Traditional Arabic" w:hAnsi="Traditional Arabic" w:cs="Traditional Arabic"/>
          <w:b/>
          <w:bCs/>
          <w:color w:val="000000" w:themeColor="text1"/>
          <w:sz w:val="28"/>
          <w:szCs w:val="28"/>
          <w:rtl/>
          <w:lang w:bidi="ar-EG"/>
        </w:rPr>
      </w:pPr>
    </w:p>
    <w:p w14:paraId="3584DE52" w14:textId="77777777" w:rsidR="00C97725" w:rsidRPr="00545ABB" w:rsidRDefault="00C97725" w:rsidP="00C97725">
      <w:pPr>
        <w:tabs>
          <w:tab w:val="left" w:pos="1087"/>
        </w:tabs>
        <w:spacing w:after="0" w:line="360" w:lineRule="auto"/>
        <w:rPr>
          <w:rFonts w:ascii="Traditional Arabic" w:hAnsi="Traditional Arabic" w:cs="Traditional Arabic"/>
          <w:b/>
          <w:bCs/>
          <w:color w:val="000000" w:themeColor="text1"/>
          <w:sz w:val="28"/>
          <w:szCs w:val="28"/>
          <w:lang w:bidi="ar-EG"/>
        </w:rPr>
      </w:pPr>
    </w:p>
    <w:p w14:paraId="398E96C1" w14:textId="4EAEBCA9" w:rsidR="002874C7" w:rsidRPr="00545ABB" w:rsidRDefault="002874C7" w:rsidP="005D773F">
      <w:pPr>
        <w:spacing w:after="0" w:line="360" w:lineRule="auto"/>
        <w:ind w:left="142"/>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noProof/>
          <w:color w:val="000000" w:themeColor="text1"/>
          <w:sz w:val="28"/>
          <w:szCs w:val="28"/>
          <w:rtl/>
        </w:rPr>
        <w:lastRenderedPageBreak/>
        <mc:AlternateContent>
          <mc:Choice Requires="wps">
            <w:drawing>
              <wp:anchor distT="0" distB="0" distL="114300" distR="114300" simplePos="0" relativeHeight="251679232" behindDoc="0" locked="0" layoutInCell="1" allowOverlap="1" wp14:anchorId="6F5166D6" wp14:editId="20E3232B">
                <wp:simplePos x="0" y="0"/>
                <wp:positionH relativeFrom="column">
                  <wp:posOffset>-666750</wp:posOffset>
                </wp:positionH>
                <wp:positionV relativeFrom="paragraph">
                  <wp:posOffset>163830</wp:posOffset>
                </wp:positionV>
                <wp:extent cx="819150" cy="371475"/>
                <wp:effectExtent l="0" t="0" r="0" b="9525"/>
                <wp:wrapNone/>
                <wp:docPr id="9279353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A361A"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166D6" id="_x0000_s1042" style="position:absolute;left:0;text-align:left;margin-left:-52.5pt;margin-top:12.9pt;width:64.5pt;height:29.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" filled="f" stroked="f">
                <v:textbox>
                  <w:txbxContent>
                    <w:p w14:paraId="6CDA361A" w14:textId="77777777" w:rsidR="00ED4FB3" w:rsidRDefault="00ED4FB3" w:rsidP="002874C7">
                      <w:pPr>
                        <w:jc w:val="center"/>
                      </w:pPr>
                      <w:r>
                        <w:rPr>
                          <w:rFonts w:cs="Simplified Arabic" w:hint="cs"/>
                          <w:sz w:val="28"/>
                          <w:szCs w:val="28"/>
                          <w:rtl/>
                        </w:rPr>
                        <w:t>ن=63</w:t>
                      </w:r>
                    </w:p>
                  </w:txbxContent>
                </v:textbox>
              </v:rect>
            </w:pict>
          </mc:Fallback>
        </mc:AlternateContent>
      </w:r>
      <w:r w:rsidR="00FB42CD" w:rsidRPr="00FB42CD">
        <w:rPr>
          <w:rtl/>
        </w:rPr>
        <w:t xml:space="preserve"> </w:t>
      </w:r>
      <w:r w:rsidR="00FB42CD" w:rsidRPr="00FB42CD">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13</w:t>
      </w:r>
      <w:r w:rsidR="00FB42CD" w:rsidRPr="00FB42CD">
        <w:rPr>
          <w:rFonts w:ascii="Traditional Arabic" w:hAnsi="Traditional Arabic" w:cs="Traditional Arabic"/>
          <w:b/>
          <w:bCs/>
          <w:color w:val="000000" w:themeColor="text1"/>
          <w:sz w:val="28"/>
          <w:szCs w:val="28"/>
          <w:rtl/>
          <w:lang w:bidi="ar-EG"/>
        </w:rPr>
        <w:t>)</w:t>
      </w:r>
      <w:r w:rsidR="00FB42CD">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يوضح جودة الأداء الإداري والتقني</w:t>
      </w:r>
    </w:p>
    <w:tbl>
      <w:tblPr>
        <w:tblpPr w:leftFromText="180" w:rightFromText="180" w:vertAnchor="text" w:horzAnchor="margin" w:tblpXSpec="center" w:tblpY="290"/>
        <w:bidiVisual/>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3832"/>
        <w:gridCol w:w="661"/>
        <w:gridCol w:w="661"/>
        <w:gridCol w:w="660"/>
        <w:gridCol w:w="795"/>
        <w:gridCol w:w="666"/>
        <w:gridCol w:w="671"/>
        <w:gridCol w:w="745"/>
        <w:gridCol w:w="37"/>
        <w:gridCol w:w="793"/>
        <w:gridCol w:w="398"/>
      </w:tblGrid>
      <w:tr w:rsidR="002874C7" w:rsidRPr="00545ABB" w14:paraId="73EF0BCF" w14:textId="77777777" w:rsidTr="002174D5">
        <w:trPr>
          <w:trHeight w:val="322"/>
        </w:trPr>
        <w:tc>
          <w:tcPr>
            <w:tcW w:w="473"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2E3A4F45"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83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0DFFC5C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rPr>
              <w:t>جودة الأداء الإداري والتقني</w:t>
            </w:r>
          </w:p>
        </w:tc>
        <w:tc>
          <w:tcPr>
            <w:tcW w:w="3443"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285380F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71"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26867DF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45"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09BFD9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3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4B5D84C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398"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5DBB4265"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03DF769D" w14:textId="77777777" w:rsidTr="002174D5">
        <w:trPr>
          <w:trHeight w:val="174"/>
        </w:trPr>
        <w:tc>
          <w:tcPr>
            <w:tcW w:w="473" w:type="dxa"/>
            <w:vMerge/>
            <w:tcBorders>
              <w:left w:val="thickThinSmallGap" w:sz="18" w:space="0" w:color="auto"/>
              <w:bottom w:val="thickThinSmallGap" w:sz="18" w:space="0" w:color="auto"/>
              <w:right w:val="single" w:sz="4" w:space="0" w:color="auto"/>
            </w:tcBorders>
            <w:vAlign w:val="center"/>
          </w:tcPr>
          <w:p w14:paraId="34A4EC5A"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83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60BFEC1"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61"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0539059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61"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77980C4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60"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1F1CEAB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795"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366762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6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CCEBA8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أعارض بشدة</w:t>
            </w:r>
          </w:p>
        </w:tc>
        <w:tc>
          <w:tcPr>
            <w:tcW w:w="671" w:type="dxa"/>
            <w:vMerge/>
            <w:tcBorders>
              <w:top w:val="thinThickSmallGap" w:sz="18" w:space="0" w:color="auto"/>
              <w:left w:val="single" w:sz="4" w:space="0" w:color="auto"/>
              <w:bottom w:val="thickThinSmallGap" w:sz="18" w:space="0" w:color="auto"/>
              <w:right w:val="single" w:sz="4" w:space="0" w:color="auto"/>
            </w:tcBorders>
            <w:vAlign w:val="center"/>
            <w:hideMark/>
          </w:tcPr>
          <w:p w14:paraId="21D6FEDA"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45" w:type="dxa"/>
            <w:vMerge/>
            <w:tcBorders>
              <w:top w:val="thinThickSmallGap" w:sz="18" w:space="0" w:color="auto"/>
              <w:left w:val="single" w:sz="4" w:space="0" w:color="auto"/>
              <w:bottom w:val="thickThinSmallGap" w:sz="18" w:space="0" w:color="auto"/>
              <w:right w:val="single" w:sz="4" w:space="0" w:color="auto"/>
            </w:tcBorders>
            <w:vAlign w:val="center"/>
            <w:hideMark/>
          </w:tcPr>
          <w:p w14:paraId="4FFBA605"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3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041CE9D5"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398"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44345F3"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63243A1C" w14:textId="77777777" w:rsidTr="005962D7">
        <w:trPr>
          <w:trHeight w:val="282"/>
        </w:trPr>
        <w:tc>
          <w:tcPr>
            <w:tcW w:w="473" w:type="dxa"/>
            <w:tcBorders>
              <w:top w:val="thickThinSmallGap" w:sz="18" w:space="0" w:color="auto"/>
              <w:left w:val="thickThinSmallGap" w:sz="18" w:space="0" w:color="auto"/>
              <w:bottom w:val="single" w:sz="4" w:space="0" w:color="auto"/>
              <w:right w:val="single" w:sz="4" w:space="0" w:color="auto"/>
            </w:tcBorders>
            <w:vAlign w:val="center"/>
          </w:tcPr>
          <w:p w14:paraId="2ED617C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832" w:type="dxa"/>
            <w:tcBorders>
              <w:top w:val="thickThinSmallGap" w:sz="18" w:space="0" w:color="auto"/>
              <w:left w:val="thickThinSmallGap" w:sz="18" w:space="0" w:color="auto"/>
              <w:bottom w:val="single" w:sz="4" w:space="0" w:color="auto"/>
              <w:right w:val="single" w:sz="4" w:space="0" w:color="auto"/>
            </w:tcBorders>
          </w:tcPr>
          <w:p w14:paraId="665A6C8E"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أداءً إدارياً متوازناً</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36035FD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15</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3A7FEC2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28</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58929CF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10</w:t>
            </w:r>
          </w:p>
        </w:tc>
        <w:tc>
          <w:tcPr>
            <w:tcW w:w="795" w:type="dxa"/>
            <w:tcBorders>
              <w:top w:val="thickThinSmallGap" w:sz="18" w:space="0" w:color="auto"/>
              <w:left w:val="single" w:sz="4" w:space="0" w:color="auto"/>
              <w:bottom w:val="single" w:sz="4" w:space="0" w:color="auto"/>
              <w:right w:val="single" w:sz="4" w:space="0" w:color="auto"/>
            </w:tcBorders>
            <w:vAlign w:val="center"/>
          </w:tcPr>
          <w:p w14:paraId="0B9C3D3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3E55B7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10F3DBED" w14:textId="77777777" w:rsidR="002874C7" w:rsidRPr="00545ABB" w:rsidRDefault="002874C7" w:rsidP="00022590">
            <w:pPr>
              <w:spacing w:after="0" w:line="360" w:lineRule="auto"/>
              <w:contextualSpacing/>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237</w:t>
            </w:r>
          </w:p>
        </w:tc>
        <w:tc>
          <w:tcPr>
            <w:tcW w:w="745" w:type="dxa"/>
            <w:tcBorders>
              <w:top w:val="thickThinSmallGap" w:sz="18" w:space="0" w:color="auto"/>
              <w:left w:val="single" w:sz="4" w:space="0" w:color="auto"/>
              <w:bottom w:val="single" w:sz="4" w:space="0" w:color="auto"/>
              <w:right w:val="single" w:sz="4" w:space="0" w:color="auto"/>
            </w:tcBorders>
            <w:vAlign w:val="center"/>
          </w:tcPr>
          <w:p w14:paraId="7648BCD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30" w:type="dxa"/>
            <w:gridSpan w:val="2"/>
            <w:tcBorders>
              <w:top w:val="thickThinSmallGap" w:sz="18" w:space="0" w:color="auto"/>
              <w:left w:val="single" w:sz="4" w:space="0" w:color="auto"/>
              <w:bottom w:val="single" w:sz="4" w:space="0" w:color="auto"/>
              <w:right w:val="single" w:sz="4" w:space="0" w:color="auto"/>
            </w:tcBorders>
            <w:vAlign w:val="center"/>
          </w:tcPr>
          <w:p w14:paraId="5F8117E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0.99</w:t>
            </w:r>
          </w:p>
        </w:tc>
        <w:tc>
          <w:tcPr>
            <w:tcW w:w="398" w:type="dxa"/>
            <w:tcBorders>
              <w:top w:val="thickThinSmallGap" w:sz="18" w:space="0" w:color="auto"/>
              <w:left w:val="single" w:sz="4" w:space="0" w:color="auto"/>
              <w:bottom w:val="single" w:sz="4" w:space="0" w:color="auto"/>
              <w:right w:val="thinThickSmallGap" w:sz="18" w:space="0" w:color="auto"/>
            </w:tcBorders>
            <w:vAlign w:val="center"/>
          </w:tcPr>
          <w:p w14:paraId="767E378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404E8C61" w14:textId="77777777" w:rsidTr="005962D7">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7FD633E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832" w:type="dxa"/>
            <w:tcBorders>
              <w:top w:val="single" w:sz="4" w:space="0" w:color="auto"/>
              <w:left w:val="thickThinSmallGap" w:sz="18" w:space="0" w:color="auto"/>
              <w:bottom w:val="single" w:sz="4" w:space="0" w:color="auto"/>
              <w:right w:val="single" w:sz="4" w:space="0" w:color="auto"/>
            </w:tcBorders>
          </w:tcPr>
          <w:p w14:paraId="579184FF"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تعتمد الشركة إجراءات تشغيل فعالة</w:t>
            </w:r>
          </w:p>
        </w:tc>
        <w:tc>
          <w:tcPr>
            <w:tcW w:w="661" w:type="dxa"/>
            <w:tcBorders>
              <w:top w:val="single" w:sz="4" w:space="0" w:color="auto"/>
              <w:left w:val="single" w:sz="4" w:space="0" w:color="auto"/>
              <w:bottom w:val="single" w:sz="4" w:space="0" w:color="auto"/>
              <w:right w:val="single" w:sz="4" w:space="0" w:color="auto"/>
            </w:tcBorders>
            <w:vAlign w:val="center"/>
          </w:tcPr>
          <w:p w14:paraId="04A81C7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21</w:t>
            </w:r>
          </w:p>
        </w:tc>
        <w:tc>
          <w:tcPr>
            <w:tcW w:w="661" w:type="dxa"/>
            <w:tcBorders>
              <w:top w:val="single" w:sz="4" w:space="0" w:color="auto"/>
              <w:left w:val="single" w:sz="4" w:space="0" w:color="auto"/>
              <w:bottom w:val="single" w:sz="4" w:space="0" w:color="auto"/>
              <w:right w:val="single" w:sz="4" w:space="0" w:color="auto"/>
            </w:tcBorders>
            <w:vAlign w:val="center"/>
          </w:tcPr>
          <w:p w14:paraId="4058649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22</w:t>
            </w:r>
          </w:p>
        </w:tc>
        <w:tc>
          <w:tcPr>
            <w:tcW w:w="660" w:type="dxa"/>
            <w:tcBorders>
              <w:top w:val="single" w:sz="4" w:space="0" w:color="auto"/>
              <w:left w:val="single" w:sz="4" w:space="0" w:color="auto"/>
              <w:bottom w:val="single" w:sz="4" w:space="0" w:color="auto"/>
              <w:right w:val="single" w:sz="4" w:space="0" w:color="auto"/>
            </w:tcBorders>
            <w:vAlign w:val="center"/>
          </w:tcPr>
          <w:p w14:paraId="1A187FA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795" w:type="dxa"/>
            <w:tcBorders>
              <w:top w:val="single" w:sz="4" w:space="0" w:color="auto"/>
              <w:left w:val="single" w:sz="4" w:space="0" w:color="auto"/>
              <w:bottom w:val="single" w:sz="4" w:space="0" w:color="auto"/>
              <w:right w:val="single" w:sz="4" w:space="0" w:color="auto"/>
            </w:tcBorders>
            <w:vAlign w:val="center"/>
          </w:tcPr>
          <w:p w14:paraId="38E6E2D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C9A426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14F1540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249</w:t>
            </w:r>
          </w:p>
        </w:tc>
        <w:tc>
          <w:tcPr>
            <w:tcW w:w="745" w:type="dxa"/>
            <w:tcBorders>
              <w:top w:val="single" w:sz="4" w:space="0" w:color="auto"/>
              <w:left w:val="single" w:sz="4" w:space="0" w:color="auto"/>
              <w:bottom w:val="single" w:sz="4" w:space="0" w:color="auto"/>
              <w:right w:val="single" w:sz="4" w:space="0" w:color="auto"/>
            </w:tcBorders>
            <w:vAlign w:val="center"/>
          </w:tcPr>
          <w:p w14:paraId="0930C99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2FB258C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0.92</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6805C47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503D0C8A" w14:textId="77777777" w:rsidTr="005962D7">
        <w:trPr>
          <w:trHeight w:val="464"/>
        </w:trPr>
        <w:tc>
          <w:tcPr>
            <w:tcW w:w="473" w:type="dxa"/>
            <w:tcBorders>
              <w:top w:val="single" w:sz="4" w:space="0" w:color="auto"/>
              <w:left w:val="thickThinSmallGap" w:sz="18" w:space="0" w:color="auto"/>
              <w:bottom w:val="single" w:sz="4" w:space="0" w:color="auto"/>
              <w:right w:val="single" w:sz="4" w:space="0" w:color="auto"/>
            </w:tcBorders>
            <w:vAlign w:val="center"/>
          </w:tcPr>
          <w:p w14:paraId="206C30D8"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832" w:type="dxa"/>
            <w:tcBorders>
              <w:top w:val="single" w:sz="4" w:space="0" w:color="auto"/>
              <w:left w:val="thickThinSmallGap" w:sz="18" w:space="0" w:color="auto"/>
              <w:bottom w:val="single" w:sz="4" w:space="0" w:color="auto"/>
              <w:right w:val="single" w:sz="4" w:space="0" w:color="auto"/>
            </w:tcBorders>
          </w:tcPr>
          <w:p w14:paraId="719A8C8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يظهر أداء الفريق التقني بمستوى مهني عال</w:t>
            </w:r>
          </w:p>
        </w:tc>
        <w:tc>
          <w:tcPr>
            <w:tcW w:w="661" w:type="dxa"/>
            <w:tcBorders>
              <w:top w:val="single" w:sz="4" w:space="0" w:color="auto"/>
              <w:left w:val="single" w:sz="4" w:space="0" w:color="auto"/>
              <w:bottom w:val="single" w:sz="4" w:space="0" w:color="auto"/>
              <w:right w:val="single" w:sz="4" w:space="0" w:color="auto"/>
            </w:tcBorders>
            <w:vAlign w:val="center"/>
          </w:tcPr>
          <w:p w14:paraId="510D405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18</w:t>
            </w:r>
          </w:p>
        </w:tc>
        <w:tc>
          <w:tcPr>
            <w:tcW w:w="661" w:type="dxa"/>
            <w:tcBorders>
              <w:top w:val="single" w:sz="4" w:space="0" w:color="auto"/>
              <w:left w:val="single" w:sz="4" w:space="0" w:color="auto"/>
              <w:bottom w:val="single" w:sz="4" w:space="0" w:color="auto"/>
              <w:right w:val="single" w:sz="4" w:space="0" w:color="auto"/>
            </w:tcBorders>
            <w:vAlign w:val="center"/>
          </w:tcPr>
          <w:p w14:paraId="046A908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25</w:t>
            </w:r>
          </w:p>
        </w:tc>
        <w:tc>
          <w:tcPr>
            <w:tcW w:w="660" w:type="dxa"/>
            <w:tcBorders>
              <w:top w:val="single" w:sz="4" w:space="0" w:color="auto"/>
              <w:left w:val="single" w:sz="4" w:space="0" w:color="auto"/>
              <w:bottom w:val="single" w:sz="4" w:space="0" w:color="auto"/>
              <w:right w:val="single" w:sz="4" w:space="0" w:color="auto"/>
            </w:tcBorders>
            <w:vAlign w:val="center"/>
          </w:tcPr>
          <w:p w14:paraId="0737E1C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795" w:type="dxa"/>
            <w:tcBorders>
              <w:top w:val="single" w:sz="4" w:space="0" w:color="auto"/>
              <w:left w:val="single" w:sz="4" w:space="0" w:color="auto"/>
              <w:bottom w:val="single" w:sz="4" w:space="0" w:color="auto"/>
              <w:right w:val="single" w:sz="4" w:space="0" w:color="auto"/>
            </w:tcBorders>
            <w:vAlign w:val="center"/>
          </w:tcPr>
          <w:p w14:paraId="05DDCC3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66" w:type="dxa"/>
            <w:tcBorders>
              <w:top w:val="single" w:sz="4" w:space="0" w:color="auto"/>
              <w:left w:val="single" w:sz="4" w:space="0" w:color="auto"/>
              <w:bottom w:val="single" w:sz="4" w:space="0" w:color="auto"/>
              <w:right w:val="single" w:sz="4" w:space="0" w:color="auto"/>
            </w:tcBorders>
            <w:vAlign w:val="center"/>
          </w:tcPr>
          <w:p w14:paraId="28EF240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7947060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242</w:t>
            </w:r>
          </w:p>
        </w:tc>
        <w:tc>
          <w:tcPr>
            <w:tcW w:w="745" w:type="dxa"/>
            <w:tcBorders>
              <w:top w:val="single" w:sz="4" w:space="0" w:color="auto"/>
              <w:left w:val="single" w:sz="4" w:space="0" w:color="auto"/>
              <w:bottom w:val="single" w:sz="4" w:space="0" w:color="auto"/>
              <w:right w:val="single" w:sz="4" w:space="0" w:color="auto"/>
            </w:tcBorders>
            <w:vAlign w:val="center"/>
          </w:tcPr>
          <w:p w14:paraId="34BF055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1F3BFF6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0.98</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5BC2838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203092C1" w14:textId="77777777" w:rsidTr="005962D7">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5116E7F1"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832" w:type="dxa"/>
            <w:tcBorders>
              <w:top w:val="single" w:sz="4" w:space="0" w:color="auto"/>
              <w:left w:val="thickThinSmallGap" w:sz="18" w:space="0" w:color="auto"/>
              <w:bottom w:val="single" w:sz="4" w:space="0" w:color="auto"/>
              <w:right w:val="single" w:sz="4" w:space="0" w:color="auto"/>
            </w:tcBorders>
          </w:tcPr>
          <w:p w14:paraId="76CCF24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توفر الشركة خدمات أمنية ذات جودة عالية</w:t>
            </w:r>
          </w:p>
        </w:tc>
        <w:tc>
          <w:tcPr>
            <w:tcW w:w="661" w:type="dxa"/>
            <w:tcBorders>
              <w:top w:val="single" w:sz="4" w:space="0" w:color="auto"/>
              <w:left w:val="single" w:sz="4" w:space="0" w:color="auto"/>
              <w:bottom w:val="single" w:sz="4" w:space="0" w:color="auto"/>
              <w:right w:val="single" w:sz="4" w:space="0" w:color="auto"/>
            </w:tcBorders>
            <w:vAlign w:val="center"/>
          </w:tcPr>
          <w:p w14:paraId="2F774C9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13</w:t>
            </w:r>
          </w:p>
        </w:tc>
        <w:tc>
          <w:tcPr>
            <w:tcW w:w="661" w:type="dxa"/>
            <w:tcBorders>
              <w:top w:val="single" w:sz="4" w:space="0" w:color="auto"/>
              <w:left w:val="single" w:sz="4" w:space="0" w:color="auto"/>
              <w:bottom w:val="single" w:sz="4" w:space="0" w:color="auto"/>
              <w:right w:val="single" w:sz="4" w:space="0" w:color="auto"/>
            </w:tcBorders>
            <w:vAlign w:val="center"/>
          </w:tcPr>
          <w:p w14:paraId="0EC1D25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26</w:t>
            </w:r>
          </w:p>
        </w:tc>
        <w:tc>
          <w:tcPr>
            <w:tcW w:w="660" w:type="dxa"/>
            <w:tcBorders>
              <w:top w:val="single" w:sz="4" w:space="0" w:color="auto"/>
              <w:left w:val="single" w:sz="4" w:space="0" w:color="auto"/>
              <w:bottom w:val="single" w:sz="4" w:space="0" w:color="auto"/>
              <w:right w:val="single" w:sz="4" w:space="0" w:color="auto"/>
            </w:tcBorders>
            <w:vAlign w:val="center"/>
          </w:tcPr>
          <w:p w14:paraId="3CAFF24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795" w:type="dxa"/>
            <w:tcBorders>
              <w:top w:val="single" w:sz="4" w:space="0" w:color="auto"/>
              <w:left w:val="single" w:sz="4" w:space="0" w:color="auto"/>
              <w:bottom w:val="single" w:sz="4" w:space="0" w:color="auto"/>
              <w:right w:val="single" w:sz="4" w:space="0" w:color="auto"/>
            </w:tcBorders>
            <w:vAlign w:val="center"/>
          </w:tcPr>
          <w:p w14:paraId="44EE8C5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E8B042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1" w:type="dxa"/>
            <w:tcBorders>
              <w:top w:val="single" w:sz="4" w:space="0" w:color="auto"/>
              <w:left w:val="single" w:sz="4" w:space="0" w:color="auto"/>
              <w:bottom w:val="single" w:sz="4" w:space="0" w:color="auto"/>
              <w:right w:val="single" w:sz="4" w:space="0" w:color="auto"/>
            </w:tcBorders>
            <w:vAlign w:val="center"/>
          </w:tcPr>
          <w:p w14:paraId="062B337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233</w:t>
            </w:r>
          </w:p>
        </w:tc>
        <w:tc>
          <w:tcPr>
            <w:tcW w:w="745" w:type="dxa"/>
            <w:tcBorders>
              <w:top w:val="single" w:sz="4" w:space="0" w:color="auto"/>
              <w:left w:val="single" w:sz="4" w:space="0" w:color="auto"/>
              <w:bottom w:val="single" w:sz="4" w:space="0" w:color="auto"/>
              <w:right w:val="single" w:sz="4" w:space="0" w:color="auto"/>
            </w:tcBorders>
            <w:vAlign w:val="center"/>
          </w:tcPr>
          <w:p w14:paraId="4263551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77C552C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0.97</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6804EE2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796AC384" w14:textId="77777777" w:rsidTr="005962D7">
        <w:trPr>
          <w:trHeight w:val="352"/>
        </w:trPr>
        <w:tc>
          <w:tcPr>
            <w:tcW w:w="47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27AA805"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3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68C7A3E"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3A7FB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67</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43064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101</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F55518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56</w:t>
            </w:r>
          </w:p>
        </w:tc>
        <w:tc>
          <w:tcPr>
            <w:tcW w:w="7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725593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DBB2F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6EC6B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961</w:t>
            </w:r>
          </w:p>
        </w:tc>
        <w:tc>
          <w:tcPr>
            <w:tcW w:w="78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C936E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15.1</w:t>
            </w:r>
          </w:p>
        </w:tc>
        <w:tc>
          <w:tcPr>
            <w:tcW w:w="79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4C74D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3.86</w:t>
            </w:r>
          </w:p>
        </w:tc>
        <w:tc>
          <w:tcPr>
            <w:tcW w:w="398" w:type="dxa"/>
            <w:tcBorders>
              <w:top w:val="thinThickSmallGap" w:sz="18" w:space="0" w:color="auto"/>
              <w:left w:val="single" w:sz="4" w:space="0" w:color="auto"/>
              <w:right w:val="thinThickSmallGap" w:sz="18" w:space="0" w:color="auto"/>
            </w:tcBorders>
            <w:shd w:val="clear" w:color="auto" w:fill="F2F2F2"/>
            <w:vAlign w:val="center"/>
          </w:tcPr>
          <w:p w14:paraId="3F2B410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631483B3" w14:textId="77777777" w:rsidTr="005962D7">
        <w:trPr>
          <w:trHeight w:val="220"/>
        </w:trPr>
        <w:tc>
          <w:tcPr>
            <w:tcW w:w="47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FDBA993"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3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9052160"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77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4DE49D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76%</w:t>
            </w:r>
          </w:p>
        </w:tc>
        <w:tc>
          <w:tcPr>
            <w:tcW w:w="211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EC2F77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19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89DA6C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3.78</w:t>
            </w:r>
          </w:p>
        </w:tc>
      </w:tr>
    </w:tbl>
    <w:p w14:paraId="250D4E95"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0A8C7AD5" w14:textId="022C44DC"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FB42CD" w:rsidRPr="00FB42CD">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13</w:t>
      </w:r>
      <w:r w:rsidR="00FB42CD" w:rsidRPr="00FB42CD">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جودة الأداء الإداري والتقني "بمستوى مرتفع" حيث جاء المتوسط الحسابي (3.86) وكذلك بلغت القوة النسبية لهذا المتغير (76%) وبمجموع وزني بلغ (961).</w:t>
      </w:r>
    </w:p>
    <w:p w14:paraId="4A50E28B"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1C0FCBEF"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 تعتمد الشركة إجراءات تشغيل فعالة " بمتوسط حسابي (3.98)، وقد يرجع ذلك إلى إ</w:t>
      </w:r>
      <w:r w:rsidRPr="00545ABB">
        <w:rPr>
          <w:rFonts w:ascii="Traditional Arabic" w:hAnsi="Traditional Arabic" w:cs="Traditional Arabic"/>
          <w:color w:val="000000" w:themeColor="text1"/>
          <w:sz w:val="28"/>
          <w:szCs w:val="28"/>
          <w:rtl/>
        </w:rPr>
        <w:t>دراك المبحوثين لأهمية كفاءة العمليات التشغيلية في تحسين الأداء العام للشركات، خاصة في ظل طبيعة العمل في مجال الأمن السيبراني الذي يتطلب سرعة الاستجابة والدقة</w:t>
      </w:r>
      <w:r w:rsidRPr="00545ABB">
        <w:rPr>
          <w:rFonts w:ascii="Traditional Arabic" w:hAnsi="Traditional Arabic" w:cs="Traditional Arabic"/>
          <w:color w:val="000000" w:themeColor="text1"/>
          <w:sz w:val="28"/>
          <w:szCs w:val="28"/>
          <w:rtl/>
          <w:lang w:bidi="ar-EG"/>
        </w:rPr>
        <w:t>.</w:t>
      </w:r>
    </w:p>
    <w:p w14:paraId="250F56B5"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حيث جاءت بالترتيب الثاني عبارة " يظهر أداء الفريق التقني بمستوى مهني عال " بمتوسط حسابي (3.87)، وقد يرجع ذلك إلى </w:t>
      </w:r>
      <w:r w:rsidRPr="00545ABB">
        <w:rPr>
          <w:rFonts w:ascii="Traditional Arabic" w:hAnsi="Traditional Arabic" w:cs="Traditional Arabic"/>
          <w:color w:val="000000" w:themeColor="text1"/>
          <w:sz w:val="28"/>
          <w:szCs w:val="28"/>
          <w:rtl/>
        </w:rPr>
        <w:t>الدور المحوري للكفاءات التقنية والخبرات المتخصصة في دعم استمرارية الشركات وتعزيز قدرتها التنافسية</w:t>
      </w:r>
    </w:p>
    <w:p w14:paraId="587E3126"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7C305F02"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lastRenderedPageBreak/>
        <w:t>حيث جاءت بالترتيب الرابع والأخير عبارة " تحقق الشركة أداءً إدارياً متوازناً " بمتوسط حسابي (3.76)، وقد يرجع ذلك إلى وجود تحديات إدارية أو تنظيمية تواجه الشركات الناشئة، مما قد يؤثر على تحقيق التوازن بين الجوانب التشغيلية والإدارية.</w:t>
      </w:r>
    </w:p>
    <w:p w14:paraId="66B9D89E" w14:textId="77777777" w:rsidR="002874C7"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w:t>
      </w:r>
      <w:r w:rsidRPr="00545ABB">
        <w:rPr>
          <w:rFonts w:ascii="Traditional Arabic" w:hAnsi="Traditional Arabic" w:cs="Traditional Arabic"/>
          <w:color w:val="000000" w:themeColor="text1"/>
          <w:sz w:val="28"/>
          <w:szCs w:val="28"/>
          <w:rtl/>
          <w:lang w:bidi="ar-EG"/>
        </w:rPr>
        <w:t xml:space="preserve">بعد جودة الأداء الإداري والتقني </w:t>
      </w:r>
      <w:r w:rsidRPr="00545ABB">
        <w:rPr>
          <w:rFonts w:ascii="Traditional Arabic" w:hAnsi="Traditional Arabic" w:cs="Traditional Arabic"/>
          <w:color w:val="000000" w:themeColor="text1"/>
          <w:sz w:val="28"/>
          <w:szCs w:val="28"/>
          <w:rtl/>
        </w:rPr>
        <w:t>هي اعتماد الشركات على إجراءات تشغيل فعالة لإظهار الأداء بشكل مهني عالٍ.</w:t>
      </w:r>
    </w:p>
    <w:p w14:paraId="6CB85FED" w14:textId="1260A22C" w:rsidR="002874C7" w:rsidRPr="00545ABB" w:rsidRDefault="002874C7" w:rsidP="005D773F">
      <w:pPr>
        <w:spacing w:after="0" w:line="360" w:lineRule="auto"/>
        <w:ind w:left="142"/>
        <w:jc w:val="center"/>
        <w:rPr>
          <w:rFonts w:ascii="Traditional Arabic" w:hAnsi="Traditional Arabic" w:cs="Traditional Arabic"/>
          <w:b/>
          <w:bCs/>
          <w:color w:val="000000" w:themeColor="text1"/>
          <w:sz w:val="28"/>
          <w:szCs w:val="28"/>
          <w:rtl/>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80256" behindDoc="0" locked="0" layoutInCell="1" allowOverlap="1" wp14:anchorId="44C8F32D" wp14:editId="1E9BD662">
                <wp:simplePos x="0" y="0"/>
                <wp:positionH relativeFrom="column">
                  <wp:posOffset>-281940</wp:posOffset>
                </wp:positionH>
                <wp:positionV relativeFrom="paragraph">
                  <wp:posOffset>129540</wp:posOffset>
                </wp:positionV>
                <wp:extent cx="819150" cy="381000"/>
                <wp:effectExtent l="0" t="0" r="0" b="0"/>
                <wp:wrapNone/>
                <wp:docPr id="2851674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96415"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8F32D" id="_x0000_s1043" style="position:absolute;left:0;text-align:left;margin-left:-22.2pt;margin-top:10.2pt;width:64.5pt;height:30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" filled="f" stroked="f">
                <v:textbox>
                  <w:txbxContent>
                    <w:p w14:paraId="4DE96415" w14:textId="77777777" w:rsidR="00ED4FB3" w:rsidRDefault="00ED4FB3" w:rsidP="002874C7">
                      <w:pPr>
                        <w:jc w:val="center"/>
                      </w:pPr>
                      <w:r>
                        <w:rPr>
                          <w:rFonts w:cs="Simplified Arabic" w:hint="cs"/>
                          <w:sz w:val="28"/>
                          <w:szCs w:val="28"/>
                          <w:rtl/>
                        </w:rPr>
                        <w:t>ن=63</w:t>
                      </w:r>
                    </w:p>
                  </w:txbxContent>
                </v:textbox>
              </v:rect>
            </w:pict>
          </mc:Fallback>
        </mc:AlternateContent>
      </w:r>
      <w:r w:rsidR="00FB42CD" w:rsidRPr="00FB42CD">
        <w:rPr>
          <w:rtl/>
        </w:rPr>
        <w:t xml:space="preserve"> </w:t>
      </w:r>
      <w:r w:rsidR="00FB42CD" w:rsidRPr="00FB42CD">
        <w:rPr>
          <w:rFonts w:ascii="Traditional Arabic" w:hAnsi="Traditional Arabic" w:cs="Traditional Arabic"/>
          <w:b/>
          <w:bCs/>
          <w:color w:val="000000" w:themeColor="text1"/>
          <w:sz w:val="28"/>
          <w:szCs w:val="28"/>
          <w:rtl/>
          <w:lang w:bidi="ar-EG"/>
        </w:rPr>
        <w:t>جدول (4-</w:t>
      </w:r>
      <w:r w:rsidR="005D773F">
        <w:rPr>
          <w:rFonts w:ascii="Traditional Arabic" w:hAnsi="Traditional Arabic" w:cs="Traditional Arabic"/>
          <w:b/>
          <w:bCs/>
          <w:color w:val="000000" w:themeColor="text1"/>
          <w:sz w:val="28"/>
          <w:szCs w:val="28"/>
          <w:lang w:bidi="ar-EG"/>
        </w:rPr>
        <w:t>14</w:t>
      </w:r>
      <w:r w:rsidR="00FB42CD" w:rsidRPr="00FB42CD">
        <w:rPr>
          <w:rFonts w:ascii="Traditional Arabic" w:hAnsi="Traditional Arabic" w:cs="Traditional Arabic"/>
          <w:b/>
          <w:bCs/>
          <w:color w:val="000000" w:themeColor="text1"/>
          <w:sz w:val="28"/>
          <w:szCs w:val="28"/>
          <w:rtl/>
          <w:lang w:bidi="ar-EG"/>
        </w:rPr>
        <w:t>)</w:t>
      </w:r>
      <w:r w:rsidR="00FB42CD">
        <w:rPr>
          <w:rFonts w:ascii="Traditional Arabic" w:hAnsi="Traditional Arabic" w:cs="Traditional Arabic" w:hint="cs"/>
          <w:b/>
          <w:bCs/>
          <w:color w:val="000000" w:themeColor="text1"/>
          <w:sz w:val="28"/>
          <w:szCs w:val="28"/>
          <w:rtl/>
          <w:lang w:bidi="ar-EG"/>
        </w:rPr>
        <w:t xml:space="preserve"> </w:t>
      </w:r>
      <w:r w:rsidRPr="00545ABB">
        <w:rPr>
          <w:rFonts w:ascii="Traditional Arabic" w:hAnsi="Traditional Arabic" w:cs="Traditional Arabic"/>
          <w:b/>
          <w:bCs/>
          <w:color w:val="000000" w:themeColor="text1"/>
          <w:sz w:val="28"/>
          <w:szCs w:val="28"/>
          <w:rtl/>
        </w:rPr>
        <w:t>يوضح الكفاءة التشغيلية</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863"/>
        <w:gridCol w:w="667"/>
        <w:gridCol w:w="667"/>
        <w:gridCol w:w="666"/>
        <w:gridCol w:w="799"/>
        <w:gridCol w:w="672"/>
        <w:gridCol w:w="676"/>
        <w:gridCol w:w="752"/>
        <w:gridCol w:w="36"/>
        <w:gridCol w:w="800"/>
        <w:gridCol w:w="401"/>
      </w:tblGrid>
      <w:tr w:rsidR="002874C7" w:rsidRPr="00545ABB" w14:paraId="3FF150F7" w14:textId="77777777" w:rsidTr="002174D5">
        <w:trPr>
          <w:trHeight w:val="327"/>
        </w:trPr>
        <w:tc>
          <w:tcPr>
            <w:tcW w:w="476"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7844FCA9"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099DD00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rPr>
              <w:t>الكفاءة التشغيلية</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0641DD3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27D0E79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1452614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76BBD0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3B40CC7B"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16E6693F" w14:textId="77777777" w:rsidTr="002174D5">
        <w:trPr>
          <w:trHeight w:val="176"/>
        </w:trPr>
        <w:tc>
          <w:tcPr>
            <w:tcW w:w="476" w:type="dxa"/>
            <w:vMerge/>
            <w:tcBorders>
              <w:left w:val="thickThinSmallGap" w:sz="18" w:space="0" w:color="auto"/>
              <w:bottom w:val="thickThinSmallGap" w:sz="18" w:space="0" w:color="auto"/>
              <w:right w:val="single" w:sz="4" w:space="0" w:color="auto"/>
            </w:tcBorders>
            <w:vAlign w:val="center"/>
          </w:tcPr>
          <w:p w14:paraId="27BBFC1B"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1C3729E"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2111D4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159DB6D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5E7D166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FD21AC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72"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A5A339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أعارض بشدة</w:t>
            </w:r>
          </w:p>
        </w:tc>
        <w:tc>
          <w:tcPr>
            <w:tcW w:w="676" w:type="dxa"/>
            <w:vMerge/>
            <w:tcBorders>
              <w:top w:val="thinThickSmallGap" w:sz="18" w:space="0" w:color="auto"/>
              <w:left w:val="single" w:sz="4" w:space="0" w:color="auto"/>
              <w:bottom w:val="thickThinSmallGap" w:sz="18" w:space="0" w:color="auto"/>
              <w:right w:val="single" w:sz="4" w:space="0" w:color="auto"/>
            </w:tcBorders>
            <w:vAlign w:val="center"/>
            <w:hideMark/>
          </w:tcPr>
          <w:p w14:paraId="3178EB1D"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6E07C2C"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D086625"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6438230"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0488B4FD" w14:textId="77777777" w:rsidTr="005962D7">
        <w:trPr>
          <w:trHeight w:val="287"/>
        </w:trPr>
        <w:tc>
          <w:tcPr>
            <w:tcW w:w="476" w:type="dxa"/>
            <w:tcBorders>
              <w:top w:val="thickThinSmallGap" w:sz="18" w:space="0" w:color="auto"/>
              <w:left w:val="thickThinSmallGap" w:sz="18" w:space="0" w:color="auto"/>
              <w:bottom w:val="single" w:sz="4" w:space="0" w:color="auto"/>
              <w:right w:val="single" w:sz="4" w:space="0" w:color="auto"/>
            </w:tcBorders>
            <w:vAlign w:val="center"/>
          </w:tcPr>
          <w:p w14:paraId="20604877"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tcPr>
          <w:p w14:paraId="28C8C80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تنجز الشركة مشاريعها ضمن الوقت المحدد</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39ADD93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13</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D728FF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F0A863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1CB093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052DC07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73DC9F5" w14:textId="77777777" w:rsidR="002874C7" w:rsidRPr="00545ABB" w:rsidRDefault="002874C7" w:rsidP="00022590">
            <w:pPr>
              <w:spacing w:after="0" w:line="360" w:lineRule="auto"/>
              <w:contextualSpacing/>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233</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28799A5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5C22C961"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1.07</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3D947CE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22D7315A" w14:textId="77777777" w:rsidTr="005962D7">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0B94062F"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863" w:type="dxa"/>
            <w:tcBorders>
              <w:top w:val="single" w:sz="4" w:space="0" w:color="auto"/>
              <w:left w:val="thickThinSmallGap" w:sz="18" w:space="0" w:color="auto"/>
              <w:bottom w:val="single" w:sz="4" w:space="0" w:color="auto"/>
              <w:right w:val="single" w:sz="4" w:space="0" w:color="auto"/>
            </w:tcBorders>
          </w:tcPr>
          <w:p w14:paraId="48BDFC5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تستغل الشركة مواردها التشغيلية بكفاءة</w:t>
            </w:r>
          </w:p>
        </w:tc>
        <w:tc>
          <w:tcPr>
            <w:tcW w:w="667" w:type="dxa"/>
            <w:tcBorders>
              <w:top w:val="single" w:sz="4" w:space="0" w:color="auto"/>
              <w:left w:val="single" w:sz="4" w:space="0" w:color="auto"/>
              <w:bottom w:val="single" w:sz="4" w:space="0" w:color="auto"/>
              <w:right w:val="single" w:sz="4" w:space="0" w:color="auto"/>
            </w:tcBorders>
            <w:vAlign w:val="center"/>
          </w:tcPr>
          <w:p w14:paraId="3B87339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667" w:type="dxa"/>
            <w:tcBorders>
              <w:top w:val="single" w:sz="4" w:space="0" w:color="auto"/>
              <w:left w:val="single" w:sz="4" w:space="0" w:color="auto"/>
              <w:bottom w:val="single" w:sz="4" w:space="0" w:color="auto"/>
              <w:right w:val="single" w:sz="4" w:space="0" w:color="auto"/>
            </w:tcBorders>
            <w:vAlign w:val="center"/>
          </w:tcPr>
          <w:p w14:paraId="4CD3A78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66" w:type="dxa"/>
            <w:tcBorders>
              <w:top w:val="single" w:sz="4" w:space="0" w:color="auto"/>
              <w:left w:val="single" w:sz="4" w:space="0" w:color="auto"/>
              <w:bottom w:val="single" w:sz="4" w:space="0" w:color="auto"/>
              <w:right w:val="single" w:sz="4" w:space="0" w:color="auto"/>
            </w:tcBorders>
            <w:vAlign w:val="center"/>
          </w:tcPr>
          <w:p w14:paraId="6ECE1D2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7440ABA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7006A4F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9F2D26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240</w:t>
            </w:r>
          </w:p>
        </w:tc>
        <w:tc>
          <w:tcPr>
            <w:tcW w:w="752" w:type="dxa"/>
            <w:tcBorders>
              <w:top w:val="single" w:sz="4" w:space="0" w:color="auto"/>
              <w:left w:val="single" w:sz="4" w:space="0" w:color="auto"/>
              <w:bottom w:val="single" w:sz="4" w:space="0" w:color="auto"/>
              <w:right w:val="single" w:sz="4" w:space="0" w:color="auto"/>
            </w:tcBorders>
            <w:vAlign w:val="center"/>
          </w:tcPr>
          <w:p w14:paraId="037F527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468BD29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D1B7EA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761BD751" w14:textId="77777777" w:rsidTr="005962D7">
        <w:trPr>
          <w:trHeight w:val="472"/>
        </w:trPr>
        <w:tc>
          <w:tcPr>
            <w:tcW w:w="476" w:type="dxa"/>
            <w:tcBorders>
              <w:top w:val="single" w:sz="4" w:space="0" w:color="auto"/>
              <w:left w:val="thickThinSmallGap" w:sz="18" w:space="0" w:color="auto"/>
              <w:bottom w:val="single" w:sz="4" w:space="0" w:color="auto"/>
              <w:right w:val="single" w:sz="4" w:space="0" w:color="auto"/>
            </w:tcBorders>
            <w:vAlign w:val="center"/>
          </w:tcPr>
          <w:p w14:paraId="348D0B4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863" w:type="dxa"/>
            <w:tcBorders>
              <w:top w:val="single" w:sz="4" w:space="0" w:color="auto"/>
              <w:left w:val="thickThinSmallGap" w:sz="18" w:space="0" w:color="auto"/>
              <w:bottom w:val="single" w:sz="4" w:space="0" w:color="auto"/>
              <w:right w:val="single" w:sz="4" w:space="0" w:color="auto"/>
            </w:tcBorders>
          </w:tcPr>
          <w:p w14:paraId="21F5BA58"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تحسن الشركة عملياتها بشكل مستمر</w:t>
            </w:r>
          </w:p>
        </w:tc>
        <w:tc>
          <w:tcPr>
            <w:tcW w:w="667" w:type="dxa"/>
            <w:tcBorders>
              <w:top w:val="single" w:sz="4" w:space="0" w:color="auto"/>
              <w:left w:val="single" w:sz="4" w:space="0" w:color="auto"/>
              <w:bottom w:val="single" w:sz="4" w:space="0" w:color="auto"/>
              <w:right w:val="single" w:sz="4" w:space="0" w:color="auto"/>
            </w:tcBorders>
            <w:vAlign w:val="center"/>
          </w:tcPr>
          <w:p w14:paraId="6AFA93D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2A07739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7AE9DCF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78CFC92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56649EB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6" w:type="dxa"/>
            <w:tcBorders>
              <w:top w:val="single" w:sz="4" w:space="0" w:color="auto"/>
              <w:left w:val="single" w:sz="4" w:space="0" w:color="auto"/>
              <w:bottom w:val="single" w:sz="4" w:space="0" w:color="auto"/>
              <w:right w:val="single" w:sz="4" w:space="0" w:color="auto"/>
            </w:tcBorders>
            <w:vAlign w:val="center"/>
          </w:tcPr>
          <w:p w14:paraId="6D2A435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235</w:t>
            </w:r>
          </w:p>
        </w:tc>
        <w:tc>
          <w:tcPr>
            <w:tcW w:w="752" w:type="dxa"/>
            <w:tcBorders>
              <w:top w:val="single" w:sz="4" w:space="0" w:color="auto"/>
              <w:left w:val="single" w:sz="4" w:space="0" w:color="auto"/>
              <w:bottom w:val="single" w:sz="4" w:space="0" w:color="auto"/>
              <w:right w:val="single" w:sz="4" w:space="0" w:color="auto"/>
            </w:tcBorders>
            <w:vAlign w:val="center"/>
          </w:tcPr>
          <w:p w14:paraId="096792B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57546F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5F3101B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4771EB8E" w14:textId="77777777" w:rsidTr="005962D7">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252038B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863" w:type="dxa"/>
            <w:tcBorders>
              <w:top w:val="single" w:sz="4" w:space="0" w:color="auto"/>
              <w:left w:val="thickThinSmallGap" w:sz="18" w:space="0" w:color="auto"/>
              <w:bottom w:val="single" w:sz="4" w:space="0" w:color="auto"/>
              <w:right w:val="single" w:sz="4" w:space="0" w:color="auto"/>
            </w:tcBorders>
          </w:tcPr>
          <w:p w14:paraId="602C6260"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مستويات عالية من الإنتاجية</w:t>
            </w:r>
          </w:p>
        </w:tc>
        <w:tc>
          <w:tcPr>
            <w:tcW w:w="667" w:type="dxa"/>
            <w:tcBorders>
              <w:top w:val="single" w:sz="4" w:space="0" w:color="auto"/>
              <w:left w:val="single" w:sz="4" w:space="0" w:color="auto"/>
              <w:bottom w:val="single" w:sz="4" w:space="0" w:color="auto"/>
              <w:right w:val="single" w:sz="4" w:space="0" w:color="auto"/>
            </w:tcBorders>
            <w:vAlign w:val="center"/>
          </w:tcPr>
          <w:p w14:paraId="21C6E8E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w:t>
            </w:r>
          </w:p>
        </w:tc>
        <w:tc>
          <w:tcPr>
            <w:tcW w:w="667" w:type="dxa"/>
            <w:tcBorders>
              <w:top w:val="single" w:sz="4" w:space="0" w:color="auto"/>
              <w:left w:val="single" w:sz="4" w:space="0" w:color="auto"/>
              <w:bottom w:val="single" w:sz="4" w:space="0" w:color="auto"/>
              <w:right w:val="single" w:sz="4" w:space="0" w:color="auto"/>
            </w:tcBorders>
            <w:vAlign w:val="center"/>
          </w:tcPr>
          <w:p w14:paraId="66E27CB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17</w:t>
            </w:r>
          </w:p>
        </w:tc>
        <w:tc>
          <w:tcPr>
            <w:tcW w:w="666" w:type="dxa"/>
            <w:tcBorders>
              <w:top w:val="single" w:sz="4" w:space="0" w:color="auto"/>
              <w:left w:val="single" w:sz="4" w:space="0" w:color="auto"/>
              <w:bottom w:val="single" w:sz="4" w:space="0" w:color="auto"/>
              <w:right w:val="single" w:sz="4" w:space="0" w:color="auto"/>
            </w:tcBorders>
            <w:vAlign w:val="center"/>
          </w:tcPr>
          <w:p w14:paraId="19D7C0F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0513867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5919A9C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892A2B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3C7815A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5E367B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600F566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4AB24F58" w14:textId="77777777" w:rsidTr="005962D7">
        <w:trPr>
          <w:trHeight w:val="357"/>
        </w:trPr>
        <w:tc>
          <w:tcPr>
            <w:tcW w:w="47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8668D62"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14AF0E6"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3086A9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76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4EEF8A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86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EC6F76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56</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0E83F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28</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1E84D4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6</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7E9746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954</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222D166"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15.1</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C82DA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568BC28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2A08197D" w14:textId="77777777" w:rsidTr="005962D7">
        <w:trPr>
          <w:trHeight w:val="224"/>
        </w:trPr>
        <w:tc>
          <w:tcPr>
            <w:tcW w:w="47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59AB371"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AE2D30A"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AC6EA1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76%</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C0E7A4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276939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3.78</w:t>
            </w:r>
          </w:p>
        </w:tc>
      </w:tr>
    </w:tbl>
    <w:p w14:paraId="13C694E6"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444AEFC8" w14:textId="6A0FF250"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FB42CD" w:rsidRPr="00FB42CD">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14</w:t>
      </w:r>
      <w:r w:rsidR="00FB42CD" w:rsidRPr="00FB42CD">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الكفاءة التشغيلية "بمستوى مرتفع" حيث جاء المتوسط الحسابي (3.78) وكذلك بلغت القوة النسبية لهذا المتغير (76%) وبمجموع وزني بلغ (954).</w:t>
      </w:r>
    </w:p>
    <w:p w14:paraId="09DD964A"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14DB4511"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حيث جاءت بالترتيب الأول عبارة " تحقق الشركة مستويات عالية من الإنتاجية " بمتوسط حسابي (3.9)، </w:t>
      </w:r>
      <w:r w:rsidRPr="00545ABB">
        <w:rPr>
          <w:rFonts w:ascii="Traditional Arabic" w:hAnsi="Traditional Arabic" w:cs="Traditional Arabic"/>
          <w:color w:val="000000" w:themeColor="text1"/>
          <w:sz w:val="28"/>
          <w:szCs w:val="28"/>
          <w:rtl/>
        </w:rPr>
        <w:t>هو ما يعكس تركيز الشركات على تعظيم الإنتاجية كأحد المؤشرات الأساسية لقياس الأداء، خاصة في ظل المنافسة المتزايدة والحاجة إلى تحقيق كفاءة تشغيلية عالية.</w:t>
      </w:r>
    </w:p>
    <w:p w14:paraId="3AF548C9"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 xml:space="preserve">حيث جاءت بالترتيب الثاني عبارة " تستغل الشركة مواردها التشغيلية بكفاءة " بمتوسط حسابي (3.8)، </w:t>
      </w:r>
      <w:r w:rsidRPr="00545ABB">
        <w:rPr>
          <w:rFonts w:ascii="Traditional Arabic" w:hAnsi="Traditional Arabic" w:cs="Traditional Arabic"/>
          <w:color w:val="000000" w:themeColor="text1"/>
          <w:sz w:val="28"/>
          <w:szCs w:val="28"/>
          <w:rtl/>
        </w:rPr>
        <w:t>مما يشير إلى إدراك أهمية الاستخدام الأمثل للموارد المتاحة، سواء كانت بشرية أو تقنية، في دعم استدامة العمليات وتحقيق الأهداف التنظيمية</w:t>
      </w:r>
      <w:r w:rsidRPr="00545ABB">
        <w:rPr>
          <w:rFonts w:ascii="Traditional Arabic" w:hAnsi="Traditional Arabic" w:cs="Traditional Arabic"/>
          <w:color w:val="000000" w:themeColor="text1"/>
          <w:sz w:val="28"/>
          <w:szCs w:val="28"/>
          <w:lang w:bidi="ar-EG"/>
        </w:rPr>
        <w:t>.</w:t>
      </w:r>
    </w:p>
    <w:p w14:paraId="6EF615EB"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71B3BC79"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 xml:space="preserve">حيث جاءت بالترتيب الرابع والأخير عبارة " تحسن الشركة عملياتها بشكل مستمر " بمتوسط حسابي (3.7)، </w:t>
      </w:r>
      <w:r w:rsidRPr="00545ABB">
        <w:rPr>
          <w:rFonts w:ascii="Traditional Arabic" w:hAnsi="Traditional Arabic" w:cs="Traditional Arabic"/>
          <w:color w:val="000000" w:themeColor="text1"/>
          <w:sz w:val="28"/>
          <w:szCs w:val="28"/>
          <w:rtl/>
        </w:rPr>
        <w:t>وقد يعزى ذلك إلى وجود تحديات إدارية أو تنظيمية تواجه الشركات الناشئة، مما قد يحد من قدرتها على تبني ممارسات التحسين المستمر بصورة فعالة</w:t>
      </w:r>
      <w:r w:rsidRPr="00545ABB">
        <w:rPr>
          <w:rFonts w:ascii="Traditional Arabic" w:hAnsi="Traditional Arabic" w:cs="Traditional Arabic"/>
          <w:color w:val="000000" w:themeColor="text1"/>
          <w:sz w:val="28"/>
          <w:szCs w:val="28"/>
          <w:lang w:bidi="ar-EG"/>
        </w:rPr>
        <w:t>.</w:t>
      </w:r>
    </w:p>
    <w:p w14:paraId="35D729FA" w14:textId="7BB5BAF8" w:rsidR="002B0AD5" w:rsidRPr="00545ABB" w:rsidRDefault="002874C7" w:rsidP="00022590">
      <w:pPr>
        <w:tabs>
          <w:tab w:val="left" w:pos="1087"/>
        </w:tabs>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وبالنظر للجدول السابق نستنتج أن من أهم محددات بعد الكفاءة التشغيلية هي الاستغلال الأمثل للموارد لتحقيق إنتاجية عالية.</w:t>
      </w:r>
    </w:p>
    <w:p w14:paraId="2CD6323A" w14:textId="46353DCB" w:rsidR="002874C7" w:rsidRPr="00545ABB" w:rsidRDefault="002874C7" w:rsidP="005D773F">
      <w:pPr>
        <w:spacing w:after="0" w:line="360" w:lineRule="auto"/>
        <w:ind w:left="142"/>
        <w:jc w:val="center"/>
        <w:rPr>
          <w:rFonts w:ascii="Traditional Arabic" w:hAnsi="Traditional Arabic" w:cs="Traditional Arabic"/>
          <w:b/>
          <w:bCs/>
          <w:color w:val="000000" w:themeColor="text1"/>
          <w:sz w:val="28"/>
          <w:szCs w:val="28"/>
          <w:rtl/>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81280" behindDoc="0" locked="0" layoutInCell="1" allowOverlap="1" wp14:anchorId="026637D5" wp14:editId="4F95D0D0">
                <wp:simplePos x="0" y="0"/>
                <wp:positionH relativeFrom="column">
                  <wp:posOffset>-361950</wp:posOffset>
                </wp:positionH>
                <wp:positionV relativeFrom="paragraph">
                  <wp:posOffset>53340</wp:posOffset>
                </wp:positionV>
                <wp:extent cx="819150" cy="371475"/>
                <wp:effectExtent l="0" t="0" r="0" b="9525"/>
                <wp:wrapNone/>
                <wp:docPr id="130907378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A8988"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637D5" id="_x0000_s1044" style="position:absolute;left:0;text-align:left;margin-left:-28.5pt;margin-top:4.2pt;width:64.5pt;height:29.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" filled="f" stroked="f">
                <v:textbox>
                  <w:txbxContent>
                    <w:p w14:paraId="67CA8988" w14:textId="77777777" w:rsidR="00ED4FB3" w:rsidRDefault="00ED4FB3" w:rsidP="002874C7">
                      <w:pPr>
                        <w:jc w:val="center"/>
                      </w:pPr>
                      <w:r>
                        <w:rPr>
                          <w:rFonts w:cs="Simplified Arabic" w:hint="cs"/>
                          <w:sz w:val="28"/>
                          <w:szCs w:val="28"/>
                          <w:rtl/>
                        </w:rPr>
                        <w:t>ن=63</w:t>
                      </w:r>
                    </w:p>
                  </w:txbxContent>
                </v:textbox>
              </v:rect>
            </w:pict>
          </mc:Fallback>
        </mc:AlternateContent>
      </w:r>
      <w:r w:rsidR="00FB42CD" w:rsidRPr="00FB42CD">
        <w:rPr>
          <w:rtl/>
        </w:rPr>
        <w:t xml:space="preserve"> </w:t>
      </w:r>
      <w:r w:rsidR="00FB42CD" w:rsidRPr="00FB42CD">
        <w:rPr>
          <w:rFonts w:ascii="Traditional Arabic" w:hAnsi="Traditional Arabic" w:cs="Traditional Arabic"/>
          <w:b/>
          <w:bCs/>
          <w:color w:val="000000" w:themeColor="text1"/>
          <w:sz w:val="28"/>
          <w:szCs w:val="28"/>
          <w:rtl/>
        </w:rPr>
        <w:t>جدول (4-</w:t>
      </w:r>
      <w:r w:rsidR="005D773F">
        <w:rPr>
          <w:rFonts w:ascii="Traditional Arabic" w:hAnsi="Traditional Arabic" w:cs="Traditional Arabic"/>
          <w:b/>
          <w:bCs/>
          <w:color w:val="000000" w:themeColor="text1"/>
          <w:sz w:val="28"/>
          <w:szCs w:val="28"/>
        </w:rPr>
        <w:t>15</w:t>
      </w:r>
      <w:r w:rsidR="00FB42CD" w:rsidRPr="00FB42CD">
        <w:rPr>
          <w:rFonts w:ascii="Traditional Arabic" w:hAnsi="Traditional Arabic" w:cs="Traditional Arabic"/>
          <w:b/>
          <w:bCs/>
          <w:color w:val="000000" w:themeColor="text1"/>
          <w:sz w:val="28"/>
          <w:szCs w:val="28"/>
          <w:rtl/>
        </w:rPr>
        <w:t>)</w:t>
      </w:r>
      <w:r w:rsidR="00FB42CD">
        <w:rPr>
          <w:rFonts w:ascii="Traditional Arabic" w:hAnsi="Traditional Arabic" w:cs="Traditional Arabic" w:hint="cs"/>
          <w:b/>
          <w:bCs/>
          <w:color w:val="000000" w:themeColor="text1"/>
          <w:sz w:val="28"/>
          <w:szCs w:val="28"/>
          <w:rtl/>
        </w:rPr>
        <w:t xml:space="preserve"> </w:t>
      </w:r>
      <w:r w:rsidRPr="00545ABB">
        <w:rPr>
          <w:rFonts w:ascii="Traditional Arabic" w:hAnsi="Traditional Arabic" w:cs="Traditional Arabic"/>
          <w:b/>
          <w:bCs/>
          <w:color w:val="000000" w:themeColor="text1"/>
          <w:sz w:val="28"/>
          <w:szCs w:val="28"/>
          <w:rtl/>
        </w:rPr>
        <w:t>يوضح الابتكار والتكيف</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3"/>
        <w:gridCol w:w="667"/>
        <w:gridCol w:w="667"/>
        <w:gridCol w:w="666"/>
        <w:gridCol w:w="799"/>
        <w:gridCol w:w="672"/>
        <w:gridCol w:w="677"/>
        <w:gridCol w:w="752"/>
        <w:gridCol w:w="34"/>
        <w:gridCol w:w="800"/>
        <w:gridCol w:w="401"/>
      </w:tblGrid>
      <w:tr w:rsidR="002874C7" w:rsidRPr="00545ABB" w14:paraId="79FD35FA" w14:textId="77777777" w:rsidTr="002174D5">
        <w:trPr>
          <w:trHeight w:val="331"/>
        </w:trPr>
        <w:tc>
          <w:tcPr>
            <w:tcW w:w="477"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3051B762"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49F4FC0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rPr>
              <w:t>الابتكار والتكيف</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5676433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11FD22D8"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72E831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0E682CA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4D84C819"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339FD69E" w14:textId="77777777" w:rsidTr="002174D5">
        <w:trPr>
          <w:trHeight w:val="179"/>
        </w:trPr>
        <w:tc>
          <w:tcPr>
            <w:tcW w:w="477" w:type="dxa"/>
            <w:vMerge/>
            <w:tcBorders>
              <w:left w:val="thickThinSmallGap" w:sz="18" w:space="0" w:color="auto"/>
              <w:bottom w:val="thickThinSmallGap" w:sz="18" w:space="0" w:color="auto"/>
              <w:right w:val="single" w:sz="4" w:space="0" w:color="auto"/>
            </w:tcBorders>
            <w:vAlign w:val="center"/>
          </w:tcPr>
          <w:p w14:paraId="020CC24B"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E865E22"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43D6229C"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08FA868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0E06AF7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185852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72"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6A52E43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090AF0A6"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3BEC6C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8DC9C2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25F788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496C31D2" w14:textId="77777777" w:rsidTr="005962D7">
        <w:trPr>
          <w:trHeight w:val="290"/>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15F943BE"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vAlign w:val="center"/>
          </w:tcPr>
          <w:p w14:paraId="16A8896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تتبنى الشركة حلولاً جديدة لمواجهة تهديدات الأمن السيبراني</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AACACF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24</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2D73F9B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17</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55408D1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872A05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507E581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1A072BF3" w14:textId="77777777" w:rsidR="002874C7" w:rsidRPr="00545ABB" w:rsidRDefault="002874C7" w:rsidP="00022590">
            <w:pPr>
              <w:spacing w:after="0" w:line="360" w:lineRule="auto"/>
              <w:contextualSpacing/>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246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202DD3D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192461F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1.06</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23CEA3B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53D4E83D" w14:textId="77777777" w:rsidTr="005962D7">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56C02CEA"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2587EEDE"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تستخدم الشركة تقنيات متطورة في عملياتها</w:t>
            </w:r>
          </w:p>
        </w:tc>
        <w:tc>
          <w:tcPr>
            <w:tcW w:w="667" w:type="dxa"/>
            <w:tcBorders>
              <w:top w:val="single" w:sz="4" w:space="0" w:color="auto"/>
              <w:left w:val="single" w:sz="4" w:space="0" w:color="auto"/>
              <w:bottom w:val="single" w:sz="4" w:space="0" w:color="auto"/>
              <w:right w:val="single" w:sz="4" w:space="0" w:color="auto"/>
            </w:tcBorders>
            <w:vAlign w:val="center"/>
          </w:tcPr>
          <w:p w14:paraId="6AE376A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34C448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0FEECB8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5703195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2CEFFEE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0E1233F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237</w:t>
            </w:r>
          </w:p>
        </w:tc>
        <w:tc>
          <w:tcPr>
            <w:tcW w:w="752" w:type="dxa"/>
            <w:tcBorders>
              <w:top w:val="single" w:sz="4" w:space="0" w:color="auto"/>
              <w:left w:val="single" w:sz="4" w:space="0" w:color="auto"/>
              <w:bottom w:val="single" w:sz="4" w:space="0" w:color="auto"/>
              <w:right w:val="single" w:sz="4" w:space="0" w:color="auto"/>
            </w:tcBorders>
            <w:vAlign w:val="center"/>
          </w:tcPr>
          <w:p w14:paraId="6B605AF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2.76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A8F174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E7C5BA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05DBC2A4" w14:textId="77777777" w:rsidTr="005962D7">
        <w:trPr>
          <w:trHeight w:val="478"/>
        </w:trPr>
        <w:tc>
          <w:tcPr>
            <w:tcW w:w="477" w:type="dxa"/>
            <w:tcBorders>
              <w:top w:val="single" w:sz="4" w:space="0" w:color="auto"/>
              <w:left w:val="thickThinSmallGap" w:sz="18" w:space="0" w:color="auto"/>
              <w:bottom w:val="single" w:sz="4" w:space="0" w:color="auto"/>
              <w:right w:val="single" w:sz="4" w:space="0" w:color="auto"/>
            </w:tcBorders>
            <w:vAlign w:val="center"/>
          </w:tcPr>
          <w:p w14:paraId="29DE4C7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5027748D"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تستجيب الشركة للتغيرات التقنية</w:t>
            </w:r>
          </w:p>
        </w:tc>
        <w:tc>
          <w:tcPr>
            <w:tcW w:w="667" w:type="dxa"/>
            <w:tcBorders>
              <w:top w:val="single" w:sz="4" w:space="0" w:color="auto"/>
              <w:left w:val="single" w:sz="4" w:space="0" w:color="auto"/>
              <w:bottom w:val="single" w:sz="4" w:space="0" w:color="auto"/>
              <w:right w:val="single" w:sz="4" w:space="0" w:color="auto"/>
            </w:tcBorders>
            <w:vAlign w:val="center"/>
          </w:tcPr>
          <w:p w14:paraId="14AF157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12</w:t>
            </w:r>
          </w:p>
        </w:tc>
        <w:tc>
          <w:tcPr>
            <w:tcW w:w="667" w:type="dxa"/>
            <w:tcBorders>
              <w:top w:val="single" w:sz="4" w:space="0" w:color="auto"/>
              <w:left w:val="single" w:sz="4" w:space="0" w:color="auto"/>
              <w:bottom w:val="single" w:sz="4" w:space="0" w:color="auto"/>
              <w:right w:val="single" w:sz="4" w:space="0" w:color="auto"/>
            </w:tcBorders>
            <w:vAlign w:val="center"/>
          </w:tcPr>
          <w:p w14:paraId="1BD78B0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36FDCE6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41E53CF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12606B8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7" w:type="dxa"/>
            <w:tcBorders>
              <w:top w:val="single" w:sz="4" w:space="0" w:color="auto"/>
              <w:left w:val="single" w:sz="4" w:space="0" w:color="auto"/>
              <w:bottom w:val="single" w:sz="4" w:space="0" w:color="auto"/>
              <w:right w:val="single" w:sz="4" w:space="0" w:color="auto"/>
            </w:tcBorders>
            <w:vAlign w:val="center"/>
          </w:tcPr>
          <w:p w14:paraId="180A02C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244</w:t>
            </w:r>
          </w:p>
        </w:tc>
        <w:tc>
          <w:tcPr>
            <w:tcW w:w="752" w:type="dxa"/>
            <w:tcBorders>
              <w:top w:val="single" w:sz="4" w:space="0" w:color="auto"/>
              <w:left w:val="single" w:sz="4" w:space="0" w:color="auto"/>
              <w:bottom w:val="single" w:sz="4" w:space="0" w:color="auto"/>
              <w:right w:val="single" w:sz="4" w:space="0" w:color="auto"/>
            </w:tcBorders>
            <w:vAlign w:val="center"/>
          </w:tcPr>
          <w:p w14:paraId="5319FD0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3.75</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70D339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0.95</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07FE75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74A8EF38" w14:textId="77777777" w:rsidTr="005962D7">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5AC6B79D"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147ED80E"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تشجع ثقافة الابتكار داخل بيئة العمل</w:t>
            </w:r>
          </w:p>
        </w:tc>
        <w:tc>
          <w:tcPr>
            <w:tcW w:w="667" w:type="dxa"/>
            <w:tcBorders>
              <w:top w:val="single" w:sz="4" w:space="0" w:color="auto"/>
              <w:left w:val="single" w:sz="4" w:space="0" w:color="auto"/>
              <w:bottom w:val="single" w:sz="4" w:space="0" w:color="auto"/>
              <w:right w:val="single" w:sz="4" w:space="0" w:color="auto"/>
            </w:tcBorders>
            <w:vAlign w:val="center"/>
          </w:tcPr>
          <w:p w14:paraId="613358A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27</w:t>
            </w:r>
          </w:p>
        </w:tc>
        <w:tc>
          <w:tcPr>
            <w:tcW w:w="667" w:type="dxa"/>
            <w:tcBorders>
              <w:top w:val="single" w:sz="4" w:space="0" w:color="auto"/>
              <w:left w:val="single" w:sz="4" w:space="0" w:color="auto"/>
              <w:bottom w:val="single" w:sz="4" w:space="0" w:color="auto"/>
              <w:right w:val="single" w:sz="4" w:space="0" w:color="auto"/>
            </w:tcBorders>
            <w:vAlign w:val="center"/>
          </w:tcPr>
          <w:p w14:paraId="09DC775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14</w:t>
            </w:r>
          </w:p>
        </w:tc>
        <w:tc>
          <w:tcPr>
            <w:tcW w:w="666" w:type="dxa"/>
            <w:tcBorders>
              <w:top w:val="single" w:sz="4" w:space="0" w:color="auto"/>
              <w:left w:val="single" w:sz="4" w:space="0" w:color="auto"/>
              <w:bottom w:val="single" w:sz="4" w:space="0" w:color="auto"/>
              <w:right w:val="single" w:sz="4" w:space="0" w:color="auto"/>
            </w:tcBorders>
            <w:vAlign w:val="center"/>
          </w:tcPr>
          <w:p w14:paraId="69DA8CA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005208C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6626AF2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51A393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247</w:t>
            </w:r>
          </w:p>
        </w:tc>
        <w:tc>
          <w:tcPr>
            <w:tcW w:w="752" w:type="dxa"/>
            <w:tcBorders>
              <w:top w:val="single" w:sz="4" w:space="0" w:color="auto"/>
              <w:left w:val="single" w:sz="4" w:space="0" w:color="auto"/>
              <w:bottom w:val="single" w:sz="4" w:space="0" w:color="auto"/>
              <w:right w:val="single" w:sz="4" w:space="0" w:color="auto"/>
            </w:tcBorders>
            <w:vAlign w:val="center"/>
          </w:tcPr>
          <w:p w14:paraId="0A12F21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3.92</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3DE2BDB"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D453FA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4C27D6F2" w14:textId="77777777" w:rsidTr="005962D7">
        <w:trPr>
          <w:trHeight w:val="362"/>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FEE1E99"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3D1892BF"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C287F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82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E6319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82</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909769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62</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17B86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20</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809313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10</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B0D10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974</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14F1A0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14.3</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A5A839"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5833895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393F6B84" w14:textId="77777777" w:rsidTr="005962D7">
        <w:trPr>
          <w:trHeight w:val="226"/>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F6DD8AF"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41E7217"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F0B9EE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77%</w:t>
            </w:r>
          </w:p>
        </w:tc>
        <w:tc>
          <w:tcPr>
            <w:tcW w:w="213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BDB760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D4CE02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3.58</w:t>
            </w:r>
          </w:p>
        </w:tc>
      </w:tr>
    </w:tbl>
    <w:p w14:paraId="510C87D6"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68C3F142" w14:textId="5E9BBFE7" w:rsidR="002874C7" w:rsidRPr="00545ABB" w:rsidRDefault="002874C7" w:rsidP="005D773F">
      <w:pPr>
        <w:spacing w:after="0" w:line="360" w:lineRule="auto"/>
        <w:ind w:firstLine="357"/>
        <w:contextualSpacing/>
        <w:jc w:val="lowKashida"/>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FB42CD" w:rsidRPr="00FB42CD">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15</w:t>
      </w:r>
      <w:r w:rsidR="00FB42CD" w:rsidRPr="00FB42CD">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الابتكار والتكيف "بمستوى مرتفع" حيث جاء المتوسط الحسابي (3.58) وكذلك بلغت القوة النسبية لهذا المتغير (77%) وبمجموع وزني بلغ (974).</w:t>
      </w:r>
    </w:p>
    <w:p w14:paraId="400B6CFC"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1160CAA1"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 xml:space="preserve">حيث جاءت بالترتيب الأول عبارة " تشجع ثقافة الابتكار داخل بيئة العمل " بمتوسط حسابي (3.92)، </w:t>
      </w:r>
      <w:r w:rsidRPr="00545ABB">
        <w:rPr>
          <w:rFonts w:ascii="Traditional Arabic" w:hAnsi="Traditional Arabic" w:cs="Traditional Arabic"/>
          <w:color w:val="000000" w:themeColor="text1"/>
          <w:sz w:val="28"/>
          <w:szCs w:val="28"/>
          <w:rtl/>
        </w:rPr>
        <w:t>وهو ما يعكس إدراك الشركات لأهمية تعزيز بيئة تنظيمية داعمة للإبداع وتوليد الأفكار الجديدة، خاصة في قطاع الأمن السيبراني الذي يتسم بسرعة التغير وارتفاع مستوى المخاطر التقنية.</w:t>
      </w:r>
    </w:p>
    <w:p w14:paraId="494A361D"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حيث جاءت بالترتيب الثاني عبارة " تتبنى الشركة حلولاً جديدة لمواجهة تهديدات الأمن السيبراني " بمتوسط حسابي (3.9)، </w:t>
      </w:r>
      <w:r w:rsidRPr="00545ABB">
        <w:rPr>
          <w:rFonts w:ascii="Traditional Arabic" w:hAnsi="Traditional Arabic" w:cs="Traditional Arabic"/>
          <w:color w:val="000000" w:themeColor="text1"/>
          <w:sz w:val="28"/>
          <w:szCs w:val="28"/>
          <w:rtl/>
        </w:rPr>
        <w:t>مما يشير إلى وعي إداري بأهمية التطوير المستمر للأدوات والآليات الدفاعية لمواكبة التهديدات المتجددة، والحفاظ على القدرة التنافسية والاستدامة التشغيلية</w:t>
      </w:r>
      <w:r w:rsidRPr="00545ABB">
        <w:rPr>
          <w:rFonts w:ascii="Traditional Arabic" w:hAnsi="Traditional Arabic" w:cs="Traditional Arabic"/>
          <w:color w:val="000000" w:themeColor="text1"/>
          <w:sz w:val="28"/>
          <w:szCs w:val="28"/>
          <w:lang w:bidi="ar-EG"/>
        </w:rPr>
        <w:t>.</w:t>
      </w:r>
    </w:p>
    <w:p w14:paraId="3F0AD625"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1DC61A97"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 xml:space="preserve">حيث جاءت بالترتيب الرابع والأخير عبارة " تستجيب الشركة للتغيرات التقنية " بمتوسط حسابي (3.76)، </w:t>
      </w:r>
      <w:r w:rsidRPr="00545ABB">
        <w:rPr>
          <w:rFonts w:ascii="Traditional Arabic" w:hAnsi="Traditional Arabic" w:cs="Traditional Arabic"/>
          <w:color w:val="000000" w:themeColor="text1"/>
          <w:sz w:val="28"/>
          <w:szCs w:val="28"/>
          <w:rtl/>
        </w:rPr>
        <w:t>وقد يُعزى ذلك إلى وجود بعض المعوقات التنظيمية أو محدودية الموارد التي قد تؤخر سرعة الاستجابة الفعلية للتطورات التقنية المتسارعة، رغم إدراك أهميتها</w:t>
      </w:r>
      <w:r w:rsidRPr="00545ABB">
        <w:rPr>
          <w:rFonts w:ascii="Traditional Arabic" w:hAnsi="Traditional Arabic" w:cs="Traditional Arabic"/>
          <w:color w:val="000000" w:themeColor="text1"/>
          <w:sz w:val="28"/>
          <w:szCs w:val="28"/>
          <w:lang w:bidi="ar-EG"/>
        </w:rPr>
        <w:t>.</w:t>
      </w:r>
    </w:p>
    <w:p w14:paraId="60279846" w14:textId="05D2AAD7" w:rsidR="002B0AD5" w:rsidRPr="00545ABB" w:rsidRDefault="002874C7" w:rsidP="00022590">
      <w:pPr>
        <w:tabs>
          <w:tab w:val="left" w:pos="1087"/>
        </w:tabs>
        <w:spacing w:after="0" w:line="360" w:lineRule="auto"/>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بعد </w:t>
      </w:r>
      <w:r w:rsidRPr="00545ABB">
        <w:rPr>
          <w:rFonts w:ascii="Traditional Arabic" w:hAnsi="Traditional Arabic" w:cs="Traditional Arabic"/>
          <w:color w:val="000000" w:themeColor="text1"/>
          <w:sz w:val="28"/>
          <w:szCs w:val="28"/>
          <w:rtl/>
          <w:lang w:bidi="ar-EG"/>
        </w:rPr>
        <w:t xml:space="preserve">الابتكار والتكيف </w:t>
      </w:r>
      <w:r w:rsidRPr="00545ABB">
        <w:rPr>
          <w:rFonts w:ascii="Traditional Arabic" w:hAnsi="Traditional Arabic" w:cs="Traditional Arabic"/>
          <w:color w:val="000000" w:themeColor="text1"/>
          <w:sz w:val="28"/>
          <w:szCs w:val="28"/>
          <w:rtl/>
        </w:rPr>
        <w:t>هي تشجيع الحلول المبتكرة.</w:t>
      </w:r>
    </w:p>
    <w:p w14:paraId="73677DAC" w14:textId="3DBC7F25" w:rsidR="002874C7" w:rsidRPr="00545ABB" w:rsidRDefault="002874C7" w:rsidP="005D773F">
      <w:pPr>
        <w:spacing w:after="0" w:line="360" w:lineRule="auto"/>
        <w:ind w:left="142"/>
        <w:jc w:val="center"/>
        <w:rPr>
          <w:rFonts w:ascii="Traditional Arabic" w:hAnsi="Traditional Arabic" w:cs="Traditional Arabic"/>
          <w:b/>
          <w:bCs/>
          <w:color w:val="000000" w:themeColor="text1"/>
          <w:sz w:val="28"/>
          <w:szCs w:val="28"/>
          <w:rtl/>
        </w:rPr>
      </w:pPr>
      <w:r w:rsidRPr="00545ABB">
        <w:rPr>
          <w:rFonts w:ascii="Traditional Arabic" w:hAnsi="Traditional Arabic" w:cs="Traditional Arabic"/>
          <w:b/>
          <w:bCs/>
          <w:noProof/>
          <w:color w:val="000000" w:themeColor="text1"/>
          <w:sz w:val="28"/>
          <w:szCs w:val="28"/>
          <w:rtl/>
        </w:rPr>
        <mc:AlternateContent>
          <mc:Choice Requires="wps">
            <w:drawing>
              <wp:anchor distT="0" distB="0" distL="114300" distR="114300" simplePos="0" relativeHeight="251682304" behindDoc="0" locked="0" layoutInCell="1" allowOverlap="1" wp14:anchorId="7A040BA1" wp14:editId="083F143B">
                <wp:simplePos x="0" y="0"/>
                <wp:positionH relativeFrom="column">
                  <wp:posOffset>-727710</wp:posOffset>
                </wp:positionH>
                <wp:positionV relativeFrom="paragraph">
                  <wp:posOffset>274320</wp:posOffset>
                </wp:positionV>
                <wp:extent cx="819150" cy="371475"/>
                <wp:effectExtent l="0" t="0" r="0" b="9525"/>
                <wp:wrapNone/>
                <wp:docPr id="10155257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F9DC7" w14:textId="77777777" w:rsidR="00ED4FB3" w:rsidRDefault="00ED4FB3"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40BA1" id="_x0000_s1045" style="position:absolute;left:0;text-align:left;margin-left:-57.3pt;margin-top:21.6pt;width:64.5pt;height:29.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" filled="f" stroked="f">
                <v:textbox>
                  <w:txbxContent>
                    <w:p w14:paraId="217F9DC7" w14:textId="77777777" w:rsidR="00ED4FB3" w:rsidRDefault="00ED4FB3" w:rsidP="002874C7">
                      <w:pPr>
                        <w:jc w:val="center"/>
                      </w:pPr>
                      <w:r>
                        <w:rPr>
                          <w:rFonts w:cs="Simplified Arabic" w:hint="cs"/>
                          <w:sz w:val="28"/>
                          <w:szCs w:val="28"/>
                          <w:rtl/>
                        </w:rPr>
                        <w:t>ن=63</w:t>
                      </w:r>
                    </w:p>
                  </w:txbxContent>
                </v:textbox>
              </v:rect>
            </w:pict>
          </mc:Fallback>
        </mc:AlternateContent>
      </w:r>
      <w:r w:rsidR="00FB42CD" w:rsidRPr="00FB42CD">
        <w:rPr>
          <w:rtl/>
        </w:rPr>
        <w:t xml:space="preserve"> </w:t>
      </w:r>
      <w:r w:rsidR="00FB42CD" w:rsidRPr="00FB42CD">
        <w:rPr>
          <w:rFonts w:ascii="Traditional Arabic" w:hAnsi="Traditional Arabic" w:cs="Traditional Arabic"/>
          <w:b/>
          <w:bCs/>
          <w:color w:val="000000" w:themeColor="text1"/>
          <w:sz w:val="28"/>
          <w:szCs w:val="28"/>
          <w:rtl/>
        </w:rPr>
        <w:t>جدول (4-</w:t>
      </w:r>
      <w:r w:rsidR="005D773F">
        <w:rPr>
          <w:rFonts w:ascii="Traditional Arabic" w:hAnsi="Traditional Arabic" w:cs="Traditional Arabic"/>
          <w:b/>
          <w:bCs/>
          <w:color w:val="000000" w:themeColor="text1"/>
          <w:sz w:val="28"/>
          <w:szCs w:val="28"/>
        </w:rPr>
        <w:t>16</w:t>
      </w:r>
      <w:r w:rsidR="00FB42CD" w:rsidRPr="00FB42CD">
        <w:rPr>
          <w:rFonts w:ascii="Traditional Arabic" w:hAnsi="Traditional Arabic" w:cs="Traditional Arabic"/>
          <w:b/>
          <w:bCs/>
          <w:color w:val="000000" w:themeColor="text1"/>
          <w:sz w:val="28"/>
          <w:szCs w:val="28"/>
          <w:rtl/>
        </w:rPr>
        <w:t>)</w:t>
      </w:r>
      <w:r w:rsidR="00FB42CD">
        <w:rPr>
          <w:rFonts w:ascii="Traditional Arabic" w:hAnsi="Traditional Arabic" w:cs="Traditional Arabic" w:hint="cs"/>
          <w:b/>
          <w:bCs/>
          <w:color w:val="000000" w:themeColor="text1"/>
          <w:sz w:val="28"/>
          <w:szCs w:val="28"/>
          <w:rtl/>
        </w:rPr>
        <w:t xml:space="preserve"> </w:t>
      </w:r>
      <w:r w:rsidRPr="00545ABB">
        <w:rPr>
          <w:rFonts w:ascii="Traditional Arabic" w:hAnsi="Traditional Arabic" w:cs="Traditional Arabic"/>
          <w:b/>
          <w:bCs/>
          <w:color w:val="000000" w:themeColor="text1"/>
          <w:sz w:val="28"/>
          <w:szCs w:val="28"/>
          <w:rtl/>
        </w:rPr>
        <w:t>يوضح رضا العملاء والنمو المؤسسي</w:t>
      </w:r>
    </w:p>
    <w:tbl>
      <w:tblPr>
        <w:tblpPr w:leftFromText="180" w:rightFromText="180" w:vertAnchor="text" w:horzAnchor="margin" w:tblpXSpec="center" w:tblpY="406"/>
        <w:bidiVisual/>
        <w:tblW w:w="10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872"/>
        <w:gridCol w:w="669"/>
        <w:gridCol w:w="669"/>
        <w:gridCol w:w="668"/>
        <w:gridCol w:w="800"/>
        <w:gridCol w:w="674"/>
        <w:gridCol w:w="678"/>
        <w:gridCol w:w="754"/>
        <w:gridCol w:w="35"/>
        <w:gridCol w:w="802"/>
        <w:gridCol w:w="402"/>
      </w:tblGrid>
      <w:tr w:rsidR="002874C7" w:rsidRPr="00545ABB" w14:paraId="70A0FF1E" w14:textId="77777777" w:rsidTr="002174D5">
        <w:trPr>
          <w:trHeight w:val="323"/>
        </w:trPr>
        <w:tc>
          <w:tcPr>
            <w:tcW w:w="478" w:type="dxa"/>
            <w:vMerge w:val="restart"/>
            <w:tcBorders>
              <w:top w:val="thinThickSmallGap" w:sz="18" w:space="0" w:color="auto"/>
              <w:left w:val="thickThinSmallGap" w:sz="18" w:space="0" w:color="auto"/>
              <w:right w:val="single" w:sz="4" w:space="0" w:color="auto"/>
            </w:tcBorders>
            <w:shd w:val="clear" w:color="auto" w:fill="8DB3E2" w:themeFill="text2" w:themeFillTint="66"/>
            <w:vAlign w:val="center"/>
          </w:tcPr>
          <w:p w14:paraId="644D2D83" w14:textId="77777777" w:rsidR="002874C7" w:rsidRPr="00545ABB" w:rsidRDefault="002874C7" w:rsidP="00022590">
            <w:pPr>
              <w:pStyle w:val="ListParagraph"/>
              <w:spacing w:after="0" w:line="360" w:lineRule="auto"/>
              <w:jc w:val="center"/>
              <w:rPr>
                <w:rFonts w:ascii="Traditional Arabic" w:hAnsi="Traditional Arabic" w:cs="Traditional Arabic"/>
                <w:b/>
                <w:bCs/>
                <w:color w:val="000000" w:themeColor="text1"/>
                <w:lang w:bidi="ar-EG"/>
              </w:rPr>
            </w:pPr>
          </w:p>
        </w:tc>
        <w:tc>
          <w:tcPr>
            <w:tcW w:w="387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8DB3E2" w:themeFill="text2" w:themeFillTint="66"/>
            <w:vAlign w:val="center"/>
            <w:hideMark/>
          </w:tcPr>
          <w:p w14:paraId="7FD7E88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sz w:val="28"/>
                <w:szCs w:val="28"/>
                <w:rtl/>
              </w:rPr>
              <w:t>رضا العملاء والنمو المؤسسي</w:t>
            </w:r>
          </w:p>
        </w:tc>
        <w:tc>
          <w:tcPr>
            <w:tcW w:w="3480" w:type="dxa"/>
            <w:gridSpan w:val="5"/>
            <w:tcBorders>
              <w:top w:val="thinThickSmallGap" w:sz="18" w:space="0" w:color="auto"/>
              <w:left w:val="single" w:sz="4" w:space="0" w:color="auto"/>
              <w:bottom w:val="single" w:sz="4" w:space="0" w:color="auto"/>
              <w:right w:val="single" w:sz="4" w:space="0" w:color="auto"/>
            </w:tcBorders>
            <w:shd w:val="clear" w:color="auto" w:fill="8DB3E2" w:themeFill="text2" w:themeFillTint="66"/>
            <w:vAlign w:val="center"/>
          </w:tcPr>
          <w:p w14:paraId="18FFAEF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rtl/>
                <w:lang w:bidi="ar-EG"/>
              </w:rPr>
              <w:t>الاستجابات</w:t>
            </w:r>
            <w:r w:rsidRPr="00545ABB">
              <w:rPr>
                <w:rFonts w:ascii="Traditional Arabic" w:hAnsi="Traditional Arabic" w:cs="Traditional Arabic"/>
                <w:b/>
                <w:bCs/>
                <w:color w:val="000000" w:themeColor="text1"/>
                <w:sz w:val="20"/>
                <w:szCs w:val="20"/>
                <w:rtl/>
                <w:lang w:bidi="ar-EG"/>
              </w:rPr>
              <w:t xml:space="preserve">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tcPr>
          <w:p w14:paraId="23E8681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مجموع الأوزان</w:t>
            </w:r>
          </w:p>
        </w:tc>
        <w:tc>
          <w:tcPr>
            <w:tcW w:w="754" w:type="dxa"/>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25EE07D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المتوسط 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37AF492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8DB3E2" w:themeFill="text2" w:themeFillTint="66"/>
            <w:textDirection w:val="btLr"/>
            <w:vAlign w:val="center"/>
            <w:hideMark/>
          </w:tcPr>
          <w:p w14:paraId="5A97122C" w14:textId="77777777" w:rsidR="002874C7" w:rsidRPr="00545ABB" w:rsidRDefault="002874C7" w:rsidP="00022590">
            <w:pPr>
              <w:spacing w:after="0" w:line="360" w:lineRule="auto"/>
              <w:ind w:left="113" w:right="113"/>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الترتيب</w:t>
            </w:r>
          </w:p>
        </w:tc>
      </w:tr>
      <w:tr w:rsidR="002874C7" w:rsidRPr="00545ABB" w14:paraId="4B10093A" w14:textId="77777777" w:rsidTr="002174D5">
        <w:trPr>
          <w:trHeight w:val="174"/>
        </w:trPr>
        <w:tc>
          <w:tcPr>
            <w:tcW w:w="478" w:type="dxa"/>
            <w:vMerge/>
            <w:tcBorders>
              <w:left w:val="thickThinSmallGap" w:sz="18" w:space="0" w:color="auto"/>
              <w:bottom w:val="thickThinSmallGap" w:sz="18" w:space="0" w:color="auto"/>
              <w:right w:val="single" w:sz="4" w:space="0" w:color="auto"/>
            </w:tcBorders>
            <w:vAlign w:val="center"/>
          </w:tcPr>
          <w:p w14:paraId="6B6819A2"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387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3AC3FE2"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lang w:bidi="ar-EG"/>
              </w:rPr>
            </w:pPr>
          </w:p>
        </w:tc>
        <w:tc>
          <w:tcPr>
            <w:tcW w:w="66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521B877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أوافق بشدة</w:t>
            </w:r>
          </w:p>
        </w:tc>
        <w:tc>
          <w:tcPr>
            <w:tcW w:w="669"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052882D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أوافق</w:t>
            </w:r>
          </w:p>
        </w:tc>
        <w:tc>
          <w:tcPr>
            <w:tcW w:w="668"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tcPr>
          <w:p w14:paraId="7E309585"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rtl/>
                <w:lang w:bidi="ar-EG"/>
              </w:rPr>
            </w:pPr>
            <w:r w:rsidRPr="00545ABB">
              <w:rPr>
                <w:rFonts w:ascii="Traditional Arabic" w:hAnsi="Traditional Arabic" w:cs="Traditional Arabic"/>
                <w:b/>
                <w:bCs/>
                <w:color w:val="000000" w:themeColor="text1"/>
                <w:sz w:val="20"/>
                <w:szCs w:val="20"/>
                <w:rtl/>
                <w:lang w:bidi="ar-EG"/>
              </w:rPr>
              <w:t>محايد</w:t>
            </w:r>
          </w:p>
        </w:tc>
        <w:tc>
          <w:tcPr>
            <w:tcW w:w="798"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28E51597"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 xml:space="preserve">أعارض </w:t>
            </w:r>
          </w:p>
        </w:tc>
        <w:tc>
          <w:tcPr>
            <w:tcW w:w="674" w:type="dxa"/>
            <w:tcBorders>
              <w:top w:val="single" w:sz="4" w:space="0" w:color="auto"/>
              <w:left w:val="single" w:sz="4" w:space="0" w:color="auto"/>
              <w:bottom w:val="thickThinSmallGap" w:sz="18" w:space="0" w:color="auto"/>
              <w:right w:val="single" w:sz="4" w:space="0" w:color="auto"/>
            </w:tcBorders>
            <w:shd w:val="clear" w:color="auto" w:fill="8DB3E2" w:themeFill="text2" w:themeFillTint="66"/>
            <w:vAlign w:val="center"/>
            <w:hideMark/>
          </w:tcPr>
          <w:p w14:paraId="777A088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sz w:val="20"/>
                <w:szCs w:val="20"/>
                <w:lang w:bidi="ar-EG"/>
              </w:rPr>
            </w:pPr>
            <w:r w:rsidRPr="00545ABB">
              <w:rPr>
                <w:rFonts w:ascii="Traditional Arabic" w:hAnsi="Traditional Arabic" w:cs="Traditional Arabic"/>
                <w:b/>
                <w:bCs/>
                <w:color w:val="000000" w:themeColor="text1"/>
                <w:sz w:val="20"/>
                <w:szCs w:val="20"/>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1FA56E72"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754" w:type="dxa"/>
            <w:vMerge/>
            <w:tcBorders>
              <w:top w:val="thinThickSmallGap" w:sz="18" w:space="0" w:color="auto"/>
              <w:left w:val="single" w:sz="4" w:space="0" w:color="auto"/>
              <w:bottom w:val="thickThinSmallGap" w:sz="18" w:space="0" w:color="auto"/>
              <w:right w:val="single" w:sz="4" w:space="0" w:color="auto"/>
            </w:tcBorders>
            <w:vAlign w:val="center"/>
            <w:hideMark/>
          </w:tcPr>
          <w:p w14:paraId="288AD1C6"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09E61E8"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71EFE57" w14:textId="77777777" w:rsidR="002874C7" w:rsidRPr="00545ABB" w:rsidRDefault="002874C7" w:rsidP="00022590">
            <w:pPr>
              <w:spacing w:after="0" w:line="360" w:lineRule="auto"/>
              <w:contextualSpacing/>
              <w:rPr>
                <w:rFonts w:ascii="Traditional Arabic" w:hAnsi="Traditional Arabic" w:cs="Traditional Arabic"/>
                <w:b/>
                <w:bCs/>
                <w:color w:val="000000" w:themeColor="text1"/>
                <w:sz w:val="20"/>
                <w:szCs w:val="20"/>
                <w:lang w:bidi="ar-EG"/>
              </w:rPr>
            </w:pPr>
          </w:p>
        </w:tc>
      </w:tr>
      <w:tr w:rsidR="002874C7" w:rsidRPr="00545ABB" w14:paraId="6EEFF42E" w14:textId="77777777" w:rsidTr="005962D7">
        <w:trPr>
          <w:trHeight w:val="283"/>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413EC3B2"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w:t>
            </w:r>
          </w:p>
        </w:tc>
        <w:tc>
          <w:tcPr>
            <w:tcW w:w="3872" w:type="dxa"/>
            <w:tcBorders>
              <w:top w:val="thickThinSmallGap" w:sz="18" w:space="0" w:color="auto"/>
              <w:left w:val="thickThinSmallGap" w:sz="18" w:space="0" w:color="auto"/>
              <w:bottom w:val="single" w:sz="4" w:space="0" w:color="auto"/>
              <w:right w:val="single" w:sz="4" w:space="0" w:color="auto"/>
            </w:tcBorders>
            <w:vAlign w:val="center"/>
          </w:tcPr>
          <w:p w14:paraId="1FE66466"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مستوى جيداً من رضا العملاء</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64A663A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18</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5E49421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31</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3B79A9C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798" w:type="dxa"/>
            <w:tcBorders>
              <w:top w:val="thickThinSmallGap" w:sz="18" w:space="0" w:color="auto"/>
              <w:left w:val="single" w:sz="4" w:space="0" w:color="auto"/>
              <w:bottom w:val="single" w:sz="4" w:space="0" w:color="auto"/>
              <w:right w:val="single" w:sz="4" w:space="0" w:color="auto"/>
            </w:tcBorders>
            <w:vAlign w:val="center"/>
          </w:tcPr>
          <w:p w14:paraId="4572F1F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5B94CD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10C5080E" w14:textId="77777777" w:rsidR="002874C7" w:rsidRPr="00545ABB" w:rsidRDefault="002874C7" w:rsidP="00022590">
            <w:pPr>
              <w:spacing w:after="0" w:line="360" w:lineRule="auto"/>
              <w:contextualSpacing/>
              <w:rPr>
                <w:rFonts w:ascii="Traditional Arabic" w:hAnsi="Traditional Arabic" w:cs="Traditional Arabic"/>
                <w:color w:val="000000" w:themeColor="text1"/>
                <w:rtl/>
                <w:lang w:bidi="ar-EG"/>
              </w:rPr>
            </w:pPr>
          </w:p>
        </w:tc>
        <w:tc>
          <w:tcPr>
            <w:tcW w:w="754" w:type="dxa"/>
            <w:tcBorders>
              <w:top w:val="thickThinSmallGap" w:sz="18" w:space="0" w:color="auto"/>
              <w:left w:val="single" w:sz="4" w:space="0" w:color="auto"/>
              <w:bottom w:val="single" w:sz="4" w:space="0" w:color="auto"/>
              <w:right w:val="single" w:sz="4" w:space="0" w:color="auto"/>
            </w:tcBorders>
            <w:vAlign w:val="center"/>
          </w:tcPr>
          <w:p w14:paraId="71D2CCE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3.92</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3F0BFFF4"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0.98</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4A67107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r>
      <w:tr w:rsidR="002874C7" w:rsidRPr="00545ABB" w14:paraId="698DFE31" w14:textId="77777777" w:rsidTr="005962D7">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06777D14"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2</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31061F30"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تزداد قاعدة العملاء بشكل مستمر</w:t>
            </w:r>
          </w:p>
        </w:tc>
        <w:tc>
          <w:tcPr>
            <w:tcW w:w="669" w:type="dxa"/>
            <w:tcBorders>
              <w:top w:val="single" w:sz="4" w:space="0" w:color="auto"/>
              <w:left w:val="single" w:sz="4" w:space="0" w:color="auto"/>
              <w:bottom w:val="single" w:sz="4" w:space="0" w:color="auto"/>
              <w:right w:val="single" w:sz="4" w:space="0" w:color="auto"/>
            </w:tcBorders>
            <w:vAlign w:val="center"/>
          </w:tcPr>
          <w:p w14:paraId="52E753B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20</w:t>
            </w:r>
          </w:p>
        </w:tc>
        <w:tc>
          <w:tcPr>
            <w:tcW w:w="669" w:type="dxa"/>
            <w:tcBorders>
              <w:top w:val="single" w:sz="4" w:space="0" w:color="auto"/>
              <w:left w:val="single" w:sz="4" w:space="0" w:color="auto"/>
              <w:bottom w:val="single" w:sz="4" w:space="0" w:color="auto"/>
              <w:right w:val="single" w:sz="4" w:space="0" w:color="auto"/>
            </w:tcBorders>
            <w:vAlign w:val="center"/>
          </w:tcPr>
          <w:p w14:paraId="0F84A207"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6E489FA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8</w:t>
            </w:r>
          </w:p>
        </w:tc>
        <w:tc>
          <w:tcPr>
            <w:tcW w:w="798" w:type="dxa"/>
            <w:tcBorders>
              <w:top w:val="single" w:sz="4" w:space="0" w:color="auto"/>
              <w:left w:val="single" w:sz="4" w:space="0" w:color="auto"/>
              <w:bottom w:val="single" w:sz="4" w:space="0" w:color="auto"/>
              <w:right w:val="single" w:sz="4" w:space="0" w:color="auto"/>
            </w:tcBorders>
            <w:vAlign w:val="center"/>
          </w:tcPr>
          <w:p w14:paraId="732119C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w:t>
            </w:r>
          </w:p>
        </w:tc>
        <w:tc>
          <w:tcPr>
            <w:tcW w:w="674" w:type="dxa"/>
            <w:tcBorders>
              <w:top w:val="single" w:sz="4" w:space="0" w:color="auto"/>
              <w:left w:val="single" w:sz="4" w:space="0" w:color="auto"/>
              <w:bottom w:val="single" w:sz="4" w:space="0" w:color="auto"/>
              <w:right w:val="single" w:sz="4" w:space="0" w:color="auto"/>
            </w:tcBorders>
            <w:vAlign w:val="center"/>
          </w:tcPr>
          <w:p w14:paraId="57E731A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5B6984D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7A1A7236"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3.87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39C8BB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1.04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07A895F8"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w:t>
            </w:r>
          </w:p>
        </w:tc>
      </w:tr>
      <w:tr w:rsidR="002874C7" w:rsidRPr="00545ABB" w14:paraId="0404D4AD" w14:textId="77777777" w:rsidTr="005962D7">
        <w:trPr>
          <w:trHeight w:val="465"/>
        </w:trPr>
        <w:tc>
          <w:tcPr>
            <w:tcW w:w="478" w:type="dxa"/>
            <w:tcBorders>
              <w:top w:val="single" w:sz="4" w:space="0" w:color="auto"/>
              <w:left w:val="thickThinSmallGap" w:sz="18" w:space="0" w:color="auto"/>
              <w:bottom w:val="single" w:sz="4" w:space="0" w:color="auto"/>
              <w:right w:val="single" w:sz="4" w:space="0" w:color="auto"/>
            </w:tcBorders>
            <w:vAlign w:val="center"/>
          </w:tcPr>
          <w:p w14:paraId="075D995C"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2CD1260E"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تتمتع الشركة بسمعة مهنية جيدة في السوق</w:t>
            </w:r>
          </w:p>
        </w:tc>
        <w:tc>
          <w:tcPr>
            <w:tcW w:w="669" w:type="dxa"/>
            <w:tcBorders>
              <w:top w:val="single" w:sz="4" w:space="0" w:color="auto"/>
              <w:left w:val="single" w:sz="4" w:space="0" w:color="auto"/>
              <w:bottom w:val="single" w:sz="4" w:space="0" w:color="auto"/>
              <w:right w:val="single" w:sz="4" w:space="0" w:color="auto"/>
            </w:tcBorders>
            <w:vAlign w:val="center"/>
          </w:tcPr>
          <w:p w14:paraId="6EADB36F"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22</w:t>
            </w:r>
          </w:p>
        </w:tc>
        <w:tc>
          <w:tcPr>
            <w:tcW w:w="669" w:type="dxa"/>
            <w:tcBorders>
              <w:top w:val="single" w:sz="4" w:space="0" w:color="auto"/>
              <w:left w:val="single" w:sz="4" w:space="0" w:color="auto"/>
              <w:bottom w:val="single" w:sz="4" w:space="0" w:color="auto"/>
              <w:right w:val="single" w:sz="4" w:space="0" w:color="auto"/>
            </w:tcBorders>
            <w:vAlign w:val="center"/>
          </w:tcPr>
          <w:p w14:paraId="18C9AD0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0C008BC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10</w:t>
            </w:r>
          </w:p>
        </w:tc>
        <w:tc>
          <w:tcPr>
            <w:tcW w:w="798" w:type="dxa"/>
            <w:tcBorders>
              <w:top w:val="single" w:sz="4" w:space="0" w:color="auto"/>
              <w:left w:val="single" w:sz="4" w:space="0" w:color="auto"/>
              <w:bottom w:val="single" w:sz="4" w:space="0" w:color="auto"/>
              <w:right w:val="single" w:sz="4" w:space="0" w:color="auto"/>
            </w:tcBorders>
            <w:vAlign w:val="center"/>
          </w:tcPr>
          <w:p w14:paraId="0BFF837A"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2</w:t>
            </w:r>
          </w:p>
        </w:tc>
        <w:tc>
          <w:tcPr>
            <w:tcW w:w="674" w:type="dxa"/>
            <w:tcBorders>
              <w:top w:val="single" w:sz="4" w:space="0" w:color="auto"/>
              <w:left w:val="single" w:sz="4" w:space="0" w:color="auto"/>
              <w:bottom w:val="single" w:sz="4" w:space="0" w:color="auto"/>
              <w:right w:val="single" w:sz="4" w:space="0" w:color="auto"/>
            </w:tcBorders>
            <w:vAlign w:val="center"/>
          </w:tcPr>
          <w:p w14:paraId="6463908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5AAD31A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4157025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3.94</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42011380"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3E55FE2D"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w:t>
            </w:r>
          </w:p>
        </w:tc>
      </w:tr>
      <w:tr w:rsidR="002874C7" w:rsidRPr="00545ABB" w14:paraId="5D103B9C" w14:textId="77777777" w:rsidTr="005962D7">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485F9989"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4</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1691E873" w14:textId="77777777" w:rsidR="002874C7" w:rsidRPr="00545ABB" w:rsidRDefault="002874C7" w:rsidP="00022590">
            <w:pPr>
              <w:spacing w:after="0" w:line="360" w:lineRule="auto"/>
              <w:jc w:val="both"/>
              <w:rPr>
                <w:rFonts w:ascii="Traditional Arabic" w:hAnsi="Traditional Arabic" w:cs="Traditional Arabic"/>
                <w:b/>
                <w:bCs/>
                <w:color w:val="000000" w:themeColor="text1"/>
                <w:rtl/>
                <w:lang w:bidi="ar-EG"/>
              </w:rPr>
            </w:pPr>
            <w:r w:rsidRPr="00545ABB">
              <w:rPr>
                <w:rFonts w:ascii="Traditional Arabic" w:hAnsi="Traditional Arabic" w:cs="Traditional Arabic"/>
                <w:color w:val="000000" w:themeColor="text1"/>
                <w:rtl/>
                <w:lang w:bidi="ar-EG"/>
              </w:rPr>
              <w:t>تحقق الشركة نمواً إيجابياً في سوق الأمن السيبراني</w:t>
            </w:r>
          </w:p>
        </w:tc>
        <w:tc>
          <w:tcPr>
            <w:tcW w:w="669" w:type="dxa"/>
            <w:tcBorders>
              <w:top w:val="single" w:sz="4" w:space="0" w:color="auto"/>
              <w:left w:val="single" w:sz="4" w:space="0" w:color="auto"/>
              <w:bottom w:val="single" w:sz="4" w:space="0" w:color="auto"/>
              <w:right w:val="single" w:sz="4" w:space="0" w:color="auto"/>
            </w:tcBorders>
            <w:vAlign w:val="center"/>
          </w:tcPr>
          <w:p w14:paraId="768F48C9"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19</w:t>
            </w:r>
          </w:p>
        </w:tc>
        <w:tc>
          <w:tcPr>
            <w:tcW w:w="669" w:type="dxa"/>
            <w:tcBorders>
              <w:top w:val="single" w:sz="4" w:space="0" w:color="auto"/>
              <w:left w:val="single" w:sz="4" w:space="0" w:color="auto"/>
              <w:bottom w:val="single" w:sz="4" w:space="0" w:color="auto"/>
              <w:right w:val="single" w:sz="4" w:space="0" w:color="auto"/>
            </w:tcBorders>
            <w:vAlign w:val="center"/>
          </w:tcPr>
          <w:p w14:paraId="71E82C0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24</w:t>
            </w:r>
          </w:p>
        </w:tc>
        <w:tc>
          <w:tcPr>
            <w:tcW w:w="668" w:type="dxa"/>
            <w:tcBorders>
              <w:top w:val="single" w:sz="4" w:space="0" w:color="auto"/>
              <w:left w:val="single" w:sz="4" w:space="0" w:color="auto"/>
              <w:bottom w:val="single" w:sz="4" w:space="0" w:color="auto"/>
              <w:right w:val="single" w:sz="4" w:space="0" w:color="auto"/>
            </w:tcBorders>
            <w:vAlign w:val="center"/>
          </w:tcPr>
          <w:p w14:paraId="72EDB652"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rtl/>
                <w:lang w:bidi="ar-EG"/>
              </w:rPr>
            </w:pPr>
            <w:r w:rsidRPr="00545ABB">
              <w:rPr>
                <w:rFonts w:ascii="Traditional Arabic" w:hAnsi="Traditional Arabic" w:cs="Traditional Arabic"/>
                <w:color w:val="000000" w:themeColor="text1"/>
                <w:rtl/>
                <w:lang w:bidi="ar-EG"/>
              </w:rPr>
              <w:t>12</w:t>
            </w:r>
          </w:p>
        </w:tc>
        <w:tc>
          <w:tcPr>
            <w:tcW w:w="798" w:type="dxa"/>
            <w:tcBorders>
              <w:top w:val="single" w:sz="4" w:space="0" w:color="auto"/>
              <w:left w:val="single" w:sz="4" w:space="0" w:color="auto"/>
              <w:bottom w:val="single" w:sz="4" w:space="0" w:color="auto"/>
              <w:right w:val="single" w:sz="4" w:space="0" w:color="auto"/>
            </w:tcBorders>
            <w:vAlign w:val="center"/>
          </w:tcPr>
          <w:p w14:paraId="2478676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4" w:type="dxa"/>
            <w:tcBorders>
              <w:top w:val="single" w:sz="4" w:space="0" w:color="auto"/>
              <w:left w:val="single" w:sz="4" w:space="0" w:color="auto"/>
              <w:bottom w:val="single" w:sz="4" w:space="0" w:color="auto"/>
              <w:right w:val="single" w:sz="4" w:space="0" w:color="auto"/>
            </w:tcBorders>
            <w:vAlign w:val="center"/>
          </w:tcPr>
          <w:p w14:paraId="3A234E0E"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77764A0C"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10039BD5"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3.79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757DFC6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1.14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D486323" w14:textId="77777777" w:rsidR="002874C7" w:rsidRPr="00545ABB" w:rsidRDefault="002874C7" w:rsidP="00022590">
            <w:pPr>
              <w:spacing w:after="0" w:line="360" w:lineRule="auto"/>
              <w:contextualSpacing/>
              <w:jc w:val="center"/>
              <w:rPr>
                <w:rFonts w:ascii="Traditional Arabic" w:hAnsi="Traditional Arabic" w:cs="Traditional Arabic"/>
                <w:color w:val="000000" w:themeColor="text1"/>
                <w:lang w:bidi="ar-EG"/>
              </w:rPr>
            </w:pPr>
            <w:r w:rsidRPr="00545ABB">
              <w:rPr>
                <w:rFonts w:ascii="Traditional Arabic" w:hAnsi="Traditional Arabic" w:cs="Traditional Arabic"/>
                <w:color w:val="000000" w:themeColor="text1"/>
                <w:rtl/>
                <w:lang w:bidi="ar-EG"/>
              </w:rPr>
              <w:t>4</w:t>
            </w:r>
          </w:p>
        </w:tc>
      </w:tr>
      <w:tr w:rsidR="002874C7" w:rsidRPr="00545ABB" w14:paraId="55B80145" w14:textId="77777777" w:rsidTr="005962D7">
        <w:trPr>
          <w:trHeight w:val="353"/>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2CBC04A"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7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6D9CB0F2"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3D1A7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79</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2E20E0"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105</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B007B1"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38</w:t>
            </w:r>
          </w:p>
        </w:tc>
        <w:tc>
          <w:tcPr>
            <w:tcW w:w="79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623F4BA"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20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C708532"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B2B24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979</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6ECCFF"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15.5</w:t>
            </w:r>
          </w:p>
        </w:tc>
        <w:tc>
          <w:tcPr>
            <w:tcW w:w="80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ABB461B"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r w:rsidRPr="00545ABB">
              <w:rPr>
                <w:rFonts w:ascii="Traditional Arabic" w:hAnsi="Traditional Arabic" w:cs="Traditional Arabic"/>
                <w:b/>
                <w:bCs/>
                <w:color w:val="000000" w:themeColor="text1"/>
                <w:rtl/>
                <w:lang w:bidi="ar-EG"/>
              </w:rPr>
              <w:t>4.3</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4D7D29C3"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lang w:bidi="ar-EG"/>
              </w:rPr>
            </w:pPr>
          </w:p>
        </w:tc>
      </w:tr>
      <w:tr w:rsidR="002874C7" w:rsidRPr="00545ABB" w14:paraId="63CDAC02" w14:textId="77777777" w:rsidTr="005962D7">
        <w:trPr>
          <w:trHeight w:val="221"/>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F158F55"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p>
        </w:tc>
        <w:tc>
          <w:tcPr>
            <w:tcW w:w="387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9286C7F" w14:textId="77777777" w:rsidR="002874C7" w:rsidRPr="00545ABB" w:rsidRDefault="002874C7" w:rsidP="00022590">
            <w:pPr>
              <w:tabs>
                <w:tab w:val="left" w:pos="-226"/>
                <w:tab w:val="left" w:pos="6254"/>
                <w:tab w:val="left" w:pos="7154"/>
                <w:tab w:val="left" w:pos="8234"/>
              </w:tabs>
              <w:spacing w:after="0" w:line="360" w:lineRule="auto"/>
              <w:contextualSpacing/>
              <w:jc w:val="center"/>
              <w:rPr>
                <w:rFonts w:ascii="Traditional Arabic" w:hAnsi="Traditional Arabic" w:cs="Traditional Arabic"/>
                <w:b/>
                <w:bCs/>
                <w:color w:val="000000" w:themeColor="text1"/>
                <w:rtl/>
                <w:lang w:bidi="ar-EG"/>
              </w:rPr>
            </w:pPr>
            <w:r w:rsidRPr="00545ABB">
              <w:rPr>
                <w:rFonts w:ascii="Traditional Arabic" w:hAnsi="Traditional Arabic" w:cs="Traditional Arabic"/>
                <w:b/>
                <w:bCs/>
                <w:color w:val="000000" w:themeColor="text1"/>
                <w:rtl/>
                <w:lang w:bidi="ar-EG"/>
              </w:rPr>
              <w:t>القوة النسبية</w:t>
            </w:r>
          </w:p>
        </w:tc>
        <w:tc>
          <w:tcPr>
            <w:tcW w:w="280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ED71BF4"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78%</w:t>
            </w:r>
          </w:p>
        </w:tc>
        <w:tc>
          <w:tcPr>
            <w:tcW w:w="2141"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D5834FD"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lang w:bidi="ar-EG"/>
              </w:rPr>
              <w:t>المتوسط الكلي</w:t>
            </w:r>
          </w:p>
        </w:tc>
        <w:tc>
          <w:tcPr>
            <w:tcW w:w="12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BF57D1E" w14:textId="77777777" w:rsidR="002874C7" w:rsidRPr="00545ABB" w:rsidRDefault="002874C7" w:rsidP="00022590">
            <w:pPr>
              <w:spacing w:after="0" w:line="360" w:lineRule="auto"/>
              <w:contextualSpacing/>
              <w:jc w:val="center"/>
              <w:rPr>
                <w:rFonts w:ascii="Traditional Arabic" w:hAnsi="Traditional Arabic" w:cs="Traditional Arabic"/>
                <w:b/>
                <w:bCs/>
                <w:color w:val="000000" w:themeColor="text1"/>
                <w:rtl/>
              </w:rPr>
            </w:pPr>
            <w:r w:rsidRPr="00545ABB">
              <w:rPr>
                <w:rFonts w:ascii="Traditional Arabic" w:hAnsi="Traditional Arabic" w:cs="Traditional Arabic"/>
                <w:b/>
                <w:bCs/>
                <w:color w:val="000000" w:themeColor="text1"/>
                <w:rtl/>
              </w:rPr>
              <w:t>3.88</w:t>
            </w:r>
          </w:p>
        </w:tc>
      </w:tr>
    </w:tbl>
    <w:p w14:paraId="0BEC9A31" w14:textId="77777777" w:rsidR="002B0AD5" w:rsidRPr="00545ABB" w:rsidRDefault="002B0AD5" w:rsidP="00022590">
      <w:pPr>
        <w:autoSpaceDE w:val="0"/>
        <w:autoSpaceDN w:val="0"/>
        <w:adjustRightInd w:val="0"/>
        <w:spacing w:after="0" w:line="360" w:lineRule="auto"/>
        <w:jc w:val="both"/>
        <w:rPr>
          <w:rFonts w:ascii="Traditional Arabic" w:hAnsi="Traditional Arabic" w:cs="Traditional Arabic"/>
          <w:color w:val="000000" w:themeColor="text1"/>
          <w:sz w:val="28"/>
          <w:szCs w:val="28"/>
          <w:rtl/>
          <w:lang w:bidi="ar-EG"/>
        </w:rPr>
      </w:pPr>
    </w:p>
    <w:p w14:paraId="644CA6D6" w14:textId="6584DBB3" w:rsidR="002874C7" w:rsidRPr="00545ABB" w:rsidRDefault="002874C7" w:rsidP="005D773F">
      <w:pPr>
        <w:autoSpaceDE w:val="0"/>
        <w:autoSpaceDN w:val="0"/>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تشير نتائج الجدول السابق رقم </w:t>
      </w:r>
      <w:r w:rsidR="00FB42CD" w:rsidRPr="00FB42CD">
        <w:rPr>
          <w:rFonts w:ascii="Traditional Arabic" w:hAnsi="Traditional Arabic" w:cs="Traditional Arabic"/>
          <w:color w:val="000000" w:themeColor="text1"/>
          <w:sz w:val="28"/>
          <w:szCs w:val="28"/>
          <w:rtl/>
          <w:lang w:bidi="ar-EG"/>
        </w:rPr>
        <w:t>جدول (4-</w:t>
      </w:r>
      <w:r w:rsidR="005D773F">
        <w:rPr>
          <w:rFonts w:ascii="Traditional Arabic" w:hAnsi="Traditional Arabic" w:cs="Traditional Arabic"/>
          <w:color w:val="000000" w:themeColor="text1"/>
          <w:sz w:val="28"/>
          <w:szCs w:val="28"/>
          <w:lang w:bidi="ar-EG"/>
        </w:rPr>
        <w:t>16</w:t>
      </w:r>
      <w:r w:rsidR="00FB42CD" w:rsidRPr="00FB42CD">
        <w:rPr>
          <w:rFonts w:ascii="Traditional Arabic" w:hAnsi="Traditional Arabic" w:cs="Traditional Arabic"/>
          <w:color w:val="000000" w:themeColor="text1"/>
          <w:sz w:val="28"/>
          <w:szCs w:val="28"/>
          <w:rtl/>
          <w:lang w:bidi="ar-EG"/>
        </w:rPr>
        <w:t>)</w:t>
      </w:r>
      <w:r w:rsidRPr="00545ABB">
        <w:rPr>
          <w:rFonts w:ascii="Traditional Arabic" w:hAnsi="Traditional Arabic" w:cs="Traditional Arabic"/>
          <w:color w:val="000000" w:themeColor="text1"/>
          <w:sz w:val="28"/>
          <w:szCs w:val="28"/>
          <w:rtl/>
          <w:lang w:bidi="ar-EG"/>
        </w:rPr>
        <w:t xml:space="preserve"> أراء عينة الدراسة حول بعد رضا العملاء والنمو المؤسسي "بمستوى مرتفع" حيث جاء المتوسط الحسابي (3.88) وكذلك بلغت القوة النسبية لهذا المتغير (78%) وبمجموع وزني بلغ (979).</w:t>
      </w:r>
    </w:p>
    <w:p w14:paraId="6BA93EF9" w14:textId="77777777" w:rsidR="002874C7" w:rsidRPr="00545ABB" w:rsidRDefault="002874C7" w:rsidP="00D95153">
      <w:pPr>
        <w:pStyle w:val="ListParagraph"/>
        <w:numPr>
          <w:ilvl w:val="0"/>
          <w:numId w:val="7"/>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rPr>
        <w:t xml:space="preserve">ويشير إلى أن هناك عبارات كانت الأكثر تأثيراً وحصلت على ترتيب متقدم وهي: - </w:t>
      </w:r>
    </w:p>
    <w:p w14:paraId="56E1D17D"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حيث جاءت بالترتيب الأول عبارة " تتمتع الشركة بسمعة مهنية جيدة في السوق " بمتوسط حسابي (3.94)، وهو ما يعكس إدراك أفراد العينة لأهمية السمعة المؤسسية كأحد الأصول غير الملموسة التي تسهم في بناء الثقة مع العملاء والشركاء، وتعزز من قدرة الشركة على الاستمرار</w:t>
      </w:r>
      <w:r w:rsidRPr="00545ABB">
        <w:rPr>
          <w:rFonts w:ascii="Traditional Arabic" w:hAnsi="Traditional Arabic" w:cs="Traditional Arabic"/>
          <w:color w:val="000000" w:themeColor="text1"/>
          <w:sz w:val="28"/>
          <w:szCs w:val="28"/>
          <w:rtl/>
        </w:rPr>
        <w:t xml:space="preserve"> في سوق يتسم بارتفاع مستوى المخاطر والحساسية تجاه جودة الخدمات، كما هو الحال في قطاع الأمن السيبراني</w:t>
      </w:r>
    </w:p>
    <w:p w14:paraId="302E8C24"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lang w:bidi="ar-EG"/>
        </w:rPr>
      </w:pPr>
      <w:r w:rsidRPr="00545ABB">
        <w:rPr>
          <w:rFonts w:ascii="Traditional Arabic" w:hAnsi="Traditional Arabic" w:cs="Traditional Arabic"/>
          <w:color w:val="000000" w:themeColor="text1"/>
          <w:sz w:val="28"/>
          <w:szCs w:val="28"/>
          <w:rtl/>
          <w:lang w:bidi="ar-EG"/>
        </w:rPr>
        <w:t xml:space="preserve">حيث جاءت بالترتيب الثاني عبارة " تحقق الشركة مستوى جيداً من رضا العملاء " بمتوسط حسابي (3.92)، </w:t>
      </w:r>
      <w:r w:rsidRPr="00545ABB">
        <w:rPr>
          <w:rFonts w:ascii="Traditional Arabic" w:hAnsi="Traditional Arabic" w:cs="Traditional Arabic"/>
          <w:color w:val="000000" w:themeColor="text1"/>
          <w:sz w:val="28"/>
          <w:szCs w:val="28"/>
          <w:rtl/>
        </w:rPr>
        <w:t>مما يشير إلى تركيز الشركات على تلبية احتياجات العملاء وتقديم خدمات تتسم بالكفاءة والموثوقية، الأمر الذي يدعم علاقات طويلة الأمد ويعزز فرص التوسع المستقبلي</w:t>
      </w:r>
    </w:p>
    <w:p w14:paraId="04C311DB" w14:textId="77777777" w:rsidR="002874C7" w:rsidRPr="00545ABB" w:rsidRDefault="002874C7" w:rsidP="00D95153">
      <w:pPr>
        <w:pStyle w:val="ListParagraph"/>
        <w:numPr>
          <w:ilvl w:val="0"/>
          <w:numId w:val="3"/>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 xml:space="preserve">وهناك عبارات جاءت بترتيب متأخر وكانت أقل تأثيرًا وهي: - </w:t>
      </w:r>
    </w:p>
    <w:p w14:paraId="4A90AAB1"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lang w:bidi="ar-EG"/>
        </w:rPr>
        <w:t>حيث جاءت بالترتيب الرابع والأخير عبارة " تحقق الشركة نمواً إيجابياً في سوق الأمن السيبراني " بمتوسط حسابي (3.79)، وقد يُعزى ذلك إلى طبيعة السوق التنافسية وارتفاع تكاليف التوسع</w:t>
      </w:r>
      <w:r w:rsidRPr="00545ABB">
        <w:rPr>
          <w:rFonts w:ascii="Traditional Arabic" w:hAnsi="Traditional Arabic" w:cs="Traditional Arabic"/>
          <w:color w:val="000000" w:themeColor="text1"/>
          <w:sz w:val="28"/>
          <w:szCs w:val="28"/>
          <w:rtl/>
        </w:rPr>
        <w:t xml:space="preserve"> والاستثمار في التقنيات المتقدمة، إضافة إلى التحديات التي تواجه الشركات الناشئة في زيادة حصتها السوقية خلال المراحل الأولى من دورة حياتها</w:t>
      </w:r>
      <w:r w:rsidRPr="00545ABB">
        <w:rPr>
          <w:rFonts w:ascii="Traditional Arabic" w:hAnsi="Traditional Arabic" w:cs="Traditional Arabic"/>
          <w:color w:val="000000" w:themeColor="text1"/>
          <w:sz w:val="28"/>
          <w:szCs w:val="28"/>
        </w:rPr>
        <w:t>.</w:t>
      </w:r>
    </w:p>
    <w:p w14:paraId="4C61DACB" w14:textId="6B636DF8" w:rsidR="002B0AD5" w:rsidRPr="00545ABB" w:rsidRDefault="002874C7" w:rsidP="00022590">
      <w:pPr>
        <w:pStyle w:val="ListParagraph"/>
        <w:tabs>
          <w:tab w:val="left" w:pos="1087"/>
        </w:tabs>
        <w:autoSpaceDE w:val="0"/>
        <w:autoSpaceDN w:val="0"/>
        <w:bidi/>
        <w:adjustRightInd w:val="0"/>
        <w:spacing w:after="0" w:line="360" w:lineRule="auto"/>
        <w:ind w:left="502"/>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ab/>
        <w:t xml:space="preserve">وبالنظر للجدول السابق نستنتج أن من أهم محددات بعد </w:t>
      </w:r>
      <w:r w:rsidRPr="00545ABB">
        <w:rPr>
          <w:rFonts w:ascii="Traditional Arabic" w:hAnsi="Traditional Arabic" w:cs="Traditional Arabic"/>
          <w:color w:val="000000" w:themeColor="text1"/>
          <w:sz w:val="28"/>
          <w:szCs w:val="28"/>
          <w:rtl/>
          <w:lang w:bidi="ar-EG"/>
        </w:rPr>
        <w:t xml:space="preserve">رضا العملاء والنمو المؤسسي </w:t>
      </w:r>
      <w:r w:rsidRPr="00545ABB">
        <w:rPr>
          <w:rFonts w:ascii="Traditional Arabic" w:hAnsi="Traditional Arabic" w:cs="Traditional Arabic"/>
          <w:color w:val="000000" w:themeColor="text1"/>
          <w:sz w:val="28"/>
          <w:szCs w:val="28"/>
          <w:rtl/>
        </w:rPr>
        <w:t>هي سمعة المؤسسة الناتجة من إرضاء العملاء.</w:t>
      </w:r>
    </w:p>
    <w:p w14:paraId="7FA371A7" w14:textId="7B0F1833" w:rsidR="002874C7" w:rsidRPr="00545ABB" w:rsidRDefault="00FB42CD" w:rsidP="005D773F">
      <w:pPr>
        <w:pStyle w:val="ListParagraph"/>
        <w:bidi/>
        <w:spacing w:after="0" w:line="360" w:lineRule="auto"/>
        <w:jc w:val="center"/>
        <w:rPr>
          <w:rFonts w:ascii="Traditional Arabic" w:hAnsi="Traditional Arabic" w:cs="Traditional Arabic"/>
          <w:b/>
          <w:bCs/>
          <w:color w:val="000000" w:themeColor="text1"/>
          <w:sz w:val="28"/>
          <w:szCs w:val="28"/>
          <w:rtl/>
          <w:lang w:bidi="ar-EG"/>
        </w:rPr>
      </w:pPr>
      <w:r w:rsidRPr="00FB42CD">
        <w:rPr>
          <w:rFonts w:ascii="Traditional Arabic" w:hAnsi="Traditional Arabic" w:cs="Traditional Arabic"/>
          <w:b/>
          <w:bCs/>
          <w:color w:val="000000" w:themeColor="text1"/>
          <w:sz w:val="28"/>
          <w:szCs w:val="28"/>
          <w:rtl/>
          <w:lang w:bidi="ar-EG"/>
        </w:rPr>
        <w:t>جدول</w:t>
      </w:r>
      <w:r w:rsidRPr="00FB42CD">
        <w:rPr>
          <w:rFonts w:ascii="Traditional Arabic" w:hAnsi="Traditional Arabic" w:cs="Traditional Arabic"/>
          <w:b/>
          <w:bCs/>
          <w:color w:val="000000" w:themeColor="text1"/>
          <w:sz w:val="28"/>
          <w:szCs w:val="28"/>
          <w:lang w:bidi="ar-EG"/>
        </w:rPr>
        <w:t xml:space="preserve"> (4-</w:t>
      </w:r>
      <w:r w:rsidR="005D773F">
        <w:rPr>
          <w:rFonts w:ascii="Traditional Arabic" w:hAnsi="Traditional Arabic" w:cs="Traditional Arabic"/>
          <w:b/>
          <w:bCs/>
          <w:color w:val="000000" w:themeColor="text1"/>
          <w:sz w:val="28"/>
          <w:szCs w:val="28"/>
          <w:lang w:bidi="ar-EG"/>
        </w:rPr>
        <w:t>17</w:t>
      </w:r>
      <w:r w:rsidRPr="00FB42CD">
        <w:rPr>
          <w:rFonts w:ascii="Traditional Arabic" w:hAnsi="Traditional Arabic" w:cs="Traditional Arabic"/>
          <w:b/>
          <w:bCs/>
          <w:color w:val="000000" w:themeColor="text1"/>
          <w:sz w:val="28"/>
          <w:szCs w:val="28"/>
          <w:lang w:bidi="ar-EG"/>
        </w:rPr>
        <w:t>)</w:t>
      </w:r>
      <w:r w:rsidR="002874C7" w:rsidRPr="00545ABB">
        <w:rPr>
          <w:rFonts w:ascii="Traditional Arabic" w:hAnsi="Traditional Arabic" w:cs="Traditional Arabic"/>
          <w:b/>
          <w:bCs/>
          <w:color w:val="000000" w:themeColor="text1"/>
          <w:sz w:val="28"/>
          <w:szCs w:val="28"/>
          <w:rtl/>
          <w:lang w:bidi="ar-EG"/>
        </w:rPr>
        <w:t xml:space="preserve"> يوضح العلاقة بين الاستدامة المؤسسية والنجاح المؤسسي في تطبيق الحوكمة الفعالة </w:t>
      </w:r>
    </w:p>
    <w:p w14:paraId="3C4C09E8" w14:textId="77777777" w:rsidR="002874C7" w:rsidRPr="00545ABB" w:rsidRDefault="002874C7" w:rsidP="00022590">
      <w:pPr>
        <w:pStyle w:val="ListParagraph"/>
        <w:spacing w:after="0" w:line="360" w:lineRule="auto"/>
        <w:jc w:val="center"/>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b/>
          <w:bCs/>
          <w:color w:val="000000" w:themeColor="text1"/>
          <w:sz w:val="28"/>
          <w:szCs w:val="28"/>
          <w:rtl/>
          <w:lang w:bidi="ar-EG"/>
        </w:rPr>
        <w:t>باستخدام معامل الارتباط بيرسون</w:t>
      </w:r>
    </w:p>
    <w:tbl>
      <w:tblPr>
        <w:tblStyle w:val="TableGrid"/>
        <w:bidiVisual/>
        <w:tblW w:w="5847" w:type="dxa"/>
        <w:jc w:val="center"/>
        <w:tblLook w:val="04A0" w:firstRow="1" w:lastRow="0" w:firstColumn="1" w:lastColumn="0" w:noHBand="0" w:noVBand="1"/>
      </w:tblPr>
      <w:tblGrid>
        <w:gridCol w:w="1095"/>
        <w:gridCol w:w="1491"/>
        <w:gridCol w:w="993"/>
        <w:gridCol w:w="1275"/>
        <w:gridCol w:w="993"/>
      </w:tblGrid>
      <w:tr w:rsidR="002874C7" w:rsidRPr="00545ABB" w14:paraId="1F150AA3" w14:textId="77777777" w:rsidTr="002174D5">
        <w:trPr>
          <w:trHeight w:val="774"/>
          <w:jc w:val="center"/>
        </w:trPr>
        <w:tc>
          <w:tcPr>
            <w:tcW w:w="1095" w:type="dxa"/>
            <w:vMerge w:val="restart"/>
            <w:tcBorders>
              <w:top w:val="thinThickSmallGap" w:sz="18" w:space="0" w:color="auto"/>
              <w:left w:val="thickThinSmallGap" w:sz="18" w:space="0" w:color="auto"/>
              <w:tr2bl w:val="single" w:sz="4" w:space="0" w:color="auto"/>
            </w:tcBorders>
          </w:tcPr>
          <w:p w14:paraId="4C24D509" w14:textId="77777777" w:rsidR="002874C7" w:rsidRPr="00545ABB" w:rsidRDefault="002874C7" w:rsidP="00022590">
            <w:pPr>
              <w:pStyle w:val="ListParagraph"/>
              <w:spacing w:after="0" w:line="360" w:lineRule="auto"/>
              <w:ind w:left="0"/>
              <w:jc w:val="both"/>
              <w:rPr>
                <w:rFonts w:ascii="Traditional Arabic" w:hAnsi="Traditional Arabic" w:cs="Traditional Arabic"/>
                <w:color w:val="000000" w:themeColor="text1"/>
                <w:sz w:val="20"/>
                <w:szCs w:val="20"/>
                <w:rtl/>
                <w:lang w:bidi="ar-EG"/>
              </w:rPr>
            </w:pPr>
          </w:p>
          <w:p w14:paraId="3C0D863F" w14:textId="77777777" w:rsidR="002874C7" w:rsidRPr="00545ABB" w:rsidRDefault="002874C7" w:rsidP="00022590">
            <w:pPr>
              <w:pStyle w:val="ListParagraph"/>
              <w:spacing w:after="0" w:line="360" w:lineRule="auto"/>
              <w:ind w:left="0"/>
              <w:jc w:val="both"/>
              <w:rPr>
                <w:rFonts w:ascii="Traditional Arabic" w:hAnsi="Traditional Arabic" w:cs="Traditional Arabic"/>
                <w:color w:val="000000" w:themeColor="text1"/>
                <w:sz w:val="20"/>
                <w:szCs w:val="20"/>
                <w:rtl/>
                <w:lang w:bidi="ar-EG"/>
              </w:rPr>
            </w:pPr>
          </w:p>
        </w:tc>
        <w:tc>
          <w:tcPr>
            <w:tcW w:w="2484" w:type="dxa"/>
            <w:gridSpan w:val="2"/>
            <w:tcBorders>
              <w:top w:val="thinThickSmallGap" w:sz="18" w:space="0" w:color="auto"/>
            </w:tcBorders>
            <w:shd w:val="clear" w:color="auto" w:fill="8DB3E2" w:themeFill="text2" w:themeFillTint="66"/>
            <w:vAlign w:val="center"/>
          </w:tcPr>
          <w:p w14:paraId="6DE3FFC4"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sz w:val="20"/>
                <w:szCs w:val="20"/>
                <w:rtl/>
                <w:lang w:bidi="ar-EG"/>
              </w:rPr>
            </w:pPr>
            <w:r w:rsidRPr="00545ABB">
              <w:rPr>
                <w:rFonts w:ascii="Traditional Arabic" w:hAnsi="Traditional Arabic" w:cs="Traditional Arabic"/>
                <w:color w:val="000000" w:themeColor="text1"/>
                <w:sz w:val="20"/>
                <w:szCs w:val="20"/>
                <w:rtl/>
                <w:lang w:bidi="ar-EG"/>
              </w:rPr>
              <w:t>الاستدامة المؤسسية</w:t>
            </w:r>
          </w:p>
        </w:tc>
        <w:tc>
          <w:tcPr>
            <w:tcW w:w="2268" w:type="dxa"/>
            <w:gridSpan w:val="2"/>
            <w:tcBorders>
              <w:top w:val="thinThickSmallGap" w:sz="18" w:space="0" w:color="auto"/>
              <w:right w:val="thinThickSmallGap" w:sz="18" w:space="0" w:color="auto"/>
            </w:tcBorders>
            <w:shd w:val="clear" w:color="auto" w:fill="8DB3E2" w:themeFill="text2" w:themeFillTint="66"/>
            <w:vAlign w:val="center"/>
          </w:tcPr>
          <w:p w14:paraId="5ED7FD15"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sz w:val="20"/>
                <w:szCs w:val="20"/>
                <w:rtl/>
                <w:lang w:bidi="ar-EG"/>
              </w:rPr>
            </w:pPr>
            <w:r w:rsidRPr="00545ABB">
              <w:rPr>
                <w:rFonts w:ascii="Traditional Arabic" w:hAnsi="Traditional Arabic" w:cs="Traditional Arabic"/>
                <w:color w:val="000000" w:themeColor="text1"/>
                <w:sz w:val="20"/>
                <w:szCs w:val="20"/>
                <w:rtl/>
                <w:lang w:bidi="ar-EG"/>
              </w:rPr>
              <w:t>النجاح المؤسسي</w:t>
            </w:r>
          </w:p>
        </w:tc>
      </w:tr>
      <w:tr w:rsidR="002874C7" w:rsidRPr="00545ABB" w14:paraId="550D8265" w14:textId="77777777" w:rsidTr="002174D5">
        <w:trPr>
          <w:trHeight w:val="413"/>
          <w:jc w:val="center"/>
        </w:trPr>
        <w:tc>
          <w:tcPr>
            <w:tcW w:w="1095" w:type="dxa"/>
            <w:vMerge/>
            <w:tcBorders>
              <w:left w:val="thickThinSmallGap" w:sz="18" w:space="0" w:color="auto"/>
              <w:tr2bl w:val="single" w:sz="4" w:space="0" w:color="auto"/>
            </w:tcBorders>
          </w:tcPr>
          <w:p w14:paraId="0545DA4C" w14:textId="77777777" w:rsidR="002874C7" w:rsidRPr="00545ABB" w:rsidRDefault="002874C7" w:rsidP="00022590">
            <w:pPr>
              <w:pStyle w:val="ListParagraph"/>
              <w:spacing w:after="0" w:line="360" w:lineRule="auto"/>
              <w:ind w:left="0"/>
              <w:jc w:val="both"/>
              <w:rPr>
                <w:rFonts w:ascii="Traditional Arabic" w:hAnsi="Traditional Arabic" w:cs="Traditional Arabic"/>
                <w:color w:val="000000" w:themeColor="text1"/>
                <w:sz w:val="28"/>
                <w:szCs w:val="28"/>
                <w:rtl/>
                <w:lang w:bidi="ar-EG"/>
              </w:rPr>
            </w:pPr>
          </w:p>
        </w:tc>
        <w:tc>
          <w:tcPr>
            <w:tcW w:w="1491" w:type="dxa"/>
            <w:shd w:val="clear" w:color="auto" w:fill="8DB3E2" w:themeFill="text2" w:themeFillTint="66"/>
          </w:tcPr>
          <w:p w14:paraId="63D4493C" w14:textId="77777777" w:rsidR="002874C7" w:rsidRPr="00545ABB" w:rsidRDefault="002874C7" w:rsidP="00022590">
            <w:pPr>
              <w:spacing w:line="360" w:lineRule="auto"/>
              <w:contextualSpacing/>
              <w:jc w:val="center"/>
              <w:rPr>
                <w:rFonts w:ascii="Traditional Arabic" w:hAnsi="Traditional Arabic" w:cs="Traditional Arabic"/>
                <w:color w:val="000000" w:themeColor="text1"/>
                <w:sz w:val="20"/>
                <w:szCs w:val="20"/>
                <w:lang w:bidi="ar-EG"/>
              </w:rPr>
            </w:pPr>
            <w:r w:rsidRPr="00545ABB">
              <w:rPr>
                <w:rFonts w:ascii="Traditional Arabic" w:hAnsi="Traditional Arabic" w:cs="Traditional Arabic"/>
                <w:color w:val="000000" w:themeColor="text1"/>
                <w:sz w:val="20"/>
                <w:szCs w:val="20"/>
                <w:lang w:bidi="ar-EG"/>
              </w:rPr>
              <w:t>R</w:t>
            </w:r>
          </w:p>
        </w:tc>
        <w:tc>
          <w:tcPr>
            <w:tcW w:w="993" w:type="dxa"/>
            <w:shd w:val="clear" w:color="auto" w:fill="8DB3E2" w:themeFill="text2" w:themeFillTint="66"/>
            <w:vAlign w:val="center"/>
          </w:tcPr>
          <w:p w14:paraId="620A6267" w14:textId="77777777" w:rsidR="002874C7" w:rsidRPr="00545ABB" w:rsidRDefault="002874C7" w:rsidP="00022590">
            <w:pPr>
              <w:spacing w:line="360" w:lineRule="auto"/>
              <w:contextualSpacing/>
              <w:jc w:val="center"/>
              <w:rPr>
                <w:rFonts w:ascii="Traditional Arabic" w:hAnsi="Traditional Arabic" w:cs="Traditional Arabic"/>
                <w:color w:val="000000" w:themeColor="text1"/>
                <w:sz w:val="20"/>
                <w:szCs w:val="20"/>
                <w:lang w:bidi="ar-EG"/>
              </w:rPr>
            </w:pPr>
            <w:r w:rsidRPr="00545ABB">
              <w:rPr>
                <w:rFonts w:ascii="Traditional Arabic" w:hAnsi="Traditional Arabic" w:cs="Traditional Arabic"/>
                <w:color w:val="000000" w:themeColor="text1"/>
                <w:sz w:val="20"/>
                <w:szCs w:val="20"/>
                <w:rtl/>
                <w:lang w:bidi="ar-EG"/>
              </w:rPr>
              <w:t>الدلالة</w:t>
            </w:r>
          </w:p>
        </w:tc>
        <w:tc>
          <w:tcPr>
            <w:tcW w:w="1275" w:type="dxa"/>
            <w:shd w:val="clear" w:color="auto" w:fill="8DB3E2" w:themeFill="text2" w:themeFillTint="66"/>
            <w:vAlign w:val="center"/>
          </w:tcPr>
          <w:p w14:paraId="436E00EE" w14:textId="77777777" w:rsidR="002874C7" w:rsidRPr="00545ABB" w:rsidRDefault="002874C7" w:rsidP="00022590">
            <w:pPr>
              <w:spacing w:line="360" w:lineRule="auto"/>
              <w:contextualSpacing/>
              <w:jc w:val="center"/>
              <w:rPr>
                <w:rFonts w:ascii="Traditional Arabic" w:hAnsi="Traditional Arabic" w:cs="Traditional Arabic"/>
                <w:color w:val="000000" w:themeColor="text1"/>
                <w:sz w:val="20"/>
                <w:szCs w:val="20"/>
                <w:lang w:bidi="ar-EG"/>
              </w:rPr>
            </w:pPr>
            <w:r w:rsidRPr="00545ABB">
              <w:rPr>
                <w:rFonts w:ascii="Traditional Arabic" w:hAnsi="Traditional Arabic" w:cs="Traditional Arabic"/>
                <w:color w:val="000000" w:themeColor="text1"/>
                <w:sz w:val="20"/>
                <w:szCs w:val="20"/>
                <w:lang w:bidi="ar-EG"/>
              </w:rPr>
              <w:t>R</w:t>
            </w:r>
          </w:p>
        </w:tc>
        <w:tc>
          <w:tcPr>
            <w:tcW w:w="993" w:type="dxa"/>
            <w:tcBorders>
              <w:right w:val="thinThickSmallGap" w:sz="18" w:space="0" w:color="auto"/>
            </w:tcBorders>
            <w:shd w:val="clear" w:color="auto" w:fill="8DB3E2" w:themeFill="text2" w:themeFillTint="66"/>
            <w:vAlign w:val="center"/>
          </w:tcPr>
          <w:p w14:paraId="6E26796F" w14:textId="77777777" w:rsidR="002874C7" w:rsidRPr="00545ABB" w:rsidRDefault="002874C7" w:rsidP="00022590">
            <w:pPr>
              <w:spacing w:line="360" w:lineRule="auto"/>
              <w:contextualSpacing/>
              <w:jc w:val="center"/>
              <w:rPr>
                <w:rFonts w:ascii="Traditional Arabic" w:hAnsi="Traditional Arabic" w:cs="Traditional Arabic"/>
                <w:color w:val="000000" w:themeColor="text1"/>
                <w:sz w:val="20"/>
                <w:szCs w:val="20"/>
                <w:lang w:bidi="ar-EG"/>
              </w:rPr>
            </w:pPr>
            <w:r w:rsidRPr="00545ABB">
              <w:rPr>
                <w:rFonts w:ascii="Traditional Arabic" w:hAnsi="Traditional Arabic" w:cs="Traditional Arabic"/>
                <w:color w:val="000000" w:themeColor="text1"/>
                <w:sz w:val="20"/>
                <w:szCs w:val="20"/>
                <w:rtl/>
                <w:lang w:bidi="ar-EG"/>
              </w:rPr>
              <w:t>الدلالة</w:t>
            </w:r>
          </w:p>
        </w:tc>
      </w:tr>
      <w:tr w:rsidR="002874C7" w:rsidRPr="00545ABB" w14:paraId="44631836" w14:textId="77777777" w:rsidTr="005962D7">
        <w:trPr>
          <w:trHeight w:val="584"/>
          <w:jc w:val="center"/>
        </w:trPr>
        <w:tc>
          <w:tcPr>
            <w:tcW w:w="1095" w:type="dxa"/>
            <w:tcBorders>
              <w:left w:val="thickThinSmallGap" w:sz="18" w:space="0" w:color="auto"/>
              <w:bottom w:val="thickThinSmallGap" w:sz="18" w:space="0" w:color="auto"/>
            </w:tcBorders>
          </w:tcPr>
          <w:p w14:paraId="02504C44"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sz w:val="20"/>
                <w:szCs w:val="20"/>
                <w:rtl/>
                <w:lang w:bidi="ar-EG"/>
              </w:rPr>
            </w:pPr>
            <w:r w:rsidRPr="00545ABB">
              <w:rPr>
                <w:rFonts w:ascii="Traditional Arabic" w:hAnsi="Traditional Arabic" w:cs="Traditional Arabic"/>
                <w:color w:val="000000" w:themeColor="text1"/>
                <w:sz w:val="20"/>
                <w:szCs w:val="20"/>
                <w:rtl/>
                <w:lang w:bidi="ar-EG"/>
              </w:rPr>
              <w:t>الحوكمة الفعالة</w:t>
            </w:r>
          </w:p>
        </w:tc>
        <w:tc>
          <w:tcPr>
            <w:tcW w:w="1491" w:type="dxa"/>
            <w:tcBorders>
              <w:bottom w:val="thickThinSmallGap" w:sz="18" w:space="0" w:color="auto"/>
            </w:tcBorders>
            <w:vAlign w:val="center"/>
          </w:tcPr>
          <w:p w14:paraId="5D8A6B92" w14:textId="77777777" w:rsidR="002874C7" w:rsidRPr="00545ABB" w:rsidRDefault="002874C7" w:rsidP="00022590">
            <w:pPr>
              <w:tabs>
                <w:tab w:val="right" w:pos="4553"/>
              </w:tabs>
              <w:autoSpaceDE w:val="0"/>
              <w:autoSpaceDN w:val="0"/>
              <w:adjustRightInd w:val="0"/>
              <w:spacing w:line="360" w:lineRule="auto"/>
              <w:contextualSpacing/>
              <w:jc w:val="center"/>
              <w:rPr>
                <w:rFonts w:ascii="Traditional Arabic" w:hAnsi="Traditional Arabic" w:cs="Traditional Arabic"/>
                <w:color w:val="000000" w:themeColor="text1"/>
                <w:sz w:val="20"/>
                <w:szCs w:val="20"/>
                <w:rtl/>
              </w:rPr>
            </w:pPr>
            <w:r w:rsidRPr="00545ABB">
              <w:rPr>
                <w:rFonts w:ascii="Traditional Arabic" w:hAnsi="Traditional Arabic" w:cs="Traditional Arabic"/>
                <w:color w:val="000000" w:themeColor="text1"/>
                <w:sz w:val="20"/>
                <w:szCs w:val="20"/>
                <w:rtl/>
                <w:lang w:bidi="ar-EG"/>
              </w:rPr>
              <w:t>**0.988</w:t>
            </w:r>
          </w:p>
        </w:tc>
        <w:tc>
          <w:tcPr>
            <w:tcW w:w="993" w:type="dxa"/>
            <w:tcBorders>
              <w:bottom w:val="thickThinSmallGap" w:sz="18" w:space="0" w:color="auto"/>
            </w:tcBorders>
            <w:vAlign w:val="center"/>
          </w:tcPr>
          <w:p w14:paraId="224DB9F4"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sz w:val="20"/>
                <w:szCs w:val="20"/>
                <w:rtl/>
                <w:lang w:bidi="ar-EG"/>
              </w:rPr>
            </w:pPr>
            <w:r w:rsidRPr="00545ABB">
              <w:rPr>
                <w:rFonts w:ascii="Traditional Arabic" w:hAnsi="Traditional Arabic" w:cs="Traditional Arabic"/>
                <w:color w:val="000000" w:themeColor="text1"/>
                <w:rtl/>
                <w:lang w:bidi="ar-EG"/>
              </w:rPr>
              <w:t>دال</w:t>
            </w:r>
          </w:p>
        </w:tc>
        <w:tc>
          <w:tcPr>
            <w:tcW w:w="1275" w:type="dxa"/>
            <w:tcBorders>
              <w:bottom w:val="thickThinSmallGap" w:sz="18" w:space="0" w:color="auto"/>
            </w:tcBorders>
            <w:vAlign w:val="center"/>
          </w:tcPr>
          <w:p w14:paraId="1AE37E10" w14:textId="77777777" w:rsidR="002874C7" w:rsidRPr="00545ABB" w:rsidRDefault="002874C7" w:rsidP="00022590">
            <w:pPr>
              <w:tabs>
                <w:tab w:val="right" w:pos="4553"/>
              </w:tabs>
              <w:autoSpaceDE w:val="0"/>
              <w:autoSpaceDN w:val="0"/>
              <w:adjustRightInd w:val="0"/>
              <w:spacing w:line="360" w:lineRule="auto"/>
              <w:contextualSpacing/>
              <w:jc w:val="center"/>
              <w:rPr>
                <w:rFonts w:ascii="Traditional Arabic" w:hAnsi="Traditional Arabic" w:cs="Traditional Arabic"/>
                <w:color w:val="000000" w:themeColor="text1"/>
                <w:sz w:val="20"/>
                <w:szCs w:val="20"/>
              </w:rPr>
            </w:pPr>
            <w:r w:rsidRPr="00545ABB">
              <w:rPr>
                <w:rFonts w:ascii="Traditional Arabic" w:hAnsi="Traditional Arabic" w:cs="Traditional Arabic"/>
                <w:color w:val="000000" w:themeColor="text1"/>
                <w:sz w:val="20"/>
                <w:szCs w:val="20"/>
                <w:rtl/>
                <w:lang w:bidi="ar-EG"/>
              </w:rPr>
              <w:t>**0.990</w:t>
            </w:r>
          </w:p>
        </w:tc>
        <w:tc>
          <w:tcPr>
            <w:tcW w:w="993" w:type="dxa"/>
            <w:tcBorders>
              <w:bottom w:val="thickThinSmallGap" w:sz="18" w:space="0" w:color="auto"/>
              <w:right w:val="thinThickSmallGap" w:sz="18" w:space="0" w:color="auto"/>
            </w:tcBorders>
            <w:vAlign w:val="center"/>
          </w:tcPr>
          <w:p w14:paraId="2467FD09" w14:textId="77777777" w:rsidR="002874C7" w:rsidRPr="00545ABB" w:rsidRDefault="002874C7" w:rsidP="00022590">
            <w:pPr>
              <w:pStyle w:val="ListParagraph"/>
              <w:spacing w:after="0" w:line="360" w:lineRule="auto"/>
              <w:ind w:left="0"/>
              <w:jc w:val="center"/>
              <w:rPr>
                <w:rFonts w:ascii="Traditional Arabic" w:hAnsi="Traditional Arabic" w:cs="Traditional Arabic"/>
                <w:color w:val="000000" w:themeColor="text1"/>
                <w:sz w:val="20"/>
                <w:szCs w:val="20"/>
                <w:rtl/>
                <w:lang w:bidi="ar-EG"/>
              </w:rPr>
            </w:pPr>
            <w:r w:rsidRPr="00545ABB">
              <w:rPr>
                <w:rFonts w:ascii="Traditional Arabic" w:hAnsi="Traditional Arabic" w:cs="Traditional Arabic"/>
                <w:color w:val="000000" w:themeColor="text1"/>
                <w:rtl/>
                <w:lang w:bidi="ar-EG"/>
              </w:rPr>
              <w:t>دال</w:t>
            </w:r>
          </w:p>
        </w:tc>
      </w:tr>
    </w:tbl>
    <w:p w14:paraId="28A4B692" w14:textId="77777777" w:rsidR="002874C7" w:rsidRPr="00545ABB" w:rsidRDefault="002874C7" w:rsidP="00022590">
      <w:pPr>
        <w:overflowPunct w:val="0"/>
        <w:autoSpaceDE w:val="0"/>
        <w:autoSpaceDN w:val="0"/>
        <w:adjustRightInd w:val="0"/>
        <w:spacing w:after="0" w:line="360" w:lineRule="auto"/>
        <w:ind w:left="360"/>
        <w:textAlignment w:val="baseline"/>
        <w:rPr>
          <w:rFonts w:ascii="Traditional Arabic" w:hAnsi="Traditional Arabic" w:cs="Traditional Arabic"/>
          <w:b/>
          <w:bCs/>
          <w:color w:val="000000" w:themeColor="text1"/>
          <w:sz w:val="20"/>
          <w:szCs w:val="20"/>
          <w:rtl/>
        </w:rPr>
      </w:pPr>
      <w:r w:rsidRPr="00545ABB">
        <w:rPr>
          <w:rFonts w:ascii="Traditional Arabic" w:hAnsi="Traditional Arabic" w:cs="Traditional Arabic"/>
          <w:b/>
          <w:bCs/>
          <w:color w:val="000000" w:themeColor="text1"/>
          <w:sz w:val="20"/>
          <w:szCs w:val="20"/>
          <w:rtl/>
        </w:rPr>
        <w:t>** معنوي عند (</w:t>
      </w:r>
      <w:r w:rsidRPr="00545ABB">
        <w:rPr>
          <w:rFonts w:ascii="Traditional Arabic" w:hAnsi="Traditional Arabic" w:cs="Traditional Arabic"/>
          <w:b/>
          <w:bCs/>
          <w:color w:val="000000" w:themeColor="text1"/>
          <w:sz w:val="20"/>
          <w:szCs w:val="20"/>
        </w:rPr>
        <w:t>a=0.01</w:t>
      </w:r>
      <w:r w:rsidRPr="00545ABB">
        <w:rPr>
          <w:rFonts w:ascii="Traditional Arabic" w:hAnsi="Traditional Arabic" w:cs="Traditional Arabic"/>
          <w:b/>
          <w:bCs/>
          <w:color w:val="000000" w:themeColor="text1"/>
          <w:sz w:val="20"/>
          <w:szCs w:val="20"/>
          <w:rtl/>
        </w:rPr>
        <w:t>)</w:t>
      </w:r>
      <w:r w:rsidRPr="00545ABB">
        <w:rPr>
          <w:rFonts w:ascii="Traditional Arabic" w:hAnsi="Traditional Arabic" w:cs="Traditional Arabic"/>
          <w:b/>
          <w:bCs/>
          <w:color w:val="000000" w:themeColor="text1"/>
          <w:sz w:val="20"/>
          <w:szCs w:val="20"/>
          <w:rtl/>
        </w:rPr>
        <w:tab/>
      </w:r>
    </w:p>
    <w:p w14:paraId="51FCC88B" w14:textId="77777777" w:rsidR="002874C7" w:rsidRPr="00545ABB" w:rsidRDefault="002874C7" w:rsidP="00022590">
      <w:pPr>
        <w:tabs>
          <w:tab w:val="left" w:pos="1087"/>
        </w:tabs>
        <w:spacing w:after="0" w:line="360" w:lineRule="auto"/>
        <w:rPr>
          <w:rFonts w:ascii="Traditional Arabic" w:hAnsi="Traditional Arabic" w:cs="Traditional Arabic"/>
          <w:color w:val="000000" w:themeColor="text1"/>
          <w:sz w:val="24"/>
          <w:szCs w:val="24"/>
          <w:rtl/>
          <w:lang w:bidi="ar-EG"/>
        </w:rPr>
      </w:pPr>
      <w:r w:rsidRPr="00545ABB">
        <w:rPr>
          <w:rFonts w:ascii="Traditional Arabic" w:hAnsi="Traditional Arabic" w:cs="Traditional Arabic"/>
          <w:color w:val="000000" w:themeColor="text1"/>
          <w:sz w:val="24"/>
          <w:szCs w:val="24"/>
          <w:rtl/>
          <w:lang w:bidi="ar-EG"/>
        </w:rPr>
        <w:t>المصدر: الباحث باستخدام البرنامج الاحصائي (</w:t>
      </w:r>
      <w:r w:rsidRPr="00545ABB">
        <w:rPr>
          <w:rFonts w:ascii="Traditional Arabic" w:hAnsi="Traditional Arabic" w:cs="Traditional Arabic"/>
          <w:color w:val="000000" w:themeColor="text1"/>
          <w:sz w:val="24"/>
          <w:szCs w:val="24"/>
          <w:lang w:bidi="ar-EG"/>
        </w:rPr>
        <w:t>SPSS</w:t>
      </w:r>
      <w:r w:rsidRPr="00545ABB">
        <w:rPr>
          <w:rFonts w:ascii="Traditional Arabic" w:hAnsi="Traditional Arabic" w:cs="Traditional Arabic"/>
          <w:color w:val="000000" w:themeColor="text1"/>
          <w:sz w:val="24"/>
          <w:szCs w:val="24"/>
          <w:rtl/>
          <w:lang w:bidi="ar-EG"/>
        </w:rPr>
        <w:t>)</w:t>
      </w:r>
    </w:p>
    <w:p w14:paraId="69A65D9A"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يوضح الجدول أن الحوكمة الفعالة مرتبطة ارتباطًا إيجابيًا وقويًا جدًا بالاستدامة المؤسسية</w:t>
      </w:r>
      <w:r w:rsidRPr="00545ABB">
        <w:rPr>
          <w:rFonts w:ascii="Traditional Arabic" w:hAnsi="Traditional Arabic" w:cs="Traditional Arabic"/>
          <w:color w:val="000000" w:themeColor="text1"/>
          <w:sz w:val="28"/>
          <w:szCs w:val="28"/>
        </w:rPr>
        <w:t xml:space="preserve"> (R = 0.988</w:t>
      </w:r>
      <w:r w:rsidRPr="00545ABB">
        <w:rPr>
          <w:rFonts w:ascii="Traditional Arabic" w:hAnsi="Traditional Arabic" w:cs="Traditional Arabic"/>
          <w:color w:val="000000" w:themeColor="text1"/>
          <w:sz w:val="28"/>
          <w:szCs w:val="28"/>
          <w:rtl/>
        </w:rPr>
        <w:t>، دال إحصائيًا</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وبالنجاح المؤسسي</w:t>
      </w:r>
      <w:r w:rsidRPr="00545ABB">
        <w:rPr>
          <w:rFonts w:ascii="Traditional Arabic" w:hAnsi="Traditional Arabic" w:cs="Traditional Arabic"/>
          <w:color w:val="000000" w:themeColor="text1"/>
          <w:sz w:val="28"/>
          <w:szCs w:val="28"/>
        </w:rPr>
        <w:t xml:space="preserve"> (R = 0.990</w:t>
      </w:r>
      <w:r w:rsidRPr="00545ABB">
        <w:rPr>
          <w:rFonts w:ascii="Traditional Arabic" w:hAnsi="Traditional Arabic" w:cs="Traditional Arabic"/>
          <w:color w:val="000000" w:themeColor="text1"/>
          <w:sz w:val="28"/>
          <w:szCs w:val="28"/>
          <w:rtl/>
        </w:rPr>
        <w:t>، دال إحصائيًا</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هذه النتائج تدل على أن المؤسسات التي تطبق ممارسات حوكمة فعالة تتمتع بقدرة أكبر على تحقيق الاستدامة المؤسسية وتعزيز النجاح المؤسسي</w:t>
      </w:r>
      <w:r w:rsidRPr="00545ABB">
        <w:rPr>
          <w:rFonts w:ascii="Traditional Arabic" w:hAnsi="Traditional Arabic" w:cs="Traditional Arabic"/>
          <w:color w:val="000000" w:themeColor="text1"/>
          <w:sz w:val="28"/>
          <w:szCs w:val="28"/>
        </w:rPr>
        <w:t>.</w:t>
      </w:r>
    </w:p>
    <w:p w14:paraId="2E61C65F"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tl/>
        </w:rPr>
      </w:pPr>
      <w:r w:rsidRPr="00545ABB">
        <w:rPr>
          <w:rFonts w:ascii="Traditional Arabic" w:hAnsi="Traditional Arabic" w:cs="Traditional Arabic"/>
          <w:color w:val="000000" w:themeColor="text1"/>
          <w:sz w:val="28"/>
          <w:szCs w:val="28"/>
          <w:rtl/>
        </w:rPr>
        <w:t>يعكس هذا الترابط القوي الدور المحوري للحوكمة في دعم الأداء المؤسسي واستمرارية العمليات، كما يبرز أهمية التركيز على تطوير ممارسات الحوكمة ضمن السياسات الاستراتيجية للمؤسسات لضمان نتائج مستدامة ونجاح طويل الأمد</w:t>
      </w:r>
      <w:r w:rsidRPr="00545ABB">
        <w:rPr>
          <w:rFonts w:ascii="Traditional Arabic" w:hAnsi="Traditional Arabic" w:cs="Traditional Arabic"/>
          <w:color w:val="000000" w:themeColor="text1"/>
          <w:sz w:val="28"/>
          <w:szCs w:val="28"/>
        </w:rPr>
        <w:t>.</w:t>
      </w:r>
    </w:p>
    <w:p w14:paraId="6937E71F" w14:textId="351ED690" w:rsidR="00F201D6" w:rsidRPr="00545ABB" w:rsidRDefault="00F201D6" w:rsidP="002174D5">
      <w:pPr>
        <w:pStyle w:val="Heading2"/>
        <w:bidi/>
        <w:rPr>
          <w:rFonts w:ascii="Traditional Arabic" w:eastAsia="Times New Roman" w:hAnsi="Traditional Arabic" w:cs="Traditional Arabic"/>
          <w:color w:val="000000" w:themeColor="text1"/>
        </w:rPr>
      </w:pPr>
      <w:bookmarkStart w:id="148" w:name="_Toc242325300"/>
      <w:r w:rsidRPr="00545ABB">
        <w:rPr>
          <w:rFonts w:ascii="Traditional Arabic" w:eastAsia="Times New Roman" w:hAnsi="Traditional Arabic" w:cs="Traditional Arabic"/>
          <w:color w:val="000000" w:themeColor="text1"/>
          <w:rtl/>
        </w:rPr>
        <w:t>الدلالة على الفرضيات</w:t>
      </w:r>
      <w:r w:rsidRPr="00545ABB">
        <w:rPr>
          <w:rFonts w:ascii="Traditional Arabic" w:eastAsia="Times New Roman" w:hAnsi="Traditional Arabic" w:cs="Traditional Arabic"/>
          <w:color w:val="000000" w:themeColor="text1"/>
        </w:rPr>
        <w:t>:</w:t>
      </w:r>
      <w:bookmarkEnd w:id="148"/>
    </w:p>
    <w:p w14:paraId="568EFFC6" w14:textId="77777777" w:rsidR="002874C7" w:rsidRPr="00545ABB" w:rsidRDefault="002874C7" w:rsidP="00D95153">
      <w:pPr>
        <w:numPr>
          <w:ilvl w:val="0"/>
          <w:numId w:val="8"/>
        </w:numPr>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الفرض الأول</w:t>
      </w:r>
      <w:r w:rsidRPr="00545ABB">
        <w:rPr>
          <w:rFonts w:ascii="Traditional Arabic" w:hAnsi="Traditional Arabic" w:cs="Traditional Arabic"/>
          <w:b/>
          <w:bCs/>
          <w:color w:val="000000" w:themeColor="text1"/>
          <w:sz w:val="28"/>
          <w:szCs w:val="28"/>
        </w:rPr>
        <w:t>:</w:t>
      </w:r>
    </w:p>
    <w:p w14:paraId="46F7446B"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محتوى الفرض: توجد علاقة ذات دلالة إحصائية بين مستوى الحوكمة الفعالة ونجاح الشركات الناشئة في مجال الأمن السيبراني</w:t>
      </w:r>
      <w:r w:rsidRPr="00545ABB">
        <w:rPr>
          <w:rFonts w:ascii="Traditional Arabic" w:hAnsi="Traditional Arabic" w:cs="Traditional Arabic"/>
          <w:color w:val="000000" w:themeColor="text1"/>
          <w:sz w:val="28"/>
          <w:szCs w:val="28"/>
        </w:rPr>
        <w:t>.</w:t>
      </w:r>
    </w:p>
    <w:p w14:paraId="17088F85"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الدليل</w:t>
      </w:r>
      <w:r w:rsidRPr="00545ABB">
        <w:rPr>
          <w:rFonts w:ascii="Traditional Arabic" w:hAnsi="Traditional Arabic" w:cs="Traditional Arabic"/>
          <w:color w:val="000000" w:themeColor="text1"/>
          <w:sz w:val="28"/>
          <w:szCs w:val="28"/>
          <w:rtl/>
          <w:lang w:bidi="ar-EG"/>
        </w:rPr>
        <w:t xml:space="preserve">: </w:t>
      </w:r>
      <w:r w:rsidRPr="00545ABB">
        <w:rPr>
          <w:rFonts w:ascii="Traditional Arabic" w:hAnsi="Traditional Arabic" w:cs="Traditional Arabic"/>
          <w:color w:val="000000" w:themeColor="text1"/>
          <w:sz w:val="28"/>
          <w:szCs w:val="28"/>
          <w:rtl/>
        </w:rPr>
        <w:t xml:space="preserve">الجدول يظهر </w:t>
      </w:r>
      <w:r w:rsidRPr="00545ABB">
        <w:rPr>
          <w:rFonts w:ascii="Traditional Arabic" w:hAnsi="Traditional Arabic" w:cs="Traditional Arabic"/>
          <w:color w:val="000000" w:themeColor="text1"/>
          <w:sz w:val="28"/>
          <w:szCs w:val="28"/>
        </w:rPr>
        <w:t>R = 0.990</w:t>
      </w:r>
      <w:r w:rsidRPr="00545ABB">
        <w:rPr>
          <w:rFonts w:ascii="Traditional Arabic" w:hAnsi="Traditional Arabic" w:cs="Traditional Arabic"/>
          <w:color w:val="000000" w:themeColor="text1"/>
          <w:sz w:val="28"/>
          <w:szCs w:val="28"/>
          <w:rtl/>
        </w:rPr>
        <w:t>، دال عند مستوى 0.01 بين الحوكمة والنجاح</w:t>
      </w:r>
      <w:r w:rsidRPr="00545ABB">
        <w:rPr>
          <w:rFonts w:ascii="Traditional Arabic" w:hAnsi="Traditional Arabic" w:cs="Traditional Arabic"/>
          <w:color w:val="000000" w:themeColor="text1"/>
          <w:sz w:val="28"/>
          <w:szCs w:val="28"/>
        </w:rPr>
        <w:t>.</w:t>
      </w:r>
    </w:p>
    <w:p w14:paraId="3E76A234" w14:textId="7F9FF5CE" w:rsidR="002874C7" w:rsidRPr="00545ABB" w:rsidRDefault="00E13BD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وبناءً على ذلك، تدعم النتائج الفرض الأول، حيث تشير إلى وجود علاقة ارتباط موجبة قوية وذات دلالة إحصائية بين الحوكمة الفعالة والنجاح المؤسسي</w:t>
      </w:r>
      <w:r w:rsidRPr="00545ABB">
        <w:rPr>
          <w:rFonts w:ascii="Traditional Arabic" w:hAnsi="Traditional Arabic" w:cs="Traditional Arabic"/>
          <w:color w:val="000000" w:themeColor="text1"/>
          <w:sz w:val="28"/>
          <w:szCs w:val="28"/>
          <w:lang w:bidi="ar-EG"/>
        </w:rPr>
        <w:t>.</w:t>
      </w:r>
    </w:p>
    <w:p w14:paraId="68398A44" w14:textId="77777777" w:rsidR="002874C7" w:rsidRPr="00545ABB" w:rsidRDefault="002874C7" w:rsidP="00D95153">
      <w:pPr>
        <w:numPr>
          <w:ilvl w:val="0"/>
          <w:numId w:val="8"/>
        </w:numPr>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الفرض الثاني</w:t>
      </w:r>
      <w:r w:rsidRPr="00545ABB">
        <w:rPr>
          <w:rFonts w:ascii="Traditional Arabic" w:hAnsi="Traditional Arabic" w:cs="Traditional Arabic"/>
          <w:b/>
          <w:bCs/>
          <w:color w:val="000000" w:themeColor="text1"/>
          <w:sz w:val="28"/>
          <w:szCs w:val="28"/>
        </w:rPr>
        <w:t>:</w:t>
      </w:r>
    </w:p>
    <w:p w14:paraId="027A49B1"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محتوى الفرض: تؤثر الحوكمة الفعالة بشكل إيجابي على الاستقرار المالي ونمو الإيرادات في الشركات الناشئة</w:t>
      </w:r>
      <w:r w:rsidRPr="00545ABB">
        <w:rPr>
          <w:rFonts w:ascii="Traditional Arabic" w:hAnsi="Traditional Arabic" w:cs="Traditional Arabic"/>
          <w:color w:val="000000" w:themeColor="text1"/>
          <w:sz w:val="28"/>
          <w:szCs w:val="28"/>
        </w:rPr>
        <w:t>.</w:t>
      </w:r>
    </w:p>
    <w:p w14:paraId="2869CFDD"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الدليل: الحوكمة مرتبطة بالاستدامة</w:t>
      </w:r>
      <w:r w:rsidRPr="00545ABB">
        <w:rPr>
          <w:rFonts w:ascii="Traditional Arabic" w:hAnsi="Traditional Arabic" w:cs="Traditional Arabic"/>
          <w:color w:val="000000" w:themeColor="text1"/>
          <w:sz w:val="28"/>
          <w:szCs w:val="28"/>
        </w:rPr>
        <w:t xml:space="preserve"> R = 0.988</w:t>
      </w:r>
      <w:r w:rsidRPr="00545ABB">
        <w:rPr>
          <w:rFonts w:ascii="Traditional Arabic" w:hAnsi="Traditional Arabic" w:cs="Traditional Arabic"/>
          <w:color w:val="000000" w:themeColor="text1"/>
          <w:sz w:val="28"/>
          <w:szCs w:val="28"/>
          <w:rtl/>
        </w:rPr>
        <w:t>، دالة إحصائيًا</w:t>
      </w:r>
      <w:r w:rsidRPr="00545ABB">
        <w:rPr>
          <w:rFonts w:ascii="Traditional Arabic" w:hAnsi="Traditional Arabic" w:cs="Traditional Arabic"/>
          <w:color w:val="000000" w:themeColor="text1"/>
          <w:sz w:val="28"/>
          <w:szCs w:val="28"/>
        </w:rPr>
        <w:t>.</w:t>
      </w:r>
    </w:p>
    <w:p w14:paraId="7E580C7A" w14:textId="2378A24F" w:rsidR="002874C7" w:rsidRPr="00545ABB" w:rsidRDefault="00E13BD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lastRenderedPageBreak/>
        <w:t>وتدعم النتائج الفرض الثاني في حدود ما تم قياسه ضمن أبعاد الاستدامة المؤسسية، حيث أظهرت النتائج وجود علاقة ارتباط موجبة قوية وذات دلالة إحصائية بين الحوكمة الفعالة والاستدامة المؤسسية</w:t>
      </w:r>
      <w:r w:rsidR="002874C7" w:rsidRPr="00545ABB">
        <w:rPr>
          <w:rFonts w:ascii="Traditional Arabic" w:hAnsi="Traditional Arabic" w:cs="Traditional Arabic"/>
          <w:color w:val="000000" w:themeColor="text1"/>
          <w:sz w:val="28"/>
          <w:szCs w:val="28"/>
        </w:rPr>
        <w:t>.</w:t>
      </w:r>
    </w:p>
    <w:p w14:paraId="12E3A832" w14:textId="77777777" w:rsidR="002874C7" w:rsidRPr="00545ABB" w:rsidRDefault="002874C7" w:rsidP="00D95153">
      <w:pPr>
        <w:numPr>
          <w:ilvl w:val="0"/>
          <w:numId w:val="8"/>
        </w:numPr>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الفرض الثالث</w:t>
      </w:r>
      <w:r w:rsidRPr="00545ABB">
        <w:rPr>
          <w:rFonts w:ascii="Traditional Arabic" w:hAnsi="Traditional Arabic" w:cs="Traditional Arabic"/>
          <w:b/>
          <w:bCs/>
          <w:color w:val="000000" w:themeColor="text1"/>
          <w:sz w:val="28"/>
          <w:szCs w:val="28"/>
        </w:rPr>
        <w:t>:</w:t>
      </w:r>
    </w:p>
    <w:p w14:paraId="42B85404"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محتوى الفرض: تسهم ممارسات الحوكمة في تعزيز الابتكار داخل الشركات الناشئة</w:t>
      </w:r>
      <w:r w:rsidRPr="00545ABB">
        <w:rPr>
          <w:rFonts w:ascii="Traditional Arabic" w:hAnsi="Traditional Arabic" w:cs="Traditional Arabic"/>
          <w:color w:val="000000" w:themeColor="text1"/>
          <w:sz w:val="28"/>
          <w:szCs w:val="28"/>
        </w:rPr>
        <w:t>.</w:t>
      </w:r>
    </w:p>
    <w:p w14:paraId="347BECBA"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الدليل: الترابط العالي بين الحوكمة والنجاح/الاستدامة يلمح لتأثير إيجابي على الابتكار المؤسسي</w:t>
      </w:r>
      <w:r w:rsidRPr="00545ABB">
        <w:rPr>
          <w:rFonts w:ascii="Traditional Arabic" w:hAnsi="Traditional Arabic" w:cs="Traditional Arabic"/>
          <w:color w:val="000000" w:themeColor="text1"/>
          <w:sz w:val="28"/>
          <w:szCs w:val="28"/>
        </w:rPr>
        <w:t>.</w:t>
      </w:r>
    </w:p>
    <w:p w14:paraId="11357C28" w14:textId="4A48B6CF" w:rsidR="002874C7" w:rsidRPr="00545ABB" w:rsidRDefault="00E13BD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وتشير نتائج الدراسة إلى دعم هذا الفرض في حدود ما تم قياسه ضمن بُعد الابتكار والتكيف، بوصفه أحد أبعاد النجاح المؤسسي. وعليه، فإن النتيجة تعكس ارتباط ممارسات الحوكمة بالقدرة على الابتكار والتكيف، دون التعامل مع الابتكار بوصفه متغيرًا مستقلاً منفصلًا في نموذج الدراسة</w:t>
      </w:r>
      <w:r w:rsidR="002874C7" w:rsidRPr="00545ABB">
        <w:rPr>
          <w:rFonts w:ascii="Traditional Arabic" w:hAnsi="Traditional Arabic" w:cs="Traditional Arabic"/>
          <w:color w:val="000000" w:themeColor="text1"/>
          <w:sz w:val="28"/>
          <w:szCs w:val="28"/>
        </w:rPr>
        <w:t>.</w:t>
      </w:r>
    </w:p>
    <w:p w14:paraId="4BE8C32D" w14:textId="77777777" w:rsidR="002874C7" w:rsidRPr="00545ABB" w:rsidRDefault="002874C7" w:rsidP="00D95153">
      <w:pPr>
        <w:numPr>
          <w:ilvl w:val="0"/>
          <w:numId w:val="8"/>
        </w:numPr>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الفرض الرابع</w:t>
      </w:r>
      <w:r w:rsidRPr="00545ABB">
        <w:rPr>
          <w:rFonts w:ascii="Traditional Arabic" w:hAnsi="Traditional Arabic" w:cs="Traditional Arabic"/>
          <w:b/>
          <w:bCs/>
          <w:color w:val="000000" w:themeColor="text1"/>
          <w:sz w:val="28"/>
          <w:szCs w:val="28"/>
        </w:rPr>
        <w:t>:</w:t>
      </w:r>
    </w:p>
    <w:p w14:paraId="3B947B7A"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محتوى الفرض:</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تلعب الشركات الناشئة في الأمن السيبراني دورًا مهمًا في دعم الاقتصاد الوطني وزيادة الناتج المحلي</w:t>
      </w:r>
      <w:r w:rsidRPr="00545ABB">
        <w:rPr>
          <w:rFonts w:ascii="Traditional Arabic" w:hAnsi="Traditional Arabic" w:cs="Traditional Arabic"/>
          <w:color w:val="000000" w:themeColor="text1"/>
          <w:sz w:val="28"/>
          <w:szCs w:val="28"/>
        </w:rPr>
        <w:t>.</w:t>
      </w:r>
    </w:p>
    <w:p w14:paraId="4A51C0E6"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الدليل: الترابط بين الحوكمة والاستدامة/النجاح يعكس الأداء المؤسسي الجيد، ما يمكن أن يساهم في الاقتصاد المحلي</w:t>
      </w:r>
      <w:r w:rsidRPr="00545ABB">
        <w:rPr>
          <w:rFonts w:ascii="Traditional Arabic" w:hAnsi="Traditional Arabic" w:cs="Traditional Arabic"/>
          <w:color w:val="000000" w:themeColor="text1"/>
          <w:sz w:val="28"/>
          <w:szCs w:val="28"/>
        </w:rPr>
        <w:t>.</w:t>
      </w:r>
    </w:p>
    <w:p w14:paraId="3D621FA1" w14:textId="5B8225C0" w:rsidR="002874C7" w:rsidRPr="00545ABB" w:rsidRDefault="003F6209"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وتدعم نتائج الدراسة هذا الفرض من الناحية التفسيرية، حيث أظهرت النتائج ارتفاع مستوى البعد الاقتصادي للاستدامة المؤسسية بمتوسط حسابي بلغ (3.75). وتشير هذه النتيجة إلى أن استدامة شركات الأمن السيبراني الناشئة ونجاحها يمكن أن يساهما في تعزيز النشاط الاقتصادي وخلق القيمة وفرص العمل. ومع ذلك، فإن الدراسة لم تقس بصورة مباشرة حجم مساهمة هذه الشركات في الناتج المحلي الإجمالي، ولذلك تُفسر هذه النتيجة في حدود المؤشرات التي تناولتها الدراسة</w:t>
      </w:r>
      <w:r w:rsidR="002874C7" w:rsidRPr="00545ABB">
        <w:rPr>
          <w:rFonts w:ascii="Traditional Arabic" w:hAnsi="Traditional Arabic" w:cs="Traditional Arabic"/>
          <w:color w:val="000000" w:themeColor="text1"/>
          <w:sz w:val="28"/>
          <w:szCs w:val="28"/>
        </w:rPr>
        <w:t>.</w:t>
      </w:r>
    </w:p>
    <w:p w14:paraId="786448CA" w14:textId="77777777" w:rsidR="002874C7" w:rsidRPr="00545ABB" w:rsidRDefault="002874C7" w:rsidP="00D95153">
      <w:pPr>
        <w:numPr>
          <w:ilvl w:val="0"/>
          <w:numId w:val="8"/>
        </w:numPr>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الفرض الخامس</w:t>
      </w:r>
      <w:r w:rsidRPr="00545ABB">
        <w:rPr>
          <w:rFonts w:ascii="Traditional Arabic" w:hAnsi="Traditional Arabic" w:cs="Traditional Arabic"/>
          <w:b/>
          <w:bCs/>
          <w:color w:val="000000" w:themeColor="text1"/>
          <w:sz w:val="28"/>
          <w:szCs w:val="28"/>
        </w:rPr>
        <w:t>:</w:t>
      </w:r>
    </w:p>
    <w:p w14:paraId="3A495D67"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محتوى الفرض: يوجد ارتباط إيجابي بين تمكين الحوكمة للشركات الناشئة وتحقيق مستهدفات رؤية المملكة 2030</w:t>
      </w:r>
      <w:r w:rsidRPr="00545ABB">
        <w:rPr>
          <w:rFonts w:ascii="Traditional Arabic" w:hAnsi="Traditional Arabic" w:cs="Traditional Arabic"/>
          <w:color w:val="000000" w:themeColor="text1"/>
          <w:sz w:val="28"/>
          <w:szCs w:val="28"/>
        </w:rPr>
        <w:t>.</w:t>
      </w:r>
    </w:p>
    <w:p w14:paraId="2B91012D" w14:textId="77777777" w:rsidR="002874C7" w:rsidRPr="00545ABB" w:rsidRDefault="002874C7"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الدليل: الحوكمة تؤدي إلى نجاح واستدامة الشركات</w:t>
      </w:r>
      <w:r w:rsidRPr="00545ABB">
        <w:rPr>
          <w:rFonts w:ascii="Traditional Arabic" w:hAnsi="Traditional Arabic" w:cs="Traditional Arabic"/>
          <w:color w:val="000000" w:themeColor="text1"/>
          <w:sz w:val="28"/>
          <w:szCs w:val="28"/>
        </w:rPr>
        <w:t xml:space="preserve"> (R &gt; 0.988)</w:t>
      </w:r>
      <w:r w:rsidRPr="00545ABB">
        <w:rPr>
          <w:rFonts w:ascii="Traditional Arabic" w:hAnsi="Traditional Arabic" w:cs="Traditional Arabic"/>
          <w:color w:val="000000" w:themeColor="text1"/>
          <w:sz w:val="28"/>
          <w:szCs w:val="28"/>
          <w:rtl/>
        </w:rPr>
        <w:t>، ما يتماشى مع أهداف رؤية 2030</w:t>
      </w:r>
      <w:r w:rsidRPr="00545ABB">
        <w:rPr>
          <w:rFonts w:ascii="Traditional Arabic" w:hAnsi="Traditional Arabic" w:cs="Traditional Arabic"/>
          <w:color w:val="000000" w:themeColor="text1"/>
          <w:sz w:val="28"/>
          <w:szCs w:val="28"/>
        </w:rPr>
        <w:t>.</w:t>
      </w:r>
    </w:p>
    <w:p w14:paraId="74E6DD22" w14:textId="27B83A28" w:rsidR="002874C7" w:rsidRPr="00545ABB" w:rsidRDefault="003F6209" w:rsidP="00D95153">
      <w:pPr>
        <w:pStyle w:val="ListParagraph"/>
        <w:numPr>
          <w:ilvl w:val="0"/>
          <w:numId w:val="3"/>
        </w:numPr>
        <w:tabs>
          <w:tab w:val="left" w:pos="1087"/>
        </w:tabs>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lastRenderedPageBreak/>
        <w:t>وتدعم نتائج الدراسة هذا الفرض من الناحية التفسيرية، إذ تشير النتائج المتعلقة بالحوكمة والاستدامة والنجاح المؤسسي إلى أن تعزيز ممارسات الحوكمة في الشركات الناشئة ينسجم مع التوجهات العامة لرؤية المملكة 2030 في دعم الاقتصاد الرقمي وريادة الأعمال والاستدامة. ولا تمثل هذه النتيجة اختبارًا إحصائيًا مباشرًا لمستهدفات الرؤية، وإنما تفسيرًا للنتائج في ضوء السياق الوطني للدراسة</w:t>
      </w:r>
      <w:r w:rsidR="002874C7" w:rsidRPr="00545ABB">
        <w:rPr>
          <w:rFonts w:ascii="Traditional Arabic" w:hAnsi="Traditional Arabic" w:cs="Traditional Arabic"/>
          <w:color w:val="000000" w:themeColor="text1"/>
          <w:sz w:val="28"/>
          <w:szCs w:val="28"/>
        </w:rPr>
        <w:t>.</w:t>
      </w:r>
    </w:p>
    <w:p w14:paraId="1371801C" w14:textId="6880ED5C" w:rsidR="00F201D6" w:rsidRPr="00545ABB" w:rsidRDefault="00F201D6" w:rsidP="002174D5">
      <w:pPr>
        <w:pStyle w:val="Heading2"/>
        <w:bidi/>
        <w:rPr>
          <w:rFonts w:ascii="Traditional Arabic" w:eastAsia="Times New Roman" w:hAnsi="Traditional Arabic" w:cs="Traditional Arabic"/>
          <w:color w:val="000000" w:themeColor="text1"/>
        </w:rPr>
      </w:pPr>
      <w:bookmarkStart w:id="149" w:name="_Toc242325301"/>
      <w:r w:rsidRPr="00545ABB">
        <w:rPr>
          <w:rFonts w:ascii="Traditional Arabic" w:eastAsia="Times New Roman" w:hAnsi="Traditional Arabic" w:cs="Traditional Arabic"/>
          <w:color w:val="000000" w:themeColor="text1"/>
          <w:rtl/>
        </w:rPr>
        <w:t>تلخيص نتائج الفصل:</w:t>
      </w:r>
      <w:bookmarkEnd w:id="149"/>
    </w:p>
    <w:p w14:paraId="3AB4B8BC" w14:textId="77777777" w:rsidR="002874C7" w:rsidRPr="00545ABB" w:rsidRDefault="002874C7" w:rsidP="00022590">
      <w:pPr>
        <w:spacing w:after="0" w:line="360" w:lineRule="auto"/>
        <w:ind w:firstLine="720"/>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يعرض هذا الفصل النتائج التفصيلية للتحليل الإحصائي للبيانات التي تم جمعها من خلال الاستبانة، والتي صُممت لقياس أثر الحوكمة الفعالة بأبعادها المختلفة على الاستدامة المؤسسية والنجاح المؤسسي في شركات الأمن السيبراني الناشئة في المملكة العربية السعودية. تم تطبيق الدراسة على عينة مكونة من 63 موظفًا، تم اختيارهم بعناية لضمان تمثيل الخصائص الديموغرافية المختلفة من حيث الجنس والعمر والمؤهل العلمي والخبرة والمسمى الوظيفي</w:t>
      </w:r>
      <w:r w:rsidRPr="00545ABB">
        <w:rPr>
          <w:rFonts w:ascii="Traditional Arabic" w:hAnsi="Traditional Arabic" w:cs="Traditional Arabic"/>
          <w:color w:val="000000" w:themeColor="text1"/>
          <w:sz w:val="28"/>
          <w:szCs w:val="28"/>
        </w:rPr>
        <w:t>.</w:t>
      </w:r>
    </w:p>
    <w:p w14:paraId="421FD452"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اعتمدت الدراسة على مقياس ليكرت الخماسي (1: أعارض بشدة – 5: أوافق بشدة)، وتم تحليل البيانات باستخدام الأساليب الإحصائية الوصفية والتحليل الارتباطي والانحداري عبر برنامج</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w:t>
      </w:r>
      <w:r w:rsidRPr="00545ABB">
        <w:rPr>
          <w:rFonts w:ascii="Traditional Arabic" w:hAnsi="Traditional Arabic" w:cs="Traditional Arabic"/>
          <w:color w:val="000000" w:themeColor="text1"/>
          <w:sz w:val="28"/>
          <w:szCs w:val="28"/>
        </w:rPr>
        <w:t>SPSS</w:t>
      </w:r>
      <w:r w:rsidRPr="00545ABB">
        <w:rPr>
          <w:rFonts w:ascii="Traditional Arabic" w:hAnsi="Traditional Arabic" w:cs="Traditional Arabic"/>
          <w:color w:val="000000" w:themeColor="text1"/>
          <w:sz w:val="28"/>
          <w:szCs w:val="28"/>
          <w:rtl/>
        </w:rPr>
        <w:t>)، لضمان تفسير علمي دقيق للنتائج وربطها بالإطار النظري والدراسات السابقة</w:t>
      </w:r>
      <w:r w:rsidRPr="00545ABB">
        <w:rPr>
          <w:rFonts w:ascii="Traditional Arabic" w:hAnsi="Traditional Arabic" w:cs="Traditional Arabic"/>
          <w:color w:val="000000" w:themeColor="text1"/>
          <w:sz w:val="28"/>
          <w:szCs w:val="28"/>
        </w:rPr>
        <w:t>.</w:t>
      </w:r>
    </w:p>
    <w:p w14:paraId="5A212754" w14:textId="77777777" w:rsidR="002874C7" w:rsidRPr="00545ABB" w:rsidRDefault="002874C7" w:rsidP="00D95153">
      <w:pPr>
        <w:pStyle w:val="ListParagraph"/>
        <w:numPr>
          <w:ilvl w:val="0"/>
          <w:numId w:val="13"/>
        </w:numPr>
        <w:bidi/>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 xml:space="preserve"> الخصائص الديموغرافية لأفراد العينة</w:t>
      </w:r>
    </w:p>
    <w:p w14:paraId="44EE9DAD"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أظهرت نتائج التحليل أن نسبة الإناث كانت الأعلى (60.3%) مقارنة بالذكور (39.7%). من حيث العمر، كانت الفئة الأقل من 30 سنة هي الأكبر بنسبة 33.3%، تلتها الفئة من 30 إلى أقل من 40 بنسبة 23.8%، ثم الفئة الأكبر من 50 سنة بنسبة 22.2%، وأخيرًا الفئة من 40 إلى أقل من 50 سنة بنسبة 20.6</w:t>
      </w:r>
      <w:r w:rsidRPr="00545ABB">
        <w:rPr>
          <w:rFonts w:ascii="Traditional Arabic" w:hAnsi="Traditional Arabic" w:cs="Traditional Arabic"/>
          <w:color w:val="000000" w:themeColor="text1"/>
          <w:sz w:val="28"/>
          <w:szCs w:val="28"/>
        </w:rPr>
        <w:t>%.</w:t>
      </w:r>
    </w:p>
    <w:p w14:paraId="1123DFB9"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بالنسبة للمؤهل العلمي، جاءت نسبة الحاصلين على البكالوريوس الأعلى (34.9%)، تليها الماجستير (33.3%)، ثم الدكتوراه (31.7%). أما سنوات الخبرة، فكانت أعلى فئة هي أكثر من 15 سنة بنسبة 33.3%، تليها 10–15 سنة بنسبة 31.7%، وأقل من 5 سنوات بنسبة 25.4%، وأخيرًا 5–10 سنوات بنسبة 9.5</w:t>
      </w:r>
      <w:r w:rsidRPr="00545ABB">
        <w:rPr>
          <w:rFonts w:ascii="Traditional Arabic" w:hAnsi="Traditional Arabic" w:cs="Traditional Arabic"/>
          <w:color w:val="000000" w:themeColor="text1"/>
          <w:sz w:val="28"/>
          <w:szCs w:val="28"/>
        </w:rPr>
        <w:t>%.</w:t>
      </w:r>
    </w:p>
    <w:p w14:paraId="284A88EF" w14:textId="77777777" w:rsidR="002874C7" w:rsidRPr="00545ABB" w:rsidRDefault="002874C7" w:rsidP="00D95153">
      <w:pPr>
        <w:pStyle w:val="ListParagraph"/>
        <w:numPr>
          <w:ilvl w:val="0"/>
          <w:numId w:val="13"/>
        </w:numPr>
        <w:bidi/>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نتائج الدراسة المتعلقة بالمتغير المستقل – الحوكمة الفعالة</w:t>
      </w:r>
    </w:p>
    <w:p w14:paraId="4E7412AA"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أظهرت النتائج أن أبعاد الحوكمة الفعالة جاءت جميعها بمستوى مرتفع، مع قوة نسبية تراوحت بين 74% و77%، كما يلي</w:t>
      </w:r>
      <w:r w:rsidRPr="00545ABB">
        <w:rPr>
          <w:rFonts w:ascii="Traditional Arabic" w:hAnsi="Traditional Arabic" w:cs="Traditional Arabic"/>
          <w:color w:val="000000" w:themeColor="text1"/>
          <w:sz w:val="28"/>
          <w:szCs w:val="28"/>
        </w:rPr>
        <w:t>:</w:t>
      </w:r>
    </w:p>
    <w:p w14:paraId="55FCD56E" w14:textId="77777777" w:rsidR="002874C7" w:rsidRPr="00545ABB" w:rsidRDefault="002874C7" w:rsidP="00D95153">
      <w:pPr>
        <w:numPr>
          <w:ilvl w:val="0"/>
          <w:numId w:val="9"/>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lastRenderedPageBreak/>
        <w:t>الشفافية والإفصاح</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أظهرت النتائج أهمية وجود سياسات واضحة وإتاحة البيانات بانتظام ودقة، حيث كان متوسط الاستجابات مرتفعًا (3.61) مع قوة نسبية 76</w:t>
      </w:r>
      <w:r w:rsidRPr="00545ABB">
        <w:rPr>
          <w:rFonts w:ascii="Traditional Arabic" w:hAnsi="Traditional Arabic" w:cs="Traditional Arabic"/>
          <w:color w:val="000000" w:themeColor="text1"/>
          <w:sz w:val="28"/>
          <w:szCs w:val="28"/>
        </w:rPr>
        <w:t>%.</w:t>
      </w:r>
    </w:p>
    <w:p w14:paraId="5F94B659" w14:textId="77777777" w:rsidR="002874C7" w:rsidRPr="00545ABB" w:rsidRDefault="002874C7" w:rsidP="00D95153">
      <w:pPr>
        <w:numPr>
          <w:ilvl w:val="0"/>
          <w:numId w:val="9"/>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المساءلة والمسؤولية</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أظهرت النتائج أهمية تحديد المسؤوليات الوظيفية ووضوح العدالة والشفافية في عمليات المساءلة، بمتوسط 3.84 وقوة نسبية 77</w:t>
      </w:r>
      <w:r w:rsidRPr="00545ABB">
        <w:rPr>
          <w:rFonts w:ascii="Traditional Arabic" w:hAnsi="Traditional Arabic" w:cs="Traditional Arabic"/>
          <w:color w:val="000000" w:themeColor="text1"/>
          <w:sz w:val="28"/>
          <w:szCs w:val="28"/>
        </w:rPr>
        <w:t>%.</w:t>
      </w:r>
    </w:p>
    <w:p w14:paraId="672468EB" w14:textId="77777777" w:rsidR="002874C7" w:rsidRPr="00545ABB" w:rsidRDefault="002874C7" w:rsidP="00D95153">
      <w:pPr>
        <w:numPr>
          <w:ilvl w:val="0"/>
          <w:numId w:val="9"/>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المشاركة في اتخاذ القرار</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كان تشجيع الموظفين على تقديم مقترحات وإشراك الإدارات المختلفة في صياغة القرارات أبرز المحددات، بمتوسط 3.71 وقوة نسبية 74</w:t>
      </w:r>
      <w:r w:rsidRPr="00545ABB">
        <w:rPr>
          <w:rFonts w:ascii="Traditional Arabic" w:hAnsi="Traditional Arabic" w:cs="Traditional Arabic"/>
          <w:color w:val="000000" w:themeColor="text1"/>
          <w:sz w:val="28"/>
          <w:szCs w:val="28"/>
        </w:rPr>
        <w:t>%.</w:t>
      </w:r>
    </w:p>
    <w:p w14:paraId="7AD9F17C" w14:textId="77777777" w:rsidR="002874C7" w:rsidRPr="00545ABB" w:rsidRDefault="002874C7" w:rsidP="00D95153">
      <w:pPr>
        <w:numPr>
          <w:ilvl w:val="0"/>
          <w:numId w:val="9"/>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إدارة المخاطر والالتزام</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أظهرت النتائج أهمية برامج التدريب المستمر وتحديث سياسات الحماية، بمتوسط 3.78 وقوة نسبية 75</w:t>
      </w:r>
      <w:r w:rsidRPr="00545ABB">
        <w:rPr>
          <w:rFonts w:ascii="Traditional Arabic" w:hAnsi="Traditional Arabic" w:cs="Traditional Arabic"/>
          <w:color w:val="000000" w:themeColor="text1"/>
          <w:sz w:val="28"/>
          <w:szCs w:val="28"/>
        </w:rPr>
        <w:t>%.</w:t>
      </w:r>
    </w:p>
    <w:p w14:paraId="16121464" w14:textId="77777777" w:rsidR="002874C7" w:rsidRPr="00545ABB" w:rsidRDefault="002874C7" w:rsidP="00D95153">
      <w:pPr>
        <w:numPr>
          <w:ilvl w:val="0"/>
          <w:numId w:val="9"/>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الكفاءة في استخدام الموارد</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أبرزت النتائج أهمية اعتماد آليات تحسين العمل وتقييم الأداء بانتظام، بمتوسط 3.81 وقوة نسبية 76</w:t>
      </w:r>
      <w:r w:rsidRPr="00545ABB">
        <w:rPr>
          <w:rFonts w:ascii="Traditional Arabic" w:hAnsi="Traditional Arabic" w:cs="Traditional Arabic"/>
          <w:color w:val="000000" w:themeColor="text1"/>
          <w:sz w:val="28"/>
          <w:szCs w:val="28"/>
        </w:rPr>
        <w:t>%.</w:t>
      </w:r>
    </w:p>
    <w:p w14:paraId="4EA4FAFF" w14:textId="77777777" w:rsidR="002874C7" w:rsidRPr="00545ABB" w:rsidRDefault="002874C7" w:rsidP="00D95153">
      <w:pPr>
        <w:pStyle w:val="ListParagraph"/>
        <w:numPr>
          <w:ilvl w:val="0"/>
          <w:numId w:val="13"/>
        </w:numPr>
        <w:bidi/>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 xml:space="preserve"> نتائج الدراسة المتعلقة بالمتغير التابع الأول – الاستدامة المؤسسية</w:t>
      </w:r>
    </w:p>
    <w:p w14:paraId="2A3DEB18"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جاءت أبعاد الاستدامة المؤسسية جميعها بمستوى مرتفع، مع قوة نسبية تراوحت بين 75% و77</w:t>
      </w:r>
      <w:r w:rsidRPr="00545ABB">
        <w:rPr>
          <w:rFonts w:ascii="Traditional Arabic" w:hAnsi="Traditional Arabic" w:cs="Traditional Arabic"/>
          <w:color w:val="000000" w:themeColor="text1"/>
          <w:sz w:val="28"/>
          <w:szCs w:val="28"/>
        </w:rPr>
        <w:t>%:</w:t>
      </w:r>
    </w:p>
    <w:p w14:paraId="2470C51F" w14:textId="77777777" w:rsidR="002874C7" w:rsidRPr="00545ABB" w:rsidRDefault="002874C7" w:rsidP="00D95153">
      <w:pPr>
        <w:numPr>
          <w:ilvl w:val="0"/>
          <w:numId w:val="10"/>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البعد الاقتصادي</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ركزت النتائج على تحقيق الأرباح والنمو المستقبلي المستدام، بمتوسط 3.74 وقوة نسبية 75</w:t>
      </w:r>
      <w:r w:rsidRPr="00545ABB">
        <w:rPr>
          <w:rFonts w:ascii="Traditional Arabic" w:hAnsi="Traditional Arabic" w:cs="Traditional Arabic"/>
          <w:color w:val="000000" w:themeColor="text1"/>
          <w:sz w:val="28"/>
          <w:szCs w:val="28"/>
        </w:rPr>
        <w:t>%.</w:t>
      </w:r>
    </w:p>
    <w:p w14:paraId="15470218" w14:textId="77777777" w:rsidR="002874C7" w:rsidRPr="00545ABB" w:rsidRDefault="002874C7" w:rsidP="00D95153">
      <w:pPr>
        <w:numPr>
          <w:ilvl w:val="0"/>
          <w:numId w:val="10"/>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البعد الاجتماعي</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أبرزت النتائج أهمية بيئة العمل الداعمة والعمل الجماعي، بمتوسط 3.83 وقوة نسبية 77</w:t>
      </w:r>
      <w:r w:rsidRPr="00545ABB">
        <w:rPr>
          <w:rFonts w:ascii="Traditional Arabic" w:hAnsi="Traditional Arabic" w:cs="Traditional Arabic"/>
          <w:color w:val="000000" w:themeColor="text1"/>
          <w:sz w:val="28"/>
          <w:szCs w:val="28"/>
        </w:rPr>
        <w:t>%.</w:t>
      </w:r>
    </w:p>
    <w:p w14:paraId="6027FF4D" w14:textId="77777777" w:rsidR="002874C7" w:rsidRPr="00545ABB" w:rsidRDefault="002874C7" w:rsidP="00D95153">
      <w:pPr>
        <w:numPr>
          <w:ilvl w:val="0"/>
          <w:numId w:val="10"/>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البعد التقني</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أظهرت النتائج أهمية تخصيص الموارد لتطوير المعرفة التقنية والتجدد المستمر للأنظمة، بمتوسط 3.85 وقوة نسبية 77</w:t>
      </w:r>
      <w:r w:rsidRPr="00545ABB">
        <w:rPr>
          <w:rFonts w:ascii="Traditional Arabic" w:hAnsi="Traditional Arabic" w:cs="Traditional Arabic"/>
          <w:color w:val="000000" w:themeColor="text1"/>
          <w:sz w:val="28"/>
          <w:szCs w:val="28"/>
        </w:rPr>
        <w:t>%.</w:t>
      </w:r>
    </w:p>
    <w:p w14:paraId="797A09BB" w14:textId="77777777" w:rsidR="002874C7" w:rsidRPr="00545ABB" w:rsidRDefault="002874C7" w:rsidP="00D95153">
      <w:pPr>
        <w:pStyle w:val="ListParagraph"/>
        <w:numPr>
          <w:ilvl w:val="0"/>
          <w:numId w:val="13"/>
        </w:numPr>
        <w:bidi/>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 xml:space="preserve"> نتائج الدراسة المتعلقة بالمتغير التابع الثاني – النجاح المؤسسي</w:t>
      </w:r>
    </w:p>
    <w:p w14:paraId="59D44630"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تم التأكيد على مستوى مرتفع لجميع أبعاد النجاح المؤسسي، مع قوة نسبية بين 76% و78</w:t>
      </w:r>
      <w:r w:rsidRPr="00545ABB">
        <w:rPr>
          <w:rFonts w:ascii="Traditional Arabic" w:hAnsi="Traditional Arabic" w:cs="Traditional Arabic"/>
          <w:color w:val="000000" w:themeColor="text1"/>
          <w:sz w:val="28"/>
          <w:szCs w:val="28"/>
        </w:rPr>
        <w:t>%:</w:t>
      </w:r>
    </w:p>
    <w:p w14:paraId="3F9597FF" w14:textId="77777777" w:rsidR="002874C7" w:rsidRPr="00545ABB" w:rsidRDefault="002874C7" w:rsidP="00D95153">
      <w:pPr>
        <w:numPr>
          <w:ilvl w:val="0"/>
          <w:numId w:val="11"/>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جودة الأداء الإداري والتقني</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أبرزت النتائج أهمية إجراءات التشغيل الفعالة والأداء المهني للفريق التقني، بمتوسط 3.78 وقوة نسبية 76</w:t>
      </w:r>
      <w:r w:rsidRPr="00545ABB">
        <w:rPr>
          <w:rFonts w:ascii="Traditional Arabic" w:hAnsi="Traditional Arabic" w:cs="Traditional Arabic"/>
          <w:color w:val="000000" w:themeColor="text1"/>
          <w:sz w:val="28"/>
          <w:szCs w:val="28"/>
        </w:rPr>
        <w:t>%.</w:t>
      </w:r>
    </w:p>
    <w:p w14:paraId="68F4F570" w14:textId="77777777" w:rsidR="002874C7" w:rsidRPr="00545ABB" w:rsidRDefault="002874C7" w:rsidP="00D95153">
      <w:pPr>
        <w:numPr>
          <w:ilvl w:val="0"/>
          <w:numId w:val="11"/>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lastRenderedPageBreak/>
        <w:t>الكفاءة التشغيلية</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أكدت النتائج على استغلال الموارد التشغيلية بشكل فعال وتحقيق إنتاجية عالية، بمتوسط 3.78 وقوة نسبية 76</w:t>
      </w:r>
      <w:r w:rsidRPr="00545ABB">
        <w:rPr>
          <w:rFonts w:ascii="Traditional Arabic" w:hAnsi="Traditional Arabic" w:cs="Traditional Arabic"/>
          <w:color w:val="000000" w:themeColor="text1"/>
          <w:sz w:val="28"/>
          <w:szCs w:val="28"/>
        </w:rPr>
        <w:t>%.</w:t>
      </w:r>
    </w:p>
    <w:p w14:paraId="1878C7CB" w14:textId="77777777" w:rsidR="002874C7" w:rsidRPr="00545ABB" w:rsidRDefault="002874C7" w:rsidP="00D95153">
      <w:pPr>
        <w:numPr>
          <w:ilvl w:val="0"/>
          <w:numId w:val="11"/>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الابتكار والتكيف</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أظهرت النتائج أهمية تشجيع ثقافة الابتكار وحلول مبتكرة لمواجهة التحديات التقنية، بمتوسط 3.58 وقوة نسبية 77</w:t>
      </w:r>
      <w:r w:rsidRPr="00545ABB">
        <w:rPr>
          <w:rFonts w:ascii="Traditional Arabic" w:hAnsi="Traditional Arabic" w:cs="Traditional Arabic"/>
          <w:color w:val="000000" w:themeColor="text1"/>
          <w:sz w:val="28"/>
          <w:szCs w:val="28"/>
        </w:rPr>
        <w:t>%.</w:t>
      </w:r>
    </w:p>
    <w:p w14:paraId="6C95851E" w14:textId="77777777" w:rsidR="002874C7" w:rsidRPr="00545ABB" w:rsidRDefault="002874C7" w:rsidP="00D95153">
      <w:pPr>
        <w:numPr>
          <w:ilvl w:val="0"/>
          <w:numId w:val="11"/>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رضا العملاء والنمو المؤسسي</w:t>
      </w:r>
      <w:r w:rsidRPr="00545ABB">
        <w:rPr>
          <w:rFonts w:ascii="Traditional Arabic" w:hAnsi="Traditional Arabic" w:cs="Traditional Arabic"/>
          <w:b/>
          <w:bCs/>
          <w:color w:val="000000" w:themeColor="text1"/>
          <w:sz w:val="28"/>
          <w:szCs w:val="28"/>
        </w:rPr>
        <w:t>:</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أظهرت النتائج أن السمعة المهنية الجيدة ورضا العملاء عوامل أساسية في النمو المؤسسي، بمتوسط 3.88 وقوة نسبية 78</w:t>
      </w:r>
      <w:r w:rsidRPr="00545ABB">
        <w:rPr>
          <w:rFonts w:ascii="Traditional Arabic" w:hAnsi="Traditional Arabic" w:cs="Traditional Arabic"/>
          <w:color w:val="000000" w:themeColor="text1"/>
          <w:sz w:val="28"/>
          <w:szCs w:val="28"/>
        </w:rPr>
        <w:t>%.</w:t>
      </w:r>
    </w:p>
    <w:p w14:paraId="3F20CFF4" w14:textId="77777777" w:rsidR="002874C7" w:rsidRPr="00545ABB" w:rsidRDefault="002874C7" w:rsidP="00D95153">
      <w:pPr>
        <w:pStyle w:val="ListParagraph"/>
        <w:numPr>
          <w:ilvl w:val="0"/>
          <w:numId w:val="13"/>
        </w:numPr>
        <w:bidi/>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خامسًا: العلاقة بين الحوكمة الفعالة والاستدامة والنجاح المؤسسي</w:t>
      </w:r>
    </w:p>
    <w:p w14:paraId="68D68773"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أثبت تحليل الارتباط وجود علاقة إيجابية قوية جدًا ودالة إحصائيًا بين الحوكمة الفعالة وكل من الاستدامة المؤسسية والنجاح المؤسسي، مما يدل على أن تطبيق ممارسات الحوكمة يسهم مباشرة في تعزيز استدامة الشركات وتحقيق أهدافها الاستراتيجية</w:t>
      </w:r>
      <w:r w:rsidRPr="00545ABB">
        <w:rPr>
          <w:rFonts w:ascii="Traditional Arabic" w:hAnsi="Traditional Arabic" w:cs="Traditional Arabic"/>
          <w:color w:val="000000" w:themeColor="text1"/>
          <w:sz w:val="28"/>
          <w:szCs w:val="28"/>
        </w:rPr>
        <w:t>.</w:t>
      </w:r>
    </w:p>
    <w:p w14:paraId="09172F62" w14:textId="77777777" w:rsidR="002874C7" w:rsidRPr="00545ABB" w:rsidRDefault="002874C7" w:rsidP="00D95153">
      <w:pPr>
        <w:pStyle w:val="ListParagraph"/>
        <w:numPr>
          <w:ilvl w:val="0"/>
          <w:numId w:val="13"/>
        </w:numPr>
        <w:bidi/>
        <w:spacing w:after="0" w:line="360" w:lineRule="auto"/>
        <w:jc w:val="both"/>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الدلالة على الفرضيات</w:t>
      </w:r>
    </w:p>
    <w:p w14:paraId="59816598" w14:textId="77777777" w:rsidR="002874C7" w:rsidRPr="00545ABB" w:rsidRDefault="002874C7" w:rsidP="00D95153">
      <w:pPr>
        <w:numPr>
          <w:ilvl w:val="0"/>
          <w:numId w:val="12"/>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هناك علاقة دالة إحصائيًا بين مستوى الحوكمة الفعالة ونجاح الشركات الناشئة</w:t>
      </w:r>
      <w:r w:rsidRPr="00545ABB">
        <w:rPr>
          <w:rFonts w:ascii="Traditional Arabic" w:hAnsi="Traditional Arabic" w:cs="Traditional Arabic"/>
          <w:color w:val="000000" w:themeColor="text1"/>
          <w:sz w:val="28"/>
          <w:szCs w:val="28"/>
        </w:rPr>
        <w:t>.</w:t>
      </w:r>
    </w:p>
    <w:p w14:paraId="54234B63" w14:textId="77777777" w:rsidR="002874C7" w:rsidRPr="00545ABB" w:rsidRDefault="002874C7" w:rsidP="00D95153">
      <w:pPr>
        <w:numPr>
          <w:ilvl w:val="0"/>
          <w:numId w:val="12"/>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تؤثر الحوكمة الفعالة إيجابيًا على الاستقرار المالي والنمو</w:t>
      </w:r>
      <w:r w:rsidRPr="00545ABB">
        <w:rPr>
          <w:rFonts w:ascii="Traditional Arabic" w:hAnsi="Traditional Arabic" w:cs="Traditional Arabic"/>
          <w:color w:val="000000" w:themeColor="text1"/>
          <w:sz w:val="28"/>
          <w:szCs w:val="28"/>
        </w:rPr>
        <w:t>.</w:t>
      </w:r>
    </w:p>
    <w:p w14:paraId="691006A1" w14:textId="77777777" w:rsidR="002874C7" w:rsidRPr="00545ABB" w:rsidRDefault="002874C7" w:rsidP="00D95153">
      <w:pPr>
        <w:numPr>
          <w:ilvl w:val="0"/>
          <w:numId w:val="12"/>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تسهم ممارسات الحوكمة في تعزيز الابتكار المؤسسي</w:t>
      </w:r>
      <w:r w:rsidRPr="00545ABB">
        <w:rPr>
          <w:rFonts w:ascii="Traditional Arabic" w:hAnsi="Traditional Arabic" w:cs="Traditional Arabic"/>
          <w:color w:val="000000" w:themeColor="text1"/>
          <w:sz w:val="28"/>
          <w:szCs w:val="28"/>
        </w:rPr>
        <w:t>.</w:t>
      </w:r>
    </w:p>
    <w:p w14:paraId="26DB3D62" w14:textId="77777777" w:rsidR="002874C7" w:rsidRPr="00545ABB" w:rsidRDefault="002874C7" w:rsidP="00D95153">
      <w:pPr>
        <w:numPr>
          <w:ilvl w:val="0"/>
          <w:numId w:val="12"/>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الشركات الناشئة في الأمن السيبراني تساهم في دعم الاقتصاد الوطني</w:t>
      </w:r>
      <w:r w:rsidRPr="00545ABB">
        <w:rPr>
          <w:rFonts w:ascii="Traditional Arabic" w:hAnsi="Traditional Arabic" w:cs="Traditional Arabic"/>
          <w:color w:val="000000" w:themeColor="text1"/>
          <w:sz w:val="28"/>
          <w:szCs w:val="28"/>
        </w:rPr>
        <w:t>.</w:t>
      </w:r>
    </w:p>
    <w:p w14:paraId="43CEABD9" w14:textId="77777777" w:rsidR="002874C7" w:rsidRPr="00545ABB" w:rsidRDefault="002874C7" w:rsidP="00D95153">
      <w:pPr>
        <w:numPr>
          <w:ilvl w:val="0"/>
          <w:numId w:val="12"/>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تمكين الحوكمة للشركات الناشئة يعزز تحقيق أهداف رؤية المملكة 2030</w:t>
      </w:r>
      <w:r w:rsidRPr="00545ABB">
        <w:rPr>
          <w:rFonts w:ascii="Traditional Arabic" w:hAnsi="Traditional Arabic" w:cs="Traditional Arabic"/>
          <w:color w:val="000000" w:themeColor="text1"/>
          <w:sz w:val="28"/>
          <w:szCs w:val="28"/>
        </w:rPr>
        <w:t>.</w:t>
      </w:r>
    </w:p>
    <w:p w14:paraId="6AA3761A" w14:textId="77777777" w:rsidR="002874C7" w:rsidRPr="00545ABB" w:rsidRDefault="002874C7"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b/>
          <w:bCs/>
          <w:color w:val="000000" w:themeColor="text1"/>
          <w:sz w:val="28"/>
          <w:szCs w:val="28"/>
          <w:rtl/>
        </w:rPr>
        <w:t xml:space="preserve">ونستنتج مما سبق </w:t>
      </w:r>
      <w:r w:rsidRPr="00545ABB">
        <w:rPr>
          <w:rFonts w:ascii="Traditional Arabic" w:hAnsi="Traditional Arabic" w:cs="Traditional Arabic"/>
          <w:color w:val="000000" w:themeColor="text1"/>
          <w:sz w:val="28"/>
          <w:szCs w:val="28"/>
          <w:rtl/>
        </w:rPr>
        <w:t>تأكيد نتائج الدراسة أن الحوكمة الفعالة تمثل عنصرًا أساسيًا في دعم استدامة ونجاح شركات الأمن السيبراني الناشئة، وأن تطبيق مبادئها بشكل متكامل يسهم في تحسين الأداء المؤسسي، تعزيز الابتكار، رفع الإنتاجية، وتطوير البيئة المؤسسية بما يتوافق مع أهداف استراتيجية المملكة ورؤية 2030</w:t>
      </w:r>
      <w:r w:rsidRPr="00545ABB">
        <w:rPr>
          <w:rFonts w:ascii="Traditional Arabic" w:hAnsi="Traditional Arabic" w:cs="Traditional Arabic"/>
          <w:color w:val="000000" w:themeColor="text1"/>
          <w:sz w:val="28"/>
          <w:szCs w:val="28"/>
        </w:rPr>
        <w:t>.</w:t>
      </w:r>
    </w:p>
    <w:p w14:paraId="1BF6AE38" w14:textId="01D11D59" w:rsidR="002874C7" w:rsidRPr="005D773F" w:rsidRDefault="00EF5263" w:rsidP="002174D5">
      <w:pPr>
        <w:pStyle w:val="Heading2"/>
        <w:bidi/>
        <w:rPr>
          <w:rFonts w:ascii="Traditional Arabic" w:hAnsi="Traditional Arabic" w:cs="Traditional Arabic"/>
          <w:b/>
          <w:bCs/>
          <w:color w:val="000000" w:themeColor="text1"/>
          <w:rtl/>
        </w:rPr>
      </w:pPr>
      <w:bookmarkStart w:id="150" w:name="_Toc242325302"/>
      <w:r w:rsidRPr="005D773F">
        <w:rPr>
          <w:rFonts w:ascii="Traditional Arabic" w:hAnsi="Traditional Arabic" w:cs="Traditional Arabic"/>
          <w:b/>
          <w:bCs/>
          <w:color w:val="000000" w:themeColor="text1"/>
          <w:rtl/>
        </w:rPr>
        <w:lastRenderedPageBreak/>
        <w:t>خاتمة</w:t>
      </w:r>
      <w:bookmarkEnd w:id="150"/>
    </w:p>
    <w:p w14:paraId="65BFBE3E" w14:textId="22558E52" w:rsidR="00EF5263" w:rsidRPr="00545ABB" w:rsidRDefault="00EF5263" w:rsidP="00EF5263">
      <w:pPr>
        <w:pStyle w:val="ListParagraph"/>
        <w:bidi/>
        <w:spacing w:after="0" w:line="360" w:lineRule="auto"/>
        <w:ind w:left="0"/>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يُمثل هذا الفصل المحور التحليلي الجوهري لهذه الدراسة، حيث تم فيه عرض وتفصيل النتائج الإحصائية المستخلصة من تحليل البيانات التي تم جمعها عبر أداة الاستبانة من عينة الدراسة المكونة من (63) مفردة من العاملين في شركات الأمن السيبراني الناشئة في المملكة العربية السعودية. وقد تم تحليل هذه البيانات باستخدام برنامج</w:t>
      </w:r>
      <w:r w:rsidRPr="00545ABB">
        <w:rPr>
          <w:rFonts w:ascii="Traditional Arabic" w:hAnsi="Traditional Arabic" w:cs="Traditional Arabic"/>
          <w:color w:val="000000" w:themeColor="text1"/>
          <w:sz w:val="28"/>
          <w:szCs w:val="28"/>
        </w:rPr>
        <w:t xml:space="preserve"> SPSS</w:t>
      </w:r>
      <w:r w:rsidRPr="00545ABB">
        <w:rPr>
          <w:rFonts w:ascii="Traditional Arabic" w:hAnsi="Traditional Arabic" w:cs="Traditional Arabic"/>
          <w:color w:val="000000" w:themeColor="text1"/>
          <w:sz w:val="28"/>
          <w:szCs w:val="28"/>
          <w:rtl/>
        </w:rPr>
        <w:t>، ووفق الأساليب الإحصائية التي تم تحديدها في الفصل الثالث، وذلك بهدف اختبار فروض الدراسة والإجابة عن تساؤلاتها البحثية</w:t>
      </w:r>
      <w:r w:rsidRPr="00545ABB">
        <w:rPr>
          <w:rFonts w:ascii="Traditional Arabic" w:hAnsi="Traditional Arabic" w:cs="Traditional Arabic"/>
          <w:color w:val="000000" w:themeColor="text1"/>
          <w:sz w:val="28"/>
          <w:szCs w:val="28"/>
        </w:rPr>
        <w:t>.</w:t>
      </w:r>
    </w:p>
    <w:p w14:paraId="07F24245" w14:textId="035A9B9B" w:rsidR="00EF5263" w:rsidRPr="00545ABB" w:rsidRDefault="00EF5263" w:rsidP="00EF5263">
      <w:pPr>
        <w:pStyle w:val="ListParagraph"/>
        <w:bidi/>
        <w:spacing w:after="0" w:line="360" w:lineRule="auto"/>
        <w:ind w:left="0"/>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 xml:space="preserve">وأظهرت النتائج الوصفية أن مستوى تطبيق الحوكمة الفعالة في الشركات الناشئة جاء مرتفعًا في جميع أبعادها، حيث تراوحت المتوسطات الحسابية بين (3.61) و(3.84)، وتراوحت القوى النسبية بين (74%) و(77%)، مما يعكس إدراكًا مؤسسيًا متزايدًا لأهمية ممارسات الحوكمة في تعزيز الأداء المؤسسي. كما جاءت مستويات الاستدامة المؤسسية والنجاح المؤسسي مرتفعة أيضًا، مما يشير إلى قدرة هذه الشركات على تحقيق توازن بين متطلبات النمو، والابتكار، </w:t>
      </w:r>
      <w:r w:rsidR="002174D5" w:rsidRPr="00545ABB">
        <w:rPr>
          <w:rFonts w:ascii="Traditional Arabic" w:hAnsi="Traditional Arabic" w:cs="Traditional Arabic"/>
          <w:color w:val="000000" w:themeColor="text1"/>
          <w:sz w:val="28"/>
          <w:szCs w:val="28"/>
          <w:rtl/>
        </w:rPr>
        <w:t>ومتطلبات الامتثال ،</w:t>
      </w:r>
      <w:r w:rsidRPr="00545ABB">
        <w:rPr>
          <w:rFonts w:ascii="Traditional Arabic" w:hAnsi="Traditional Arabic" w:cs="Traditional Arabic"/>
          <w:color w:val="000000" w:themeColor="text1"/>
          <w:sz w:val="28"/>
          <w:szCs w:val="28"/>
          <w:rtl/>
        </w:rPr>
        <w:t>والرقابة</w:t>
      </w:r>
      <w:r w:rsidRPr="00545ABB">
        <w:rPr>
          <w:rFonts w:ascii="Traditional Arabic" w:hAnsi="Traditional Arabic" w:cs="Traditional Arabic"/>
          <w:color w:val="000000" w:themeColor="text1"/>
          <w:sz w:val="28"/>
          <w:szCs w:val="28"/>
        </w:rPr>
        <w:t>.</w:t>
      </w:r>
    </w:p>
    <w:p w14:paraId="73E4FA33" w14:textId="620A4B34" w:rsidR="00EF5263" w:rsidRPr="00545ABB" w:rsidRDefault="00EF5263" w:rsidP="00121E8F">
      <w:pPr>
        <w:pStyle w:val="ListParagraph"/>
        <w:bidi/>
        <w:spacing w:after="0" w:line="360" w:lineRule="auto"/>
        <w:ind w:left="0"/>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أما على صعيد اختبار الفروض، فقد أثبتت النتائج وجود علاقة ارتباط موجبة قوية جدًا ودالة إحصائيًا بين الحوكمة الفعالة وكل من الاستدامة المؤسسية</w:t>
      </w:r>
      <w:r w:rsidRPr="00545ABB">
        <w:rPr>
          <w:rFonts w:ascii="Traditional Arabic" w:hAnsi="Traditional Arabic" w:cs="Traditional Arabic"/>
          <w:color w:val="000000" w:themeColor="text1"/>
          <w:sz w:val="28"/>
          <w:szCs w:val="28"/>
        </w:rPr>
        <w:t xml:space="preserve"> (R=0.988) </w:t>
      </w:r>
      <w:r w:rsidRPr="00545ABB">
        <w:rPr>
          <w:rFonts w:ascii="Traditional Arabic" w:hAnsi="Traditional Arabic" w:cs="Traditional Arabic"/>
          <w:color w:val="000000" w:themeColor="text1"/>
          <w:sz w:val="28"/>
          <w:szCs w:val="28"/>
          <w:rtl/>
        </w:rPr>
        <w:t>والنجاح المؤسسي</w:t>
      </w:r>
      <w:r w:rsidRPr="00545ABB">
        <w:rPr>
          <w:rFonts w:ascii="Traditional Arabic" w:hAnsi="Traditional Arabic" w:cs="Traditional Arabic"/>
          <w:color w:val="000000" w:themeColor="text1"/>
          <w:sz w:val="28"/>
          <w:szCs w:val="28"/>
        </w:rPr>
        <w:t xml:space="preserve"> (R=0.990</w:t>
      </w:r>
      <w:r w:rsidR="003532D4" w:rsidRPr="00545ABB">
        <w:rPr>
          <w:color w:val="000000" w:themeColor="text1"/>
          <w:rtl/>
        </w:rPr>
        <w:t xml:space="preserve"> </w:t>
      </w:r>
      <w:r w:rsidR="003532D4" w:rsidRPr="00545ABB">
        <w:rPr>
          <w:rFonts w:ascii="Traditional Arabic" w:hAnsi="Traditional Arabic" w:cs="Traditional Arabic"/>
          <w:color w:val="000000" w:themeColor="text1"/>
          <w:sz w:val="28"/>
          <w:szCs w:val="28"/>
          <w:rtl/>
        </w:rPr>
        <w:t>وهو ما يقدم دعمًا إحصائيًا مباشرًا للفروض المرتبطة بالعلاقة بين الحوكمة الفعالة وكل من الاستدامة المؤسسية والنجاح المؤسسي، في حين تم تفسير الفروض الأخرى المتعلقة بالابتكار والاقتصاد الوطني ورؤية المملكة 2030 في ضوء الأبعاد التي قاستها الدراسة والنتائج التي توصلت إليها</w:t>
      </w:r>
      <w:r w:rsidRPr="00545ABB">
        <w:rPr>
          <w:rFonts w:ascii="Traditional Arabic" w:hAnsi="Traditional Arabic" w:cs="Traditional Arabic"/>
          <w:color w:val="000000" w:themeColor="text1"/>
          <w:sz w:val="28"/>
          <w:szCs w:val="28"/>
          <w:rtl/>
        </w:rPr>
        <w:t xml:space="preserve">. وتشير هذه النتائج إلى أن تحسين ممارسات الحوكمة يُعد </w:t>
      </w:r>
      <w:r w:rsidR="00121E8F" w:rsidRPr="00545ABB">
        <w:rPr>
          <w:rFonts w:ascii="Traditional Arabic" w:hAnsi="Traditional Arabic" w:cs="Traditional Arabic"/>
          <w:color w:val="000000" w:themeColor="text1"/>
          <w:sz w:val="28"/>
          <w:szCs w:val="28"/>
          <w:rtl/>
        </w:rPr>
        <w:t>عاملًا مهمًا يرتبط إيجابيًا</w:t>
      </w:r>
      <w:r w:rsidR="00121E8F" w:rsidRPr="00545ABB">
        <w:rPr>
          <w:rFonts w:ascii="Traditional Arabic" w:hAnsi="Traditional Arabic" w:cs="Traditional Arabic" w:hint="cs"/>
          <w:color w:val="000000" w:themeColor="text1"/>
          <w:sz w:val="28"/>
          <w:szCs w:val="28"/>
          <w:rtl/>
        </w:rPr>
        <w:t xml:space="preserve"> </w:t>
      </w:r>
      <w:r w:rsidRPr="00545ABB">
        <w:rPr>
          <w:rFonts w:ascii="Traditional Arabic" w:hAnsi="Traditional Arabic" w:cs="Traditional Arabic"/>
          <w:color w:val="000000" w:themeColor="text1"/>
          <w:sz w:val="28"/>
          <w:szCs w:val="28"/>
          <w:rtl/>
        </w:rPr>
        <w:t>ومباشرًا في رفع مستوى الاستدامة المؤسسية وتعزيز النجاح المؤسسي في شركات الأمن السيبراني الناشئة، كما تعكس الدور المحوري للحوكمة في دعم الاقتصاد الوطني وتحقيق مستهدفات رؤية المملكة 2030</w:t>
      </w:r>
      <w:r w:rsidRPr="00545ABB">
        <w:rPr>
          <w:rFonts w:ascii="Traditional Arabic" w:hAnsi="Traditional Arabic" w:cs="Traditional Arabic"/>
          <w:color w:val="000000" w:themeColor="text1"/>
          <w:sz w:val="28"/>
          <w:szCs w:val="28"/>
        </w:rPr>
        <w:t>.</w:t>
      </w:r>
    </w:p>
    <w:p w14:paraId="325F6C04" w14:textId="77777777" w:rsidR="00EF5263" w:rsidRPr="00545ABB" w:rsidRDefault="00EF5263" w:rsidP="00EF5263">
      <w:pPr>
        <w:pStyle w:val="ListParagraph"/>
        <w:bidi/>
        <w:spacing w:after="0" w:line="360" w:lineRule="auto"/>
        <w:ind w:left="0"/>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وتُعد هذه النتائج إسهامًا علميًا متميزًا، إذ تقدم دليلًا كميًا قويًا على العلاقة التكاملية بين الحوكمة والأداء المؤسسي في سياق قطاعي حيوي ومتجدد، وهو ما يضيف إلى الأدبيات الأكاديمية في مجال إدارة الأعمال والتحول الرقمي، ويفتح آفاقًا واسعة للتطبيقات العملية والسياسات التنظيمية الداعمة لاستدامة ونجاح الشركات الناشئة في المملكة العربية السعودية</w:t>
      </w:r>
      <w:r w:rsidRPr="00545ABB">
        <w:rPr>
          <w:rFonts w:ascii="Traditional Arabic" w:hAnsi="Traditional Arabic" w:cs="Traditional Arabic"/>
          <w:color w:val="000000" w:themeColor="text1"/>
          <w:sz w:val="28"/>
          <w:szCs w:val="28"/>
        </w:rPr>
        <w:t>.</w:t>
      </w:r>
    </w:p>
    <w:p w14:paraId="41F22C84" w14:textId="77777777" w:rsidR="00EF5263" w:rsidRPr="00545ABB" w:rsidRDefault="00EF5263" w:rsidP="00EF5263">
      <w:pPr>
        <w:pStyle w:val="ListParagraph"/>
        <w:bidi/>
        <w:spacing w:after="0" w:line="360" w:lineRule="auto"/>
        <w:ind w:left="502"/>
        <w:rPr>
          <w:rFonts w:ascii="Traditional Arabic" w:hAnsi="Traditional Arabic" w:cs="Traditional Arabic"/>
          <w:b/>
          <w:bCs/>
          <w:color w:val="000000" w:themeColor="text1"/>
          <w:sz w:val="32"/>
          <w:szCs w:val="32"/>
          <w:rtl/>
        </w:rPr>
      </w:pPr>
    </w:p>
    <w:p w14:paraId="6FB5A437" w14:textId="388AD27E" w:rsidR="00A8308E" w:rsidRPr="00545ABB" w:rsidRDefault="00A8308E" w:rsidP="00AD6D38">
      <w:pPr>
        <w:spacing w:after="0" w:line="360" w:lineRule="auto"/>
        <w:rPr>
          <w:rFonts w:ascii="Traditional Arabic" w:hAnsi="Traditional Arabic" w:cs="Traditional Arabic"/>
          <w:b/>
          <w:bCs/>
          <w:color w:val="000000" w:themeColor="text1"/>
          <w:sz w:val="32"/>
          <w:szCs w:val="32"/>
        </w:rPr>
      </w:pPr>
    </w:p>
    <w:p w14:paraId="72AE5B80" w14:textId="2FFB62CE" w:rsidR="00D97E5C" w:rsidRPr="00545ABB" w:rsidRDefault="00D97E5C" w:rsidP="002174D5">
      <w:pPr>
        <w:pStyle w:val="Heading1"/>
        <w:bidi/>
        <w:jc w:val="center"/>
        <w:rPr>
          <w:rFonts w:ascii="Traditional Arabic" w:hAnsi="Traditional Arabic" w:cs="Traditional Arabic"/>
          <w:color w:val="000000" w:themeColor="text1"/>
          <w:sz w:val="32"/>
          <w:szCs w:val="32"/>
          <w:rtl/>
          <w:lang w:bidi="ar-EG"/>
        </w:rPr>
      </w:pPr>
      <w:bookmarkStart w:id="151" w:name="_Toc242325303"/>
      <w:r w:rsidRPr="00545ABB">
        <w:rPr>
          <w:rFonts w:ascii="Traditional Arabic" w:hAnsi="Traditional Arabic" w:cs="Traditional Arabic"/>
          <w:color w:val="000000" w:themeColor="text1"/>
          <w:sz w:val="32"/>
          <w:szCs w:val="32"/>
          <w:rtl/>
          <w:lang w:bidi="ar-EG"/>
        </w:rPr>
        <w:lastRenderedPageBreak/>
        <w:t>الفصل الخامس</w:t>
      </w:r>
      <w:bookmarkEnd w:id="151"/>
    </w:p>
    <w:p w14:paraId="25F934F0" w14:textId="16B2603B" w:rsidR="00D97E5C" w:rsidRPr="00545ABB" w:rsidRDefault="0028264A" w:rsidP="002174D5">
      <w:pPr>
        <w:pStyle w:val="Heading1"/>
        <w:bidi/>
        <w:jc w:val="center"/>
        <w:rPr>
          <w:rFonts w:ascii="Traditional Arabic" w:hAnsi="Traditional Arabic" w:cs="Traditional Arabic"/>
          <w:color w:val="000000" w:themeColor="text1"/>
          <w:sz w:val="32"/>
          <w:szCs w:val="32"/>
          <w:rtl/>
          <w:lang w:bidi="ar-EG"/>
        </w:rPr>
      </w:pPr>
      <w:bookmarkStart w:id="152" w:name="_Toc242325304"/>
      <w:r w:rsidRPr="00545ABB">
        <w:rPr>
          <w:rFonts w:ascii="Traditional Arabic" w:hAnsi="Traditional Arabic" w:cs="Traditional Arabic"/>
          <w:color w:val="000000" w:themeColor="text1"/>
          <w:sz w:val="32"/>
          <w:szCs w:val="32"/>
          <w:rtl/>
          <w:lang w:bidi="ar-EG"/>
        </w:rPr>
        <w:t>مناقشة النتائج والتوصيات والدراسات المستقبلية</w:t>
      </w:r>
      <w:bookmarkEnd w:id="152"/>
    </w:p>
    <w:p w14:paraId="6470A357" w14:textId="77777777" w:rsidR="00D97E5C" w:rsidRPr="00545ABB" w:rsidRDefault="00D97E5C" w:rsidP="00022590">
      <w:pPr>
        <w:spacing w:after="0" w:line="360" w:lineRule="auto"/>
        <w:rPr>
          <w:rFonts w:ascii="Traditional Arabic" w:hAnsi="Traditional Arabic" w:cs="Traditional Arabic"/>
          <w:b/>
          <w:bCs/>
          <w:color w:val="000000" w:themeColor="text1"/>
          <w:sz w:val="32"/>
          <w:szCs w:val="32"/>
          <w:rtl/>
          <w:lang w:bidi="ar-EG"/>
        </w:rPr>
      </w:pPr>
    </w:p>
    <w:p w14:paraId="50373DBC" w14:textId="5BE6265F" w:rsidR="00D97E5C" w:rsidRPr="00545ABB" w:rsidRDefault="00D97E5C" w:rsidP="00D95153">
      <w:pPr>
        <w:pStyle w:val="ListParagraph"/>
        <w:numPr>
          <w:ilvl w:val="0"/>
          <w:numId w:val="21"/>
        </w:numPr>
        <w:bidi/>
        <w:spacing w:after="0" w:line="360" w:lineRule="auto"/>
        <w:rPr>
          <w:rFonts w:ascii="Traditional Arabic" w:hAnsi="Traditional Arabic" w:cs="Traditional Arabic"/>
          <w:b/>
          <w:bCs/>
          <w:color w:val="000000" w:themeColor="text1"/>
          <w:sz w:val="32"/>
          <w:szCs w:val="32"/>
          <w:rtl/>
        </w:rPr>
      </w:pPr>
      <w:r w:rsidRPr="00545ABB">
        <w:rPr>
          <w:rFonts w:ascii="Traditional Arabic" w:hAnsi="Traditional Arabic" w:cs="Traditional Arabic"/>
          <w:b/>
          <w:bCs/>
          <w:color w:val="000000" w:themeColor="text1"/>
          <w:sz w:val="32"/>
          <w:szCs w:val="32"/>
          <w:rtl/>
        </w:rPr>
        <w:t>مقدمة</w:t>
      </w:r>
    </w:p>
    <w:p w14:paraId="539AB3C1" w14:textId="04C79ABF" w:rsidR="008F58EC" w:rsidRPr="00545ABB" w:rsidRDefault="008F58EC" w:rsidP="00D95153">
      <w:pPr>
        <w:pStyle w:val="ListParagraph"/>
        <w:numPr>
          <w:ilvl w:val="0"/>
          <w:numId w:val="21"/>
        </w:numPr>
        <w:bidi/>
        <w:spacing w:after="0" w:line="360" w:lineRule="auto"/>
        <w:jc w:val="both"/>
        <w:rPr>
          <w:rFonts w:ascii="Traditional Arabic" w:eastAsia="Times New Roman" w:hAnsi="Traditional Arabic" w:cs="Traditional Arabic"/>
          <w:b/>
          <w:bCs/>
          <w:color w:val="000000" w:themeColor="text1"/>
          <w:sz w:val="32"/>
          <w:szCs w:val="32"/>
          <w:rtl/>
        </w:rPr>
      </w:pPr>
      <w:r w:rsidRPr="00545ABB">
        <w:rPr>
          <w:rFonts w:ascii="Traditional Arabic" w:eastAsia="Times New Roman" w:hAnsi="Traditional Arabic" w:cs="Traditional Arabic"/>
          <w:b/>
          <w:bCs/>
          <w:color w:val="000000" w:themeColor="text1"/>
          <w:sz w:val="32"/>
          <w:szCs w:val="32"/>
          <w:rtl/>
        </w:rPr>
        <w:t>مناقشة عامة للنتائج</w:t>
      </w:r>
    </w:p>
    <w:p w14:paraId="70EED6EA" w14:textId="1F6E76C5" w:rsidR="008F58EC" w:rsidRPr="00545ABB" w:rsidRDefault="008F58EC" w:rsidP="00D95153">
      <w:pPr>
        <w:pStyle w:val="ListParagraph"/>
        <w:numPr>
          <w:ilvl w:val="0"/>
          <w:numId w:val="21"/>
        </w:numPr>
        <w:bidi/>
        <w:spacing w:after="0" w:line="360" w:lineRule="auto"/>
        <w:jc w:val="both"/>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الاستنتاج العام للدراسة</w:t>
      </w:r>
    </w:p>
    <w:p w14:paraId="15B7CD1D" w14:textId="1B5B7A45" w:rsidR="008F58EC" w:rsidRPr="00545ABB" w:rsidRDefault="008F58EC" w:rsidP="00D95153">
      <w:pPr>
        <w:pStyle w:val="ListParagraph"/>
        <w:numPr>
          <w:ilvl w:val="0"/>
          <w:numId w:val="21"/>
        </w:numPr>
        <w:bidi/>
        <w:spacing w:after="0" w:line="360" w:lineRule="auto"/>
        <w:jc w:val="both"/>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التوصيات العملية المبنية على النتائج</w:t>
      </w:r>
    </w:p>
    <w:p w14:paraId="47449FFC" w14:textId="6B93ACDD" w:rsidR="008F58EC" w:rsidRPr="00545ABB" w:rsidRDefault="008F58EC" w:rsidP="00D95153">
      <w:pPr>
        <w:pStyle w:val="ListParagraph"/>
        <w:numPr>
          <w:ilvl w:val="0"/>
          <w:numId w:val="21"/>
        </w:numPr>
        <w:bidi/>
        <w:spacing w:after="0" w:line="360" w:lineRule="auto"/>
        <w:jc w:val="both"/>
        <w:rPr>
          <w:rFonts w:ascii="Traditional Arabic" w:eastAsia="Times New Roman" w:hAnsi="Traditional Arabic" w:cs="Traditional Arabic"/>
          <w:b/>
          <w:bCs/>
          <w:color w:val="000000" w:themeColor="text1"/>
          <w:sz w:val="32"/>
          <w:szCs w:val="32"/>
          <w:rtl/>
        </w:rPr>
      </w:pPr>
      <w:r w:rsidRPr="00545ABB">
        <w:rPr>
          <w:rFonts w:ascii="Traditional Arabic" w:eastAsia="Times New Roman" w:hAnsi="Traditional Arabic" w:cs="Traditional Arabic"/>
          <w:b/>
          <w:bCs/>
          <w:color w:val="000000" w:themeColor="text1"/>
          <w:sz w:val="32"/>
          <w:szCs w:val="32"/>
          <w:rtl/>
        </w:rPr>
        <w:t>مقترحات مستقبلية</w:t>
      </w:r>
    </w:p>
    <w:p w14:paraId="4D30B0A6" w14:textId="34DF4F46" w:rsidR="00EF5263" w:rsidRPr="00545ABB" w:rsidRDefault="00EF5263" w:rsidP="00D95153">
      <w:pPr>
        <w:pStyle w:val="ListParagraph"/>
        <w:numPr>
          <w:ilvl w:val="0"/>
          <w:numId w:val="21"/>
        </w:numPr>
        <w:bidi/>
        <w:spacing w:after="0" w:line="360" w:lineRule="auto"/>
        <w:jc w:val="both"/>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خاتمة</w:t>
      </w:r>
    </w:p>
    <w:p w14:paraId="29475F55" w14:textId="77777777" w:rsidR="00D97E5C" w:rsidRPr="00545ABB" w:rsidRDefault="00D97E5C" w:rsidP="00022590">
      <w:pPr>
        <w:bidi w:val="0"/>
        <w:spacing w:after="0" w:line="360" w:lineRule="auto"/>
        <w:rPr>
          <w:rFonts w:ascii="Traditional Arabic" w:hAnsi="Traditional Arabic" w:cs="Traditional Arabic"/>
          <w:color w:val="000000" w:themeColor="text1"/>
          <w:rtl/>
        </w:rPr>
      </w:pPr>
      <w:r w:rsidRPr="00545ABB">
        <w:rPr>
          <w:rFonts w:ascii="Traditional Arabic" w:hAnsi="Traditional Arabic" w:cs="Traditional Arabic"/>
          <w:color w:val="000000" w:themeColor="text1"/>
          <w:rtl/>
        </w:rPr>
        <w:br w:type="page"/>
      </w:r>
    </w:p>
    <w:p w14:paraId="32210291" w14:textId="668874CC" w:rsidR="00D97E5C" w:rsidRPr="00545ABB" w:rsidRDefault="00D97E5C" w:rsidP="002174D5">
      <w:pPr>
        <w:pStyle w:val="Heading2"/>
        <w:bidi/>
        <w:rPr>
          <w:rFonts w:ascii="Traditional Arabic" w:hAnsi="Traditional Arabic" w:cs="Traditional Arabic"/>
          <w:color w:val="000000" w:themeColor="text1"/>
          <w:rtl/>
          <w:lang w:bidi="ar-EG"/>
        </w:rPr>
      </w:pPr>
      <w:bookmarkStart w:id="153" w:name="_Toc242325305"/>
      <w:r w:rsidRPr="00545ABB">
        <w:rPr>
          <w:rFonts w:ascii="Traditional Arabic" w:eastAsia="Times New Roman" w:hAnsi="Traditional Arabic" w:cs="Traditional Arabic"/>
          <w:color w:val="000000" w:themeColor="text1"/>
          <w:rtl/>
        </w:rPr>
        <w:lastRenderedPageBreak/>
        <w:t>مقدمة</w:t>
      </w:r>
      <w:r w:rsidRPr="00545ABB">
        <w:rPr>
          <w:rFonts w:ascii="Traditional Arabic" w:hAnsi="Traditional Arabic" w:cs="Traditional Arabic"/>
          <w:color w:val="000000" w:themeColor="text1"/>
          <w:rtl/>
          <w:lang w:bidi="ar-EG"/>
        </w:rPr>
        <w:t>:</w:t>
      </w:r>
      <w:bookmarkEnd w:id="153"/>
    </w:p>
    <w:p w14:paraId="376C417A" w14:textId="67D363D9" w:rsidR="00D97E5C" w:rsidRPr="00545ABB" w:rsidRDefault="00F76EDB" w:rsidP="00022590">
      <w:pPr>
        <w:spacing w:after="0" w:line="360" w:lineRule="auto"/>
        <w:ind w:firstLine="72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يتناول هذا الفصل عرضًا تحليليًا</w:t>
      </w:r>
      <w:r w:rsidRPr="00545ABB">
        <w:rPr>
          <w:rFonts w:ascii="Traditional Arabic" w:hAnsi="Traditional Arabic" w:cs="Traditional Arabic" w:hint="cs"/>
          <w:color w:val="000000" w:themeColor="text1"/>
          <w:sz w:val="28"/>
          <w:szCs w:val="28"/>
          <w:rtl/>
          <w:lang w:bidi="ar-EG"/>
        </w:rPr>
        <w:t xml:space="preserve"> </w:t>
      </w:r>
      <w:r w:rsidR="00D97E5C" w:rsidRPr="00545ABB">
        <w:rPr>
          <w:rFonts w:ascii="Traditional Arabic" w:hAnsi="Traditional Arabic" w:cs="Traditional Arabic"/>
          <w:color w:val="000000" w:themeColor="text1"/>
          <w:sz w:val="28"/>
          <w:szCs w:val="28"/>
          <w:rtl/>
          <w:lang w:bidi="ar-EG"/>
        </w:rPr>
        <w:t>متكاملاً لأبرز النتائج التي أسفرت عنها الدراسة، في ضوء ما تم تأصيله نظريًا والتحقق منه ميدانيًا، بما يعكس مدى تحقق أهدافها، والإجابة عن تساؤلاتها البحثية، واختبار فروضها وفق الأساليب العلمية والإحصائية المناسبة</w:t>
      </w:r>
      <w:r w:rsidR="00D97E5C" w:rsidRPr="00545ABB">
        <w:rPr>
          <w:rFonts w:ascii="Traditional Arabic" w:hAnsi="Traditional Arabic" w:cs="Traditional Arabic"/>
          <w:color w:val="000000" w:themeColor="text1"/>
          <w:sz w:val="28"/>
          <w:szCs w:val="28"/>
          <w:lang w:bidi="ar-EG"/>
        </w:rPr>
        <w:t>.</w:t>
      </w:r>
    </w:p>
    <w:p w14:paraId="4F18C621" w14:textId="77777777" w:rsidR="00D97E5C" w:rsidRPr="00545ABB" w:rsidRDefault="00D97E5C" w:rsidP="00022590">
      <w:pPr>
        <w:spacing w:after="0" w:line="360" w:lineRule="auto"/>
        <w:ind w:firstLine="72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ويستعرض الفصل النتائج الرئيسة للدراسة، مقرونةً بتفسيرها وتحليلها في ضوء الأدبيات العلمية والدراسات السابقة، بما يسهم في توضيح طبيعة العلاقة بين ممارسات الحوكمة الفعالة واستدامة ونجاح شركات الأمن السيبراني الناشئة، وإبراز الأبعاد التنظيمية والإدارية التي تؤدي دورًا محوريًا في تعزيز كفاءة الحوكمة، وترسيخ مبادئ الشفافية والمساءلة، وتحسين إدارة المخاطر، ورفع جودة القرارات الاستراتيجية، بما ينعكس إيجابًا على قدرة هذه الشركات على الاستمرار والنمو وتحقيق الميزة التنافسية في بيئة أعمال تتسم بسرعة التغير وارتفاع مستوى المخاطر التقنية والتنظيمية</w:t>
      </w:r>
      <w:r w:rsidRPr="00545ABB">
        <w:rPr>
          <w:rFonts w:ascii="Traditional Arabic" w:hAnsi="Traditional Arabic" w:cs="Traditional Arabic"/>
          <w:color w:val="000000" w:themeColor="text1"/>
          <w:sz w:val="28"/>
          <w:szCs w:val="28"/>
          <w:lang w:bidi="ar-EG"/>
        </w:rPr>
        <w:t>.</w:t>
      </w:r>
    </w:p>
    <w:p w14:paraId="0475AD8B" w14:textId="77777777" w:rsidR="00D97E5C" w:rsidRPr="00545ABB" w:rsidRDefault="00D97E5C" w:rsidP="00022590">
      <w:pPr>
        <w:spacing w:after="0" w:line="360" w:lineRule="auto"/>
        <w:ind w:firstLine="72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كما يتضمن الفصل عرضًا لأهم الاستنتاجات التي خلصت إليها الدراسة، والتي تعكس الأثر الذي تمارسه الحوكمة الفعالة في دعم الاستدامة المؤسسية لشركات الأمن السيبراني الناشئة، وتعزيز مرونتها التنظيمية، ورفع جاهزيتها لمواجهة التحديات المستقبلية، وتطوير قدراتها على الابتكار والتوسع، وتحقيق التوازن بين متطلبات الامتثال للأنظمة والتشريعات، وبين المحافظة على المرونة والسرعة التي تميز الشركات الناشئة، بما يسهم في بناء نموذج حوكمة قادر على دعم النمو المستدام وتحقيق القيمة المضافة</w:t>
      </w:r>
      <w:r w:rsidRPr="00545ABB">
        <w:rPr>
          <w:rFonts w:ascii="Traditional Arabic" w:hAnsi="Traditional Arabic" w:cs="Traditional Arabic"/>
          <w:color w:val="000000" w:themeColor="text1"/>
          <w:sz w:val="28"/>
          <w:szCs w:val="28"/>
          <w:lang w:bidi="ar-EG"/>
        </w:rPr>
        <w:t>.</w:t>
      </w:r>
    </w:p>
    <w:p w14:paraId="318F60E6" w14:textId="77777777" w:rsidR="00D97E5C" w:rsidRPr="00545ABB" w:rsidRDefault="00D97E5C" w:rsidP="00022590">
      <w:pPr>
        <w:spacing w:after="0" w:line="360" w:lineRule="auto"/>
        <w:ind w:firstLine="72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وانطلاقًا من النتائج التي تم التوصل إليها، يقدم الفصل مجموعة من التوصيات التطبيقية التي تستند إلى أسس علمية، وتستهدف دعم متخذي القرار، والجهات التنظيمية، ورواد الأعمال، والمستثمرين، في تطوير منظومات الحوكمة داخل شركات الأمن السيبراني الناشئة، وتعزيز البيئة التنظيمية والتشريعية الداعمة لاستدامتها، بما يسهم في رفع كفاءة الأداء المؤسسي، وتعظيم القدرة التنافسية، وتحقيق التكامل بين متطلبات الحوكمة وأهداف التحول الرقمي والاقتصاد المعرفي</w:t>
      </w:r>
      <w:r w:rsidRPr="00545ABB">
        <w:rPr>
          <w:rFonts w:ascii="Traditional Arabic" w:hAnsi="Traditional Arabic" w:cs="Traditional Arabic"/>
          <w:color w:val="000000" w:themeColor="text1"/>
          <w:sz w:val="28"/>
          <w:szCs w:val="28"/>
          <w:lang w:bidi="ar-EG"/>
        </w:rPr>
        <w:t>.</w:t>
      </w:r>
    </w:p>
    <w:p w14:paraId="64852242" w14:textId="77777777" w:rsidR="00D97E5C" w:rsidRPr="00545ABB" w:rsidRDefault="00D97E5C" w:rsidP="00022590">
      <w:pPr>
        <w:spacing w:after="0" w:line="360" w:lineRule="auto"/>
        <w:ind w:firstLine="72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كما يطرح الفصل عددًا من المقترحات البحثية المستقبلية التي يمكن أن تشكل امتدادًا علميًا لهذه الدراسة، من خلال استكشاف متغيرات وعلاقات جديدة، أو تطبيق نماذج حوكمة أكثر تقدمًا في بيئات تنظيمية مختلفة، بما يواكب التطورات المتسارعة في تقنيات الأمن السيبراني، والذكاء الاصطناعي، والحوكمة الرقمية، ويسهم في إثراء المعرفة العلمية في هذا المجال الحيوي</w:t>
      </w:r>
      <w:r w:rsidRPr="00545ABB">
        <w:rPr>
          <w:rFonts w:ascii="Traditional Arabic" w:hAnsi="Traditional Arabic" w:cs="Traditional Arabic"/>
          <w:color w:val="000000" w:themeColor="text1"/>
          <w:sz w:val="28"/>
          <w:szCs w:val="28"/>
          <w:lang w:bidi="ar-EG"/>
        </w:rPr>
        <w:t>.</w:t>
      </w:r>
    </w:p>
    <w:p w14:paraId="62801B7C" w14:textId="5681288C" w:rsidR="00D97E5C" w:rsidRPr="00545ABB" w:rsidRDefault="00D97E5C" w:rsidP="00022590">
      <w:pPr>
        <w:spacing w:after="0" w:line="360" w:lineRule="auto"/>
        <w:ind w:firstLine="720"/>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وبناءً على ذلك، يمثل هذا الفصل الإطار الختامي للدراسة، إذ يجمع بين عرض النتائج ومناقشتها وتفسيرها بصورة علمية منهجية، وصولًا إلى استخلاص استنتاجات رصينة، وصياغة توصيات عملية ومقترحات بحثية تسهم في تعزيز فاعلية الحوكمة داخل شركات الأمن السيبراني الناشئة، وترسيخ مقومات استدامتها ونجاحها، بما يدعم مستهدفات رؤية المملكة العربية السعودية 2030 الرامية إلى بناء اقتصاد رقمي تنافسي، وتعزيز منظومة الأمن السيبراني، وتمكين ريادة الأعمال والابتكار، وتحقيق التنمية المستدامة</w:t>
      </w:r>
      <w:r w:rsidRPr="00545ABB">
        <w:rPr>
          <w:rFonts w:ascii="Traditional Arabic" w:hAnsi="Traditional Arabic" w:cs="Traditional Arabic"/>
          <w:color w:val="000000" w:themeColor="text1"/>
          <w:sz w:val="28"/>
          <w:szCs w:val="28"/>
          <w:lang w:bidi="ar-EG"/>
        </w:rPr>
        <w:t>.</w:t>
      </w:r>
    </w:p>
    <w:p w14:paraId="53E61068" w14:textId="15A679CE" w:rsidR="00D97E5C" w:rsidRPr="00545ABB" w:rsidRDefault="00D97E5C" w:rsidP="002174D5">
      <w:pPr>
        <w:pStyle w:val="Heading2"/>
        <w:bidi/>
        <w:rPr>
          <w:rFonts w:ascii="Traditional Arabic" w:eastAsia="Times New Roman" w:hAnsi="Traditional Arabic" w:cs="Traditional Arabic"/>
          <w:color w:val="000000" w:themeColor="text1"/>
          <w:rtl/>
        </w:rPr>
      </w:pPr>
      <w:bookmarkStart w:id="154" w:name="_Hlk236255026"/>
      <w:bookmarkStart w:id="155" w:name="_Toc242325306"/>
      <w:r w:rsidRPr="00545ABB">
        <w:rPr>
          <w:rFonts w:ascii="Traditional Arabic" w:eastAsia="Times New Roman" w:hAnsi="Traditional Arabic" w:cs="Traditional Arabic"/>
          <w:color w:val="000000" w:themeColor="text1"/>
          <w:rtl/>
        </w:rPr>
        <w:t>مناقشة عامة للنتائج:</w:t>
      </w:r>
      <w:bookmarkEnd w:id="155"/>
    </w:p>
    <w:p w14:paraId="3C104BE9" w14:textId="77777777" w:rsidR="00D97E5C" w:rsidRPr="00545ABB" w:rsidRDefault="00D97E5C" w:rsidP="002174D5">
      <w:pPr>
        <w:pStyle w:val="Heading3"/>
        <w:bidi/>
        <w:rPr>
          <w:rFonts w:ascii="Traditional Arabic" w:hAnsi="Traditional Arabic" w:cs="Traditional Arabic"/>
          <w:color w:val="000000" w:themeColor="text1"/>
        </w:rPr>
      </w:pPr>
      <w:bookmarkStart w:id="156" w:name="_Toc242325307"/>
      <w:bookmarkEnd w:id="154"/>
      <w:r w:rsidRPr="00545ABB">
        <w:rPr>
          <w:rFonts w:ascii="Traditional Arabic" w:hAnsi="Traditional Arabic" w:cs="Traditional Arabic"/>
          <w:color w:val="000000" w:themeColor="text1"/>
          <w:rtl/>
        </w:rPr>
        <w:t>نتائج اختبار الثبات والصدق</w:t>
      </w:r>
      <w:bookmarkEnd w:id="156"/>
    </w:p>
    <w:p w14:paraId="583CF339" w14:textId="77777777" w:rsidR="00D97E5C" w:rsidRPr="00545ABB" w:rsidRDefault="00D97E5C"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 xml:space="preserve">أظهرت نتائج اختبار </w:t>
      </w:r>
      <w:r w:rsidRPr="00545ABB">
        <w:rPr>
          <w:rFonts w:ascii="Traditional Arabic" w:hAnsi="Traditional Arabic" w:cs="Traditional Arabic"/>
          <w:b/>
          <w:bCs/>
          <w:color w:val="000000" w:themeColor="text1"/>
          <w:sz w:val="28"/>
          <w:szCs w:val="28"/>
          <w:rtl/>
        </w:rPr>
        <w:t>كرونباخ ألفا</w:t>
      </w:r>
      <w:r w:rsidRPr="00545ABB">
        <w:rPr>
          <w:rFonts w:ascii="Traditional Arabic" w:hAnsi="Traditional Arabic" w:cs="Traditional Arabic"/>
          <w:b/>
          <w:bCs/>
          <w:color w:val="000000" w:themeColor="text1"/>
          <w:sz w:val="28"/>
          <w:szCs w:val="28"/>
        </w:rPr>
        <w:t xml:space="preserve"> (Cronbach’s Alpha)</w:t>
      </w:r>
      <w:r w:rsidRPr="00545ABB">
        <w:rPr>
          <w:rFonts w:ascii="Traditional Arabic" w:hAnsi="Traditional Arabic" w:cs="Traditional Arabic"/>
          <w:color w:val="000000" w:themeColor="text1"/>
          <w:sz w:val="28"/>
          <w:szCs w:val="28"/>
        </w:rPr>
        <w:t xml:space="preserve"> </w:t>
      </w:r>
      <w:r w:rsidRPr="00545ABB">
        <w:rPr>
          <w:rFonts w:ascii="Traditional Arabic" w:hAnsi="Traditional Arabic" w:cs="Traditional Arabic"/>
          <w:color w:val="000000" w:themeColor="text1"/>
          <w:sz w:val="28"/>
          <w:szCs w:val="28"/>
          <w:rtl/>
        </w:rPr>
        <w:t>ارتفاع معاملات الثبات لكافة محاور الاستبيان، حيث بلغت</w:t>
      </w:r>
      <w:r w:rsidRPr="00545ABB">
        <w:rPr>
          <w:rFonts w:ascii="Traditional Arabic" w:hAnsi="Traditional Arabic" w:cs="Traditional Arabic"/>
          <w:color w:val="000000" w:themeColor="text1"/>
          <w:sz w:val="28"/>
          <w:szCs w:val="28"/>
        </w:rPr>
        <w:t>:</w:t>
      </w:r>
    </w:p>
    <w:p w14:paraId="354BB9C9" w14:textId="77777777" w:rsidR="00D97E5C" w:rsidRPr="00545ABB" w:rsidRDefault="00D97E5C" w:rsidP="00D95153">
      <w:pPr>
        <w:numPr>
          <w:ilvl w:val="0"/>
          <w:numId w:val="15"/>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w:t>
      </w:r>
      <w:r w:rsidRPr="00545ABB">
        <w:rPr>
          <w:rFonts w:ascii="Traditional Arabic" w:hAnsi="Traditional Arabic" w:cs="Traditional Arabic"/>
          <w:b/>
          <w:bCs/>
          <w:color w:val="000000" w:themeColor="text1"/>
          <w:rtl/>
          <w:lang w:bidi="ar-EG"/>
        </w:rPr>
        <w:t>0.970</w:t>
      </w:r>
      <w:r w:rsidRPr="00545ABB">
        <w:rPr>
          <w:rFonts w:ascii="Traditional Arabic" w:hAnsi="Traditional Arabic" w:cs="Traditional Arabic"/>
          <w:color w:val="000000" w:themeColor="text1"/>
          <w:sz w:val="28"/>
          <w:szCs w:val="28"/>
          <w:rtl/>
        </w:rPr>
        <w:t xml:space="preserve">) محور </w:t>
      </w:r>
      <w:r w:rsidRPr="00545ABB">
        <w:rPr>
          <w:rFonts w:ascii="Traditional Arabic" w:hAnsi="Traditional Arabic" w:cs="Traditional Arabic"/>
          <w:b/>
          <w:bCs/>
          <w:color w:val="000000" w:themeColor="text1"/>
          <w:sz w:val="28"/>
          <w:szCs w:val="28"/>
          <w:rtl/>
        </w:rPr>
        <w:t>الاستدامة المؤسسية</w:t>
      </w:r>
    </w:p>
    <w:p w14:paraId="352312F6" w14:textId="77777777" w:rsidR="00D97E5C" w:rsidRPr="00545ABB" w:rsidRDefault="00D97E5C" w:rsidP="00D95153">
      <w:pPr>
        <w:numPr>
          <w:ilvl w:val="0"/>
          <w:numId w:val="15"/>
        </w:num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w:t>
      </w:r>
      <w:r w:rsidRPr="00545ABB">
        <w:rPr>
          <w:rFonts w:ascii="Traditional Arabic" w:hAnsi="Traditional Arabic" w:cs="Traditional Arabic"/>
          <w:b/>
          <w:bCs/>
          <w:color w:val="000000" w:themeColor="text1"/>
          <w:rtl/>
          <w:lang w:bidi="ar-EG"/>
        </w:rPr>
        <w:t>0.940</w:t>
      </w:r>
      <w:r w:rsidRPr="00545ABB">
        <w:rPr>
          <w:rFonts w:ascii="Traditional Arabic" w:hAnsi="Traditional Arabic" w:cs="Traditional Arabic"/>
          <w:color w:val="000000" w:themeColor="text1"/>
          <w:sz w:val="28"/>
          <w:szCs w:val="28"/>
          <w:rtl/>
        </w:rPr>
        <w:t xml:space="preserve">) محور </w:t>
      </w:r>
      <w:r w:rsidRPr="00545ABB">
        <w:rPr>
          <w:rFonts w:ascii="Traditional Arabic" w:hAnsi="Traditional Arabic" w:cs="Traditional Arabic"/>
          <w:b/>
          <w:bCs/>
          <w:color w:val="000000" w:themeColor="text1"/>
          <w:sz w:val="28"/>
          <w:szCs w:val="28"/>
          <w:rtl/>
        </w:rPr>
        <w:t>النجاح المؤسسي</w:t>
      </w:r>
    </w:p>
    <w:p w14:paraId="1D9B3106" w14:textId="77777777" w:rsidR="00D97E5C" w:rsidRPr="00545ABB" w:rsidRDefault="00D97E5C"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545ABB">
        <w:rPr>
          <w:rFonts w:ascii="Traditional Arabic" w:hAnsi="Traditional Arabic" w:cs="Traditional Arabic"/>
          <w:color w:val="000000" w:themeColor="text1"/>
          <w:sz w:val="28"/>
          <w:szCs w:val="28"/>
        </w:rPr>
        <w:t>.</w:t>
      </w:r>
    </w:p>
    <w:p w14:paraId="65B47BDC" w14:textId="77777777" w:rsidR="00D97E5C" w:rsidRPr="00545ABB" w:rsidRDefault="00D97E5C" w:rsidP="002174D5">
      <w:pPr>
        <w:pStyle w:val="Heading3"/>
        <w:bidi/>
        <w:rPr>
          <w:rFonts w:ascii="Traditional Arabic" w:hAnsi="Traditional Arabic" w:cs="Traditional Arabic"/>
          <w:color w:val="000000" w:themeColor="text1"/>
          <w:rtl/>
        </w:rPr>
      </w:pPr>
      <w:bookmarkStart w:id="157" w:name="_Toc242325308"/>
      <w:r w:rsidRPr="00545ABB">
        <w:rPr>
          <w:rFonts w:ascii="Traditional Arabic" w:hAnsi="Traditional Arabic" w:cs="Traditional Arabic"/>
          <w:color w:val="000000" w:themeColor="text1"/>
          <w:rtl/>
        </w:rPr>
        <w:t>نتائج اختبار فروض الدراسة:</w:t>
      </w:r>
      <w:bookmarkEnd w:id="157"/>
    </w:p>
    <w:p w14:paraId="5800881A" w14:textId="77777777" w:rsidR="00D97E5C" w:rsidRPr="00545ABB" w:rsidRDefault="00D97E5C" w:rsidP="00D95153">
      <w:pPr>
        <w:pStyle w:val="ListParagraph"/>
        <w:numPr>
          <w:ilvl w:val="0"/>
          <w:numId w:val="14"/>
        </w:numPr>
        <w:bidi/>
        <w:spacing w:after="0" w:line="360" w:lineRule="auto"/>
        <w:jc w:val="both"/>
        <w:rPr>
          <w:rFonts w:ascii="Traditional Arabic" w:hAnsi="Traditional Arabic" w:cs="Traditional Arabic"/>
          <w:color w:val="000000" w:themeColor="text1"/>
          <w:sz w:val="36"/>
          <w:szCs w:val="36"/>
        </w:rPr>
      </w:pPr>
      <w:r w:rsidRPr="00545ABB">
        <w:rPr>
          <w:rFonts w:ascii="Traditional Arabic" w:eastAsia="Times New Roman" w:hAnsi="Traditional Arabic" w:cs="Traditional Arabic"/>
          <w:b/>
          <w:bCs/>
          <w:color w:val="000000" w:themeColor="text1"/>
          <w:sz w:val="32"/>
          <w:szCs w:val="32"/>
          <w:rtl/>
        </w:rPr>
        <w:t xml:space="preserve"> تفسير نتائج الفرض الأول:</w:t>
      </w:r>
    </w:p>
    <w:p w14:paraId="27723DD7" w14:textId="53B71F5E" w:rsidR="00D97E5C" w:rsidRPr="00545ABB" w:rsidRDefault="00D97E5C" w:rsidP="00F76EDB">
      <w:pPr>
        <w:spacing w:after="0" w:line="360" w:lineRule="auto"/>
        <w:ind w:firstLine="360"/>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أظهرت نتائج الدراسة وجود علاقة ارتباط موجبة قوية ذات دلالة إحصائية بين مستوى الحوكمة الفعالة ونجاح شركات الأمن السيبراني الناشئة، حيث بلغت قيمة معامل الارتباط</w:t>
      </w:r>
      <w:r w:rsidRPr="00545ABB">
        <w:rPr>
          <w:rFonts w:ascii="Traditional Arabic" w:hAnsi="Traditional Arabic" w:cs="Traditional Arabic"/>
          <w:color w:val="000000" w:themeColor="text1"/>
          <w:sz w:val="28"/>
          <w:szCs w:val="28"/>
          <w:lang w:bidi="ar-EG"/>
        </w:rPr>
        <w:t xml:space="preserve"> (R = 0.990)</w:t>
      </w:r>
      <w:r w:rsidRPr="00545ABB">
        <w:rPr>
          <w:rFonts w:ascii="Traditional Arabic" w:hAnsi="Traditional Arabic" w:cs="Traditional Arabic"/>
          <w:color w:val="000000" w:themeColor="text1"/>
          <w:sz w:val="28"/>
          <w:szCs w:val="28"/>
          <w:rtl/>
          <w:lang w:bidi="ar-EG"/>
        </w:rPr>
        <w:t xml:space="preserve">، </w:t>
      </w:r>
      <w:r w:rsidR="00F76EDB" w:rsidRPr="00545ABB">
        <w:rPr>
          <w:rFonts w:ascii="Traditional Arabic" w:hAnsi="Traditional Arabic" w:cs="Traditional Arabic"/>
          <w:color w:val="000000" w:themeColor="text1"/>
          <w:sz w:val="28"/>
          <w:szCs w:val="28"/>
          <w:rtl/>
          <w:lang w:bidi="ar-EG"/>
        </w:rPr>
        <w:t>تدعم النتائج الفرض</w:t>
      </w:r>
      <w:r w:rsidR="00F76EDB" w:rsidRPr="00545ABB">
        <w:rPr>
          <w:rFonts w:ascii="Traditional Arabic" w:hAnsi="Traditional Arabic" w:cs="Traditional Arabic" w:hint="cs"/>
          <w:color w:val="000000" w:themeColor="text1"/>
          <w:sz w:val="28"/>
          <w:szCs w:val="28"/>
          <w:rtl/>
          <w:lang w:bidi="ar-EG"/>
        </w:rPr>
        <w:t xml:space="preserve"> الأول</w:t>
      </w:r>
      <w:r w:rsidRPr="00545ABB">
        <w:rPr>
          <w:rFonts w:ascii="Traditional Arabic" w:hAnsi="Traditional Arabic" w:cs="Traditional Arabic"/>
          <w:color w:val="000000" w:themeColor="text1"/>
          <w:sz w:val="28"/>
          <w:szCs w:val="28"/>
          <w:rtl/>
          <w:lang w:bidi="ar-EG"/>
        </w:rPr>
        <w:t xml:space="preserve">. وتشير هذه النتيجة إلى أن تطبيق مبادئ الحوكمة الفعالة، بما تتضمنه من شفافية، ومساءلة، وإدارة رشيدة للمخاطر، </w:t>
      </w:r>
      <w:r w:rsidR="00F76EDB" w:rsidRPr="00545ABB">
        <w:rPr>
          <w:rFonts w:ascii="Traditional Arabic" w:hAnsi="Traditional Arabic" w:cs="Traditional Arabic"/>
          <w:color w:val="000000" w:themeColor="text1"/>
          <w:sz w:val="28"/>
          <w:szCs w:val="28"/>
          <w:rtl/>
          <w:lang w:bidi="ar-EG"/>
        </w:rPr>
        <w:t>يرتبط إيجابيًا</w:t>
      </w:r>
      <w:r w:rsidR="00F76EDB" w:rsidRPr="00545ABB">
        <w:rPr>
          <w:rFonts w:ascii="Traditional Arabic" w:hAnsi="Traditional Arabic" w:cs="Traditional Arabic" w:hint="cs"/>
          <w:color w:val="000000" w:themeColor="text1"/>
          <w:sz w:val="28"/>
          <w:szCs w:val="28"/>
          <w:rtl/>
          <w:lang w:bidi="ar-EG"/>
        </w:rPr>
        <w:t xml:space="preserve"> </w:t>
      </w:r>
      <w:r w:rsidRPr="00545ABB">
        <w:rPr>
          <w:rFonts w:ascii="Traditional Arabic" w:hAnsi="Traditional Arabic" w:cs="Traditional Arabic"/>
          <w:color w:val="000000" w:themeColor="text1"/>
          <w:sz w:val="28"/>
          <w:szCs w:val="28"/>
          <w:rtl/>
          <w:lang w:bidi="ar-EG"/>
        </w:rPr>
        <w:t>في تعزيز نجاح الشركات الناشئة ورفع كفاءتها المؤسسية. ويمكن تفسير ذلك بأن الحوكمة تمثل إطارًا تنظيميًا يدعم جودة القرارات الإدارية، ويعزز ثقة المستثمرين وأصحاب المصلحة، الأمر الذي ينعكس إيجابًا على قدرة الشركات على النمو والاستمرار في بيئة الأمن السيبراني التي تتسم بالتغير المستمر وارتفاع مستوى المخاطر</w:t>
      </w:r>
      <w:r w:rsidRPr="00545ABB">
        <w:rPr>
          <w:rFonts w:ascii="Traditional Arabic" w:hAnsi="Traditional Arabic" w:cs="Traditional Arabic"/>
          <w:color w:val="000000" w:themeColor="text1"/>
          <w:sz w:val="28"/>
          <w:szCs w:val="28"/>
          <w:lang w:bidi="ar-EG"/>
        </w:rPr>
        <w:t>.</w:t>
      </w:r>
    </w:p>
    <w:p w14:paraId="5109C834" w14:textId="0C218CAA" w:rsidR="00443315" w:rsidRPr="00545ABB" w:rsidRDefault="00443315" w:rsidP="00022590">
      <w:pPr>
        <w:spacing w:after="0" w:line="360" w:lineRule="auto"/>
        <w:ind w:firstLine="36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lastRenderedPageBreak/>
        <w:t xml:space="preserve">وتتفق هذه النتيجة مع ما توصلت إليه دراسة </w:t>
      </w:r>
      <w:r w:rsidRPr="00545ABB">
        <w:rPr>
          <w:rFonts w:ascii="Traditional Arabic" w:hAnsi="Traditional Arabic" w:cs="Traditional Arabic"/>
          <w:b/>
          <w:bCs/>
          <w:color w:val="000000" w:themeColor="text1"/>
          <w:sz w:val="28"/>
          <w:szCs w:val="28"/>
          <w:rtl/>
          <w:lang w:bidi="ar-EG"/>
        </w:rPr>
        <w:t>بوشامي وآخرون</w:t>
      </w:r>
      <w:r w:rsidRPr="00545ABB">
        <w:rPr>
          <w:rFonts w:ascii="Traditional Arabic" w:hAnsi="Traditional Arabic" w:cs="Traditional Arabic"/>
          <w:b/>
          <w:bCs/>
          <w:color w:val="000000" w:themeColor="text1"/>
          <w:sz w:val="28"/>
          <w:szCs w:val="28"/>
          <w:lang w:bidi="ar-EG"/>
        </w:rPr>
        <w:t xml:space="preserve"> (2022)</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أكدت أن تطوير آليات الحوكمة وتكييفها مع بيئة الأعمال يسهم في تحسين أداء الشركات وتعزيز قدرتها على مواجهة التحديات التنظيمية والتشغيلية، كما أشارت إلى أهمية وجود إطار قانوني وتنظيمي يضمن الالتزام بمبادئ الحوكمة. كذلك تتوافق مع دراسة </w:t>
      </w:r>
      <w:r w:rsidRPr="00545ABB">
        <w:rPr>
          <w:rFonts w:ascii="Traditional Arabic" w:hAnsi="Traditional Arabic" w:cs="Traditional Arabic"/>
          <w:b/>
          <w:bCs/>
          <w:color w:val="000000" w:themeColor="text1"/>
          <w:sz w:val="28"/>
          <w:szCs w:val="28"/>
          <w:rtl/>
          <w:lang w:bidi="ar-EG"/>
        </w:rPr>
        <w:t xml:space="preserve">مسعود يونس عطوان </w:t>
      </w:r>
      <w:r w:rsidR="00AD6D38" w:rsidRPr="00545ABB">
        <w:rPr>
          <w:rFonts w:ascii="Traditional Arabic" w:hAnsi="Traditional Arabic" w:cs="Traditional Arabic"/>
          <w:b/>
          <w:bCs/>
          <w:color w:val="000000" w:themeColor="text1"/>
          <w:sz w:val="28"/>
          <w:szCs w:val="28"/>
          <w:rtl/>
          <w:lang w:bidi="ar-EG"/>
        </w:rPr>
        <w:t>عطا (2018)</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أوضحت أن تطبيق مبادئ الحوكمة يعزز الشفافية والمسؤولية المؤسسية، ويزيد من ثقة المستثمرين ويحسن بيئة الأعمال، الأمر الذي ينعكس بصورة إيجابية على نجاح الشركات واستمراريتها. كما تتفق هذه النتيجة بصورة غير مباشرة مع دراسة </w:t>
      </w:r>
      <w:r w:rsidRPr="00545ABB">
        <w:rPr>
          <w:rFonts w:ascii="Traditional Arabic" w:hAnsi="Traditional Arabic" w:cs="Traditional Arabic"/>
          <w:b/>
          <w:bCs/>
          <w:color w:val="000000" w:themeColor="text1"/>
          <w:sz w:val="28"/>
          <w:szCs w:val="28"/>
          <w:rtl/>
          <w:lang w:bidi="ar-EG"/>
        </w:rPr>
        <w:t>سعيد أحسن وآخرون</w:t>
      </w:r>
      <w:r w:rsidRPr="00545ABB">
        <w:rPr>
          <w:rFonts w:ascii="Traditional Arabic" w:hAnsi="Traditional Arabic" w:cs="Traditional Arabic"/>
          <w:b/>
          <w:bCs/>
          <w:color w:val="000000" w:themeColor="text1"/>
          <w:sz w:val="28"/>
          <w:szCs w:val="28"/>
          <w:lang w:bidi="ar-EG"/>
        </w:rPr>
        <w:t xml:space="preserve"> (2023)</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التي بينت أن نجاح الشركات الناشئة يرتبط بتوافر بيئة تنظيمية وإدارية مرنة قادرة على دعم ريادة الأعمال وتحسين ممارسات الأعمال، وهو ما تمثله الحوكمة الفعالة</w:t>
      </w:r>
      <w:r w:rsidRPr="00545ABB">
        <w:rPr>
          <w:rFonts w:ascii="Traditional Arabic" w:hAnsi="Traditional Arabic" w:cs="Traditional Arabic"/>
          <w:color w:val="000000" w:themeColor="text1"/>
          <w:sz w:val="28"/>
          <w:szCs w:val="28"/>
          <w:lang w:bidi="ar-EG"/>
        </w:rPr>
        <w:t>.</w:t>
      </w:r>
    </w:p>
    <w:p w14:paraId="64BB2643" w14:textId="77777777" w:rsidR="00D97E5C" w:rsidRPr="00545ABB" w:rsidRDefault="00D97E5C" w:rsidP="00D95153">
      <w:pPr>
        <w:pStyle w:val="ListParagraph"/>
        <w:numPr>
          <w:ilvl w:val="0"/>
          <w:numId w:val="14"/>
        </w:numPr>
        <w:bidi/>
        <w:spacing w:after="0" w:line="360" w:lineRule="auto"/>
        <w:jc w:val="both"/>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تفسير نتائج الفرض الثاني:</w:t>
      </w:r>
    </w:p>
    <w:p w14:paraId="7AB7CB47" w14:textId="14A275B6" w:rsidR="00D97E5C" w:rsidRPr="00545ABB" w:rsidRDefault="00D97E5C" w:rsidP="00022590">
      <w:pPr>
        <w:spacing w:after="0" w:line="360" w:lineRule="auto"/>
        <w:ind w:firstLine="360"/>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أثبتت النتائج وجود علاقة إيجابية قوية ذات دلالة إحصائية بين الحوكمة الفعالة واستدامة الشركات الناشئة، حيث بلغ معامل الارتباط</w:t>
      </w:r>
      <w:r w:rsidRPr="00545ABB">
        <w:rPr>
          <w:rFonts w:ascii="Traditional Arabic" w:hAnsi="Traditional Arabic" w:cs="Traditional Arabic"/>
          <w:color w:val="000000" w:themeColor="text1"/>
          <w:sz w:val="28"/>
          <w:szCs w:val="28"/>
          <w:lang w:bidi="ar-EG"/>
        </w:rPr>
        <w:t xml:space="preserve"> (R = 0.988)</w:t>
      </w:r>
      <w:r w:rsidRPr="00545ABB">
        <w:rPr>
          <w:rFonts w:ascii="Traditional Arabic" w:hAnsi="Traditional Arabic" w:cs="Traditional Arabic"/>
          <w:color w:val="000000" w:themeColor="text1"/>
          <w:sz w:val="28"/>
          <w:szCs w:val="28"/>
          <w:rtl/>
          <w:lang w:bidi="ar-EG"/>
        </w:rPr>
        <w:t>، مما يؤكد قبول الفرض الثاني. وتعكس هذه النتيجة أهمية الحوكمة في تحقيق الاستدامة المؤسسية من خلال تحسين كفاءة إدارة الموارد، وتعزيز الاستقرار المالي، ودعم النمو المستدام للإيرادات. كما تشير إلى أن الشركات التي تطبق ممارسات حوكمة فعالة تكون أكثر قدرة على التكيف مع المتغيرات التقنية والتنظيمية، والمحافظة على استمرارية أعمالها وتحقيق أداء مؤسسي مستدام</w:t>
      </w:r>
      <w:r w:rsidRPr="00545ABB">
        <w:rPr>
          <w:rFonts w:ascii="Traditional Arabic" w:hAnsi="Traditional Arabic" w:cs="Traditional Arabic"/>
          <w:color w:val="000000" w:themeColor="text1"/>
          <w:sz w:val="28"/>
          <w:szCs w:val="28"/>
          <w:lang w:bidi="ar-EG"/>
        </w:rPr>
        <w:t>.</w:t>
      </w:r>
    </w:p>
    <w:p w14:paraId="378A8D8D" w14:textId="581FF032" w:rsidR="00443315" w:rsidRPr="00545ABB" w:rsidRDefault="00443315" w:rsidP="00022590">
      <w:pPr>
        <w:spacing w:after="0" w:line="360" w:lineRule="auto"/>
        <w:ind w:firstLine="36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 xml:space="preserve">تتوافق هذه النتيجة مع دراسة </w:t>
      </w:r>
      <w:r w:rsidRPr="00545ABB">
        <w:rPr>
          <w:rFonts w:ascii="Traditional Arabic" w:hAnsi="Traditional Arabic" w:cs="Traditional Arabic"/>
          <w:b/>
          <w:bCs/>
          <w:color w:val="000000" w:themeColor="text1"/>
          <w:sz w:val="28"/>
          <w:szCs w:val="28"/>
          <w:rtl/>
          <w:lang w:bidi="ar-EG"/>
        </w:rPr>
        <w:t xml:space="preserve">مسعود يونس عطوان </w:t>
      </w:r>
      <w:r w:rsidR="00AD6D38" w:rsidRPr="00545ABB">
        <w:rPr>
          <w:rFonts w:ascii="Traditional Arabic" w:hAnsi="Traditional Arabic" w:cs="Traditional Arabic"/>
          <w:b/>
          <w:bCs/>
          <w:color w:val="000000" w:themeColor="text1"/>
          <w:sz w:val="28"/>
          <w:szCs w:val="28"/>
          <w:rtl/>
          <w:lang w:bidi="ar-EG"/>
        </w:rPr>
        <w:t>عطا (2018)</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أكدت أن الحوكمة تُعد من أهم العوامل الداعمة لاستدامة الشركات وتحقيق أهداف التنمية الاقتصادية ورؤية المملكة العربية السعودية 2030، من خلال تعزيز الشفافية وكفاءة الإدارة والمسؤولية المؤسسية. كما تتفق مع دراسة </w:t>
      </w:r>
      <w:r w:rsidRPr="00545ABB">
        <w:rPr>
          <w:rFonts w:ascii="Traditional Arabic" w:hAnsi="Traditional Arabic" w:cs="Traditional Arabic"/>
          <w:b/>
          <w:bCs/>
          <w:color w:val="000000" w:themeColor="text1"/>
          <w:sz w:val="28"/>
          <w:szCs w:val="28"/>
          <w:rtl/>
          <w:lang w:bidi="ar-EG"/>
        </w:rPr>
        <w:t xml:space="preserve">عمار </w:t>
      </w:r>
      <w:r w:rsidR="00AD6D38" w:rsidRPr="00545ABB">
        <w:rPr>
          <w:rFonts w:ascii="Traditional Arabic" w:hAnsi="Traditional Arabic" w:cs="Traditional Arabic"/>
          <w:b/>
          <w:bCs/>
          <w:color w:val="000000" w:themeColor="text1"/>
          <w:sz w:val="28"/>
          <w:szCs w:val="28"/>
          <w:lang w:bidi="ar-EG"/>
        </w:rPr>
        <w:t>Alqahtani (2022)</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أوضحت أن استدامة الشركات الناشئة تعتمد على مجموعة من العوامل، من أبرزها البيئة التنظيمية الداعمة، والابتكار، والدعم الحكومي، وهي عوامل ترتبط ارتباطًا وثيقًا بتطبيق مبادئ الحوكمة الفعالة. كذلك تتوافق مع دراسة </w:t>
      </w:r>
      <w:r w:rsidRPr="00545ABB">
        <w:rPr>
          <w:rFonts w:ascii="Traditional Arabic" w:hAnsi="Traditional Arabic" w:cs="Traditional Arabic"/>
          <w:b/>
          <w:bCs/>
          <w:color w:val="000000" w:themeColor="text1"/>
          <w:sz w:val="28"/>
          <w:szCs w:val="28"/>
          <w:rtl/>
          <w:lang w:bidi="ar-EG"/>
        </w:rPr>
        <w:t>محمد لخضر وآخرون</w:t>
      </w:r>
      <w:r w:rsidRPr="00545ABB">
        <w:rPr>
          <w:rFonts w:ascii="Traditional Arabic" w:hAnsi="Traditional Arabic" w:cs="Traditional Arabic"/>
          <w:b/>
          <w:bCs/>
          <w:color w:val="000000" w:themeColor="text1"/>
          <w:sz w:val="28"/>
          <w:szCs w:val="28"/>
          <w:lang w:bidi="ar-EG"/>
        </w:rPr>
        <w:t xml:space="preserve"> (2020)</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التي أبرزت أهمية تبني سياسات إدارية حديثة تستند إلى أساليب علمية في إدارة المؤسسات الناشئة، بما يسهم في تحسين استدامتها وقدرتها على النمو</w:t>
      </w:r>
      <w:r w:rsidRPr="00545ABB">
        <w:rPr>
          <w:rFonts w:ascii="Traditional Arabic" w:hAnsi="Traditional Arabic" w:cs="Traditional Arabic"/>
          <w:color w:val="000000" w:themeColor="text1"/>
          <w:sz w:val="28"/>
          <w:szCs w:val="28"/>
          <w:lang w:bidi="ar-EG"/>
        </w:rPr>
        <w:t>.</w:t>
      </w:r>
    </w:p>
    <w:p w14:paraId="77FE550E" w14:textId="77777777" w:rsidR="00D97E5C" w:rsidRPr="00545ABB" w:rsidRDefault="00D97E5C" w:rsidP="00D95153">
      <w:pPr>
        <w:pStyle w:val="ListParagraph"/>
        <w:numPr>
          <w:ilvl w:val="0"/>
          <w:numId w:val="14"/>
        </w:numPr>
        <w:bidi/>
        <w:spacing w:after="0" w:line="360" w:lineRule="auto"/>
        <w:jc w:val="both"/>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تفسير نتائج الفرض الثالث:</w:t>
      </w:r>
    </w:p>
    <w:p w14:paraId="7311FA6F" w14:textId="62955A86" w:rsidR="00D97E5C" w:rsidRPr="00545ABB" w:rsidRDefault="00D97E5C" w:rsidP="00022590">
      <w:pPr>
        <w:spacing w:after="0" w:line="360" w:lineRule="auto"/>
        <w:ind w:firstLine="360"/>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lastRenderedPageBreak/>
        <w:t>أشارت النتائج إلى وجود مؤشرات تدعم وجود أثر إيجابي للحوكمة الفعالة في تعزيز الابتكار داخل شركات الأمن السيبراني الناشئة، وذلك استنادًا إلى قوة العلاقة بين الحوكمة وكلٍ من النجاح والاستدامة. ويمكن تفسير هذه النتيجة بأن الحوكمة الفعالة تهيئ بيئة تنظيمية تشجع على الابتكار من خلال وضوح السياسات، وتحسين إدارة المعرفة، ودعم اتخاذ القرارات الاستراتيجية. ومع ذلك، فإن عدم قياس الابتكار بصورة مباشرة في النموذج الإحصائي يجعل هذه النتيجة استدلالية، الأمر الذي يستدعي إجراء دراسات مستقبلية تتناول الابتكار بوصفه متغيرًا مستقلًا أو تابعًا للتحقق من طبيعة هذه العلاقة بصورة أكثر دقة</w:t>
      </w:r>
      <w:r w:rsidRPr="00545ABB">
        <w:rPr>
          <w:rFonts w:ascii="Traditional Arabic" w:hAnsi="Traditional Arabic" w:cs="Traditional Arabic"/>
          <w:color w:val="000000" w:themeColor="text1"/>
          <w:sz w:val="28"/>
          <w:szCs w:val="28"/>
          <w:lang w:bidi="ar-EG"/>
        </w:rPr>
        <w:t>.</w:t>
      </w:r>
    </w:p>
    <w:p w14:paraId="16BEBE58" w14:textId="4F4257D0" w:rsidR="00443315" w:rsidRPr="00545ABB" w:rsidRDefault="00443315" w:rsidP="00022590">
      <w:pPr>
        <w:spacing w:after="0" w:line="360" w:lineRule="auto"/>
        <w:ind w:firstLine="36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 xml:space="preserve">وتتفق هذه النتيجة مع دراسة </w:t>
      </w:r>
      <w:r w:rsidRPr="00545ABB">
        <w:rPr>
          <w:rFonts w:ascii="Traditional Arabic" w:hAnsi="Traditional Arabic" w:cs="Traditional Arabic"/>
          <w:b/>
          <w:bCs/>
          <w:color w:val="000000" w:themeColor="text1"/>
          <w:sz w:val="28"/>
          <w:szCs w:val="28"/>
          <w:rtl/>
          <w:lang w:bidi="ar-EG"/>
        </w:rPr>
        <w:t xml:space="preserve">عمار </w:t>
      </w:r>
      <w:r w:rsidR="00AD6D38" w:rsidRPr="00545ABB">
        <w:rPr>
          <w:rFonts w:ascii="Traditional Arabic" w:hAnsi="Traditional Arabic" w:cs="Traditional Arabic"/>
          <w:b/>
          <w:bCs/>
          <w:color w:val="000000" w:themeColor="text1"/>
          <w:sz w:val="28"/>
          <w:szCs w:val="28"/>
          <w:lang w:bidi="ar-EG"/>
        </w:rPr>
        <w:t>Alqahtani (2022)</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اعتبرت الابتكار أحد أهم العوامل المؤثرة في استدامة الشركات الناشئة، مؤكدة أن البيئة التنظيمية الداعمة تساعد على تطوير الحلول الإبداعية وتعزيز القدرة التنافسية. كما تنسجم مع دراسة </w:t>
      </w:r>
      <w:r w:rsidRPr="00545ABB">
        <w:rPr>
          <w:rFonts w:ascii="Traditional Arabic" w:hAnsi="Traditional Arabic" w:cs="Traditional Arabic"/>
          <w:b/>
          <w:bCs/>
          <w:color w:val="000000" w:themeColor="text1"/>
          <w:sz w:val="28"/>
          <w:szCs w:val="28"/>
          <w:rtl/>
          <w:lang w:bidi="ar-EG"/>
        </w:rPr>
        <w:t>بوشامي وآخرون</w:t>
      </w:r>
      <w:r w:rsidRPr="00545ABB">
        <w:rPr>
          <w:rFonts w:ascii="Traditional Arabic" w:hAnsi="Traditional Arabic" w:cs="Traditional Arabic"/>
          <w:b/>
          <w:bCs/>
          <w:color w:val="000000" w:themeColor="text1"/>
          <w:sz w:val="28"/>
          <w:szCs w:val="28"/>
          <w:lang w:bidi="ar-EG"/>
        </w:rPr>
        <w:t xml:space="preserve"> (2022)</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أوضحت أن تطوير نظم الحوكمة وتكييفها مع المتغيرات يسهم في رفع كفاءة الأداء المؤسسي وتحسين قدرة الشركات على التكيف مع بيئة الأعمال المتغيرة، وهو ما يمثل أساسًا لتشجيع الابتكار المؤسسي. كذلك تتوافق بصورة غير مباشرة مع دراسة </w:t>
      </w:r>
      <w:r w:rsidRPr="00545ABB">
        <w:rPr>
          <w:rFonts w:ascii="Traditional Arabic" w:hAnsi="Traditional Arabic" w:cs="Traditional Arabic"/>
          <w:b/>
          <w:bCs/>
          <w:color w:val="000000" w:themeColor="text1"/>
          <w:sz w:val="28"/>
          <w:szCs w:val="28"/>
          <w:rtl/>
          <w:lang w:bidi="ar-EG"/>
        </w:rPr>
        <w:t>محمد لخضر وآخرون</w:t>
      </w:r>
      <w:r w:rsidRPr="00545ABB">
        <w:rPr>
          <w:rFonts w:ascii="Traditional Arabic" w:hAnsi="Traditional Arabic" w:cs="Traditional Arabic"/>
          <w:b/>
          <w:bCs/>
          <w:color w:val="000000" w:themeColor="text1"/>
          <w:sz w:val="28"/>
          <w:szCs w:val="28"/>
          <w:lang w:bidi="ar-EG"/>
        </w:rPr>
        <w:t xml:space="preserve"> (2020)</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التي أكدت أهمية تبني أساليب حديثة في تصميم السياسات المؤسسية بما يعزز الابتكار في المؤسسات الناشئة</w:t>
      </w:r>
      <w:r w:rsidRPr="00545ABB">
        <w:rPr>
          <w:rFonts w:ascii="Traditional Arabic" w:hAnsi="Traditional Arabic" w:cs="Traditional Arabic"/>
          <w:color w:val="000000" w:themeColor="text1"/>
          <w:sz w:val="28"/>
          <w:szCs w:val="28"/>
          <w:lang w:bidi="ar-EG"/>
        </w:rPr>
        <w:t>.</w:t>
      </w:r>
    </w:p>
    <w:p w14:paraId="13C17A60" w14:textId="77777777" w:rsidR="00D97E5C" w:rsidRPr="00545ABB" w:rsidRDefault="00D97E5C" w:rsidP="00D95153">
      <w:pPr>
        <w:pStyle w:val="ListParagraph"/>
        <w:numPr>
          <w:ilvl w:val="0"/>
          <w:numId w:val="14"/>
        </w:numPr>
        <w:bidi/>
        <w:spacing w:after="0" w:line="360" w:lineRule="auto"/>
        <w:jc w:val="both"/>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تفسير نتائج الفرض الرابع:</w:t>
      </w:r>
    </w:p>
    <w:p w14:paraId="008066B5" w14:textId="5D08339B" w:rsidR="00D97E5C" w:rsidRPr="00545ABB" w:rsidRDefault="00D97E5C" w:rsidP="00022590">
      <w:pPr>
        <w:spacing w:after="0" w:line="360" w:lineRule="auto"/>
        <w:ind w:firstLine="360"/>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أظهرت النتائج أن الحوكمة الفعالة تسهم بصورة غير مباشرة في دعم الاقتصاد الوطني من خلال تعزيز استدامة ونجاح شركات الأمن السيبراني الناشئة، وهو ما يدعم قبول الفرض الرابع. ويعزز هذا التفسير ارتفاع مستوى البعد الاقتصادي للاستدامة المؤسسية، الذي جاء بمستوى مرتفع وبمتوسط حسابي بلغ (3.75)، مما يعكس قدرة هذه الشركات على تحقيق قيمة اقتصادية مضافة، والإسهام في دعم الاقتصاد الرقمي، وخلق فرص العمل، وتعزيز الناتج المحلي، بما يتوافق مع توجهات المملكة نحو تنويع مصادر الدخل وتعزيز الاقتصاد القائم على المعرفة</w:t>
      </w:r>
      <w:r w:rsidRPr="00545ABB">
        <w:rPr>
          <w:rFonts w:ascii="Traditional Arabic" w:hAnsi="Traditional Arabic" w:cs="Traditional Arabic"/>
          <w:color w:val="000000" w:themeColor="text1"/>
          <w:sz w:val="28"/>
          <w:szCs w:val="28"/>
          <w:lang w:bidi="ar-EG"/>
        </w:rPr>
        <w:t>.</w:t>
      </w:r>
    </w:p>
    <w:p w14:paraId="1EB0A9D6" w14:textId="247F1AAF" w:rsidR="00443315" w:rsidRPr="00545ABB" w:rsidRDefault="00443315" w:rsidP="00022590">
      <w:pPr>
        <w:spacing w:after="0" w:line="360" w:lineRule="auto"/>
        <w:ind w:firstLine="360"/>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 xml:space="preserve">وتتفق هذه النتيجة مع دراسة </w:t>
      </w:r>
      <w:r w:rsidRPr="00545ABB">
        <w:rPr>
          <w:rFonts w:ascii="Traditional Arabic" w:hAnsi="Traditional Arabic" w:cs="Traditional Arabic"/>
          <w:b/>
          <w:bCs/>
          <w:color w:val="000000" w:themeColor="text1"/>
          <w:sz w:val="28"/>
          <w:szCs w:val="28"/>
          <w:rtl/>
          <w:lang w:bidi="ar-EG"/>
        </w:rPr>
        <w:t xml:space="preserve">مسعود يونس عطوان </w:t>
      </w:r>
      <w:r w:rsidR="00AD6D38" w:rsidRPr="00545ABB">
        <w:rPr>
          <w:rFonts w:ascii="Traditional Arabic" w:hAnsi="Traditional Arabic" w:cs="Traditional Arabic"/>
          <w:b/>
          <w:bCs/>
          <w:color w:val="000000" w:themeColor="text1"/>
          <w:sz w:val="28"/>
          <w:szCs w:val="28"/>
          <w:rtl/>
          <w:lang w:bidi="ar-EG"/>
        </w:rPr>
        <w:t>عطا (2018)</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أكدت أن تطبيق الحوكمة يسهم في تحقيق مستهدفات رؤية المملكة العربية السعودية 2030 عبر تحسين بيئة الاستثمار، وزيادة القدرة التنافسية، وتعزيز الاستدامة الاقتصادية. كما تتوافق مع دراسة </w:t>
      </w:r>
      <w:r w:rsidRPr="00545ABB">
        <w:rPr>
          <w:rFonts w:ascii="Traditional Arabic" w:hAnsi="Traditional Arabic" w:cs="Traditional Arabic"/>
          <w:b/>
          <w:bCs/>
          <w:color w:val="000000" w:themeColor="text1"/>
          <w:sz w:val="28"/>
          <w:szCs w:val="28"/>
          <w:rtl/>
          <w:lang w:bidi="ar-EG"/>
        </w:rPr>
        <w:t xml:space="preserve">عمار </w:t>
      </w:r>
      <w:r w:rsidR="00AD6D38" w:rsidRPr="00545ABB">
        <w:rPr>
          <w:rFonts w:ascii="Traditional Arabic" w:hAnsi="Traditional Arabic" w:cs="Traditional Arabic"/>
          <w:b/>
          <w:bCs/>
          <w:color w:val="000000" w:themeColor="text1"/>
          <w:sz w:val="28"/>
          <w:szCs w:val="28"/>
          <w:lang w:bidi="ar-EG"/>
        </w:rPr>
        <w:t>Alqahtani (2022)</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أوضحت أن دعم الشركات الناشئة واستدامتها يؤدي إلى زيادة مساهمتها في التنمية </w:t>
      </w:r>
      <w:r w:rsidRPr="00545ABB">
        <w:rPr>
          <w:rFonts w:ascii="Traditional Arabic" w:hAnsi="Traditional Arabic" w:cs="Traditional Arabic"/>
          <w:color w:val="000000" w:themeColor="text1"/>
          <w:sz w:val="28"/>
          <w:szCs w:val="28"/>
          <w:rtl/>
          <w:lang w:bidi="ar-EG"/>
        </w:rPr>
        <w:lastRenderedPageBreak/>
        <w:t xml:space="preserve">الاقتصادية وخلق فرص العمل، بما يعزز الاقتصاد الوطني. كذلك تتفق مع دراسة </w:t>
      </w:r>
      <w:r w:rsidRPr="00545ABB">
        <w:rPr>
          <w:rFonts w:ascii="Traditional Arabic" w:hAnsi="Traditional Arabic" w:cs="Traditional Arabic"/>
          <w:b/>
          <w:bCs/>
          <w:color w:val="000000" w:themeColor="text1"/>
          <w:sz w:val="28"/>
          <w:szCs w:val="28"/>
          <w:rtl/>
          <w:lang w:bidi="ar-EG"/>
        </w:rPr>
        <w:t>سعيد أحسن وآخرون</w:t>
      </w:r>
      <w:r w:rsidRPr="00545ABB">
        <w:rPr>
          <w:rFonts w:ascii="Traditional Arabic" w:hAnsi="Traditional Arabic" w:cs="Traditional Arabic"/>
          <w:b/>
          <w:bCs/>
          <w:color w:val="000000" w:themeColor="text1"/>
          <w:sz w:val="28"/>
          <w:szCs w:val="28"/>
          <w:lang w:bidi="ar-EG"/>
        </w:rPr>
        <w:t xml:space="preserve"> (2023)</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التي بينت أن تحسين بيئة الأعمال والإصلاحات التنظيمية يمثلان عاملًا رئيسًا في نمو الشركات الناشئة وتعزيز مساهمتها في الاقتصاد، وهو ما يتوافق مع النتائج الحالية التي أكدت أن الحوكمة الفعالة تمثل مدخلًا مهمًا لدعم الاقتصاد الرقمي وتحقيق التنمية المستدامة</w:t>
      </w:r>
      <w:r w:rsidRPr="00545ABB">
        <w:rPr>
          <w:rFonts w:ascii="Traditional Arabic" w:hAnsi="Traditional Arabic" w:cs="Traditional Arabic"/>
          <w:color w:val="000000" w:themeColor="text1"/>
          <w:sz w:val="28"/>
          <w:szCs w:val="28"/>
          <w:lang w:bidi="ar-EG"/>
        </w:rPr>
        <w:t>.</w:t>
      </w:r>
    </w:p>
    <w:p w14:paraId="58F0D936" w14:textId="77777777" w:rsidR="00D97E5C" w:rsidRPr="00545ABB" w:rsidRDefault="00D97E5C" w:rsidP="00D95153">
      <w:pPr>
        <w:pStyle w:val="ListParagraph"/>
        <w:numPr>
          <w:ilvl w:val="0"/>
          <w:numId w:val="14"/>
        </w:numPr>
        <w:bidi/>
        <w:spacing w:after="0" w:line="360" w:lineRule="auto"/>
        <w:jc w:val="both"/>
        <w:rPr>
          <w:rFonts w:ascii="Traditional Arabic" w:eastAsia="Times New Roman" w:hAnsi="Traditional Arabic" w:cs="Traditional Arabic"/>
          <w:b/>
          <w:bCs/>
          <w:color w:val="000000" w:themeColor="text1"/>
          <w:sz w:val="32"/>
          <w:szCs w:val="32"/>
        </w:rPr>
      </w:pPr>
      <w:r w:rsidRPr="00545ABB">
        <w:rPr>
          <w:rFonts w:ascii="Traditional Arabic" w:eastAsia="Times New Roman" w:hAnsi="Traditional Arabic" w:cs="Traditional Arabic"/>
          <w:b/>
          <w:bCs/>
          <w:color w:val="000000" w:themeColor="text1"/>
          <w:sz w:val="32"/>
          <w:szCs w:val="32"/>
          <w:rtl/>
        </w:rPr>
        <w:t>تفسير نتائج الفرض الخامس:</w:t>
      </w:r>
    </w:p>
    <w:p w14:paraId="2AC9D3F2" w14:textId="33E071F5" w:rsidR="00D97E5C" w:rsidRPr="00545ABB" w:rsidRDefault="00D97E5C" w:rsidP="00022590">
      <w:pPr>
        <w:spacing w:after="0" w:line="360" w:lineRule="auto"/>
        <w:ind w:firstLine="360"/>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أكدت النتائج وجود علاقة إيجابية قوية بين الحوكمة الفعالة وتحقيق مستهدفات رؤية المملكة العربية السعودية 2030، حيث أسهمت الحوكمة في تعزيز نجاح واستدامة شركات الأمن السيبراني الناشئة، وهو ما يدعم قبول الفرض الخامس. ويمكن تفسير هذه النتيجة بأن تطبيق مبادئ الحوكمة يسهم في بناء شركات أكثر قدرة على الابتكار، والامتثال للمتطلبات التنظيمية، وإدارة المخاطر بكفاءة، بما يعزز تنافسيتها ويساعدها على الإسهام في تحقيق مستهدفات التحول الرقمي، وتنمية الاقتصاد الوطني، وتعزيز منظومة الأمن السيبراني، وهي جميعها من المرتكزات الأساسية لرؤية المملكة العربية السعودية 2030</w:t>
      </w:r>
      <w:r w:rsidRPr="00545ABB">
        <w:rPr>
          <w:rFonts w:ascii="Traditional Arabic" w:hAnsi="Traditional Arabic" w:cs="Traditional Arabic"/>
          <w:color w:val="000000" w:themeColor="text1"/>
          <w:sz w:val="28"/>
          <w:szCs w:val="28"/>
          <w:lang w:bidi="ar-EG"/>
        </w:rPr>
        <w:t>.</w:t>
      </w:r>
    </w:p>
    <w:p w14:paraId="44808890" w14:textId="23D9E1D6" w:rsidR="00443315" w:rsidRPr="00545ABB" w:rsidRDefault="00443315" w:rsidP="00022590">
      <w:pPr>
        <w:spacing w:after="0" w:line="360" w:lineRule="auto"/>
        <w:ind w:firstLine="360"/>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 xml:space="preserve">وتتفق هذه النتيجة مع دراسة </w:t>
      </w:r>
      <w:r w:rsidRPr="00545ABB">
        <w:rPr>
          <w:rFonts w:ascii="Traditional Arabic" w:hAnsi="Traditional Arabic" w:cs="Traditional Arabic"/>
          <w:b/>
          <w:bCs/>
          <w:color w:val="000000" w:themeColor="text1"/>
          <w:sz w:val="28"/>
          <w:szCs w:val="28"/>
          <w:rtl/>
          <w:lang w:bidi="ar-EG"/>
        </w:rPr>
        <w:t xml:space="preserve">مسعود يونس عطوان </w:t>
      </w:r>
      <w:r w:rsidR="00AD6D38" w:rsidRPr="00545ABB">
        <w:rPr>
          <w:rFonts w:ascii="Traditional Arabic" w:hAnsi="Traditional Arabic" w:cs="Traditional Arabic"/>
          <w:b/>
          <w:bCs/>
          <w:color w:val="000000" w:themeColor="text1"/>
          <w:sz w:val="28"/>
          <w:szCs w:val="28"/>
          <w:rtl/>
          <w:lang w:bidi="ar-EG"/>
        </w:rPr>
        <w:t>عطا (2018)</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أكدت أن الحوكمة تمثل أحد المحاور الأساسية لتحقيق مستهدفات رؤية المملكة 2030، من خلال تعزيز الشفافية، وتحسين كفاءة الإدارة، وجذب الاستثمارات، ورفع مستوى استدامة الشركات. كما تتوافق مع دراسة </w:t>
      </w:r>
      <w:r w:rsidRPr="00545ABB">
        <w:rPr>
          <w:rFonts w:ascii="Traditional Arabic" w:hAnsi="Traditional Arabic" w:cs="Traditional Arabic"/>
          <w:b/>
          <w:bCs/>
          <w:color w:val="000000" w:themeColor="text1"/>
          <w:sz w:val="28"/>
          <w:szCs w:val="28"/>
          <w:rtl/>
          <w:lang w:bidi="ar-EG"/>
        </w:rPr>
        <w:t xml:space="preserve">عمار </w:t>
      </w:r>
      <w:r w:rsidR="00AD6D38" w:rsidRPr="00545ABB">
        <w:rPr>
          <w:rFonts w:ascii="Traditional Arabic" w:hAnsi="Traditional Arabic" w:cs="Traditional Arabic"/>
          <w:b/>
          <w:bCs/>
          <w:color w:val="000000" w:themeColor="text1"/>
          <w:sz w:val="28"/>
          <w:szCs w:val="28"/>
          <w:lang w:bidi="ar-EG"/>
        </w:rPr>
        <w:t>Alqahtani (2022)</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 xml:space="preserve">التي أوضحت أن البيئة التنظيمية الداعمة، والابتكار، والدعم الحكومي تعد من أهم العوامل التي تسهم في استدامة الشركات الناشئة وتعزيز دورها في تحقيق التنمية الاقتصادية. كذلك تنسجم مع نتائج دراسة </w:t>
      </w:r>
      <w:r w:rsidRPr="00545ABB">
        <w:rPr>
          <w:rFonts w:ascii="Traditional Arabic" w:hAnsi="Traditional Arabic" w:cs="Traditional Arabic"/>
          <w:b/>
          <w:bCs/>
          <w:color w:val="000000" w:themeColor="text1"/>
          <w:sz w:val="28"/>
          <w:szCs w:val="28"/>
          <w:rtl/>
          <w:lang w:bidi="ar-EG"/>
        </w:rPr>
        <w:t>بوشامي وآخرون</w:t>
      </w:r>
      <w:r w:rsidRPr="00545ABB">
        <w:rPr>
          <w:rFonts w:ascii="Traditional Arabic" w:hAnsi="Traditional Arabic" w:cs="Traditional Arabic"/>
          <w:b/>
          <w:bCs/>
          <w:color w:val="000000" w:themeColor="text1"/>
          <w:sz w:val="28"/>
          <w:szCs w:val="28"/>
          <w:lang w:bidi="ar-EG"/>
        </w:rPr>
        <w:t xml:space="preserve"> (2022)</w:t>
      </w:r>
      <w:r w:rsidRPr="00545ABB">
        <w:rPr>
          <w:rFonts w:ascii="Traditional Arabic" w:hAnsi="Traditional Arabic" w:cs="Traditional Arabic"/>
          <w:color w:val="000000" w:themeColor="text1"/>
          <w:sz w:val="28"/>
          <w:szCs w:val="28"/>
          <w:lang w:bidi="ar-EG"/>
        </w:rPr>
        <w:t xml:space="preserve"> </w:t>
      </w:r>
      <w:r w:rsidRPr="00545ABB">
        <w:rPr>
          <w:rFonts w:ascii="Traditional Arabic" w:hAnsi="Traditional Arabic" w:cs="Traditional Arabic"/>
          <w:color w:val="000000" w:themeColor="text1"/>
          <w:sz w:val="28"/>
          <w:szCs w:val="28"/>
          <w:rtl/>
          <w:lang w:bidi="ar-EG"/>
        </w:rPr>
        <w:t>التي أكدت أن تطوير أطر الحوكمة وتحديثها بما يتلاءم مع المتغيرات الاقتصادية والتنظيمية يمثل عاملًا رئيسًا في رفع كفاءة الشركات وتعزيز قدرتها على تحقيق أهداف التنمية المستدامة، وهو ما يتوافق مع توجهات رؤية المملكة العربية السعودية 2030 نحو بناء اقتصاد رقمي قائم على الابتكار والاستدامة</w:t>
      </w:r>
      <w:r w:rsidRPr="00545ABB">
        <w:rPr>
          <w:rFonts w:ascii="Traditional Arabic" w:hAnsi="Traditional Arabic" w:cs="Traditional Arabic"/>
          <w:color w:val="000000" w:themeColor="text1"/>
          <w:sz w:val="28"/>
          <w:szCs w:val="28"/>
          <w:lang w:bidi="ar-EG"/>
        </w:rPr>
        <w:t>.</w:t>
      </w:r>
    </w:p>
    <w:p w14:paraId="1BD4BC5D" w14:textId="142A575C" w:rsidR="00D97E5C" w:rsidRPr="00545ABB" w:rsidRDefault="00761D53" w:rsidP="00022590">
      <w:pPr>
        <w:spacing w:after="0" w:line="360" w:lineRule="auto"/>
        <w:jc w:val="both"/>
        <w:rPr>
          <w:rFonts w:ascii="Traditional Arabic" w:eastAsia="Times New Roman" w:hAnsi="Traditional Arabic" w:cs="Traditional Arabic"/>
          <w:b/>
          <w:bCs/>
          <w:color w:val="000000" w:themeColor="text1"/>
          <w:sz w:val="32"/>
          <w:szCs w:val="32"/>
        </w:rPr>
      </w:pPr>
      <w:bookmarkStart w:id="158" w:name="_Hlk236255047"/>
      <w:r w:rsidRPr="00545ABB">
        <w:rPr>
          <w:rFonts w:ascii="Traditional Arabic" w:eastAsia="Times New Roman" w:hAnsi="Traditional Arabic" w:cs="Traditional Arabic"/>
          <w:b/>
          <w:bCs/>
          <w:color w:val="000000" w:themeColor="text1"/>
          <w:sz w:val="32"/>
          <w:szCs w:val="32"/>
          <w:rtl/>
        </w:rPr>
        <w:t>2/1</w:t>
      </w:r>
      <w:r w:rsidR="00D97E5C" w:rsidRPr="00545ABB">
        <w:rPr>
          <w:rFonts w:ascii="Traditional Arabic" w:eastAsia="Times New Roman" w:hAnsi="Traditional Arabic" w:cs="Traditional Arabic"/>
          <w:b/>
          <w:bCs/>
          <w:color w:val="000000" w:themeColor="text1"/>
          <w:sz w:val="32"/>
          <w:szCs w:val="32"/>
          <w:rtl/>
        </w:rPr>
        <w:t xml:space="preserve"> الاستنتاج العام للدراسة:</w:t>
      </w:r>
    </w:p>
    <w:bookmarkEnd w:id="158"/>
    <w:p w14:paraId="4B4B0045" w14:textId="77777777" w:rsidR="00D97E5C" w:rsidRPr="00545ABB" w:rsidRDefault="00D97E5C" w:rsidP="00022590">
      <w:pPr>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يمكن استخلاص النتائج الكلية في النقاط التالية</w:t>
      </w:r>
      <w:r w:rsidRPr="00545ABB">
        <w:rPr>
          <w:rFonts w:ascii="Traditional Arabic" w:hAnsi="Traditional Arabic" w:cs="Traditional Arabic"/>
          <w:color w:val="000000" w:themeColor="text1"/>
          <w:sz w:val="28"/>
          <w:szCs w:val="28"/>
        </w:rPr>
        <w:t>:</w:t>
      </w:r>
    </w:p>
    <w:p w14:paraId="175631A8" w14:textId="77777777" w:rsidR="00D97E5C" w:rsidRPr="00545ABB" w:rsidRDefault="00D97E5C" w:rsidP="00D95153">
      <w:pPr>
        <w:pStyle w:val="ListParagraph"/>
        <w:numPr>
          <w:ilvl w:val="1"/>
          <w:numId w:val="15"/>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تُظهر النتائج أن عينة الدراسة تتسم بتنوع ديموغرافي مناسب من حيث الجنس والعمر والمؤهل والخبرة، بما يعزز موثوقية التعميم النسبي للنتائج داخل مجتمع الدراسة</w:t>
      </w:r>
      <w:r w:rsidRPr="00545ABB">
        <w:rPr>
          <w:rFonts w:ascii="Traditional Arabic" w:hAnsi="Traditional Arabic" w:cs="Traditional Arabic"/>
          <w:color w:val="000000" w:themeColor="text1"/>
          <w:sz w:val="28"/>
          <w:szCs w:val="28"/>
        </w:rPr>
        <w:t>.</w:t>
      </w:r>
    </w:p>
    <w:p w14:paraId="60BBC4A8" w14:textId="77777777" w:rsidR="00D97E5C" w:rsidRPr="00545ABB" w:rsidRDefault="00D97E5C" w:rsidP="00D95153">
      <w:pPr>
        <w:pStyle w:val="ListParagraph"/>
        <w:numPr>
          <w:ilvl w:val="1"/>
          <w:numId w:val="15"/>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lastRenderedPageBreak/>
        <w:t>تشير النتائج إلى أن مستوى تطبيق الحوكمة الفعالة في شركات الأمن السيبراني الناشئة جاء مرتفعًا في جميع أبعادها (الشفافية، المساءلة، المشاركة، إدارة المخاطر، والكفاءة)، مما يعكس إدراكًا مؤسسيًا جيدًا لأهمية الحوكمة</w:t>
      </w:r>
      <w:r w:rsidRPr="00545ABB">
        <w:rPr>
          <w:rFonts w:ascii="Traditional Arabic" w:hAnsi="Traditional Arabic" w:cs="Traditional Arabic"/>
          <w:color w:val="000000" w:themeColor="text1"/>
          <w:sz w:val="28"/>
          <w:szCs w:val="28"/>
        </w:rPr>
        <w:t>.</w:t>
      </w:r>
    </w:p>
    <w:p w14:paraId="1E745DF0" w14:textId="77777777" w:rsidR="00D97E5C" w:rsidRPr="00545ABB" w:rsidRDefault="00D97E5C" w:rsidP="00D95153">
      <w:pPr>
        <w:pStyle w:val="ListParagraph"/>
        <w:numPr>
          <w:ilvl w:val="1"/>
          <w:numId w:val="15"/>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توضح النتائج أن بعد المساءلة والمسؤولية والكفاءة في استخدام الموارد كانا من أكثر الأبعاد قوة نسبيًا، مما يدل على توجه إداري واضح نحو ضبط الأداء وتحسينه</w:t>
      </w:r>
      <w:r w:rsidRPr="00545ABB">
        <w:rPr>
          <w:rFonts w:ascii="Traditional Arabic" w:hAnsi="Traditional Arabic" w:cs="Traditional Arabic"/>
          <w:color w:val="000000" w:themeColor="text1"/>
          <w:sz w:val="28"/>
          <w:szCs w:val="28"/>
        </w:rPr>
        <w:t>.</w:t>
      </w:r>
    </w:p>
    <w:p w14:paraId="71449228" w14:textId="77777777" w:rsidR="00D97E5C" w:rsidRPr="00545ABB" w:rsidRDefault="00D97E5C" w:rsidP="00D95153">
      <w:pPr>
        <w:pStyle w:val="ListParagraph"/>
        <w:numPr>
          <w:ilvl w:val="1"/>
          <w:numId w:val="15"/>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تكشف النتائج أن مستوى الاستدامة المؤسسية جاء مرتفعًا في أبعاده الثلاثة (الاقتصادي، الاجتماعي، التقني)، مع تفوق نسبي للبعد التقني والاجتماعي، مما يعكس اهتمامًا بالتطوير التقني وبيئة العمل</w:t>
      </w:r>
      <w:r w:rsidRPr="00545ABB">
        <w:rPr>
          <w:rFonts w:ascii="Traditional Arabic" w:hAnsi="Traditional Arabic" w:cs="Traditional Arabic"/>
          <w:color w:val="000000" w:themeColor="text1"/>
          <w:sz w:val="28"/>
          <w:szCs w:val="28"/>
        </w:rPr>
        <w:t>.</w:t>
      </w:r>
    </w:p>
    <w:p w14:paraId="6EA7FDCB" w14:textId="77777777" w:rsidR="00D97E5C" w:rsidRPr="00545ABB" w:rsidRDefault="00D97E5C" w:rsidP="00D95153">
      <w:pPr>
        <w:pStyle w:val="ListParagraph"/>
        <w:numPr>
          <w:ilvl w:val="1"/>
          <w:numId w:val="15"/>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تؤكد النتائج أن النجاح المؤسسي تحقق بمستوى مرتفع أيضًا في جميع أبعاده، وخاصة رضا العملاء والنمو المؤسسي، مما يشير إلى قدرة الشركات على تحقيق نتائج تنافسية إيجابية</w:t>
      </w:r>
      <w:r w:rsidRPr="00545ABB">
        <w:rPr>
          <w:rFonts w:ascii="Traditional Arabic" w:hAnsi="Traditional Arabic" w:cs="Traditional Arabic"/>
          <w:color w:val="000000" w:themeColor="text1"/>
          <w:sz w:val="28"/>
          <w:szCs w:val="28"/>
        </w:rPr>
        <w:t>.</w:t>
      </w:r>
    </w:p>
    <w:p w14:paraId="3DC038ED" w14:textId="77777777" w:rsidR="00D97E5C" w:rsidRPr="00545ABB" w:rsidRDefault="00D97E5C" w:rsidP="00D95153">
      <w:pPr>
        <w:pStyle w:val="ListParagraph"/>
        <w:numPr>
          <w:ilvl w:val="1"/>
          <w:numId w:val="15"/>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أظهرت النتائج وجود علاقة ارتباط إيجابية قوية جدًا ودالة إحصائيًا بين الحوكمة الفعالة وكل من الاستدامة المؤسسية والنجاح المؤسسي</w:t>
      </w:r>
      <w:r w:rsidRPr="00545ABB">
        <w:rPr>
          <w:rFonts w:ascii="Traditional Arabic" w:hAnsi="Traditional Arabic" w:cs="Traditional Arabic"/>
          <w:color w:val="000000" w:themeColor="text1"/>
          <w:sz w:val="28"/>
          <w:szCs w:val="28"/>
        </w:rPr>
        <w:t>.</w:t>
      </w:r>
    </w:p>
    <w:p w14:paraId="1254B065" w14:textId="77777777" w:rsidR="00D97E5C" w:rsidRPr="00545ABB" w:rsidRDefault="00D97E5C" w:rsidP="00D95153">
      <w:pPr>
        <w:pStyle w:val="ListParagraph"/>
        <w:numPr>
          <w:ilvl w:val="1"/>
          <w:numId w:val="15"/>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يمكن استنتاج أن تحسين ممارسات الحوكمة يُعد عاملًا حاسمًا ومباشرًا في رفع مستوى الاستدامة المؤسسية وتعزيز النجاح المؤسسي في شركات الأمن السيبراني الناشئة</w:t>
      </w:r>
      <w:r w:rsidRPr="00545ABB">
        <w:rPr>
          <w:rFonts w:ascii="Traditional Arabic" w:hAnsi="Traditional Arabic" w:cs="Traditional Arabic"/>
          <w:color w:val="000000" w:themeColor="text1"/>
          <w:sz w:val="28"/>
          <w:szCs w:val="28"/>
        </w:rPr>
        <w:t>.</w:t>
      </w:r>
    </w:p>
    <w:p w14:paraId="55B11CB2" w14:textId="3F5BAC83" w:rsidR="0020208E" w:rsidRPr="00545ABB" w:rsidRDefault="00D97E5C" w:rsidP="00D95153">
      <w:pPr>
        <w:pStyle w:val="ListParagraph"/>
        <w:numPr>
          <w:ilvl w:val="1"/>
          <w:numId w:val="15"/>
        </w:numPr>
        <w:bidi/>
        <w:spacing w:after="0" w:line="360" w:lineRule="auto"/>
        <w:jc w:val="both"/>
        <w:rPr>
          <w:rFonts w:ascii="Traditional Arabic" w:eastAsia="Times New Roman" w:hAnsi="Traditional Arabic" w:cs="Traditional Arabic"/>
          <w:color w:val="000000" w:themeColor="text1"/>
          <w:sz w:val="24"/>
          <w:szCs w:val="24"/>
        </w:rPr>
      </w:pPr>
      <w:r w:rsidRPr="00545ABB">
        <w:rPr>
          <w:rFonts w:ascii="Traditional Arabic" w:hAnsi="Traditional Arabic" w:cs="Traditional Arabic"/>
          <w:color w:val="000000" w:themeColor="text1"/>
          <w:sz w:val="28"/>
          <w:szCs w:val="28"/>
          <w:rtl/>
        </w:rPr>
        <w:t>تدعم النتائج الفرضية العامة للدراسة التي تفترض أن الحوكمة الفعالة تؤثر إيجابيًا على الأداء المؤسسي بأبعاده المختلفة، مما يرسخ أهميتها كأداة استراتيجية وليست إدارية فقط</w:t>
      </w:r>
      <w:r w:rsidRPr="00545ABB">
        <w:rPr>
          <w:rFonts w:ascii="Traditional Arabic" w:eastAsia="Times New Roman" w:hAnsi="Traditional Arabic" w:cs="Traditional Arabic"/>
          <w:color w:val="000000" w:themeColor="text1"/>
          <w:sz w:val="24"/>
          <w:szCs w:val="24"/>
        </w:rPr>
        <w:t>.</w:t>
      </w:r>
    </w:p>
    <w:p w14:paraId="525EFA67" w14:textId="2287CB0C" w:rsidR="00D97E5C" w:rsidRPr="00545ABB" w:rsidRDefault="00D97E5C" w:rsidP="002174D5">
      <w:pPr>
        <w:pStyle w:val="Heading2"/>
        <w:bidi/>
        <w:rPr>
          <w:rFonts w:ascii="Traditional Arabic" w:eastAsia="Times New Roman" w:hAnsi="Traditional Arabic" w:cs="Traditional Arabic"/>
          <w:color w:val="000000" w:themeColor="text1"/>
        </w:rPr>
      </w:pPr>
      <w:bookmarkStart w:id="159" w:name="_Hlk236255071"/>
      <w:bookmarkStart w:id="160" w:name="_Toc242325309"/>
      <w:r w:rsidRPr="00545ABB">
        <w:rPr>
          <w:rFonts w:ascii="Traditional Arabic" w:eastAsia="Times New Roman" w:hAnsi="Traditional Arabic" w:cs="Traditional Arabic"/>
          <w:color w:val="000000" w:themeColor="text1"/>
          <w:rtl/>
        </w:rPr>
        <w:t>التوصيات العملية المبنية على النتائج:</w:t>
      </w:r>
      <w:bookmarkEnd w:id="160"/>
    </w:p>
    <w:bookmarkEnd w:id="159"/>
    <w:p w14:paraId="5A830011" w14:textId="6B623F29" w:rsidR="0020208E" w:rsidRPr="00545ABB" w:rsidRDefault="00D97E5C" w:rsidP="00022590">
      <w:pPr>
        <w:spacing w:after="0" w:line="360" w:lineRule="auto"/>
        <w:jc w:val="both"/>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t>بناءً على النتائج السابقة التي أكدت قوة العلاقة بين الحوكمة الفعالة والاستدامة المؤسسية والنجاح المؤسسي، يمكن تقديم توصيات عملية قابلة للتطبيق كما يلي</w:t>
      </w:r>
      <w:r w:rsidRPr="00545ABB">
        <w:rPr>
          <w:rFonts w:ascii="Traditional Arabic" w:hAnsi="Traditional Arabic" w:cs="Traditional Arabic"/>
          <w:color w:val="000000" w:themeColor="text1"/>
          <w:sz w:val="28"/>
          <w:szCs w:val="28"/>
          <w:lang w:bidi="ar-EG"/>
        </w:rPr>
        <w:t>:</w:t>
      </w:r>
    </w:p>
    <w:p w14:paraId="331DFF7B" w14:textId="727FF535" w:rsidR="0020208E" w:rsidRPr="00545ABB" w:rsidRDefault="00D24A1E" w:rsidP="00022590">
      <w:pPr>
        <w:pStyle w:val="ListParagraph"/>
        <w:bidi/>
        <w:spacing w:after="0" w:line="360" w:lineRule="auto"/>
        <w:jc w:val="center"/>
        <w:rPr>
          <w:rFonts w:ascii="Traditional Arabic" w:hAnsi="Traditional Arabic" w:cs="Traditional Arabic"/>
          <w:b/>
          <w:bCs/>
          <w:color w:val="000000" w:themeColor="text1"/>
          <w:sz w:val="28"/>
          <w:szCs w:val="28"/>
          <w:lang w:bidi="ar-EG"/>
        </w:rPr>
      </w:pPr>
      <w:r w:rsidRPr="00D24A1E">
        <w:rPr>
          <w:rFonts w:ascii="Traditional Arabic" w:hAnsi="Traditional Arabic" w:cs="Traditional Arabic"/>
          <w:b/>
          <w:bCs/>
          <w:color w:val="000000" w:themeColor="text1"/>
          <w:sz w:val="28"/>
          <w:szCs w:val="28"/>
          <w:rtl/>
          <w:lang w:bidi="ar-EG"/>
        </w:rPr>
        <w:t>جدول (5-1)</w:t>
      </w:r>
      <w:r>
        <w:rPr>
          <w:rFonts w:ascii="Traditional Arabic" w:hAnsi="Traditional Arabic" w:cs="Traditional Arabic"/>
          <w:b/>
          <w:bCs/>
          <w:color w:val="000000" w:themeColor="text1"/>
          <w:sz w:val="28"/>
          <w:szCs w:val="28"/>
          <w:lang w:bidi="ar-EG"/>
        </w:rPr>
        <w:t xml:space="preserve"> </w:t>
      </w:r>
      <w:r w:rsidR="0020208E" w:rsidRPr="00545ABB">
        <w:rPr>
          <w:rFonts w:ascii="Traditional Arabic" w:hAnsi="Traditional Arabic" w:cs="Traditional Arabic"/>
          <w:b/>
          <w:bCs/>
          <w:color w:val="000000" w:themeColor="text1"/>
          <w:sz w:val="28"/>
          <w:szCs w:val="28"/>
          <w:rtl/>
          <w:lang w:bidi="ar-EG"/>
        </w:rPr>
        <w:t>خطة العمل</w:t>
      </w:r>
      <w:r w:rsidR="0020208E" w:rsidRPr="00545ABB">
        <w:rPr>
          <w:rFonts w:ascii="Traditional Arabic" w:hAnsi="Traditional Arabic" w:cs="Traditional Arabic"/>
          <w:b/>
          <w:bCs/>
          <w:color w:val="000000" w:themeColor="text1"/>
          <w:sz w:val="28"/>
          <w:szCs w:val="28"/>
          <w:lang w:bidi="ar-EG"/>
        </w:rPr>
        <w:t xml:space="preserve"> (Action Plan) </w:t>
      </w:r>
      <w:r w:rsidR="0020208E" w:rsidRPr="00545ABB">
        <w:rPr>
          <w:rFonts w:ascii="Traditional Arabic" w:hAnsi="Traditional Arabic" w:cs="Traditional Arabic"/>
          <w:b/>
          <w:bCs/>
          <w:color w:val="000000" w:themeColor="text1"/>
          <w:sz w:val="28"/>
          <w:szCs w:val="28"/>
          <w:rtl/>
          <w:lang w:bidi="ar-EG"/>
        </w:rPr>
        <w:t>لتنفيذ التوصيات المقترحة</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52"/>
        <w:gridCol w:w="2460"/>
        <w:gridCol w:w="1731"/>
        <w:gridCol w:w="3374"/>
        <w:gridCol w:w="1267"/>
      </w:tblGrid>
      <w:tr w:rsidR="0020208E" w:rsidRPr="00545ABB" w14:paraId="1C6C1B8F" w14:textId="77777777" w:rsidTr="002174D5">
        <w:tc>
          <w:tcPr>
            <w:tcW w:w="0" w:type="auto"/>
            <w:shd w:val="clear" w:color="auto" w:fill="8DB3E2" w:themeFill="text2" w:themeFillTint="66"/>
            <w:vAlign w:val="center"/>
            <w:hideMark/>
          </w:tcPr>
          <w:p w14:paraId="6EA66CD5" w14:textId="77777777" w:rsidR="0020208E" w:rsidRPr="00545ABB" w:rsidRDefault="0020208E" w:rsidP="00022590">
            <w:pPr>
              <w:bidi w:val="0"/>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م</w:t>
            </w:r>
          </w:p>
        </w:tc>
        <w:tc>
          <w:tcPr>
            <w:tcW w:w="0" w:type="auto"/>
            <w:shd w:val="clear" w:color="auto" w:fill="8DB3E2" w:themeFill="text2" w:themeFillTint="66"/>
            <w:vAlign w:val="center"/>
            <w:hideMark/>
          </w:tcPr>
          <w:p w14:paraId="01AA0D5C" w14:textId="77777777" w:rsidR="0020208E" w:rsidRPr="00545ABB" w:rsidRDefault="0020208E" w:rsidP="00022590">
            <w:pPr>
              <w:bidi w:val="0"/>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التوصية</w:t>
            </w:r>
          </w:p>
        </w:tc>
        <w:tc>
          <w:tcPr>
            <w:tcW w:w="0" w:type="auto"/>
            <w:shd w:val="clear" w:color="auto" w:fill="8DB3E2" w:themeFill="text2" w:themeFillTint="66"/>
            <w:vAlign w:val="center"/>
            <w:hideMark/>
          </w:tcPr>
          <w:p w14:paraId="73CF3E23" w14:textId="77777777" w:rsidR="0020208E" w:rsidRPr="00545ABB" w:rsidRDefault="0020208E" w:rsidP="00022590">
            <w:pPr>
              <w:bidi w:val="0"/>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الجهة المسؤولة عن التنفيذ</w:t>
            </w:r>
          </w:p>
        </w:tc>
        <w:tc>
          <w:tcPr>
            <w:tcW w:w="0" w:type="auto"/>
            <w:shd w:val="clear" w:color="auto" w:fill="8DB3E2" w:themeFill="text2" w:themeFillTint="66"/>
            <w:vAlign w:val="center"/>
            <w:hideMark/>
          </w:tcPr>
          <w:p w14:paraId="708FBC00" w14:textId="77777777" w:rsidR="0020208E" w:rsidRPr="00545ABB" w:rsidRDefault="0020208E" w:rsidP="00022590">
            <w:pPr>
              <w:bidi w:val="0"/>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آلية التطبيق</w:t>
            </w:r>
          </w:p>
        </w:tc>
        <w:tc>
          <w:tcPr>
            <w:tcW w:w="0" w:type="auto"/>
            <w:shd w:val="clear" w:color="auto" w:fill="8DB3E2" w:themeFill="text2" w:themeFillTint="66"/>
            <w:vAlign w:val="center"/>
            <w:hideMark/>
          </w:tcPr>
          <w:p w14:paraId="552C37F9" w14:textId="77777777" w:rsidR="0020208E" w:rsidRPr="00545ABB" w:rsidRDefault="0020208E" w:rsidP="00022590">
            <w:pPr>
              <w:bidi w:val="0"/>
              <w:spacing w:line="360" w:lineRule="auto"/>
              <w:jc w:val="center"/>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المدة الزمنية المقترحة</w:t>
            </w:r>
          </w:p>
        </w:tc>
      </w:tr>
      <w:tr w:rsidR="0020208E" w:rsidRPr="00545ABB" w14:paraId="43EF3FCB" w14:textId="77777777" w:rsidTr="0020208E">
        <w:tc>
          <w:tcPr>
            <w:tcW w:w="0" w:type="auto"/>
            <w:vAlign w:val="center"/>
            <w:hideMark/>
          </w:tcPr>
          <w:p w14:paraId="7A69F717" w14:textId="600FA892"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lastRenderedPageBreak/>
              <w:t>1</w:t>
            </w:r>
          </w:p>
        </w:tc>
        <w:tc>
          <w:tcPr>
            <w:tcW w:w="0" w:type="auto"/>
            <w:vAlign w:val="center"/>
            <w:hideMark/>
          </w:tcPr>
          <w:p w14:paraId="4E392BC2"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تعزيز منظومة الحوكمة المؤسسية من خلال إعداد سياسات مكتوبة وواضحة للشفافية والمساءلة وإدارة المخاطر</w:t>
            </w:r>
            <w:r w:rsidRPr="00545ABB">
              <w:rPr>
                <w:rFonts w:ascii="Traditional Arabic" w:hAnsi="Traditional Arabic" w:cs="Traditional Arabic"/>
                <w:color w:val="000000" w:themeColor="text1"/>
              </w:rPr>
              <w:t>.</w:t>
            </w:r>
          </w:p>
        </w:tc>
        <w:tc>
          <w:tcPr>
            <w:tcW w:w="0" w:type="auto"/>
            <w:vAlign w:val="center"/>
            <w:hideMark/>
          </w:tcPr>
          <w:p w14:paraId="02509BCE"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مجلس الإدارة – الإدارة التنفيذية – إدارة الحوكمة والامتثال</w:t>
            </w:r>
          </w:p>
        </w:tc>
        <w:tc>
          <w:tcPr>
            <w:tcW w:w="0" w:type="auto"/>
            <w:vAlign w:val="center"/>
            <w:hideMark/>
          </w:tcPr>
          <w:p w14:paraId="6975D7A5"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إعداد دليل حوكمة مؤسسي واعتماده، وتحديث السياسات والإجراءات ونشرها على جميع الإدارات</w:t>
            </w:r>
            <w:r w:rsidRPr="00545ABB">
              <w:rPr>
                <w:rFonts w:ascii="Traditional Arabic" w:hAnsi="Traditional Arabic" w:cs="Traditional Arabic"/>
                <w:color w:val="000000" w:themeColor="text1"/>
              </w:rPr>
              <w:t>.</w:t>
            </w:r>
          </w:p>
        </w:tc>
        <w:tc>
          <w:tcPr>
            <w:tcW w:w="0" w:type="auto"/>
            <w:vAlign w:val="center"/>
            <w:hideMark/>
          </w:tcPr>
          <w:p w14:paraId="68DEBC6B"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Pr>
              <w:t xml:space="preserve">3–6 </w:t>
            </w:r>
            <w:r w:rsidRPr="00545ABB">
              <w:rPr>
                <w:rFonts w:ascii="Traditional Arabic" w:hAnsi="Traditional Arabic" w:cs="Traditional Arabic"/>
                <w:color w:val="000000" w:themeColor="text1"/>
                <w:rtl/>
              </w:rPr>
              <w:t>أشهر</w:t>
            </w:r>
          </w:p>
        </w:tc>
      </w:tr>
      <w:tr w:rsidR="0020208E" w:rsidRPr="00545ABB" w14:paraId="0F2E7B2F" w14:textId="77777777" w:rsidTr="0020208E">
        <w:tc>
          <w:tcPr>
            <w:tcW w:w="0" w:type="auto"/>
            <w:vAlign w:val="center"/>
            <w:hideMark/>
          </w:tcPr>
          <w:p w14:paraId="4C6F304D" w14:textId="7402892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2</w:t>
            </w:r>
          </w:p>
        </w:tc>
        <w:tc>
          <w:tcPr>
            <w:tcW w:w="0" w:type="auto"/>
            <w:vAlign w:val="center"/>
            <w:hideMark/>
          </w:tcPr>
          <w:p w14:paraId="609CE6D8"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تطوير أنظمة شفافية داخلية رقمية لتبادل المعلومات بين الإدارات بصورة آمنة ومنظمة</w:t>
            </w:r>
            <w:r w:rsidRPr="00545ABB">
              <w:rPr>
                <w:rFonts w:ascii="Traditional Arabic" w:hAnsi="Traditional Arabic" w:cs="Traditional Arabic"/>
                <w:color w:val="000000" w:themeColor="text1"/>
              </w:rPr>
              <w:t>.</w:t>
            </w:r>
          </w:p>
        </w:tc>
        <w:tc>
          <w:tcPr>
            <w:tcW w:w="0" w:type="auto"/>
            <w:vAlign w:val="center"/>
            <w:hideMark/>
          </w:tcPr>
          <w:p w14:paraId="7E50C362"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إدارة تقنية المعلومات – إدارة التحول الرقمي</w:t>
            </w:r>
          </w:p>
        </w:tc>
        <w:tc>
          <w:tcPr>
            <w:tcW w:w="0" w:type="auto"/>
            <w:vAlign w:val="center"/>
            <w:hideMark/>
          </w:tcPr>
          <w:p w14:paraId="7B647B69"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إنشاء منصة داخلية لإدارة الوثائق وتبادل البيانات مع تحديد صلاحيات الوصول وفق سياسات الأمن السيبراني</w:t>
            </w:r>
            <w:r w:rsidRPr="00545ABB">
              <w:rPr>
                <w:rFonts w:ascii="Traditional Arabic" w:hAnsi="Traditional Arabic" w:cs="Traditional Arabic"/>
                <w:color w:val="000000" w:themeColor="text1"/>
              </w:rPr>
              <w:t>.</w:t>
            </w:r>
          </w:p>
        </w:tc>
        <w:tc>
          <w:tcPr>
            <w:tcW w:w="0" w:type="auto"/>
            <w:vAlign w:val="center"/>
            <w:hideMark/>
          </w:tcPr>
          <w:p w14:paraId="58DF723D"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Pr>
              <w:t xml:space="preserve">4–6 </w:t>
            </w:r>
            <w:r w:rsidRPr="00545ABB">
              <w:rPr>
                <w:rFonts w:ascii="Traditional Arabic" w:hAnsi="Traditional Arabic" w:cs="Traditional Arabic"/>
                <w:color w:val="000000" w:themeColor="text1"/>
                <w:rtl/>
              </w:rPr>
              <w:t>أشهر</w:t>
            </w:r>
          </w:p>
        </w:tc>
      </w:tr>
      <w:tr w:rsidR="0020208E" w:rsidRPr="00545ABB" w14:paraId="789B57C9" w14:textId="77777777" w:rsidTr="0020208E">
        <w:tc>
          <w:tcPr>
            <w:tcW w:w="0" w:type="auto"/>
            <w:vAlign w:val="center"/>
            <w:hideMark/>
          </w:tcPr>
          <w:p w14:paraId="05387891" w14:textId="6A316B2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3</w:t>
            </w:r>
          </w:p>
        </w:tc>
        <w:tc>
          <w:tcPr>
            <w:tcW w:w="0" w:type="auto"/>
            <w:vAlign w:val="center"/>
            <w:hideMark/>
          </w:tcPr>
          <w:p w14:paraId="627618E2"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تفعيل نظام مساءلة قائم على مؤشرات الأداء الرئيسية</w:t>
            </w:r>
            <w:r w:rsidRPr="00545ABB">
              <w:rPr>
                <w:rFonts w:ascii="Traditional Arabic" w:hAnsi="Traditional Arabic" w:cs="Traditional Arabic"/>
                <w:color w:val="000000" w:themeColor="text1"/>
              </w:rPr>
              <w:t xml:space="preserve"> (KPIs).</w:t>
            </w:r>
          </w:p>
        </w:tc>
        <w:tc>
          <w:tcPr>
            <w:tcW w:w="0" w:type="auto"/>
            <w:vAlign w:val="center"/>
            <w:hideMark/>
          </w:tcPr>
          <w:p w14:paraId="67A57782"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إدارة الموارد البشرية – الإدارة التنفيذية</w:t>
            </w:r>
          </w:p>
        </w:tc>
        <w:tc>
          <w:tcPr>
            <w:tcW w:w="0" w:type="auto"/>
            <w:vAlign w:val="center"/>
            <w:hideMark/>
          </w:tcPr>
          <w:p w14:paraId="51E69529"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تصميم مؤشرات أداء لكل إدارة وموظف، وربطها بعمليات التقييم والحوافز والترقيات</w:t>
            </w:r>
            <w:r w:rsidRPr="00545ABB">
              <w:rPr>
                <w:rFonts w:ascii="Traditional Arabic" w:hAnsi="Traditional Arabic" w:cs="Traditional Arabic"/>
                <w:color w:val="000000" w:themeColor="text1"/>
              </w:rPr>
              <w:t>.</w:t>
            </w:r>
          </w:p>
        </w:tc>
        <w:tc>
          <w:tcPr>
            <w:tcW w:w="0" w:type="auto"/>
            <w:vAlign w:val="center"/>
            <w:hideMark/>
          </w:tcPr>
          <w:p w14:paraId="15F5250E"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Pr>
              <w:t xml:space="preserve">2–4 </w:t>
            </w:r>
            <w:r w:rsidRPr="00545ABB">
              <w:rPr>
                <w:rFonts w:ascii="Traditional Arabic" w:hAnsi="Traditional Arabic" w:cs="Traditional Arabic"/>
                <w:color w:val="000000" w:themeColor="text1"/>
                <w:rtl/>
              </w:rPr>
              <w:t>أشهر</w:t>
            </w:r>
          </w:p>
        </w:tc>
      </w:tr>
      <w:tr w:rsidR="0020208E" w:rsidRPr="00545ABB" w14:paraId="1A81D151" w14:textId="77777777" w:rsidTr="0020208E">
        <w:tc>
          <w:tcPr>
            <w:tcW w:w="0" w:type="auto"/>
            <w:vAlign w:val="center"/>
            <w:hideMark/>
          </w:tcPr>
          <w:p w14:paraId="7A83A1B8" w14:textId="6ECCA94F"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4</w:t>
            </w:r>
          </w:p>
        </w:tc>
        <w:tc>
          <w:tcPr>
            <w:tcW w:w="0" w:type="auto"/>
            <w:vAlign w:val="center"/>
            <w:hideMark/>
          </w:tcPr>
          <w:p w14:paraId="26DFF8AC"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تعزيز ثقافة المشاركة في اتخاذ القرار</w:t>
            </w:r>
            <w:r w:rsidRPr="00545ABB">
              <w:rPr>
                <w:rFonts w:ascii="Traditional Arabic" w:hAnsi="Traditional Arabic" w:cs="Traditional Arabic"/>
                <w:color w:val="000000" w:themeColor="text1"/>
              </w:rPr>
              <w:t>.</w:t>
            </w:r>
          </w:p>
        </w:tc>
        <w:tc>
          <w:tcPr>
            <w:tcW w:w="0" w:type="auto"/>
            <w:vAlign w:val="center"/>
            <w:hideMark/>
          </w:tcPr>
          <w:p w14:paraId="79539674"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الإدارة التنفيذية – إدارة الموارد البشرية</w:t>
            </w:r>
          </w:p>
        </w:tc>
        <w:tc>
          <w:tcPr>
            <w:tcW w:w="0" w:type="auto"/>
            <w:vAlign w:val="center"/>
            <w:hideMark/>
          </w:tcPr>
          <w:p w14:paraId="16BFD448"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عقد اجتماعات دورية، وإنشاء منصة إلكترونية لاستقبال المقترحات، وتشكيل لجان لدراسة الأفكار المبتكرة</w:t>
            </w:r>
            <w:r w:rsidRPr="00545ABB">
              <w:rPr>
                <w:rFonts w:ascii="Traditional Arabic" w:hAnsi="Traditional Arabic" w:cs="Traditional Arabic"/>
                <w:color w:val="000000" w:themeColor="text1"/>
              </w:rPr>
              <w:t>.</w:t>
            </w:r>
          </w:p>
        </w:tc>
        <w:tc>
          <w:tcPr>
            <w:tcW w:w="0" w:type="auto"/>
            <w:vAlign w:val="center"/>
            <w:hideMark/>
          </w:tcPr>
          <w:p w14:paraId="583F969C"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Pr>
              <w:t xml:space="preserve">3 </w:t>
            </w:r>
            <w:r w:rsidRPr="00545ABB">
              <w:rPr>
                <w:rFonts w:ascii="Traditional Arabic" w:hAnsi="Traditional Arabic" w:cs="Traditional Arabic"/>
                <w:color w:val="000000" w:themeColor="text1"/>
                <w:rtl/>
              </w:rPr>
              <w:t>أشهر ثم بشكل مستمر</w:t>
            </w:r>
          </w:p>
        </w:tc>
      </w:tr>
      <w:tr w:rsidR="0020208E" w:rsidRPr="00545ABB" w14:paraId="7461396F" w14:textId="77777777" w:rsidTr="0020208E">
        <w:tc>
          <w:tcPr>
            <w:tcW w:w="0" w:type="auto"/>
            <w:vAlign w:val="center"/>
            <w:hideMark/>
          </w:tcPr>
          <w:p w14:paraId="0147C075" w14:textId="51FBB841"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5</w:t>
            </w:r>
          </w:p>
        </w:tc>
        <w:tc>
          <w:tcPr>
            <w:tcW w:w="0" w:type="auto"/>
            <w:vAlign w:val="center"/>
            <w:hideMark/>
          </w:tcPr>
          <w:p w14:paraId="38AF0C8A"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تطوير إدارة المخاطر السيبرانية بصورة استباقية</w:t>
            </w:r>
            <w:r w:rsidRPr="00545ABB">
              <w:rPr>
                <w:rFonts w:ascii="Traditional Arabic" w:hAnsi="Traditional Arabic" w:cs="Traditional Arabic"/>
                <w:color w:val="000000" w:themeColor="text1"/>
              </w:rPr>
              <w:t>.</w:t>
            </w:r>
          </w:p>
        </w:tc>
        <w:tc>
          <w:tcPr>
            <w:tcW w:w="0" w:type="auto"/>
            <w:vAlign w:val="center"/>
            <w:hideMark/>
          </w:tcPr>
          <w:p w14:paraId="2E80E147"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إدارة الأمن السيبراني – إدارة المخاطر</w:t>
            </w:r>
          </w:p>
        </w:tc>
        <w:tc>
          <w:tcPr>
            <w:tcW w:w="0" w:type="auto"/>
            <w:vAlign w:val="center"/>
            <w:hideMark/>
          </w:tcPr>
          <w:p w14:paraId="214F2940"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تحديث سياسات الأمن، وتنفيذ اختبارات اختراق دورية، وإجراء تقييمات للمخاطر وإعداد خطط الاستجابة للحوادث</w:t>
            </w:r>
            <w:r w:rsidRPr="00545ABB">
              <w:rPr>
                <w:rFonts w:ascii="Traditional Arabic" w:hAnsi="Traditional Arabic" w:cs="Traditional Arabic"/>
                <w:color w:val="000000" w:themeColor="text1"/>
              </w:rPr>
              <w:t>.</w:t>
            </w:r>
          </w:p>
        </w:tc>
        <w:tc>
          <w:tcPr>
            <w:tcW w:w="0" w:type="auto"/>
            <w:vAlign w:val="center"/>
            <w:hideMark/>
          </w:tcPr>
          <w:p w14:paraId="74EE4886"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كل 6 أشهر وبشكل مستمر</w:t>
            </w:r>
          </w:p>
        </w:tc>
      </w:tr>
      <w:tr w:rsidR="0020208E" w:rsidRPr="00545ABB" w14:paraId="75802D7C" w14:textId="77777777" w:rsidTr="0020208E">
        <w:tc>
          <w:tcPr>
            <w:tcW w:w="0" w:type="auto"/>
            <w:vAlign w:val="center"/>
            <w:hideMark/>
          </w:tcPr>
          <w:p w14:paraId="50E541CC" w14:textId="48A3390C"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6</w:t>
            </w:r>
          </w:p>
        </w:tc>
        <w:tc>
          <w:tcPr>
            <w:tcW w:w="0" w:type="auto"/>
            <w:vAlign w:val="center"/>
            <w:hideMark/>
          </w:tcPr>
          <w:p w14:paraId="061A0D4C"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تنفيذ برامج تدريبية مستمرة في الحوكمة والأمن السيبراني والتقنيات الحديثة</w:t>
            </w:r>
            <w:r w:rsidRPr="00545ABB">
              <w:rPr>
                <w:rFonts w:ascii="Traditional Arabic" w:hAnsi="Traditional Arabic" w:cs="Traditional Arabic"/>
                <w:color w:val="000000" w:themeColor="text1"/>
              </w:rPr>
              <w:t>.</w:t>
            </w:r>
          </w:p>
        </w:tc>
        <w:tc>
          <w:tcPr>
            <w:tcW w:w="0" w:type="auto"/>
            <w:vAlign w:val="center"/>
            <w:hideMark/>
          </w:tcPr>
          <w:p w14:paraId="307CDC73"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إدارة الموارد البشرية – إدارة التدريب</w:t>
            </w:r>
          </w:p>
        </w:tc>
        <w:tc>
          <w:tcPr>
            <w:tcW w:w="0" w:type="auto"/>
            <w:vAlign w:val="center"/>
            <w:hideMark/>
          </w:tcPr>
          <w:p w14:paraId="4121F853"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إعداد خطة تدريب سنوية، وتنفيذ دورات تخصصية وورش عمل وشهادات مهنية معتمدة</w:t>
            </w:r>
            <w:r w:rsidRPr="00545ABB">
              <w:rPr>
                <w:rFonts w:ascii="Traditional Arabic" w:hAnsi="Traditional Arabic" w:cs="Traditional Arabic"/>
                <w:color w:val="000000" w:themeColor="text1"/>
              </w:rPr>
              <w:t>.</w:t>
            </w:r>
          </w:p>
        </w:tc>
        <w:tc>
          <w:tcPr>
            <w:tcW w:w="0" w:type="auto"/>
            <w:vAlign w:val="center"/>
            <w:hideMark/>
          </w:tcPr>
          <w:p w14:paraId="4F406C1B"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خطة سنوية مع مراجعة ربع سنوية</w:t>
            </w:r>
          </w:p>
        </w:tc>
      </w:tr>
      <w:tr w:rsidR="0020208E" w:rsidRPr="00545ABB" w14:paraId="7AB9C9DC" w14:textId="77777777" w:rsidTr="0020208E">
        <w:tc>
          <w:tcPr>
            <w:tcW w:w="0" w:type="auto"/>
            <w:vAlign w:val="center"/>
            <w:hideMark/>
          </w:tcPr>
          <w:p w14:paraId="515DDA8B" w14:textId="2D0DDC4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7</w:t>
            </w:r>
          </w:p>
        </w:tc>
        <w:tc>
          <w:tcPr>
            <w:tcW w:w="0" w:type="auto"/>
            <w:vAlign w:val="center"/>
            <w:hideMark/>
          </w:tcPr>
          <w:p w14:paraId="1895E0F0"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رفع كفاءة استخدام الموارد التشغيلية باستخدام أدوات التحليل الرقمي</w:t>
            </w:r>
            <w:r w:rsidRPr="00545ABB">
              <w:rPr>
                <w:rFonts w:ascii="Traditional Arabic" w:hAnsi="Traditional Arabic" w:cs="Traditional Arabic"/>
                <w:color w:val="000000" w:themeColor="text1"/>
              </w:rPr>
              <w:t>.</w:t>
            </w:r>
          </w:p>
        </w:tc>
        <w:tc>
          <w:tcPr>
            <w:tcW w:w="0" w:type="auto"/>
            <w:vAlign w:val="center"/>
            <w:hideMark/>
          </w:tcPr>
          <w:p w14:paraId="48E313E1"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الإدارة التنفيذية – إدارة تقنية المعلومات – إدارة الجودة</w:t>
            </w:r>
          </w:p>
        </w:tc>
        <w:tc>
          <w:tcPr>
            <w:tcW w:w="0" w:type="auto"/>
            <w:vAlign w:val="center"/>
            <w:hideMark/>
          </w:tcPr>
          <w:p w14:paraId="4A7E7D86"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تطبيق لوحات مؤشرات</w:t>
            </w:r>
            <w:r w:rsidRPr="00545ABB">
              <w:rPr>
                <w:rFonts w:ascii="Traditional Arabic" w:hAnsi="Traditional Arabic" w:cs="Traditional Arabic"/>
                <w:color w:val="000000" w:themeColor="text1"/>
              </w:rPr>
              <w:t xml:space="preserve"> (Dashboards) </w:t>
            </w:r>
            <w:r w:rsidRPr="00545ABB">
              <w:rPr>
                <w:rFonts w:ascii="Traditional Arabic" w:hAnsi="Traditional Arabic" w:cs="Traditional Arabic"/>
                <w:color w:val="000000" w:themeColor="text1"/>
                <w:rtl/>
              </w:rPr>
              <w:t>وأنظمة تحليل الأداء لمتابعة الإنتاجية وتقليل الهدر وتحسين كفاءة العمليات</w:t>
            </w:r>
            <w:r w:rsidRPr="00545ABB">
              <w:rPr>
                <w:rFonts w:ascii="Traditional Arabic" w:hAnsi="Traditional Arabic" w:cs="Traditional Arabic"/>
                <w:color w:val="000000" w:themeColor="text1"/>
              </w:rPr>
              <w:t>.</w:t>
            </w:r>
          </w:p>
        </w:tc>
        <w:tc>
          <w:tcPr>
            <w:tcW w:w="0" w:type="auto"/>
            <w:vAlign w:val="center"/>
            <w:hideMark/>
          </w:tcPr>
          <w:p w14:paraId="71A24EE6"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Pr>
              <w:t xml:space="preserve">4–6 </w:t>
            </w:r>
            <w:r w:rsidRPr="00545ABB">
              <w:rPr>
                <w:rFonts w:ascii="Traditional Arabic" w:hAnsi="Traditional Arabic" w:cs="Traditional Arabic"/>
                <w:color w:val="000000" w:themeColor="text1"/>
                <w:rtl/>
              </w:rPr>
              <w:t>أشهر</w:t>
            </w:r>
          </w:p>
        </w:tc>
      </w:tr>
      <w:tr w:rsidR="0020208E" w:rsidRPr="00545ABB" w14:paraId="6BBFD26F" w14:textId="77777777" w:rsidTr="0020208E">
        <w:tc>
          <w:tcPr>
            <w:tcW w:w="0" w:type="auto"/>
            <w:vAlign w:val="center"/>
            <w:hideMark/>
          </w:tcPr>
          <w:p w14:paraId="4481E3F3" w14:textId="2C19799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lastRenderedPageBreak/>
              <w:t>8</w:t>
            </w:r>
          </w:p>
        </w:tc>
        <w:tc>
          <w:tcPr>
            <w:tcW w:w="0" w:type="auto"/>
            <w:vAlign w:val="center"/>
            <w:hideMark/>
          </w:tcPr>
          <w:p w14:paraId="4612B1D3"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دعم الاستدامة المؤسسية من خلال تطوير البنية التحتية الرقمية</w:t>
            </w:r>
            <w:r w:rsidRPr="00545ABB">
              <w:rPr>
                <w:rFonts w:ascii="Traditional Arabic" w:hAnsi="Traditional Arabic" w:cs="Traditional Arabic"/>
                <w:color w:val="000000" w:themeColor="text1"/>
              </w:rPr>
              <w:t>.</w:t>
            </w:r>
          </w:p>
        </w:tc>
        <w:tc>
          <w:tcPr>
            <w:tcW w:w="0" w:type="auto"/>
            <w:vAlign w:val="center"/>
            <w:hideMark/>
          </w:tcPr>
          <w:p w14:paraId="563CCF9B"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الإدارة العليا – إدارة تقنية المعلومات</w:t>
            </w:r>
          </w:p>
        </w:tc>
        <w:tc>
          <w:tcPr>
            <w:tcW w:w="0" w:type="auto"/>
            <w:vAlign w:val="center"/>
            <w:hideMark/>
          </w:tcPr>
          <w:p w14:paraId="75F552FC"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تحديث الخوادم والأنظمة، واعتماد حلول النسخ الاحتياطي والتعافي من الكوارث، ومراجعة البنية التقنية بصورة دورية</w:t>
            </w:r>
            <w:r w:rsidRPr="00545ABB">
              <w:rPr>
                <w:rFonts w:ascii="Traditional Arabic" w:hAnsi="Traditional Arabic" w:cs="Traditional Arabic"/>
                <w:color w:val="000000" w:themeColor="text1"/>
              </w:rPr>
              <w:t>.</w:t>
            </w:r>
          </w:p>
        </w:tc>
        <w:tc>
          <w:tcPr>
            <w:tcW w:w="0" w:type="auto"/>
            <w:vAlign w:val="center"/>
            <w:hideMark/>
          </w:tcPr>
          <w:p w14:paraId="5F7D7A0B"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Pr>
              <w:t xml:space="preserve">6–12 </w:t>
            </w:r>
            <w:r w:rsidRPr="00545ABB">
              <w:rPr>
                <w:rFonts w:ascii="Traditional Arabic" w:hAnsi="Traditional Arabic" w:cs="Traditional Arabic"/>
                <w:color w:val="000000" w:themeColor="text1"/>
                <w:rtl/>
              </w:rPr>
              <w:t>شهرًا</w:t>
            </w:r>
          </w:p>
        </w:tc>
      </w:tr>
      <w:tr w:rsidR="0020208E" w:rsidRPr="00545ABB" w14:paraId="7E22161D" w14:textId="77777777" w:rsidTr="0020208E">
        <w:tc>
          <w:tcPr>
            <w:tcW w:w="0" w:type="auto"/>
            <w:vAlign w:val="center"/>
            <w:hideMark/>
          </w:tcPr>
          <w:p w14:paraId="38F8CF61" w14:textId="6C73DFC3"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9</w:t>
            </w:r>
          </w:p>
        </w:tc>
        <w:tc>
          <w:tcPr>
            <w:tcW w:w="0" w:type="auto"/>
            <w:vAlign w:val="center"/>
            <w:hideMark/>
          </w:tcPr>
          <w:p w14:paraId="3C389B2C"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تعزيز الابتكار المؤسسي عبر إنشاء بيئة داعمة للإبداع</w:t>
            </w:r>
            <w:r w:rsidRPr="00545ABB">
              <w:rPr>
                <w:rFonts w:ascii="Traditional Arabic" w:hAnsi="Traditional Arabic" w:cs="Traditional Arabic"/>
                <w:color w:val="000000" w:themeColor="text1"/>
              </w:rPr>
              <w:t>.</w:t>
            </w:r>
          </w:p>
        </w:tc>
        <w:tc>
          <w:tcPr>
            <w:tcW w:w="0" w:type="auto"/>
            <w:vAlign w:val="center"/>
            <w:hideMark/>
          </w:tcPr>
          <w:p w14:paraId="62A5C624"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الإدارة العليا – إدارة الابتكار والبحث والتطوير</w:t>
            </w:r>
          </w:p>
        </w:tc>
        <w:tc>
          <w:tcPr>
            <w:tcW w:w="0" w:type="auto"/>
            <w:vAlign w:val="center"/>
            <w:hideMark/>
          </w:tcPr>
          <w:p w14:paraId="0CAF4725"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إنشاء مختبرات ابتكار</w:t>
            </w:r>
            <w:r w:rsidRPr="00545ABB">
              <w:rPr>
                <w:rFonts w:ascii="Traditional Arabic" w:hAnsi="Traditional Arabic" w:cs="Traditional Arabic"/>
                <w:color w:val="000000" w:themeColor="text1"/>
              </w:rPr>
              <w:t xml:space="preserve"> (Innovation Labs)</w:t>
            </w:r>
            <w:r w:rsidRPr="00545ABB">
              <w:rPr>
                <w:rFonts w:ascii="Traditional Arabic" w:hAnsi="Traditional Arabic" w:cs="Traditional Arabic"/>
                <w:color w:val="000000" w:themeColor="text1"/>
                <w:rtl/>
              </w:rPr>
              <w:t>، وتخصيص ميزانية للمشروعات التجريبية، وتنظيم مسابقات داخلية للأفكار الإبداعية</w:t>
            </w:r>
            <w:r w:rsidRPr="00545ABB">
              <w:rPr>
                <w:rFonts w:ascii="Traditional Arabic" w:hAnsi="Traditional Arabic" w:cs="Traditional Arabic"/>
                <w:color w:val="000000" w:themeColor="text1"/>
              </w:rPr>
              <w:t>.</w:t>
            </w:r>
          </w:p>
        </w:tc>
        <w:tc>
          <w:tcPr>
            <w:tcW w:w="0" w:type="auto"/>
            <w:vAlign w:val="center"/>
            <w:hideMark/>
          </w:tcPr>
          <w:p w14:paraId="3B4917C8"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Pr>
              <w:t xml:space="preserve">6 </w:t>
            </w:r>
            <w:r w:rsidRPr="00545ABB">
              <w:rPr>
                <w:rFonts w:ascii="Traditional Arabic" w:hAnsi="Traditional Arabic" w:cs="Traditional Arabic"/>
                <w:color w:val="000000" w:themeColor="text1"/>
                <w:rtl/>
              </w:rPr>
              <w:t>أشهر ثم بصورة مستمرة</w:t>
            </w:r>
          </w:p>
        </w:tc>
      </w:tr>
      <w:tr w:rsidR="0020208E" w:rsidRPr="00545ABB" w14:paraId="28653837" w14:textId="77777777" w:rsidTr="0020208E">
        <w:tc>
          <w:tcPr>
            <w:tcW w:w="0" w:type="auto"/>
            <w:vAlign w:val="center"/>
            <w:hideMark/>
          </w:tcPr>
          <w:p w14:paraId="7CB75B28" w14:textId="68D1D74A"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10</w:t>
            </w:r>
          </w:p>
        </w:tc>
        <w:tc>
          <w:tcPr>
            <w:tcW w:w="0" w:type="auto"/>
            <w:vAlign w:val="center"/>
            <w:hideMark/>
          </w:tcPr>
          <w:p w14:paraId="2130FADB"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تعزيز رضا العملاء وتحسين جودة الخدمات</w:t>
            </w:r>
            <w:r w:rsidRPr="00545ABB">
              <w:rPr>
                <w:rFonts w:ascii="Traditional Arabic" w:hAnsi="Traditional Arabic" w:cs="Traditional Arabic"/>
                <w:color w:val="000000" w:themeColor="text1"/>
              </w:rPr>
              <w:t>.</w:t>
            </w:r>
          </w:p>
        </w:tc>
        <w:tc>
          <w:tcPr>
            <w:tcW w:w="0" w:type="auto"/>
            <w:vAlign w:val="center"/>
            <w:hideMark/>
          </w:tcPr>
          <w:p w14:paraId="6F1457A2"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إدارة خدمة العملاء – إدارة الجودة</w:t>
            </w:r>
          </w:p>
        </w:tc>
        <w:tc>
          <w:tcPr>
            <w:tcW w:w="0" w:type="auto"/>
            <w:vAlign w:val="center"/>
            <w:hideMark/>
          </w:tcPr>
          <w:p w14:paraId="7A72C4E7"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تنفيذ استبيانات دورية لقياس رضا العملاء، وتحليل نتائجها، ووضع خطط تحسين مستمرة للخدمات</w:t>
            </w:r>
            <w:r w:rsidRPr="00545ABB">
              <w:rPr>
                <w:rFonts w:ascii="Traditional Arabic" w:hAnsi="Traditional Arabic" w:cs="Traditional Arabic"/>
                <w:color w:val="000000" w:themeColor="text1"/>
              </w:rPr>
              <w:t>.</w:t>
            </w:r>
          </w:p>
        </w:tc>
        <w:tc>
          <w:tcPr>
            <w:tcW w:w="0" w:type="auto"/>
            <w:vAlign w:val="center"/>
            <w:hideMark/>
          </w:tcPr>
          <w:p w14:paraId="1FF8D738"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قياس ربع سنوي ومراجعة مستمرة</w:t>
            </w:r>
          </w:p>
        </w:tc>
      </w:tr>
      <w:tr w:rsidR="0020208E" w:rsidRPr="00545ABB" w14:paraId="33EFA9E0" w14:textId="77777777" w:rsidTr="0020208E">
        <w:tc>
          <w:tcPr>
            <w:tcW w:w="0" w:type="auto"/>
            <w:vAlign w:val="center"/>
            <w:hideMark/>
          </w:tcPr>
          <w:p w14:paraId="4E2A6AA6" w14:textId="77197459"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11</w:t>
            </w:r>
          </w:p>
        </w:tc>
        <w:tc>
          <w:tcPr>
            <w:tcW w:w="0" w:type="auto"/>
            <w:vAlign w:val="center"/>
            <w:hideMark/>
          </w:tcPr>
          <w:p w14:paraId="4C4A45E2"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دمج الحوكمة في التخطيط الاستراتيجي للمؤسسة</w:t>
            </w:r>
            <w:r w:rsidRPr="00545ABB">
              <w:rPr>
                <w:rFonts w:ascii="Traditional Arabic" w:hAnsi="Traditional Arabic" w:cs="Traditional Arabic"/>
                <w:color w:val="000000" w:themeColor="text1"/>
              </w:rPr>
              <w:t>.</w:t>
            </w:r>
          </w:p>
        </w:tc>
        <w:tc>
          <w:tcPr>
            <w:tcW w:w="0" w:type="auto"/>
            <w:vAlign w:val="center"/>
            <w:hideMark/>
          </w:tcPr>
          <w:p w14:paraId="5867D84D"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مجلس الإدارة – الإدارة التنفيذية – إدارة التخطيط الاستراتيجي</w:t>
            </w:r>
          </w:p>
        </w:tc>
        <w:tc>
          <w:tcPr>
            <w:tcW w:w="0" w:type="auto"/>
            <w:vAlign w:val="center"/>
            <w:hideMark/>
          </w:tcPr>
          <w:p w14:paraId="22E1DCB7"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تضمين أهداف الحوكمة والاستدامة ضمن الخطة الاستراتيجية، وربطها بمؤشرات الأداء المؤسسية</w:t>
            </w:r>
            <w:r w:rsidRPr="00545ABB">
              <w:rPr>
                <w:rFonts w:ascii="Traditional Arabic" w:hAnsi="Traditional Arabic" w:cs="Traditional Arabic"/>
                <w:color w:val="000000" w:themeColor="text1"/>
              </w:rPr>
              <w:t>.</w:t>
            </w:r>
          </w:p>
        </w:tc>
        <w:tc>
          <w:tcPr>
            <w:tcW w:w="0" w:type="auto"/>
            <w:vAlign w:val="center"/>
            <w:hideMark/>
          </w:tcPr>
          <w:p w14:paraId="4DDD0AAF"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مع بداية كل دورة استراتيجية (سنوياً)</w:t>
            </w:r>
          </w:p>
        </w:tc>
      </w:tr>
      <w:tr w:rsidR="0020208E" w:rsidRPr="00545ABB" w14:paraId="2F3847D0" w14:textId="77777777" w:rsidTr="0020208E">
        <w:tc>
          <w:tcPr>
            <w:tcW w:w="0" w:type="auto"/>
            <w:vAlign w:val="center"/>
            <w:hideMark/>
          </w:tcPr>
          <w:p w14:paraId="0C54C919" w14:textId="2E94593A"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12</w:t>
            </w:r>
          </w:p>
        </w:tc>
        <w:tc>
          <w:tcPr>
            <w:tcW w:w="0" w:type="auto"/>
            <w:vAlign w:val="center"/>
            <w:hideMark/>
          </w:tcPr>
          <w:p w14:paraId="2BB38BF1"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إنشاء نظام دوري لمتابعة وتقييم الاستدامة المؤسسية</w:t>
            </w:r>
            <w:r w:rsidRPr="00545ABB">
              <w:rPr>
                <w:rFonts w:ascii="Traditional Arabic" w:hAnsi="Traditional Arabic" w:cs="Traditional Arabic"/>
                <w:color w:val="000000" w:themeColor="text1"/>
              </w:rPr>
              <w:t>.</w:t>
            </w:r>
          </w:p>
        </w:tc>
        <w:tc>
          <w:tcPr>
            <w:tcW w:w="0" w:type="auto"/>
            <w:vAlign w:val="center"/>
            <w:hideMark/>
          </w:tcPr>
          <w:p w14:paraId="220C5772"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إدارة الجودة – إدارة التخطيط الاستراتيجي – الإدارة التنفيذية</w:t>
            </w:r>
          </w:p>
        </w:tc>
        <w:tc>
          <w:tcPr>
            <w:tcW w:w="0" w:type="auto"/>
            <w:vAlign w:val="center"/>
            <w:hideMark/>
          </w:tcPr>
          <w:p w14:paraId="4E838169"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إعداد لوحة مؤشرات للاستدامة تشمل الأبعاد الاقتصادية والاجتماعية والتقنية، وإصدار تقارير دورية تتضمن الإجراءات التصحيحية والتحسينية</w:t>
            </w:r>
            <w:r w:rsidRPr="00545ABB">
              <w:rPr>
                <w:rFonts w:ascii="Traditional Arabic" w:hAnsi="Traditional Arabic" w:cs="Traditional Arabic"/>
                <w:color w:val="000000" w:themeColor="text1"/>
              </w:rPr>
              <w:t>.</w:t>
            </w:r>
          </w:p>
        </w:tc>
        <w:tc>
          <w:tcPr>
            <w:tcW w:w="0" w:type="auto"/>
            <w:vAlign w:val="center"/>
            <w:hideMark/>
          </w:tcPr>
          <w:p w14:paraId="2608808C" w14:textId="77777777" w:rsidR="0020208E" w:rsidRPr="00545ABB" w:rsidRDefault="0020208E" w:rsidP="00022590">
            <w:pPr>
              <w:bidi w:val="0"/>
              <w:spacing w:line="360" w:lineRule="auto"/>
              <w:jc w:val="center"/>
              <w:rPr>
                <w:rFonts w:ascii="Traditional Arabic" w:hAnsi="Traditional Arabic" w:cs="Traditional Arabic"/>
                <w:color w:val="000000" w:themeColor="text1"/>
              </w:rPr>
            </w:pPr>
            <w:r w:rsidRPr="00545ABB">
              <w:rPr>
                <w:rFonts w:ascii="Traditional Arabic" w:hAnsi="Traditional Arabic" w:cs="Traditional Arabic"/>
                <w:color w:val="000000" w:themeColor="text1"/>
                <w:rtl/>
              </w:rPr>
              <w:t>تقارير ربع سنوية ومراجعة سنوية شاملة</w:t>
            </w:r>
          </w:p>
        </w:tc>
      </w:tr>
    </w:tbl>
    <w:p w14:paraId="38FF151D" w14:textId="77777777" w:rsidR="0020208E" w:rsidRPr="00545ABB" w:rsidRDefault="0020208E" w:rsidP="00022590">
      <w:pPr>
        <w:spacing w:after="0" w:line="360" w:lineRule="auto"/>
        <w:jc w:val="both"/>
        <w:rPr>
          <w:rFonts w:ascii="Traditional Arabic" w:hAnsi="Traditional Arabic" w:cs="Traditional Arabic"/>
          <w:color w:val="000000" w:themeColor="text1"/>
          <w:sz w:val="28"/>
          <w:szCs w:val="28"/>
          <w:lang w:bidi="ar-EG"/>
        </w:rPr>
      </w:pPr>
    </w:p>
    <w:p w14:paraId="187A968C" w14:textId="0F0BCABE" w:rsidR="00D97E5C" w:rsidRPr="00545ABB" w:rsidRDefault="00D97E5C" w:rsidP="002174D5">
      <w:pPr>
        <w:pStyle w:val="Heading2"/>
        <w:bidi/>
        <w:rPr>
          <w:rFonts w:ascii="Traditional Arabic" w:eastAsia="Times New Roman" w:hAnsi="Traditional Arabic" w:cs="Traditional Arabic"/>
          <w:color w:val="000000" w:themeColor="text1"/>
        </w:rPr>
      </w:pPr>
      <w:bookmarkStart w:id="161" w:name="_Hlk236255083"/>
      <w:bookmarkStart w:id="162" w:name="_Toc242325310"/>
      <w:r w:rsidRPr="00545ABB">
        <w:rPr>
          <w:rFonts w:ascii="Traditional Arabic" w:eastAsia="Times New Roman" w:hAnsi="Traditional Arabic" w:cs="Traditional Arabic"/>
          <w:color w:val="000000" w:themeColor="text1"/>
          <w:rtl/>
        </w:rPr>
        <w:t>مقترحات مستقبلية:</w:t>
      </w:r>
      <w:bookmarkEnd w:id="162"/>
    </w:p>
    <w:bookmarkEnd w:id="161"/>
    <w:p w14:paraId="31EE3D1F" w14:textId="77777777" w:rsidR="00D97E5C" w:rsidRPr="00545ABB" w:rsidRDefault="00D97E5C" w:rsidP="00022590">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lang w:bidi="ar-EG"/>
        </w:rPr>
        <w:t>في ضوء ما أسفرت عنه نتائج الدراسة الحالية من دلالات علمية وتطبيقية حول أثر الحوكمة الفعالة في تعزيز كل من الاستدامة المؤسسية والنجاح المؤسسي في شركات الأمن السيبراني الناشئة، يمكن اقتراح عدد من الاتجاهات البحثية المستقبلية التي من شأنها تعميق الفهم وتوسيع نطاق الدراسة في هذا المجال، وذلك على النحو التالي</w:t>
      </w:r>
      <w:r w:rsidRPr="00545ABB">
        <w:rPr>
          <w:rFonts w:ascii="Traditional Arabic" w:hAnsi="Traditional Arabic" w:cs="Traditional Arabic"/>
          <w:color w:val="000000" w:themeColor="text1"/>
          <w:sz w:val="28"/>
          <w:szCs w:val="28"/>
          <w:lang w:bidi="ar-EG"/>
        </w:rPr>
        <w:t>:</w:t>
      </w:r>
    </w:p>
    <w:p w14:paraId="1BAB93F3"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يُقترح إجراء دراسات مستقبلية تتناول دور التحول الرقمي وتطبيقات الذكاء الاصطناعي في دعم وتعزيز ممارسات الحوكمة المؤسسية، وانعكاس ذلك على مستويات الأداء المؤسسي في المؤسسات التقنية</w:t>
      </w:r>
      <w:r w:rsidRPr="00545ABB">
        <w:rPr>
          <w:rFonts w:ascii="Traditional Arabic" w:hAnsi="Traditional Arabic" w:cs="Traditional Arabic"/>
          <w:color w:val="000000" w:themeColor="text1"/>
          <w:sz w:val="28"/>
          <w:szCs w:val="28"/>
        </w:rPr>
        <w:t xml:space="preserve">. </w:t>
      </w:r>
    </w:p>
    <w:p w14:paraId="205781E8"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lastRenderedPageBreak/>
        <w:t>كما يُوصى بإجراء بحوث تستهدف دراسة العلاقة بين نضج الأمن السيبراني</w:t>
      </w:r>
      <w:r w:rsidRPr="00545ABB">
        <w:rPr>
          <w:rFonts w:ascii="Traditional Arabic" w:hAnsi="Traditional Arabic" w:cs="Traditional Arabic"/>
          <w:color w:val="000000" w:themeColor="text1"/>
          <w:sz w:val="28"/>
          <w:szCs w:val="28"/>
        </w:rPr>
        <w:t xml:space="preserve"> (Cybersecurity Maturity) </w:t>
      </w:r>
      <w:r w:rsidRPr="00545ABB">
        <w:rPr>
          <w:rFonts w:ascii="Traditional Arabic" w:hAnsi="Traditional Arabic" w:cs="Traditional Arabic"/>
          <w:color w:val="000000" w:themeColor="text1"/>
          <w:sz w:val="28"/>
          <w:szCs w:val="28"/>
          <w:rtl/>
        </w:rPr>
        <w:t>ودرجة تبني مبادئ الحوكمة الفعالة داخل الشركات الناشئة والمتوسطة في قطاع الأمن السيبراني</w:t>
      </w:r>
      <w:r w:rsidRPr="00545ABB">
        <w:rPr>
          <w:rFonts w:ascii="Traditional Arabic" w:hAnsi="Traditional Arabic" w:cs="Traditional Arabic"/>
          <w:color w:val="000000" w:themeColor="text1"/>
          <w:sz w:val="28"/>
          <w:szCs w:val="28"/>
        </w:rPr>
        <w:t xml:space="preserve">. </w:t>
      </w:r>
    </w:p>
    <w:p w14:paraId="581F76B3"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ويمكن التوسع في البحث من خلال إجراء دراسات مقارنة بين الشركات الناشئة والشركات الكبرى في قطاع الأمن السيبراني، بهدف تحليل الفروق في مستوى تطبيق الحوكمة وأثرها على الاستدامة المؤسسية والنجاح المؤسسي</w:t>
      </w:r>
      <w:r w:rsidRPr="00545ABB">
        <w:rPr>
          <w:rFonts w:ascii="Traditional Arabic" w:hAnsi="Traditional Arabic" w:cs="Traditional Arabic"/>
          <w:color w:val="000000" w:themeColor="text1"/>
          <w:sz w:val="28"/>
          <w:szCs w:val="28"/>
        </w:rPr>
        <w:t xml:space="preserve">. </w:t>
      </w:r>
    </w:p>
    <w:p w14:paraId="4A198D90"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كما يُقترح دراسة أثر القيادة الرقمية</w:t>
      </w:r>
      <w:r w:rsidRPr="00545ABB">
        <w:rPr>
          <w:rFonts w:ascii="Traditional Arabic" w:hAnsi="Traditional Arabic" w:cs="Traditional Arabic"/>
          <w:color w:val="000000" w:themeColor="text1"/>
          <w:sz w:val="28"/>
          <w:szCs w:val="28"/>
        </w:rPr>
        <w:t xml:space="preserve"> (Digital Leadership) </w:t>
      </w:r>
      <w:r w:rsidRPr="00545ABB">
        <w:rPr>
          <w:rFonts w:ascii="Traditional Arabic" w:hAnsi="Traditional Arabic" w:cs="Traditional Arabic"/>
          <w:color w:val="000000" w:themeColor="text1"/>
          <w:sz w:val="28"/>
          <w:szCs w:val="28"/>
          <w:rtl/>
        </w:rPr>
        <w:t>بوصفها متغيرًا وسيطًا أو معدلًا في العلاقة بين الحوكمة الفعالة والأداء المؤسسي، لما لها من دور متزايد في بيئات الأعمال الرقمية</w:t>
      </w:r>
      <w:r w:rsidRPr="00545ABB">
        <w:rPr>
          <w:rFonts w:ascii="Traditional Arabic" w:hAnsi="Traditional Arabic" w:cs="Traditional Arabic"/>
          <w:color w:val="000000" w:themeColor="text1"/>
          <w:sz w:val="28"/>
          <w:szCs w:val="28"/>
        </w:rPr>
        <w:t xml:space="preserve">. </w:t>
      </w:r>
    </w:p>
    <w:p w14:paraId="5158B3AA"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بالإضافة إلى ذلك، يُوصى بإجراء دراسات معمقة حول دور الثقافة التنظيمية في تعزيز أو إعاقة تطبيق مبادئ الحوكمة داخل المؤسسات التقنية الناشئة</w:t>
      </w:r>
      <w:r w:rsidRPr="00545ABB">
        <w:rPr>
          <w:rFonts w:ascii="Traditional Arabic" w:hAnsi="Traditional Arabic" w:cs="Traditional Arabic"/>
          <w:color w:val="000000" w:themeColor="text1"/>
          <w:sz w:val="28"/>
          <w:szCs w:val="28"/>
        </w:rPr>
        <w:t xml:space="preserve">. </w:t>
      </w:r>
    </w:p>
    <w:p w14:paraId="52F15F3E"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كما يُقترح بحث العلاقة بين الحوكمة الفعالة وإدارة الابتكار وريادة الأعمال التقنية، وذلك لبيان مدى إسهام الحوكمة في دعم الإبداع المؤسسي وتحفيز الحلول الابتكارية</w:t>
      </w:r>
      <w:r w:rsidRPr="00545ABB">
        <w:rPr>
          <w:rFonts w:ascii="Traditional Arabic" w:hAnsi="Traditional Arabic" w:cs="Traditional Arabic"/>
          <w:color w:val="000000" w:themeColor="text1"/>
          <w:sz w:val="28"/>
          <w:szCs w:val="28"/>
        </w:rPr>
        <w:t xml:space="preserve">. </w:t>
      </w:r>
    </w:p>
    <w:p w14:paraId="10DFA93D"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ويمكن التوجه إلى دراسات مستقبلية تتناول أثر الحوكمة على إدارة المخاطر السيبرانية المتقدمة، بما يسهم في تطوير نماذج أكثر فاعلية للتعامل مع التهديدات الرقمية المعقدة</w:t>
      </w:r>
      <w:r w:rsidRPr="00545ABB">
        <w:rPr>
          <w:rFonts w:ascii="Traditional Arabic" w:hAnsi="Traditional Arabic" w:cs="Traditional Arabic"/>
          <w:color w:val="000000" w:themeColor="text1"/>
          <w:sz w:val="28"/>
          <w:szCs w:val="28"/>
        </w:rPr>
        <w:t xml:space="preserve">. </w:t>
      </w:r>
    </w:p>
    <w:p w14:paraId="6F6C4939"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كما يُوصى بدراسة تأثير الحوكمة الفعالة على جودة عملية اتخاذ القرار الاستراتيجي في البيئات الرقمية عالية التعقيد والمخاطر</w:t>
      </w:r>
      <w:r w:rsidRPr="00545ABB">
        <w:rPr>
          <w:rFonts w:ascii="Traditional Arabic" w:hAnsi="Traditional Arabic" w:cs="Traditional Arabic"/>
          <w:color w:val="000000" w:themeColor="text1"/>
          <w:sz w:val="28"/>
          <w:szCs w:val="28"/>
        </w:rPr>
        <w:t xml:space="preserve">. </w:t>
      </w:r>
    </w:p>
    <w:p w14:paraId="2841F529"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ويُقترح كذلك استخدام نماذج إحصائية متقدمة مثل نمذجة المعادلات الهيكلية</w:t>
      </w:r>
      <w:r w:rsidRPr="00545ABB">
        <w:rPr>
          <w:rFonts w:ascii="Traditional Arabic" w:hAnsi="Traditional Arabic" w:cs="Traditional Arabic"/>
          <w:color w:val="000000" w:themeColor="text1"/>
          <w:sz w:val="28"/>
          <w:szCs w:val="28"/>
        </w:rPr>
        <w:t xml:space="preserve"> (Structural Equation Modeling – SEM) </w:t>
      </w:r>
      <w:r w:rsidRPr="00545ABB">
        <w:rPr>
          <w:rFonts w:ascii="Traditional Arabic" w:hAnsi="Traditional Arabic" w:cs="Traditional Arabic"/>
          <w:color w:val="000000" w:themeColor="text1"/>
          <w:sz w:val="28"/>
          <w:szCs w:val="28"/>
          <w:rtl/>
        </w:rPr>
        <w:t>لتفسير العلاقات السببية بشكل أكثر دقة بين متغيرات الحوكمة والاستدامة والنجاح المؤسسي</w:t>
      </w:r>
      <w:r w:rsidRPr="00545ABB">
        <w:rPr>
          <w:rFonts w:ascii="Traditional Arabic" w:hAnsi="Traditional Arabic" w:cs="Traditional Arabic"/>
          <w:color w:val="000000" w:themeColor="text1"/>
          <w:sz w:val="28"/>
          <w:szCs w:val="28"/>
        </w:rPr>
        <w:t xml:space="preserve">. </w:t>
      </w:r>
    </w:p>
    <w:p w14:paraId="0566FDA4" w14:textId="77777777" w:rsidR="00D97E5C" w:rsidRPr="00545ABB" w:rsidRDefault="00D97E5C" w:rsidP="00D95153">
      <w:pPr>
        <w:pStyle w:val="ListParagraph"/>
        <w:numPr>
          <w:ilvl w:val="0"/>
          <w:numId w:val="16"/>
        </w:numPr>
        <w:bidi/>
        <w:spacing w:after="0" w:line="360" w:lineRule="auto"/>
        <w:jc w:val="both"/>
        <w:rPr>
          <w:rFonts w:ascii="Traditional Arabic" w:hAnsi="Traditional Arabic" w:cs="Traditional Arabic"/>
          <w:color w:val="000000" w:themeColor="text1"/>
          <w:sz w:val="28"/>
          <w:szCs w:val="28"/>
        </w:rPr>
      </w:pPr>
      <w:r w:rsidRPr="00545ABB">
        <w:rPr>
          <w:rFonts w:ascii="Traditional Arabic" w:hAnsi="Traditional Arabic" w:cs="Traditional Arabic"/>
          <w:color w:val="000000" w:themeColor="text1"/>
          <w:sz w:val="28"/>
          <w:szCs w:val="28"/>
          <w:rtl/>
        </w:rPr>
        <w:t>وأخيرًا، يمكن إجراء بحوث تتناول أثر الإطار التشريعي والتنظيمي الحكومي على فعالية تطبيق الحوكمة داخل شركات الأمن السيبراني الناشئة، نظرًا لدور البيئة التنظيمية في تشكيل ممارسات الحوكمة</w:t>
      </w:r>
      <w:r w:rsidRPr="00545ABB">
        <w:rPr>
          <w:rFonts w:ascii="Traditional Arabic" w:hAnsi="Traditional Arabic" w:cs="Traditional Arabic"/>
          <w:color w:val="000000" w:themeColor="text1"/>
          <w:sz w:val="28"/>
          <w:szCs w:val="28"/>
        </w:rPr>
        <w:t>.</w:t>
      </w:r>
    </w:p>
    <w:p w14:paraId="08118E8C" w14:textId="29FF5930" w:rsidR="00D97E5C" w:rsidRPr="00545ABB" w:rsidRDefault="00EF5263" w:rsidP="002174D5">
      <w:pPr>
        <w:pStyle w:val="Heading2"/>
        <w:bidi/>
        <w:rPr>
          <w:rFonts w:ascii="Traditional Arabic" w:hAnsi="Traditional Arabic" w:cs="Traditional Arabic"/>
          <w:color w:val="000000" w:themeColor="text1"/>
          <w:rtl/>
          <w:lang w:bidi="ar-EG"/>
        </w:rPr>
      </w:pPr>
      <w:bookmarkStart w:id="163" w:name="_Toc242325311"/>
      <w:r w:rsidRPr="00545ABB">
        <w:rPr>
          <w:rFonts w:ascii="Traditional Arabic" w:hAnsi="Traditional Arabic" w:cs="Traditional Arabic"/>
          <w:color w:val="000000" w:themeColor="text1"/>
          <w:rtl/>
          <w:lang w:bidi="ar-EG"/>
        </w:rPr>
        <w:lastRenderedPageBreak/>
        <w:t>خاتمة</w:t>
      </w:r>
      <w:bookmarkEnd w:id="163"/>
    </w:p>
    <w:p w14:paraId="34F621AF" w14:textId="5429BF97" w:rsidR="00EF5263" w:rsidRPr="00545ABB" w:rsidRDefault="00EF5263" w:rsidP="00EF5263">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يُعد هذا الفصل الإطار الختامي لهذه الدراسة، حيث تم فيه تقديم مناقشة علمية متعمقة لنتائج التحليل الإحصائي التي تم عرضها في الفصل الرابع، وربطها بالإطار النظري والدراسات المرجعية السابقة، مع تفسيرها في ضوء السياق التنظيمي والاقتصادي للمملكة العربية السعودية، وبيان مدى اتفاقها أو اختلافها مع نتائج البحوث السابقة، وما يعكسه ذلك من دلالات علمية وتطبيقية</w:t>
      </w:r>
      <w:r w:rsidRPr="00545ABB">
        <w:rPr>
          <w:rFonts w:ascii="Traditional Arabic" w:hAnsi="Traditional Arabic" w:cs="Traditional Arabic"/>
          <w:color w:val="000000" w:themeColor="text1"/>
          <w:sz w:val="28"/>
          <w:szCs w:val="28"/>
          <w:lang w:bidi="ar-EG"/>
        </w:rPr>
        <w:t>.</w:t>
      </w:r>
    </w:p>
    <w:p w14:paraId="61770313" w14:textId="67A1A92E" w:rsidR="00EF5263" w:rsidRPr="00545ABB" w:rsidRDefault="00EF5263" w:rsidP="00BA5CB0">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 xml:space="preserve">وقد أظهرت المناقشة أن نتائج الدراسة تتسق بصورة عامة مع ما توصلت إليه الدراسات المرجعية السابقة، مثل دراسة بوشامي وآخرون (2022) التي أكدت أهمية تطوير آليات الحوكمة وتكييفها مع بيئة الأعمال، ودراسة </w:t>
      </w:r>
      <w:r w:rsidR="00AD6D38" w:rsidRPr="00545ABB">
        <w:rPr>
          <w:rFonts w:ascii="Traditional Arabic" w:hAnsi="Traditional Arabic" w:cs="Traditional Arabic"/>
          <w:color w:val="000000" w:themeColor="text1"/>
          <w:sz w:val="28"/>
          <w:szCs w:val="28"/>
          <w:rtl/>
        </w:rPr>
        <w:t>عطا (2018)</w:t>
      </w:r>
      <w:r w:rsidRPr="00545ABB">
        <w:rPr>
          <w:rFonts w:ascii="Traditional Arabic" w:hAnsi="Traditional Arabic" w:cs="Traditional Arabic"/>
          <w:color w:val="000000" w:themeColor="text1"/>
          <w:sz w:val="28"/>
          <w:szCs w:val="28"/>
          <w:rtl/>
        </w:rPr>
        <w:t xml:space="preserve"> التي أوضحت دور الحوكمة في تحقيق استدامة الشركات ودعم رؤية 2030، ودراسة </w:t>
      </w:r>
      <w:r w:rsidR="00AD6D38" w:rsidRPr="00545ABB">
        <w:rPr>
          <w:rFonts w:ascii="Traditional Arabic" w:hAnsi="Traditional Arabic" w:cs="Traditional Arabic"/>
          <w:color w:val="000000" w:themeColor="text1"/>
          <w:sz w:val="28"/>
          <w:szCs w:val="28"/>
        </w:rPr>
        <w:t>Alqahtani (2022)</w:t>
      </w:r>
      <w:r w:rsidRPr="00545ABB">
        <w:rPr>
          <w:rFonts w:ascii="Traditional Arabic" w:hAnsi="Traditional Arabic" w:cs="Traditional Arabic"/>
          <w:color w:val="000000" w:themeColor="text1"/>
          <w:sz w:val="28"/>
          <w:szCs w:val="28"/>
          <w:rtl/>
        </w:rPr>
        <w:t xml:space="preserve"> التي حددت العوامل المؤثرة في استدامة الشركات الناشئة، ودراسة أحسن وآخرون (2023) التي بينت أثر الإصلاحات التنظيمية في نجاح الشركات الناشئة. كما أبرزت المناقشة الجوانب التي تميزت بها الدراسة الحالية، وفي مقدمتها تقديم نموذج تكاملي يربط بين الحوكمة والاستدامة والنجاح في سياق قطاع الأمن السيبراني، </w:t>
      </w:r>
      <w:r w:rsidR="00BA5CB0" w:rsidRPr="00545ABB">
        <w:rPr>
          <w:rFonts w:ascii="Traditional Arabic" w:hAnsi="Traditional Arabic" w:cs="Traditional Arabic"/>
          <w:color w:val="000000" w:themeColor="text1"/>
          <w:sz w:val="28"/>
          <w:szCs w:val="28"/>
          <w:rtl/>
        </w:rPr>
        <w:t>تطوير أداة قياس متكاملة لأبعاد الحوكمة والاستدامة والنجاح</w:t>
      </w:r>
      <w:r w:rsidR="00BA5CB0" w:rsidRPr="00545ABB">
        <w:rPr>
          <w:rFonts w:ascii="Traditional Arabic" w:hAnsi="Traditional Arabic" w:cs="Traditional Arabic" w:hint="cs"/>
          <w:color w:val="000000" w:themeColor="text1"/>
          <w:sz w:val="28"/>
          <w:szCs w:val="28"/>
          <w:rtl/>
        </w:rPr>
        <w:t xml:space="preserve"> </w:t>
      </w:r>
      <w:r w:rsidRPr="00545ABB">
        <w:rPr>
          <w:rFonts w:ascii="Traditional Arabic" w:hAnsi="Traditional Arabic" w:cs="Traditional Arabic"/>
          <w:color w:val="000000" w:themeColor="text1"/>
          <w:sz w:val="28"/>
          <w:szCs w:val="28"/>
          <w:rtl/>
        </w:rPr>
        <w:t>في الشركات الناشئة</w:t>
      </w:r>
      <w:r w:rsidRPr="00545ABB">
        <w:rPr>
          <w:rFonts w:ascii="Traditional Arabic" w:hAnsi="Traditional Arabic" w:cs="Traditional Arabic"/>
          <w:color w:val="000000" w:themeColor="text1"/>
          <w:sz w:val="28"/>
          <w:szCs w:val="28"/>
          <w:lang w:bidi="ar-EG"/>
        </w:rPr>
        <w:t>.</w:t>
      </w:r>
    </w:p>
    <w:p w14:paraId="2DBDDB33" w14:textId="77777777" w:rsidR="00EF5263" w:rsidRPr="00545ABB" w:rsidRDefault="00EF5263" w:rsidP="00EF5263">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وانطلاقًا من هذه النتائج، خلصت الدراسة إلى مجموعة من الاستنتاجات العامة، أبرزها: أن الحوكمة الفعالة تمثل عنصرًا أساسيًا في دعم استدامة ونجاح شركات الأمن السيبراني الناشئة، وأن تطبيق مبادئها بشكل متكامل يسهم في تحسين الأداء المؤسسي، وتعزيز الابتكار، ورفع الإنتاجية، وتحقيق التوازن بين متطلبات النمو السريع ومتطلبات الرقابة والامتثال، بما يتوافق مع مستهدفات رؤية المملكة 2030</w:t>
      </w:r>
      <w:r w:rsidRPr="00545ABB">
        <w:rPr>
          <w:rFonts w:ascii="Traditional Arabic" w:hAnsi="Traditional Arabic" w:cs="Traditional Arabic"/>
          <w:color w:val="000000" w:themeColor="text1"/>
          <w:sz w:val="28"/>
          <w:szCs w:val="28"/>
          <w:lang w:bidi="ar-EG"/>
        </w:rPr>
        <w:t>.</w:t>
      </w:r>
    </w:p>
    <w:p w14:paraId="678F118F" w14:textId="77777777" w:rsidR="00EF5263" w:rsidRPr="00545ABB" w:rsidRDefault="00EF5263" w:rsidP="00EF5263">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كما قدم الفصل مجموعة من التوصيات العملية المبنية على النتائج، والتي تستهدف دعم متخذي القرار، والجهات التنظيمية، ورواد الأعمال، والمستثمرين، في تطوير منظومات الحوكمة داخل شركات الأمن السيبراني الناشئة، من خلال تعزيز الشفافية والمساءلة، وتطوير إدارة المخاطر، ورفع كفاءة استخدام الموارد، ودعم الابتكار المؤسسي، وتحسين جودة الخدمات ورضا العملاء، ودمج الحوكمة في التخطيط الاستراتيجي للمؤسسات. وقد تم تقديم هذه التوصيات في إطار خطة عمل</w:t>
      </w:r>
      <w:r w:rsidRPr="00545ABB">
        <w:rPr>
          <w:rFonts w:ascii="Traditional Arabic" w:hAnsi="Traditional Arabic" w:cs="Traditional Arabic"/>
          <w:color w:val="000000" w:themeColor="text1"/>
          <w:sz w:val="28"/>
          <w:szCs w:val="28"/>
          <w:lang w:bidi="ar-EG"/>
        </w:rPr>
        <w:t xml:space="preserve"> (Action Plan) </w:t>
      </w:r>
      <w:r w:rsidRPr="00545ABB">
        <w:rPr>
          <w:rFonts w:ascii="Traditional Arabic" w:hAnsi="Traditional Arabic" w:cs="Traditional Arabic"/>
          <w:color w:val="000000" w:themeColor="text1"/>
          <w:sz w:val="28"/>
          <w:szCs w:val="28"/>
          <w:rtl/>
        </w:rPr>
        <w:t>تحدد الجهات المسؤولة وآليات التطبيق والمدة الزمنية المقترحة لكل توصية، لتعظيم الفائدة التطبيقية للدراسة</w:t>
      </w:r>
      <w:r w:rsidRPr="00545ABB">
        <w:rPr>
          <w:rFonts w:ascii="Traditional Arabic" w:hAnsi="Traditional Arabic" w:cs="Traditional Arabic"/>
          <w:color w:val="000000" w:themeColor="text1"/>
          <w:sz w:val="28"/>
          <w:szCs w:val="28"/>
          <w:lang w:bidi="ar-EG"/>
        </w:rPr>
        <w:t>.</w:t>
      </w:r>
    </w:p>
    <w:p w14:paraId="76A19993" w14:textId="77777777" w:rsidR="00EF5263" w:rsidRPr="00545ABB" w:rsidRDefault="00EF5263" w:rsidP="00EF5263">
      <w:pPr>
        <w:spacing w:after="0" w:line="360" w:lineRule="auto"/>
        <w:jc w:val="both"/>
        <w:rPr>
          <w:rFonts w:ascii="Traditional Arabic" w:hAnsi="Traditional Arabic" w:cs="Traditional Arabic"/>
          <w:color w:val="000000" w:themeColor="text1"/>
          <w:sz w:val="28"/>
          <w:szCs w:val="28"/>
          <w:lang w:bidi="ar-EG"/>
        </w:rPr>
      </w:pPr>
      <w:r w:rsidRPr="00545ABB">
        <w:rPr>
          <w:rFonts w:ascii="Traditional Arabic" w:hAnsi="Traditional Arabic" w:cs="Traditional Arabic"/>
          <w:color w:val="000000" w:themeColor="text1"/>
          <w:sz w:val="28"/>
          <w:szCs w:val="28"/>
          <w:rtl/>
        </w:rPr>
        <w:t xml:space="preserve">وفي ختام الفصل، تم اقتراح عدد من الدراسات المستقبلية التي يمكن أن تشكل امتدادًا علميًا لهذه الدراسة، من خلال استكشاف متغيرات وعلاقات جديدة، أو تطبيق نماذج حوكمة أكثر تقدمًا في بيئات تنظيمية مختلفة، أو استخدام نماذج إحصائية متقدمة مثل </w:t>
      </w:r>
      <w:r w:rsidRPr="00545ABB">
        <w:rPr>
          <w:rFonts w:ascii="Traditional Arabic" w:hAnsi="Traditional Arabic" w:cs="Traditional Arabic"/>
          <w:color w:val="000000" w:themeColor="text1"/>
          <w:sz w:val="28"/>
          <w:szCs w:val="28"/>
          <w:rtl/>
        </w:rPr>
        <w:lastRenderedPageBreak/>
        <w:t>نمذجة المعادلات الهيكلية</w:t>
      </w:r>
      <w:r w:rsidRPr="00545ABB">
        <w:rPr>
          <w:rFonts w:ascii="Traditional Arabic" w:hAnsi="Traditional Arabic" w:cs="Traditional Arabic"/>
          <w:color w:val="000000" w:themeColor="text1"/>
          <w:sz w:val="28"/>
          <w:szCs w:val="28"/>
          <w:lang w:bidi="ar-EG"/>
        </w:rPr>
        <w:t xml:space="preserve"> (SEM)</w:t>
      </w:r>
      <w:r w:rsidRPr="00545ABB">
        <w:rPr>
          <w:rFonts w:ascii="Traditional Arabic" w:hAnsi="Traditional Arabic" w:cs="Traditional Arabic"/>
          <w:color w:val="000000" w:themeColor="text1"/>
          <w:sz w:val="28"/>
          <w:szCs w:val="28"/>
          <w:rtl/>
        </w:rPr>
        <w:t>، أو دراسة أثر القيادة الرقمية والثقافة التنظيمية والإطار التشريعي الحكومي على فعالية تطبيق الحوكمة، بما يسهم في إثراء المعرفة العلمية في هذا المجال الحيوي، ومواكبة التطورات المتسارعة في تقنيات الأمن السيبراني والذكاء الاصطناعي والحوكمة الرقمية</w:t>
      </w:r>
      <w:r w:rsidRPr="00545ABB">
        <w:rPr>
          <w:rFonts w:ascii="Traditional Arabic" w:hAnsi="Traditional Arabic" w:cs="Traditional Arabic"/>
          <w:color w:val="000000" w:themeColor="text1"/>
          <w:sz w:val="28"/>
          <w:szCs w:val="28"/>
          <w:lang w:bidi="ar-EG"/>
        </w:rPr>
        <w:t>.</w:t>
      </w:r>
    </w:p>
    <w:p w14:paraId="4FEE5891" w14:textId="4B74154C" w:rsidR="00ED4FB3" w:rsidRPr="00545ABB" w:rsidRDefault="00ED4FB3" w:rsidP="00022590">
      <w:pPr>
        <w:spacing w:after="0" w:line="360" w:lineRule="auto"/>
        <w:jc w:val="both"/>
        <w:rPr>
          <w:rFonts w:ascii="Traditional Arabic" w:hAnsi="Traditional Arabic" w:cs="Traditional Arabic"/>
          <w:color w:val="000000" w:themeColor="text1"/>
          <w:sz w:val="28"/>
          <w:szCs w:val="28"/>
          <w:rtl/>
          <w:lang w:bidi="ar-EG"/>
        </w:rPr>
      </w:pPr>
    </w:p>
    <w:p w14:paraId="4F589CAF" w14:textId="71AE6346" w:rsidR="00EF5263" w:rsidRPr="00545ABB" w:rsidRDefault="00ED4FB3" w:rsidP="00ED4FB3">
      <w:pPr>
        <w:bidi w:val="0"/>
        <w:rPr>
          <w:rFonts w:ascii="Traditional Arabic" w:hAnsi="Traditional Arabic" w:cs="Traditional Arabic"/>
          <w:color w:val="000000" w:themeColor="text1"/>
          <w:sz w:val="28"/>
          <w:szCs w:val="28"/>
          <w:rtl/>
          <w:lang w:bidi="ar-EG"/>
        </w:rPr>
      </w:pPr>
      <w:r w:rsidRPr="00545ABB">
        <w:rPr>
          <w:rFonts w:ascii="Traditional Arabic" w:hAnsi="Traditional Arabic" w:cs="Traditional Arabic"/>
          <w:color w:val="000000" w:themeColor="text1"/>
          <w:sz w:val="28"/>
          <w:szCs w:val="28"/>
          <w:rtl/>
          <w:lang w:bidi="ar-EG"/>
        </w:rPr>
        <w:br w:type="page"/>
      </w:r>
    </w:p>
    <w:p w14:paraId="69B4424B" w14:textId="3EDE51D4" w:rsidR="00ED4FB3" w:rsidRPr="00545ABB" w:rsidRDefault="00D277DA" w:rsidP="00ED4FB3">
      <w:pPr>
        <w:pStyle w:val="Heading2"/>
        <w:bidi/>
        <w:spacing w:line="360" w:lineRule="auto"/>
        <w:jc w:val="center"/>
        <w:rPr>
          <w:rFonts w:ascii="Traditional Arabic" w:hAnsi="Traditional Arabic" w:cs="Traditional Arabic"/>
          <w:b/>
          <w:bCs/>
          <w:color w:val="000000" w:themeColor="text1"/>
          <w:sz w:val="24"/>
          <w:szCs w:val="24"/>
        </w:rPr>
      </w:pPr>
      <w:bookmarkStart w:id="164" w:name="_Toc242325312"/>
      <w:r w:rsidRPr="00545ABB">
        <w:rPr>
          <w:rFonts w:ascii="Traditional Arabic" w:hAnsi="Traditional Arabic" w:cs="Traditional Arabic"/>
          <w:b/>
          <w:bCs/>
          <w:color w:val="000000" w:themeColor="text1"/>
          <w:rtl/>
          <w:lang w:bidi="ar-EG"/>
        </w:rPr>
        <w:lastRenderedPageBreak/>
        <w:t>قائمة المراجع</w:t>
      </w:r>
      <w:bookmarkEnd w:id="164"/>
    </w:p>
    <w:p w14:paraId="436038E9" w14:textId="77777777" w:rsidR="00ED4FB3" w:rsidRPr="00545ABB" w:rsidRDefault="00ED4FB3" w:rsidP="00ED4FB3">
      <w:pPr>
        <w:pStyle w:val="Heading2"/>
        <w:bidi/>
        <w:spacing w:line="360" w:lineRule="auto"/>
        <w:rPr>
          <w:rFonts w:ascii="Traditional Arabic" w:hAnsi="Traditional Arabic" w:cs="Traditional Arabic"/>
          <w:b/>
          <w:bCs/>
          <w:color w:val="000000" w:themeColor="text1"/>
          <w:sz w:val="28"/>
          <w:szCs w:val="28"/>
        </w:rPr>
      </w:pPr>
      <w:bookmarkStart w:id="165" w:name="_Toc242325313"/>
      <w:r w:rsidRPr="00545ABB">
        <w:rPr>
          <w:rFonts w:ascii="Traditional Arabic" w:hAnsi="Traditional Arabic" w:cs="Traditional Arabic"/>
          <w:b/>
          <w:bCs/>
          <w:color w:val="000000" w:themeColor="text1"/>
          <w:sz w:val="28"/>
          <w:szCs w:val="28"/>
          <w:rtl/>
        </w:rPr>
        <w:t>أولًا: المراجع العربية</w:t>
      </w:r>
      <w:bookmarkEnd w:id="165"/>
    </w:p>
    <w:p w14:paraId="5D7415F7"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[01] </w:t>
      </w:r>
      <w:r w:rsidRPr="00545ABB">
        <w:rPr>
          <w:rFonts w:ascii="Traditional Arabic" w:hAnsi="Traditional Arabic" w:cs="Traditional Arabic"/>
          <w:b/>
          <w:bCs/>
          <w:color w:val="000000" w:themeColor="text1"/>
          <w:rtl/>
        </w:rPr>
        <w:t>أبو الخير، ماجد أمير عبد المقصود. (2023). العلاقة بين تفعيل حوكمة الشركات وقياس رأس المال البشري وأثر ذلك على قيمة الشركات: دراسة تطبيقية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المجلة العلمية للدراسات التجارية والبيئية، </w:t>
      </w:r>
      <w:r w:rsidRPr="00545ABB">
        <w:rPr>
          <w:rStyle w:val="Emphasis"/>
          <w:rFonts w:ascii="Traditional Arabic" w:hAnsi="Traditional Arabic" w:cs="Traditional Arabic"/>
          <w:b/>
          <w:bCs/>
          <w:color w:val="000000" w:themeColor="text1"/>
        </w:rPr>
        <w:t>14</w:t>
      </w:r>
      <w:r w:rsidRPr="00545ABB">
        <w:rPr>
          <w:rFonts w:ascii="Traditional Arabic" w:hAnsi="Traditional Arabic" w:cs="Traditional Arabic"/>
          <w:b/>
          <w:bCs/>
          <w:color w:val="000000" w:themeColor="text1"/>
        </w:rPr>
        <w:t>(2).</w:t>
      </w:r>
    </w:p>
    <w:p w14:paraId="497B7DF8" w14:textId="3BD1DD98"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[02] </w:t>
      </w:r>
      <w:r w:rsidRPr="00545ABB">
        <w:rPr>
          <w:rFonts w:ascii="Traditional Arabic" w:hAnsi="Traditional Arabic" w:cs="Traditional Arabic"/>
          <w:b/>
          <w:bCs/>
          <w:color w:val="000000" w:themeColor="text1"/>
          <w:rtl/>
        </w:rPr>
        <w:t>أبو حمام، ماجد إسماعيل</w:t>
      </w:r>
      <w:r w:rsidRPr="00545ABB">
        <w:rPr>
          <w:rFonts w:ascii="Traditional Arabic" w:hAnsi="Traditional Arabic" w:cs="Traditional Arabic"/>
          <w:b/>
          <w:bCs/>
          <w:color w:val="000000" w:themeColor="text1"/>
        </w:rPr>
        <w:t xml:space="preserve">. (2009). </w:t>
      </w:r>
      <w:r w:rsidRPr="00545ABB">
        <w:rPr>
          <w:rStyle w:val="Emphasis"/>
          <w:rFonts w:ascii="Traditional Arabic" w:hAnsi="Traditional Arabic" w:cs="Traditional Arabic"/>
          <w:b/>
          <w:bCs/>
          <w:color w:val="000000" w:themeColor="text1"/>
          <w:rtl/>
        </w:rPr>
        <w:t>أثر تطبيق قواعد الحوكمة على الإفصاح المؤسسي وجودة التقارير المالية</w:t>
      </w:r>
      <w:r w:rsidRPr="00545ABB">
        <w:rPr>
          <w:rFonts w:ascii="Traditional Arabic" w:hAnsi="Traditional Arabic" w:cs="Traditional Arabic"/>
          <w:b/>
          <w:bCs/>
          <w:color w:val="000000" w:themeColor="text1"/>
          <w:rtl/>
        </w:rPr>
        <w:t xml:space="preserve"> </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tl/>
        </w:rPr>
        <w:t>رسالة ماجستير غير منشورة</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tl/>
        </w:rPr>
        <w:t>. الجامعة الإسلامية بغزة، فلسطين</w:t>
      </w:r>
      <w:r w:rsidRPr="00545ABB">
        <w:rPr>
          <w:rFonts w:ascii="Traditional Arabic" w:hAnsi="Traditional Arabic" w:cs="Traditional Arabic"/>
          <w:b/>
          <w:bCs/>
          <w:color w:val="000000" w:themeColor="text1"/>
        </w:rPr>
        <w:t>.</w:t>
      </w:r>
    </w:p>
    <w:p w14:paraId="219C79BF"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[03] </w:t>
      </w:r>
      <w:r w:rsidRPr="00545ABB">
        <w:rPr>
          <w:rFonts w:ascii="Traditional Arabic" w:hAnsi="Traditional Arabic" w:cs="Traditional Arabic"/>
          <w:b/>
          <w:bCs/>
          <w:color w:val="000000" w:themeColor="text1"/>
          <w:rtl/>
        </w:rPr>
        <w:t>أبو زيد، عبد الرحمن عاطف. (2019). الأمن السيبراني في الوطن العربي: دراسة حالة المملكة العربية السعودية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المركز العربي للبحوث والدراسات</w:t>
      </w:r>
      <w:r w:rsidRPr="00545ABB">
        <w:rPr>
          <w:rFonts w:ascii="Traditional Arabic" w:hAnsi="Traditional Arabic" w:cs="Traditional Arabic"/>
          <w:b/>
          <w:bCs/>
          <w:color w:val="000000" w:themeColor="text1"/>
          <w:rtl/>
        </w:rPr>
        <w:t xml:space="preserve">، العدد </w:t>
      </w:r>
      <w:r w:rsidRPr="00545ABB">
        <w:rPr>
          <w:rFonts w:ascii="Traditional Arabic" w:hAnsi="Traditional Arabic" w:cs="Traditional Arabic"/>
          <w:b/>
          <w:bCs/>
          <w:color w:val="000000" w:themeColor="text1"/>
        </w:rPr>
        <w:t>48.</w:t>
      </w:r>
    </w:p>
    <w:p w14:paraId="0AF76863"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[04] </w:t>
      </w:r>
      <w:r w:rsidRPr="00545ABB">
        <w:rPr>
          <w:rFonts w:ascii="Traditional Arabic" w:hAnsi="Traditional Arabic" w:cs="Traditional Arabic"/>
          <w:b/>
          <w:bCs/>
          <w:color w:val="000000" w:themeColor="text1"/>
          <w:rtl/>
        </w:rPr>
        <w:t>أبو النصر، مدحت محمد</w:t>
      </w:r>
      <w:r w:rsidRPr="00545ABB">
        <w:rPr>
          <w:rFonts w:ascii="Traditional Arabic" w:hAnsi="Traditional Arabic" w:cs="Traditional Arabic"/>
          <w:b/>
          <w:bCs/>
          <w:color w:val="000000" w:themeColor="text1"/>
        </w:rPr>
        <w:t xml:space="preserve">. (2015). </w:t>
      </w:r>
      <w:r w:rsidRPr="00545ABB">
        <w:rPr>
          <w:rStyle w:val="Emphasis"/>
          <w:rFonts w:ascii="Traditional Arabic" w:hAnsi="Traditional Arabic" w:cs="Traditional Arabic"/>
          <w:b/>
          <w:bCs/>
          <w:color w:val="000000" w:themeColor="text1"/>
          <w:rtl/>
        </w:rPr>
        <w:t>الحوكمة الرشيدة: فن إدارة المؤسسات عالية الجودة</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المجموعة العربية للتدريب والنشر</w:t>
      </w:r>
      <w:r w:rsidRPr="00545ABB">
        <w:rPr>
          <w:rFonts w:ascii="Traditional Arabic" w:hAnsi="Traditional Arabic" w:cs="Traditional Arabic"/>
          <w:b/>
          <w:bCs/>
          <w:color w:val="000000" w:themeColor="text1"/>
        </w:rPr>
        <w:t>.</w:t>
      </w:r>
    </w:p>
    <w:p w14:paraId="506C42D4"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[05] </w:t>
      </w:r>
      <w:r w:rsidRPr="00545ABB">
        <w:rPr>
          <w:rFonts w:ascii="Traditional Arabic" w:hAnsi="Traditional Arabic" w:cs="Traditional Arabic"/>
          <w:b/>
          <w:bCs/>
          <w:color w:val="000000" w:themeColor="text1"/>
          <w:rtl/>
        </w:rPr>
        <w:t>أحسن، سعيد، برباش، عنترة، ومجلخ، سليم. (2023). دراسة تحليلية لأثر إصلاحات ممارسة الأعمال على الشركات الناشئة وريادة الأعمال في الصين</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المركز الديمقراطي العربي للدراسات الاستراتيجية والسياسية والاقتصادية</w:t>
      </w:r>
      <w:r w:rsidRPr="00545ABB">
        <w:rPr>
          <w:rFonts w:ascii="Traditional Arabic" w:hAnsi="Traditional Arabic" w:cs="Traditional Arabic"/>
          <w:b/>
          <w:bCs/>
          <w:color w:val="000000" w:themeColor="text1"/>
          <w:rtl/>
        </w:rPr>
        <w:t>، برلين، ألمانيا</w:t>
      </w:r>
      <w:r w:rsidRPr="00545ABB">
        <w:rPr>
          <w:rFonts w:ascii="Traditional Arabic" w:hAnsi="Traditional Arabic" w:cs="Traditional Arabic"/>
          <w:b/>
          <w:bCs/>
          <w:color w:val="000000" w:themeColor="text1"/>
        </w:rPr>
        <w:t>.</w:t>
      </w:r>
    </w:p>
    <w:p w14:paraId="644CA6F0"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[06] </w:t>
      </w:r>
      <w:r w:rsidRPr="00545ABB">
        <w:rPr>
          <w:rFonts w:ascii="Traditional Arabic" w:hAnsi="Traditional Arabic" w:cs="Traditional Arabic"/>
          <w:b/>
          <w:bCs/>
          <w:color w:val="000000" w:themeColor="text1"/>
          <w:rtl/>
        </w:rPr>
        <w:t>إدارة التحرير. (2020). الأمن السيبراني: ضمان الأمن في المدن الذكية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المنظمة العربية لمسؤولي تقنية المعلومات</w:t>
      </w:r>
      <w:r w:rsidRPr="00545ABB">
        <w:rPr>
          <w:rFonts w:ascii="Traditional Arabic" w:hAnsi="Traditional Arabic" w:cs="Traditional Arabic"/>
          <w:b/>
          <w:bCs/>
          <w:color w:val="000000" w:themeColor="text1"/>
        </w:rPr>
        <w:t>.</w:t>
      </w:r>
    </w:p>
    <w:p w14:paraId="6BAD42EA"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[07] </w:t>
      </w:r>
      <w:r w:rsidRPr="00545ABB">
        <w:rPr>
          <w:rFonts w:ascii="Traditional Arabic" w:hAnsi="Traditional Arabic" w:cs="Traditional Arabic"/>
          <w:b/>
          <w:bCs/>
          <w:color w:val="000000" w:themeColor="text1"/>
          <w:rtl/>
        </w:rPr>
        <w:t>آل مداوي، علي. (2023). الأمن السيبراني: تعريفه، أهميته، أنواعه، واستراتيجيات الوقاية من الهجمات السيبرانية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معهد الأمير سعود الفيصل للدراسات الدبلوماسية، وزارة الخارجية</w:t>
      </w:r>
      <w:r w:rsidRPr="00545ABB">
        <w:rPr>
          <w:rFonts w:ascii="Traditional Arabic" w:hAnsi="Traditional Arabic" w:cs="Traditional Arabic"/>
          <w:b/>
          <w:bCs/>
          <w:color w:val="000000" w:themeColor="text1"/>
        </w:rPr>
        <w:t>.</w:t>
      </w:r>
    </w:p>
    <w:p w14:paraId="70ED0344"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[08] </w:t>
      </w:r>
      <w:r w:rsidRPr="00545ABB">
        <w:rPr>
          <w:rFonts w:ascii="Traditional Arabic" w:hAnsi="Traditional Arabic" w:cs="Traditional Arabic"/>
          <w:b/>
          <w:bCs/>
          <w:color w:val="000000" w:themeColor="text1"/>
          <w:rtl/>
        </w:rPr>
        <w:t>بوساحة، محمد لخضر، علالي، مختار، ومونيس، نادية. (2020). المؤسسات الناشئة واقتصاد المعرفة كتوجه حديث لريادة الأعمال</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مجلة البحوث الاقتصادية المتقدمة، </w:t>
      </w:r>
      <w:r w:rsidRPr="00545ABB">
        <w:rPr>
          <w:rStyle w:val="Emphasis"/>
          <w:rFonts w:ascii="Traditional Arabic" w:hAnsi="Traditional Arabic" w:cs="Traditional Arabic"/>
          <w:b/>
          <w:bCs/>
          <w:color w:val="000000" w:themeColor="text1"/>
        </w:rPr>
        <w:t>7</w:t>
      </w:r>
      <w:r w:rsidRPr="00545ABB">
        <w:rPr>
          <w:rFonts w:ascii="Traditional Arabic" w:hAnsi="Traditional Arabic" w:cs="Traditional Arabic"/>
          <w:b/>
          <w:bCs/>
          <w:color w:val="000000" w:themeColor="text1"/>
        </w:rPr>
        <w:t>(2).</w:t>
      </w:r>
    </w:p>
    <w:p w14:paraId="4FA33612"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[09] </w:t>
      </w:r>
      <w:r w:rsidRPr="00545ABB">
        <w:rPr>
          <w:rFonts w:ascii="Traditional Arabic" w:hAnsi="Traditional Arabic" w:cs="Traditional Arabic"/>
          <w:b/>
          <w:bCs/>
          <w:color w:val="000000" w:themeColor="text1"/>
          <w:rtl/>
        </w:rPr>
        <w:t>تغريد صفاء، ولبنى خميس مهدي. (2020). أثر السيبرانية في تطور القوة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مجلة حمورابي للدراسات</w:t>
      </w:r>
      <w:r w:rsidRPr="00545ABB">
        <w:rPr>
          <w:rFonts w:ascii="Traditional Arabic" w:hAnsi="Traditional Arabic" w:cs="Traditional Arabic"/>
          <w:b/>
          <w:bCs/>
          <w:color w:val="000000" w:themeColor="text1"/>
          <w:rtl/>
        </w:rPr>
        <w:t>، العدد 34، 149 وما بعدها</w:t>
      </w:r>
      <w:r w:rsidRPr="00545ABB">
        <w:rPr>
          <w:rFonts w:ascii="Traditional Arabic" w:hAnsi="Traditional Arabic" w:cs="Traditional Arabic"/>
          <w:b/>
          <w:bCs/>
          <w:color w:val="000000" w:themeColor="text1"/>
        </w:rPr>
        <w:t>.</w:t>
      </w:r>
    </w:p>
    <w:p w14:paraId="435E3FCF"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lastRenderedPageBreak/>
        <w:t xml:space="preserve">[10] Solutions by stc. (2023). </w:t>
      </w:r>
      <w:r w:rsidRPr="00545ABB">
        <w:rPr>
          <w:rStyle w:val="Emphasis"/>
          <w:rFonts w:ascii="Traditional Arabic" w:hAnsi="Traditional Arabic" w:cs="Traditional Arabic"/>
          <w:b/>
          <w:bCs/>
          <w:color w:val="000000" w:themeColor="text1"/>
          <w:rtl/>
        </w:rPr>
        <w:t xml:space="preserve">تقرير الاستدامة </w:t>
      </w:r>
      <w:r w:rsidRPr="00545ABB">
        <w:rPr>
          <w:rStyle w:val="Emphasis"/>
          <w:rFonts w:ascii="Traditional Arabic" w:hAnsi="Traditional Arabic" w:cs="Traditional Arabic"/>
          <w:b/>
          <w:bCs/>
          <w:color w:val="000000" w:themeColor="text1"/>
        </w:rPr>
        <w:t>2023</w:t>
      </w:r>
      <w:r w:rsidRPr="00545ABB">
        <w:rPr>
          <w:rFonts w:ascii="Traditional Arabic" w:hAnsi="Traditional Arabic" w:cs="Traditional Arabic"/>
          <w:b/>
          <w:bCs/>
          <w:color w:val="000000" w:themeColor="text1"/>
        </w:rPr>
        <w:t>.</w:t>
      </w:r>
    </w:p>
    <w:p w14:paraId="11C2B7ED"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[11] </w:t>
      </w:r>
      <w:r w:rsidRPr="00545ABB">
        <w:rPr>
          <w:rFonts w:ascii="Traditional Arabic" w:hAnsi="Traditional Arabic" w:cs="Traditional Arabic"/>
          <w:b/>
          <w:bCs/>
          <w:color w:val="000000" w:themeColor="text1"/>
          <w:rtl/>
        </w:rPr>
        <w:t>جبور، منى</w:t>
      </w:r>
      <w:r w:rsidRPr="00545ABB">
        <w:rPr>
          <w:rFonts w:ascii="Traditional Arabic" w:hAnsi="Traditional Arabic" w:cs="Traditional Arabic"/>
          <w:b/>
          <w:bCs/>
          <w:color w:val="000000" w:themeColor="text1"/>
        </w:rPr>
        <w:t xml:space="preserve">. (2016). </w:t>
      </w:r>
      <w:r w:rsidRPr="00545ABB">
        <w:rPr>
          <w:rStyle w:val="Emphasis"/>
          <w:rFonts w:ascii="Traditional Arabic" w:hAnsi="Traditional Arabic" w:cs="Traditional Arabic"/>
          <w:b/>
          <w:bCs/>
          <w:color w:val="000000" w:themeColor="text1"/>
          <w:rtl/>
        </w:rPr>
        <w:t>السيبرانية هاجس العصر</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المركز العربي للبحوث القانونية والقضائية، بيروت، لبنان</w:t>
      </w:r>
      <w:r w:rsidRPr="00545ABB">
        <w:rPr>
          <w:rFonts w:ascii="Traditional Arabic" w:hAnsi="Traditional Arabic" w:cs="Traditional Arabic"/>
          <w:b/>
          <w:bCs/>
          <w:color w:val="000000" w:themeColor="text1"/>
        </w:rPr>
        <w:t>.</w:t>
      </w:r>
    </w:p>
    <w:p w14:paraId="7616BCC3"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[12] </w:t>
      </w:r>
      <w:r w:rsidRPr="00545ABB">
        <w:rPr>
          <w:rFonts w:ascii="Traditional Arabic" w:hAnsi="Traditional Arabic" w:cs="Traditional Arabic"/>
          <w:b/>
          <w:bCs/>
          <w:color w:val="000000" w:themeColor="text1"/>
          <w:rtl/>
        </w:rPr>
        <w:t>الطيار، حسين بن سليمان بن رشد. (2020). الأمن السيبراني في منظور مقاصد الشارع: دراسة تأصيلية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مجلة جامعة الطائف للعلوم الإنسانية، </w:t>
      </w:r>
      <w:r w:rsidRPr="00545ABB">
        <w:rPr>
          <w:rStyle w:val="Emphasis"/>
          <w:rFonts w:ascii="Traditional Arabic" w:hAnsi="Traditional Arabic" w:cs="Traditional Arabic"/>
          <w:b/>
          <w:bCs/>
          <w:color w:val="000000" w:themeColor="text1"/>
        </w:rPr>
        <w:t>6</w:t>
      </w:r>
      <w:r w:rsidRPr="00545ABB">
        <w:rPr>
          <w:rFonts w:ascii="Traditional Arabic" w:hAnsi="Traditional Arabic" w:cs="Traditional Arabic"/>
          <w:b/>
          <w:bCs/>
          <w:color w:val="000000" w:themeColor="text1"/>
        </w:rPr>
        <w:t>(2).</w:t>
      </w:r>
    </w:p>
    <w:p w14:paraId="6154717C"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[13] </w:t>
      </w:r>
      <w:r w:rsidRPr="00545ABB">
        <w:rPr>
          <w:rFonts w:ascii="Traditional Arabic" w:hAnsi="Traditional Arabic" w:cs="Traditional Arabic"/>
          <w:b/>
          <w:bCs/>
          <w:color w:val="000000" w:themeColor="text1"/>
          <w:rtl/>
        </w:rPr>
        <w:t>الحسيني، محمد أحمد. (1993). مدى تطبيق الإفصاح عن العناصر غير العادية بقائمة الدخل طبقًا لمعيار العرض والإفصاح العام في المملكة العربية السعودية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مجلة الإدارة العامة</w:t>
      </w:r>
      <w:r w:rsidRPr="00545ABB">
        <w:rPr>
          <w:rFonts w:ascii="Traditional Arabic" w:hAnsi="Traditional Arabic" w:cs="Traditional Arabic"/>
          <w:b/>
          <w:bCs/>
          <w:color w:val="000000" w:themeColor="text1"/>
        </w:rPr>
        <w:t>.</w:t>
      </w:r>
    </w:p>
    <w:p w14:paraId="7F928A91"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[14] </w:t>
      </w:r>
      <w:r w:rsidRPr="00545ABB">
        <w:rPr>
          <w:rFonts w:ascii="Traditional Arabic" w:hAnsi="Traditional Arabic" w:cs="Traditional Arabic"/>
          <w:b/>
          <w:bCs/>
          <w:color w:val="000000" w:themeColor="text1"/>
          <w:rtl/>
        </w:rPr>
        <w:t>خليل، هشام محمد. (2012). الجوانب الإجرامية للجرائم المعلوماتية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مجلة الأمن والقانون</w:t>
      </w:r>
      <w:r w:rsidRPr="00545ABB">
        <w:rPr>
          <w:rFonts w:ascii="Traditional Arabic" w:hAnsi="Traditional Arabic" w:cs="Traditional Arabic"/>
          <w:b/>
          <w:bCs/>
          <w:color w:val="000000" w:themeColor="text1"/>
          <w:rtl/>
        </w:rPr>
        <w:t xml:space="preserve">، العدد </w:t>
      </w:r>
      <w:r w:rsidRPr="00545ABB">
        <w:rPr>
          <w:rFonts w:ascii="Traditional Arabic" w:hAnsi="Traditional Arabic" w:cs="Traditional Arabic"/>
          <w:b/>
          <w:bCs/>
          <w:color w:val="000000" w:themeColor="text1"/>
        </w:rPr>
        <w:t>2.</w:t>
      </w:r>
    </w:p>
    <w:p w14:paraId="33DAEBCA"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[15] </w:t>
      </w:r>
      <w:r w:rsidRPr="00545ABB">
        <w:rPr>
          <w:rFonts w:ascii="Traditional Arabic" w:hAnsi="Traditional Arabic" w:cs="Traditional Arabic"/>
          <w:b/>
          <w:bCs/>
          <w:color w:val="000000" w:themeColor="text1"/>
          <w:rtl/>
        </w:rPr>
        <w:t>سليمان، أحمد بن محمد. (2016). حوكمة الشركات وتركز الملكية وأثرها على إدارة الأرباح في الأسواق الناشئة: حالة الشركات المساهمة السعودية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مجلة العلوم الإدارية والاقتصادية، </w:t>
      </w:r>
      <w:r w:rsidRPr="00545ABB">
        <w:rPr>
          <w:rStyle w:val="Emphasis"/>
          <w:rFonts w:ascii="Traditional Arabic" w:hAnsi="Traditional Arabic" w:cs="Traditional Arabic"/>
          <w:b/>
          <w:bCs/>
          <w:color w:val="000000" w:themeColor="text1"/>
        </w:rPr>
        <w:t>10</w:t>
      </w:r>
      <w:r w:rsidRPr="00545ABB">
        <w:rPr>
          <w:rFonts w:ascii="Traditional Arabic" w:hAnsi="Traditional Arabic" w:cs="Traditional Arabic"/>
          <w:b/>
          <w:bCs/>
          <w:color w:val="000000" w:themeColor="text1"/>
        </w:rPr>
        <w:t>(1).</w:t>
      </w:r>
    </w:p>
    <w:p w14:paraId="70947BD2"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[16] </w:t>
      </w:r>
      <w:r w:rsidRPr="00545ABB">
        <w:rPr>
          <w:rFonts w:ascii="Traditional Arabic" w:hAnsi="Traditional Arabic" w:cs="Traditional Arabic"/>
          <w:b/>
          <w:bCs/>
          <w:color w:val="000000" w:themeColor="text1"/>
          <w:rtl/>
        </w:rPr>
        <w:t>الشريف، عمر أحمد أبو هاشم، عبد العليم، أسامة محمد، وبيومي، هشام محمد</w:t>
      </w:r>
      <w:r w:rsidRPr="00545ABB">
        <w:rPr>
          <w:rFonts w:ascii="Traditional Arabic" w:hAnsi="Traditional Arabic" w:cs="Traditional Arabic"/>
          <w:b/>
          <w:bCs/>
          <w:color w:val="000000" w:themeColor="text1"/>
        </w:rPr>
        <w:t xml:space="preserve">. (2013). </w:t>
      </w:r>
      <w:r w:rsidRPr="00545ABB">
        <w:rPr>
          <w:rStyle w:val="Emphasis"/>
          <w:rFonts w:ascii="Traditional Arabic" w:hAnsi="Traditional Arabic" w:cs="Traditional Arabic"/>
          <w:b/>
          <w:bCs/>
          <w:color w:val="000000" w:themeColor="text1"/>
          <w:rtl/>
        </w:rPr>
        <w:t>الإدارة الإلكترونية: مدخل إلى الإدارة التعليمية الحديثة</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دار المنهاج</w:t>
      </w:r>
      <w:r w:rsidRPr="00545ABB">
        <w:rPr>
          <w:rFonts w:ascii="Traditional Arabic" w:hAnsi="Traditional Arabic" w:cs="Traditional Arabic"/>
          <w:b/>
          <w:bCs/>
          <w:color w:val="000000" w:themeColor="text1"/>
        </w:rPr>
        <w:t>.</w:t>
      </w:r>
    </w:p>
    <w:p w14:paraId="0B5F2685"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[17] </w:t>
      </w:r>
      <w:r w:rsidRPr="00545ABB">
        <w:rPr>
          <w:rFonts w:ascii="Traditional Arabic" w:hAnsi="Traditional Arabic" w:cs="Traditional Arabic"/>
          <w:b/>
          <w:bCs/>
          <w:color w:val="000000" w:themeColor="text1"/>
          <w:rtl/>
        </w:rPr>
        <w:t>الشمري، صالح مهدي هادي، وإسماعيل، زيد محمد علي. (2020). الأمن السيبراني كمرتكز جديد في الاستراتيجية العراقية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مجلة قضايا سياسية</w:t>
      </w:r>
      <w:r w:rsidRPr="00545ABB">
        <w:rPr>
          <w:rFonts w:ascii="Traditional Arabic" w:hAnsi="Traditional Arabic" w:cs="Traditional Arabic"/>
          <w:b/>
          <w:bCs/>
          <w:color w:val="000000" w:themeColor="text1"/>
          <w:rtl/>
        </w:rPr>
        <w:t xml:space="preserve">، العدد </w:t>
      </w:r>
      <w:r w:rsidRPr="00545ABB">
        <w:rPr>
          <w:rFonts w:ascii="Traditional Arabic" w:hAnsi="Traditional Arabic" w:cs="Traditional Arabic"/>
          <w:b/>
          <w:bCs/>
          <w:color w:val="000000" w:themeColor="text1"/>
        </w:rPr>
        <w:t>68.</w:t>
      </w:r>
    </w:p>
    <w:p w14:paraId="5C558046"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[18] </w:t>
      </w:r>
      <w:r w:rsidRPr="00545ABB">
        <w:rPr>
          <w:rFonts w:ascii="Traditional Arabic" w:hAnsi="Traditional Arabic" w:cs="Traditional Arabic"/>
          <w:b/>
          <w:bCs/>
          <w:color w:val="000000" w:themeColor="text1"/>
          <w:rtl/>
        </w:rPr>
        <w:t>صدقي، عماد محمد. (2023). دور لجان المراجعة كأحد آليات الحوكمة لمواجهة مخاطر الهجمات السيبرانية في البنوك المصرية: دراسة ميدانية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مجلة البحوث التجارية، </w:t>
      </w:r>
      <w:r w:rsidRPr="00545ABB">
        <w:rPr>
          <w:rStyle w:val="Emphasis"/>
          <w:rFonts w:ascii="Traditional Arabic" w:hAnsi="Traditional Arabic" w:cs="Traditional Arabic"/>
          <w:b/>
          <w:bCs/>
          <w:color w:val="000000" w:themeColor="text1"/>
        </w:rPr>
        <w:t>45</w:t>
      </w:r>
      <w:r w:rsidRPr="00545ABB">
        <w:rPr>
          <w:rFonts w:ascii="Traditional Arabic" w:hAnsi="Traditional Arabic" w:cs="Traditional Arabic"/>
          <w:b/>
          <w:bCs/>
          <w:color w:val="000000" w:themeColor="text1"/>
        </w:rPr>
        <w:t>(4).</w:t>
      </w:r>
    </w:p>
    <w:p w14:paraId="5726F3F7" w14:textId="14BD97FA"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[19] </w:t>
      </w:r>
      <w:r w:rsidRPr="00545ABB">
        <w:rPr>
          <w:rFonts w:ascii="Traditional Arabic" w:hAnsi="Traditional Arabic" w:cs="Traditional Arabic"/>
          <w:b/>
          <w:bCs/>
          <w:color w:val="000000" w:themeColor="text1"/>
          <w:rtl/>
        </w:rPr>
        <w:t>بوشامي، عبد القادر، سريدي، أحمد، وتشيكو، عبد القادر. (2022). نماذج حوكمة الشركات في العالم: دراسة تجارب دولية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مجلة البحوث الاقتصادية المتقدمة، </w:t>
      </w:r>
      <w:r w:rsidRPr="00545ABB">
        <w:rPr>
          <w:rStyle w:val="Emphasis"/>
          <w:rFonts w:ascii="Traditional Arabic" w:hAnsi="Traditional Arabic" w:cs="Traditional Arabic"/>
          <w:b/>
          <w:bCs/>
          <w:color w:val="000000" w:themeColor="text1"/>
        </w:rPr>
        <w:t>7</w:t>
      </w:r>
      <w:r w:rsidRPr="00545ABB">
        <w:rPr>
          <w:rFonts w:ascii="Traditional Arabic" w:hAnsi="Traditional Arabic" w:cs="Traditional Arabic"/>
          <w:b/>
          <w:bCs/>
          <w:color w:val="000000" w:themeColor="text1"/>
        </w:rPr>
        <w:t>(2)</w:t>
      </w:r>
      <w:r w:rsidRPr="00545ABB">
        <w:rPr>
          <w:rFonts w:ascii="Traditional Arabic" w:hAnsi="Traditional Arabic" w:cs="Traditional Arabic"/>
          <w:b/>
          <w:bCs/>
          <w:color w:val="000000" w:themeColor="text1"/>
          <w:rtl/>
        </w:rPr>
        <w:t>، 780</w:t>
      </w:r>
      <w:r w:rsidRPr="00545ABB">
        <w:rPr>
          <w:rFonts w:ascii="Traditional Arabic" w:hAnsi="Traditional Arabic" w:cs="Traditional Arabic"/>
          <w:b/>
          <w:bCs/>
          <w:color w:val="000000" w:themeColor="text1"/>
        </w:rPr>
        <w:t xml:space="preserve">799. </w:t>
      </w:r>
    </w:p>
    <w:p w14:paraId="0C6A3236" w14:textId="4CCCE13D"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lastRenderedPageBreak/>
        <w:t xml:space="preserve">[20] </w:t>
      </w:r>
      <w:r w:rsidRPr="00545ABB">
        <w:rPr>
          <w:rFonts w:ascii="Traditional Arabic" w:hAnsi="Traditional Arabic" w:cs="Traditional Arabic"/>
          <w:b/>
          <w:bCs/>
          <w:color w:val="000000" w:themeColor="text1"/>
          <w:rtl/>
        </w:rPr>
        <w:t>عبد المعز، ميرفت أبو الغيط</w:t>
      </w:r>
      <w:r w:rsidRPr="00545ABB">
        <w:rPr>
          <w:rFonts w:ascii="Traditional Arabic" w:hAnsi="Traditional Arabic" w:cs="Traditional Arabic"/>
          <w:b/>
          <w:bCs/>
          <w:color w:val="000000" w:themeColor="text1"/>
        </w:rPr>
        <w:t xml:space="preserve">. (2020). </w:t>
      </w:r>
      <w:r w:rsidRPr="00545ABB">
        <w:rPr>
          <w:rStyle w:val="Emphasis"/>
          <w:rFonts w:ascii="Traditional Arabic" w:hAnsi="Traditional Arabic" w:cs="Traditional Arabic"/>
          <w:b/>
          <w:bCs/>
          <w:color w:val="000000" w:themeColor="text1"/>
          <w:rtl/>
        </w:rPr>
        <w:t>الحوكمة الرشيدة كمدخل لتطوير خدمات الرعاية الاجتماعية بالجمعيات الأهلية</w:t>
      </w:r>
      <w:r w:rsidRPr="00545ABB">
        <w:rPr>
          <w:rFonts w:ascii="Traditional Arabic" w:hAnsi="Traditional Arabic" w:cs="Traditional Arabic"/>
          <w:b/>
          <w:bCs/>
          <w:color w:val="000000" w:themeColor="text1"/>
          <w:rtl/>
        </w:rPr>
        <w:t xml:space="preserve"> </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tl/>
        </w:rPr>
        <w:t>رسالة ماجستير غير منشورة</w:t>
      </w:r>
      <w:r w:rsidRPr="00545ABB">
        <w:rPr>
          <w:rFonts w:ascii="Traditional Arabic" w:hAnsi="Traditional Arabic" w:cs="Traditional Arabic" w:hint="cs"/>
          <w:b/>
          <w:bCs/>
          <w:color w:val="000000" w:themeColor="text1"/>
          <w:rtl/>
        </w:rPr>
        <w:t>)</w:t>
      </w:r>
      <w:r w:rsidRPr="00545ABB">
        <w:rPr>
          <w:rFonts w:ascii="Traditional Arabic" w:hAnsi="Traditional Arabic" w:cs="Traditional Arabic"/>
          <w:b/>
          <w:bCs/>
          <w:color w:val="000000" w:themeColor="text1"/>
          <w:rtl/>
        </w:rPr>
        <w:t>. كلية الخدمة الاجتماعية، جامعة أسيوط</w:t>
      </w:r>
      <w:r w:rsidRPr="00545ABB">
        <w:rPr>
          <w:rFonts w:ascii="Traditional Arabic" w:hAnsi="Traditional Arabic" w:cs="Traditional Arabic"/>
          <w:b/>
          <w:bCs/>
          <w:color w:val="000000" w:themeColor="text1"/>
        </w:rPr>
        <w:t>.</w:t>
      </w:r>
    </w:p>
    <w:p w14:paraId="6114EF2C"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[21] </w:t>
      </w:r>
      <w:r w:rsidRPr="00545ABB">
        <w:rPr>
          <w:rFonts w:ascii="Traditional Arabic" w:hAnsi="Traditional Arabic" w:cs="Traditional Arabic"/>
          <w:b/>
          <w:bCs/>
          <w:color w:val="000000" w:themeColor="text1"/>
          <w:rtl/>
        </w:rPr>
        <w:t>عطا، مسعود يونس عطوان. (2018). دور الحوكمة في استدامة الشركات وتحقيق رؤية المملكة 2030: دراسة مقارنة بين نظام الشركات السعودي الجديد والشريعة الإسلامية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مجلة كلية الشريعة والقانون بطنطا، </w:t>
      </w:r>
      <w:r w:rsidRPr="00545ABB">
        <w:rPr>
          <w:rStyle w:val="Emphasis"/>
          <w:rFonts w:ascii="Traditional Arabic" w:hAnsi="Traditional Arabic" w:cs="Traditional Arabic"/>
          <w:b/>
          <w:bCs/>
          <w:color w:val="000000" w:themeColor="text1"/>
        </w:rPr>
        <w:t>33</w:t>
      </w:r>
      <w:r w:rsidRPr="00545ABB">
        <w:rPr>
          <w:rFonts w:ascii="Traditional Arabic" w:hAnsi="Traditional Arabic" w:cs="Traditional Arabic"/>
          <w:b/>
          <w:bCs/>
          <w:color w:val="000000" w:themeColor="text1"/>
        </w:rPr>
        <w:t>(4)</w:t>
      </w:r>
      <w:r w:rsidRPr="00545ABB">
        <w:rPr>
          <w:rFonts w:ascii="Traditional Arabic" w:hAnsi="Traditional Arabic" w:cs="Traditional Arabic"/>
          <w:b/>
          <w:bCs/>
          <w:color w:val="000000" w:themeColor="text1"/>
          <w:rtl/>
        </w:rPr>
        <w:t>، 1814</w:t>
      </w:r>
      <w:r w:rsidRPr="00545ABB">
        <w:rPr>
          <w:rFonts w:ascii="Traditional Arabic" w:hAnsi="Traditional Arabic" w:cs="Traditional Arabic"/>
          <w:b/>
          <w:bCs/>
          <w:color w:val="000000" w:themeColor="text1"/>
        </w:rPr>
        <w:t xml:space="preserve">–1877. </w:t>
      </w:r>
      <w:hyperlink r:id="rId31" w:history="1">
        <w:r w:rsidRPr="00545ABB">
          <w:rPr>
            <w:rStyle w:val="Hyperlink"/>
            <w:rFonts w:ascii="Traditional Arabic" w:hAnsi="Traditional Arabic" w:cs="Traditional Arabic"/>
            <w:b/>
            <w:bCs/>
            <w:color w:val="000000" w:themeColor="text1"/>
          </w:rPr>
          <w:t>https://doi.org/10.21608/MKSQ.2018.30621</w:t>
        </w:r>
      </w:hyperlink>
    </w:p>
    <w:p w14:paraId="7B28559B"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[22] </w:t>
      </w:r>
      <w:r w:rsidRPr="00545ABB">
        <w:rPr>
          <w:rFonts w:ascii="Traditional Arabic" w:hAnsi="Traditional Arabic" w:cs="Traditional Arabic"/>
          <w:b/>
          <w:bCs/>
          <w:color w:val="000000" w:themeColor="text1"/>
          <w:rtl/>
        </w:rPr>
        <w:t>العطوي، حكيم، وبلموفقي، علي. (2021). دور وأهمية إرساء ثقافة حوكمة الشركات على استدامة الشركات الناشئة: دراسة ميدانية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مجلة إدارة الأعمال والدراسات الاقتصادية، </w:t>
      </w:r>
      <w:r w:rsidRPr="00545ABB">
        <w:rPr>
          <w:rStyle w:val="Emphasis"/>
          <w:rFonts w:ascii="Traditional Arabic" w:hAnsi="Traditional Arabic" w:cs="Traditional Arabic"/>
          <w:b/>
          <w:bCs/>
          <w:color w:val="000000" w:themeColor="text1"/>
        </w:rPr>
        <w:t>7</w:t>
      </w:r>
      <w:r w:rsidRPr="00545ABB">
        <w:rPr>
          <w:rFonts w:ascii="Traditional Arabic" w:hAnsi="Traditional Arabic" w:cs="Traditional Arabic"/>
          <w:b/>
          <w:bCs/>
          <w:color w:val="000000" w:themeColor="text1"/>
        </w:rPr>
        <w:t>(2)</w:t>
      </w:r>
      <w:r w:rsidRPr="00545ABB">
        <w:rPr>
          <w:rFonts w:ascii="Traditional Arabic" w:hAnsi="Traditional Arabic" w:cs="Traditional Arabic"/>
          <w:b/>
          <w:bCs/>
          <w:color w:val="000000" w:themeColor="text1"/>
          <w:rtl/>
        </w:rPr>
        <w:t>، 727</w:t>
      </w:r>
      <w:r w:rsidRPr="00545ABB">
        <w:rPr>
          <w:rFonts w:ascii="Traditional Arabic" w:hAnsi="Traditional Arabic" w:cs="Traditional Arabic"/>
          <w:b/>
          <w:bCs/>
          <w:color w:val="000000" w:themeColor="text1"/>
        </w:rPr>
        <w:t>–748.</w:t>
      </w:r>
    </w:p>
    <w:p w14:paraId="5569075B"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[23] </w:t>
      </w:r>
      <w:r w:rsidRPr="00545ABB">
        <w:rPr>
          <w:rFonts w:ascii="Traditional Arabic" w:hAnsi="Traditional Arabic" w:cs="Traditional Arabic"/>
          <w:b/>
          <w:bCs/>
          <w:color w:val="000000" w:themeColor="text1"/>
          <w:rtl/>
        </w:rPr>
        <w:t>علي، مصطفى أمين محمد</w:t>
      </w:r>
      <w:r w:rsidRPr="00545ABB">
        <w:rPr>
          <w:rFonts w:ascii="Traditional Arabic" w:hAnsi="Traditional Arabic" w:cs="Traditional Arabic"/>
          <w:b/>
          <w:bCs/>
          <w:color w:val="000000" w:themeColor="text1"/>
        </w:rPr>
        <w:t xml:space="preserve">. (2019). </w:t>
      </w:r>
      <w:r w:rsidRPr="00545ABB">
        <w:rPr>
          <w:rStyle w:val="Emphasis"/>
          <w:rFonts w:ascii="Traditional Arabic" w:hAnsi="Traditional Arabic" w:cs="Traditional Arabic"/>
          <w:b/>
          <w:bCs/>
          <w:color w:val="000000" w:themeColor="text1"/>
          <w:rtl/>
        </w:rPr>
        <w:t>حوكمة نظام الزكاة</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دار الكتاب</w:t>
      </w:r>
      <w:r w:rsidRPr="00545ABB">
        <w:rPr>
          <w:rFonts w:ascii="Traditional Arabic" w:hAnsi="Traditional Arabic" w:cs="Traditional Arabic"/>
          <w:b/>
          <w:bCs/>
          <w:color w:val="000000" w:themeColor="text1"/>
        </w:rPr>
        <w:t>.</w:t>
      </w:r>
    </w:p>
    <w:p w14:paraId="394C0533"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[24] </w:t>
      </w:r>
      <w:r w:rsidRPr="00545ABB">
        <w:rPr>
          <w:rFonts w:ascii="Traditional Arabic" w:hAnsi="Traditional Arabic" w:cs="Traditional Arabic"/>
          <w:b/>
          <w:bCs/>
          <w:color w:val="000000" w:themeColor="text1"/>
          <w:rtl/>
        </w:rPr>
        <w:t>العمري، محمد</w:t>
      </w:r>
      <w:r w:rsidRPr="00545ABB">
        <w:rPr>
          <w:rFonts w:ascii="Traditional Arabic" w:hAnsi="Traditional Arabic" w:cs="Traditional Arabic"/>
          <w:b/>
          <w:bCs/>
          <w:color w:val="000000" w:themeColor="text1"/>
        </w:rPr>
        <w:t xml:space="preserve">. (2020). </w:t>
      </w:r>
      <w:r w:rsidRPr="00545ABB">
        <w:rPr>
          <w:rStyle w:val="Emphasis"/>
          <w:rFonts w:ascii="Traditional Arabic" w:hAnsi="Traditional Arabic" w:cs="Traditional Arabic"/>
          <w:b/>
          <w:bCs/>
          <w:color w:val="000000" w:themeColor="text1"/>
          <w:rtl/>
        </w:rPr>
        <w:t>مدخل إلى الأمن السيبراني</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دار زهران للنشر والتوزيع، عمّان</w:t>
      </w:r>
      <w:r w:rsidRPr="00545ABB">
        <w:rPr>
          <w:rFonts w:ascii="Traditional Arabic" w:hAnsi="Traditional Arabic" w:cs="Traditional Arabic"/>
          <w:b/>
          <w:bCs/>
          <w:color w:val="000000" w:themeColor="text1"/>
        </w:rPr>
        <w:t>.</w:t>
      </w:r>
    </w:p>
    <w:p w14:paraId="347058E2"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[25] </w:t>
      </w:r>
      <w:r w:rsidRPr="00545ABB">
        <w:rPr>
          <w:rFonts w:ascii="Traditional Arabic" w:hAnsi="Traditional Arabic" w:cs="Traditional Arabic"/>
          <w:b/>
          <w:bCs/>
          <w:color w:val="000000" w:themeColor="text1"/>
          <w:rtl/>
        </w:rPr>
        <w:t>غسان، محمود. (2019). الأمن السيبراني وإدارة مخاطره في مجال الأعمال</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موقع الغد</w:t>
      </w:r>
      <w:r w:rsidRPr="00545ABB">
        <w:rPr>
          <w:rFonts w:ascii="Traditional Arabic" w:hAnsi="Traditional Arabic" w:cs="Traditional Arabic"/>
          <w:b/>
          <w:bCs/>
          <w:color w:val="000000" w:themeColor="text1"/>
        </w:rPr>
        <w:t>.</w:t>
      </w:r>
    </w:p>
    <w:p w14:paraId="550EAA65"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[26] </w:t>
      </w:r>
      <w:r w:rsidRPr="00545ABB">
        <w:rPr>
          <w:rFonts w:ascii="Traditional Arabic" w:hAnsi="Traditional Arabic" w:cs="Traditional Arabic"/>
          <w:b/>
          <w:bCs/>
          <w:color w:val="000000" w:themeColor="text1"/>
          <w:rtl/>
        </w:rPr>
        <w:t>غضبان، حسام الدين</w:t>
      </w:r>
      <w:r w:rsidRPr="00545ABB">
        <w:rPr>
          <w:rFonts w:ascii="Traditional Arabic" w:hAnsi="Traditional Arabic" w:cs="Traditional Arabic"/>
          <w:b/>
          <w:bCs/>
          <w:color w:val="000000" w:themeColor="text1"/>
        </w:rPr>
        <w:t xml:space="preserve">. (2015). </w:t>
      </w:r>
      <w:r w:rsidRPr="00545ABB">
        <w:rPr>
          <w:rStyle w:val="Emphasis"/>
          <w:rFonts w:ascii="Traditional Arabic" w:hAnsi="Traditional Arabic" w:cs="Traditional Arabic"/>
          <w:b/>
          <w:bCs/>
          <w:color w:val="000000" w:themeColor="text1"/>
          <w:rtl/>
        </w:rPr>
        <w:t>محاضرات في نظرية الحوكمة</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دار الحامد للنشر والتوزيع، عمّان</w:t>
      </w:r>
      <w:r w:rsidRPr="00545ABB">
        <w:rPr>
          <w:rFonts w:ascii="Traditional Arabic" w:hAnsi="Traditional Arabic" w:cs="Traditional Arabic"/>
          <w:b/>
          <w:bCs/>
          <w:color w:val="000000" w:themeColor="text1"/>
        </w:rPr>
        <w:t>.</w:t>
      </w:r>
    </w:p>
    <w:p w14:paraId="2EABCBCB"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[27] </w:t>
      </w:r>
      <w:r w:rsidRPr="00545ABB">
        <w:rPr>
          <w:rFonts w:ascii="Traditional Arabic" w:hAnsi="Traditional Arabic" w:cs="Traditional Arabic"/>
          <w:b/>
          <w:bCs/>
          <w:color w:val="000000" w:themeColor="text1"/>
          <w:rtl/>
        </w:rPr>
        <w:t>غنيمي، عبير محمد عبد الغني. (2022). العلاقة بين آليات الحوكمة وأداء تقارير الاستدامة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 xml:space="preserve">المجلة العلمية للدراسات التجارية والبيئية، </w:t>
      </w:r>
      <w:r w:rsidRPr="00545ABB">
        <w:rPr>
          <w:rStyle w:val="Emphasis"/>
          <w:rFonts w:ascii="Traditional Arabic" w:hAnsi="Traditional Arabic" w:cs="Traditional Arabic"/>
          <w:b/>
          <w:bCs/>
          <w:color w:val="000000" w:themeColor="text1"/>
        </w:rPr>
        <w:t>13</w:t>
      </w:r>
      <w:r w:rsidRPr="00545ABB">
        <w:rPr>
          <w:rFonts w:ascii="Traditional Arabic" w:hAnsi="Traditional Arabic" w:cs="Traditional Arabic"/>
          <w:b/>
          <w:bCs/>
          <w:color w:val="000000" w:themeColor="text1"/>
        </w:rPr>
        <w:t>(3).</w:t>
      </w:r>
    </w:p>
    <w:p w14:paraId="0FB60231"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[28] </w:t>
      </w:r>
      <w:r w:rsidRPr="00545ABB">
        <w:rPr>
          <w:rFonts w:ascii="Traditional Arabic" w:hAnsi="Traditional Arabic" w:cs="Traditional Arabic"/>
          <w:b/>
          <w:bCs/>
          <w:color w:val="000000" w:themeColor="text1"/>
          <w:rtl/>
        </w:rPr>
        <w:t>فتوح، وسام حسن. (2021). الأمن السيبراني في المنطقة العربية: توعية المصارف والمؤسسات المالية لاتباع المعايير العالمية</w:t>
      </w:r>
      <w:r w:rsidRPr="00545ABB">
        <w:rPr>
          <w:rFonts w:ascii="Traditional Arabic" w:hAnsi="Traditional Arabic" w:cs="Traditional Arabic"/>
          <w:b/>
          <w:bCs/>
          <w:color w:val="000000" w:themeColor="text1"/>
        </w:rPr>
        <w:t xml:space="preserve">. </w:t>
      </w:r>
      <w:r w:rsidRPr="00545ABB">
        <w:rPr>
          <w:rStyle w:val="Emphasis"/>
          <w:rFonts w:ascii="Traditional Arabic" w:hAnsi="Traditional Arabic" w:cs="Traditional Arabic"/>
          <w:b/>
          <w:bCs/>
          <w:color w:val="000000" w:themeColor="text1"/>
          <w:rtl/>
        </w:rPr>
        <w:t>مجلة اتحاد المصارف العربية</w:t>
      </w:r>
      <w:r w:rsidRPr="00545ABB">
        <w:rPr>
          <w:rFonts w:ascii="Traditional Arabic" w:hAnsi="Traditional Arabic" w:cs="Traditional Arabic"/>
          <w:b/>
          <w:bCs/>
          <w:color w:val="000000" w:themeColor="text1"/>
          <w:rtl/>
        </w:rPr>
        <w:t xml:space="preserve">، العدد </w:t>
      </w:r>
      <w:r w:rsidRPr="00545ABB">
        <w:rPr>
          <w:rFonts w:ascii="Traditional Arabic" w:hAnsi="Traditional Arabic" w:cs="Traditional Arabic"/>
          <w:b/>
          <w:bCs/>
          <w:color w:val="000000" w:themeColor="text1"/>
        </w:rPr>
        <w:t>490.</w:t>
      </w:r>
    </w:p>
    <w:p w14:paraId="547EC44D"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[29] </w:t>
      </w:r>
      <w:r w:rsidRPr="00545ABB">
        <w:rPr>
          <w:rFonts w:ascii="Traditional Arabic" w:hAnsi="Traditional Arabic" w:cs="Traditional Arabic"/>
          <w:b/>
          <w:bCs/>
          <w:color w:val="000000" w:themeColor="text1"/>
          <w:rtl/>
        </w:rPr>
        <w:t>قنديل، أماني</w:t>
      </w:r>
      <w:r w:rsidRPr="00545ABB">
        <w:rPr>
          <w:rFonts w:ascii="Traditional Arabic" w:hAnsi="Traditional Arabic" w:cs="Traditional Arabic"/>
          <w:b/>
          <w:bCs/>
          <w:color w:val="000000" w:themeColor="text1"/>
        </w:rPr>
        <w:t xml:space="preserve">. (2008). </w:t>
      </w:r>
      <w:r w:rsidRPr="00545ABB">
        <w:rPr>
          <w:rStyle w:val="Emphasis"/>
          <w:rFonts w:ascii="Traditional Arabic" w:hAnsi="Traditional Arabic" w:cs="Traditional Arabic"/>
          <w:b/>
          <w:bCs/>
          <w:color w:val="000000" w:themeColor="text1"/>
          <w:rtl/>
        </w:rPr>
        <w:t>المؤسسة العربية للمجتمع المدني</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الهيئة المصرية العامة للكتاب، القاهرة</w:t>
      </w:r>
      <w:r w:rsidRPr="00545ABB">
        <w:rPr>
          <w:rFonts w:ascii="Traditional Arabic" w:hAnsi="Traditional Arabic" w:cs="Traditional Arabic"/>
          <w:b/>
          <w:bCs/>
          <w:color w:val="000000" w:themeColor="text1"/>
        </w:rPr>
        <w:t>.</w:t>
      </w:r>
    </w:p>
    <w:p w14:paraId="1E3DA826"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[30] </w:t>
      </w:r>
      <w:r w:rsidRPr="00545ABB">
        <w:rPr>
          <w:rFonts w:ascii="Traditional Arabic" w:hAnsi="Traditional Arabic" w:cs="Traditional Arabic"/>
          <w:b/>
          <w:bCs/>
          <w:color w:val="000000" w:themeColor="text1"/>
          <w:rtl/>
        </w:rPr>
        <w:t>الكايد، زهير عبد الكريم</w:t>
      </w:r>
      <w:r w:rsidRPr="00545ABB">
        <w:rPr>
          <w:rFonts w:ascii="Traditional Arabic" w:hAnsi="Traditional Arabic" w:cs="Traditional Arabic"/>
          <w:b/>
          <w:bCs/>
          <w:color w:val="000000" w:themeColor="text1"/>
        </w:rPr>
        <w:t xml:space="preserve">. (2003). </w:t>
      </w:r>
      <w:r w:rsidRPr="00545ABB">
        <w:rPr>
          <w:rStyle w:val="Emphasis"/>
          <w:rFonts w:ascii="Traditional Arabic" w:hAnsi="Traditional Arabic" w:cs="Traditional Arabic"/>
          <w:b/>
          <w:bCs/>
          <w:color w:val="000000" w:themeColor="text1"/>
          <w:rtl/>
        </w:rPr>
        <w:t>الحوكمة</w:t>
      </w:r>
      <w:r w:rsidRPr="00545ABB">
        <w:rPr>
          <w:rStyle w:val="Emphasis"/>
          <w:rFonts w:ascii="Traditional Arabic" w:hAnsi="Traditional Arabic" w:cs="Traditional Arabic"/>
          <w:b/>
          <w:bCs/>
          <w:color w:val="000000" w:themeColor="text1"/>
        </w:rPr>
        <w:t xml:space="preserve"> (Governance): </w:t>
      </w:r>
      <w:r w:rsidRPr="00545ABB">
        <w:rPr>
          <w:rStyle w:val="Emphasis"/>
          <w:rFonts w:ascii="Traditional Arabic" w:hAnsi="Traditional Arabic" w:cs="Traditional Arabic"/>
          <w:b/>
          <w:bCs/>
          <w:color w:val="000000" w:themeColor="text1"/>
          <w:rtl/>
        </w:rPr>
        <w:t>قضايا وتطبيقات</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المنظمة العربية للتنمية الإدارية</w:t>
      </w:r>
      <w:r w:rsidRPr="00545ABB">
        <w:rPr>
          <w:rFonts w:ascii="Traditional Arabic" w:hAnsi="Traditional Arabic" w:cs="Traditional Arabic"/>
          <w:b/>
          <w:bCs/>
          <w:color w:val="000000" w:themeColor="text1"/>
        </w:rPr>
        <w:t>.</w:t>
      </w:r>
    </w:p>
    <w:p w14:paraId="3E687C0B"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[31] </w:t>
      </w:r>
      <w:r w:rsidRPr="00545ABB">
        <w:rPr>
          <w:rFonts w:ascii="Traditional Arabic" w:hAnsi="Traditional Arabic" w:cs="Traditional Arabic"/>
          <w:b/>
          <w:bCs/>
          <w:color w:val="000000" w:themeColor="text1"/>
          <w:rtl/>
        </w:rPr>
        <w:t>يوسف، محمد حسن</w:t>
      </w:r>
      <w:r w:rsidRPr="00545ABB">
        <w:rPr>
          <w:rFonts w:ascii="Traditional Arabic" w:hAnsi="Traditional Arabic" w:cs="Traditional Arabic"/>
          <w:b/>
          <w:bCs/>
          <w:color w:val="000000" w:themeColor="text1"/>
        </w:rPr>
        <w:t xml:space="preserve">. (2007). </w:t>
      </w:r>
      <w:r w:rsidRPr="00545ABB">
        <w:rPr>
          <w:rStyle w:val="Emphasis"/>
          <w:rFonts w:ascii="Traditional Arabic" w:hAnsi="Traditional Arabic" w:cs="Traditional Arabic"/>
          <w:b/>
          <w:bCs/>
          <w:color w:val="000000" w:themeColor="text1"/>
          <w:rtl/>
        </w:rPr>
        <w:t>محددات الحوكمة ومعاييرها مع إشارة خاصة لنمط تطبيقها في مصر</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بنك الاستثمار القومي، القاهرة</w:t>
      </w:r>
      <w:r w:rsidRPr="00545ABB">
        <w:rPr>
          <w:rFonts w:ascii="Traditional Arabic" w:hAnsi="Traditional Arabic" w:cs="Traditional Arabic"/>
          <w:b/>
          <w:bCs/>
          <w:color w:val="000000" w:themeColor="text1"/>
        </w:rPr>
        <w:t>.</w:t>
      </w:r>
    </w:p>
    <w:p w14:paraId="496B7B5A"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lastRenderedPageBreak/>
        <w:t xml:space="preserve">[32] </w:t>
      </w:r>
      <w:r w:rsidRPr="00545ABB">
        <w:rPr>
          <w:rFonts w:ascii="Traditional Arabic" w:hAnsi="Traditional Arabic" w:cs="Traditional Arabic"/>
          <w:b/>
          <w:bCs/>
          <w:color w:val="000000" w:themeColor="text1"/>
          <w:rtl/>
        </w:rPr>
        <w:t>مركز أبوظبي للحوكمة</w:t>
      </w:r>
      <w:r w:rsidRPr="00545ABB">
        <w:rPr>
          <w:rFonts w:ascii="Traditional Arabic" w:hAnsi="Traditional Arabic" w:cs="Traditional Arabic"/>
          <w:b/>
          <w:bCs/>
          <w:color w:val="000000" w:themeColor="text1"/>
        </w:rPr>
        <w:t xml:space="preserve">. (2013). </w:t>
      </w:r>
      <w:r w:rsidRPr="00545ABB">
        <w:rPr>
          <w:rStyle w:val="Emphasis"/>
          <w:rFonts w:ascii="Traditional Arabic" w:hAnsi="Traditional Arabic" w:cs="Traditional Arabic"/>
          <w:b/>
          <w:bCs/>
          <w:color w:val="000000" w:themeColor="text1"/>
          <w:rtl/>
        </w:rPr>
        <w:t>أساسيات الحوكمة: مصطلحات ومفاهيم</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مركز أبوظبي للحوكمة</w:t>
      </w:r>
      <w:r w:rsidRPr="00545ABB">
        <w:rPr>
          <w:rFonts w:ascii="Traditional Arabic" w:hAnsi="Traditional Arabic" w:cs="Traditional Arabic"/>
          <w:b/>
          <w:bCs/>
          <w:color w:val="000000" w:themeColor="text1"/>
        </w:rPr>
        <w:t>.</w:t>
      </w:r>
    </w:p>
    <w:p w14:paraId="3B67FEDE"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[33] </w:t>
      </w:r>
      <w:r w:rsidRPr="00545ABB">
        <w:rPr>
          <w:rFonts w:ascii="Traditional Arabic" w:hAnsi="Traditional Arabic" w:cs="Traditional Arabic"/>
          <w:b/>
          <w:bCs/>
          <w:color w:val="000000" w:themeColor="text1"/>
          <w:rtl/>
        </w:rPr>
        <w:t xml:space="preserve">المنيع، الجوهرة بنت عبد الرحمن. (2022). متطلبات تحقيق الأمن السيبراني في الجامعات السعودية في ضوء رؤية المملكة </w:t>
      </w:r>
      <w:r w:rsidRPr="00545ABB">
        <w:rPr>
          <w:rFonts w:ascii="Traditional Arabic" w:hAnsi="Traditional Arabic" w:cs="Traditional Arabic"/>
          <w:b/>
          <w:bCs/>
          <w:color w:val="000000" w:themeColor="text1"/>
        </w:rPr>
        <w:t xml:space="preserve">2030. </w:t>
      </w:r>
      <w:r w:rsidRPr="00545ABB">
        <w:rPr>
          <w:rStyle w:val="Emphasis"/>
          <w:rFonts w:ascii="Traditional Arabic" w:hAnsi="Traditional Arabic" w:cs="Traditional Arabic"/>
          <w:b/>
          <w:bCs/>
          <w:color w:val="000000" w:themeColor="text1"/>
          <w:rtl/>
        </w:rPr>
        <w:t xml:space="preserve">مجلة كلية التربية، </w:t>
      </w:r>
      <w:r w:rsidRPr="00545ABB">
        <w:rPr>
          <w:rStyle w:val="Emphasis"/>
          <w:rFonts w:ascii="Traditional Arabic" w:hAnsi="Traditional Arabic" w:cs="Traditional Arabic"/>
          <w:b/>
          <w:bCs/>
          <w:color w:val="000000" w:themeColor="text1"/>
        </w:rPr>
        <w:t>38</w:t>
      </w:r>
      <w:r w:rsidRPr="00545ABB">
        <w:rPr>
          <w:rFonts w:ascii="Traditional Arabic" w:hAnsi="Traditional Arabic" w:cs="Traditional Arabic"/>
          <w:b/>
          <w:bCs/>
          <w:color w:val="000000" w:themeColor="text1"/>
        </w:rPr>
        <w:t>(1).</w:t>
      </w:r>
    </w:p>
    <w:p w14:paraId="1FA955F4"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[34] </w:t>
      </w:r>
      <w:r w:rsidRPr="00545ABB">
        <w:rPr>
          <w:rFonts w:ascii="Traditional Arabic" w:hAnsi="Traditional Arabic" w:cs="Traditional Arabic"/>
          <w:b/>
          <w:bCs/>
          <w:color w:val="000000" w:themeColor="text1"/>
          <w:rtl/>
        </w:rPr>
        <w:t xml:space="preserve">المنيع، نوره بنت منيع بن عبد الكريم، والخنيزان، تهاني بنت محمد بن ناصر. (2017). حوكمة الجامعات الحكومية لتحقيق رؤية المملكة العربية السعودية </w:t>
      </w:r>
      <w:r w:rsidRPr="00545ABB">
        <w:rPr>
          <w:rFonts w:ascii="Traditional Arabic" w:hAnsi="Traditional Arabic" w:cs="Traditional Arabic"/>
          <w:b/>
          <w:bCs/>
          <w:color w:val="000000" w:themeColor="text1"/>
        </w:rPr>
        <w:t xml:space="preserve">2030. </w:t>
      </w:r>
      <w:r w:rsidRPr="00545ABB">
        <w:rPr>
          <w:rStyle w:val="Emphasis"/>
          <w:rFonts w:ascii="Traditional Arabic" w:hAnsi="Traditional Arabic" w:cs="Traditional Arabic"/>
          <w:b/>
          <w:bCs/>
          <w:color w:val="000000" w:themeColor="text1"/>
          <w:rtl/>
        </w:rPr>
        <w:t xml:space="preserve">مؤتمر دور الجامعات السعودية في تفعيل رؤية المملكة </w:t>
      </w:r>
      <w:r w:rsidRPr="00545ABB">
        <w:rPr>
          <w:rStyle w:val="Emphasis"/>
          <w:rFonts w:ascii="Traditional Arabic" w:hAnsi="Traditional Arabic" w:cs="Traditional Arabic"/>
          <w:b/>
          <w:bCs/>
          <w:color w:val="000000" w:themeColor="text1"/>
        </w:rPr>
        <w:t>2030</w:t>
      </w:r>
      <w:r w:rsidRPr="00545ABB">
        <w:rPr>
          <w:rFonts w:ascii="Traditional Arabic" w:hAnsi="Traditional Arabic" w:cs="Traditional Arabic"/>
          <w:b/>
          <w:bCs/>
          <w:color w:val="000000" w:themeColor="text1"/>
          <w:rtl/>
        </w:rPr>
        <w:t>، جامعة القصيم</w:t>
      </w:r>
      <w:r w:rsidRPr="00545ABB">
        <w:rPr>
          <w:rFonts w:ascii="Traditional Arabic" w:hAnsi="Traditional Arabic" w:cs="Traditional Arabic"/>
          <w:b/>
          <w:bCs/>
          <w:color w:val="000000" w:themeColor="text1"/>
        </w:rPr>
        <w:t>.</w:t>
      </w:r>
    </w:p>
    <w:p w14:paraId="3E533A2C"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[35] </w:t>
      </w:r>
      <w:r w:rsidRPr="00545ABB">
        <w:rPr>
          <w:rFonts w:ascii="Traditional Arabic" w:hAnsi="Traditional Arabic" w:cs="Traditional Arabic"/>
          <w:b/>
          <w:bCs/>
          <w:color w:val="000000" w:themeColor="text1"/>
          <w:rtl/>
        </w:rPr>
        <w:t>النوباني، خولة فريز، وصدقي، عبد الله</w:t>
      </w:r>
      <w:r w:rsidRPr="00545ABB">
        <w:rPr>
          <w:rFonts w:ascii="Traditional Arabic" w:hAnsi="Traditional Arabic" w:cs="Traditional Arabic"/>
          <w:b/>
          <w:bCs/>
          <w:color w:val="000000" w:themeColor="text1"/>
        </w:rPr>
        <w:t xml:space="preserve">. (2016). </w:t>
      </w:r>
      <w:r w:rsidRPr="00545ABB">
        <w:rPr>
          <w:rStyle w:val="Emphasis"/>
          <w:rFonts w:ascii="Traditional Arabic" w:hAnsi="Traditional Arabic" w:cs="Traditional Arabic"/>
          <w:b/>
          <w:bCs/>
          <w:color w:val="000000" w:themeColor="text1"/>
          <w:rtl/>
        </w:rPr>
        <w:t>حوكمة المؤسسات المالية</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جامعة الإمام محمد بن سعود الإسلامية</w:t>
      </w:r>
      <w:r w:rsidRPr="00545ABB">
        <w:rPr>
          <w:rFonts w:ascii="Traditional Arabic" w:hAnsi="Traditional Arabic" w:cs="Traditional Arabic"/>
          <w:b/>
          <w:bCs/>
          <w:color w:val="000000" w:themeColor="text1"/>
        </w:rPr>
        <w:t>.</w:t>
      </w:r>
    </w:p>
    <w:p w14:paraId="19EB7D3B"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[36] </w:t>
      </w:r>
      <w:r w:rsidRPr="00545ABB">
        <w:rPr>
          <w:rFonts w:ascii="Traditional Arabic" w:hAnsi="Traditional Arabic" w:cs="Traditional Arabic"/>
          <w:b/>
          <w:bCs/>
          <w:color w:val="000000" w:themeColor="text1"/>
          <w:rtl/>
        </w:rPr>
        <w:t>الهلسه، تامر عيسى فائق</w:t>
      </w:r>
      <w:r w:rsidRPr="00545ABB">
        <w:rPr>
          <w:rFonts w:ascii="Traditional Arabic" w:hAnsi="Traditional Arabic" w:cs="Traditional Arabic"/>
          <w:b/>
          <w:bCs/>
          <w:color w:val="000000" w:themeColor="text1"/>
        </w:rPr>
        <w:t xml:space="preserve">. (2021). </w:t>
      </w:r>
      <w:r w:rsidRPr="00545ABB">
        <w:rPr>
          <w:rStyle w:val="Emphasis"/>
          <w:rFonts w:ascii="Traditional Arabic" w:hAnsi="Traditional Arabic" w:cs="Traditional Arabic"/>
          <w:b/>
          <w:bCs/>
          <w:color w:val="000000" w:themeColor="text1"/>
          <w:rtl/>
        </w:rPr>
        <w:t xml:space="preserve">أثر مقومات الأمن السيبراني في خصائص المعلومات المحاسبية: الدور المعدل لإطار </w:t>
      </w:r>
      <w:r w:rsidRPr="00545ABB">
        <w:rPr>
          <w:rStyle w:val="Emphasis"/>
          <w:rFonts w:ascii="Traditional Arabic" w:hAnsi="Traditional Arabic" w:cs="Traditional Arabic"/>
          <w:b/>
          <w:bCs/>
          <w:color w:val="000000" w:themeColor="text1"/>
        </w:rPr>
        <w:t>COBIT 2019</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رسالة دكتوراه]. جامعة العلوم الإسلامية العالمية، الأردن</w:t>
      </w:r>
      <w:r w:rsidRPr="00545ABB">
        <w:rPr>
          <w:rFonts w:ascii="Traditional Arabic" w:hAnsi="Traditional Arabic" w:cs="Traditional Arabic"/>
          <w:b/>
          <w:bCs/>
          <w:color w:val="000000" w:themeColor="text1"/>
        </w:rPr>
        <w:t>.</w:t>
      </w:r>
    </w:p>
    <w:p w14:paraId="7A3012B4" w14:textId="77777777" w:rsidR="00ED4FB3" w:rsidRPr="00545ABB" w:rsidRDefault="00ED4FB3" w:rsidP="00ED4FB3">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Pr>
        <w:pict w14:anchorId="480EC2F3">
          <v:rect id="_x0000_i1175" style="width:0;height:1.5pt" o:hralign="center" o:hrstd="t" o:hr="t" fillcolor="#a0a0a0" stroked="f"/>
        </w:pict>
      </w:r>
    </w:p>
    <w:p w14:paraId="214A6E2A" w14:textId="77777777" w:rsidR="00ED4FB3" w:rsidRPr="00545ABB" w:rsidRDefault="00ED4FB3" w:rsidP="00ED4FB3">
      <w:pPr>
        <w:pStyle w:val="Heading1"/>
        <w:bidi/>
        <w:spacing w:line="360" w:lineRule="auto"/>
        <w:rPr>
          <w:rFonts w:ascii="Traditional Arabic" w:hAnsi="Traditional Arabic" w:cs="Traditional Arabic"/>
          <w:b/>
          <w:bCs/>
          <w:color w:val="000000" w:themeColor="text1"/>
          <w:sz w:val="28"/>
          <w:szCs w:val="28"/>
        </w:rPr>
      </w:pPr>
      <w:bookmarkStart w:id="166" w:name="_Toc242325314"/>
      <w:r w:rsidRPr="00545ABB">
        <w:rPr>
          <w:rFonts w:ascii="Traditional Arabic" w:hAnsi="Traditional Arabic" w:cs="Traditional Arabic"/>
          <w:b/>
          <w:bCs/>
          <w:color w:val="000000" w:themeColor="text1"/>
          <w:sz w:val="28"/>
          <w:szCs w:val="28"/>
          <w:rtl/>
        </w:rPr>
        <w:t>ثانيًا: المراجع الأجنبية</w:t>
      </w:r>
      <w:bookmarkEnd w:id="166"/>
    </w:p>
    <w:p w14:paraId="3F7114F4"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[37] Aditya, B. R., Hartanto, R., &amp; Nugroho, E. L. (2018). The role of IT audit in the era of digital transformation. </w:t>
      </w:r>
      <w:r w:rsidRPr="00545ABB">
        <w:rPr>
          <w:rStyle w:val="Emphasis"/>
          <w:rFonts w:asciiTheme="majorBidi" w:hAnsiTheme="majorBidi" w:cstheme="majorBidi"/>
          <w:b/>
          <w:bCs/>
          <w:color w:val="000000" w:themeColor="text1"/>
        </w:rPr>
        <w:t>IOP Conference Series: Materials Science and Engineering, 407</w:t>
      </w:r>
      <w:r w:rsidRPr="00545ABB">
        <w:rPr>
          <w:rFonts w:asciiTheme="majorBidi" w:hAnsiTheme="majorBidi" w:cstheme="majorBidi"/>
          <w:b/>
          <w:bCs/>
          <w:color w:val="000000" w:themeColor="text1"/>
        </w:rPr>
        <w:t>, 012164.</w:t>
      </w:r>
    </w:p>
    <w:p w14:paraId="703DAA5B"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[38] Alqahtani, A. Y. (2022). Investigation of startups’ sustainability: Empirical evidence from Saudi Arabia. </w:t>
      </w:r>
      <w:r w:rsidRPr="00545ABB">
        <w:rPr>
          <w:rStyle w:val="Emphasis"/>
          <w:rFonts w:asciiTheme="majorBidi" w:hAnsiTheme="majorBidi" w:cstheme="majorBidi"/>
          <w:b/>
          <w:bCs/>
          <w:color w:val="000000" w:themeColor="text1"/>
        </w:rPr>
        <w:t>Entrepreneurship and Sustainability Issues, 10</w:t>
      </w:r>
      <w:r w:rsidRPr="00545ABB">
        <w:rPr>
          <w:rFonts w:asciiTheme="majorBidi" w:hAnsiTheme="majorBidi" w:cstheme="majorBidi"/>
          <w:b/>
          <w:bCs/>
          <w:color w:val="000000" w:themeColor="text1"/>
        </w:rPr>
        <w:t xml:space="preserve">(1), 107–131. </w:t>
      </w:r>
      <w:hyperlink r:id="rId32" w:history="1">
        <w:r w:rsidRPr="00545ABB">
          <w:rPr>
            <w:rStyle w:val="Hyperlink"/>
            <w:rFonts w:asciiTheme="majorBidi" w:hAnsiTheme="majorBidi" w:cstheme="majorBidi"/>
            <w:b/>
            <w:bCs/>
            <w:color w:val="000000" w:themeColor="text1"/>
          </w:rPr>
          <w:t>https://doi.org/10.9770/jesi.2022.10.1(6)</w:t>
        </w:r>
      </w:hyperlink>
    </w:p>
    <w:p w14:paraId="08BD5D79"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[39] Al-Shehri, A., Al-Jasser, F., &amp; Al-Shammari, M. (2019). Cybersecurity in the Kingdom of Saudi Arabia: Current challenges and future directions. </w:t>
      </w:r>
      <w:r w:rsidRPr="00545ABB">
        <w:rPr>
          <w:rStyle w:val="Emphasis"/>
          <w:rFonts w:asciiTheme="majorBidi" w:hAnsiTheme="majorBidi" w:cstheme="majorBidi"/>
          <w:b/>
          <w:bCs/>
          <w:color w:val="000000" w:themeColor="text1"/>
        </w:rPr>
        <w:t>International Journal of Cyber Criminology, 13</w:t>
      </w:r>
      <w:r w:rsidRPr="00545ABB">
        <w:rPr>
          <w:rFonts w:asciiTheme="majorBidi" w:hAnsiTheme="majorBidi" w:cstheme="majorBidi"/>
          <w:b/>
          <w:bCs/>
          <w:color w:val="000000" w:themeColor="text1"/>
        </w:rPr>
        <w:t>(1), 11–26.</w:t>
      </w:r>
    </w:p>
    <w:p w14:paraId="63B79A89"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[40] Bodeau, D., Boyle, S., &amp; Fabius-Greene, J. (2010). </w:t>
      </w:r>
      <w:r w:rsidRPr="00545ABB">
        <w:rPr>
          <w:rStyle w:val="Emphasis"/>
          <w:rFonts w:asciiTheme="majorBidi" w:hAnsiTheme="majorBidi" w:cstheme="majorBidi"/>
          <w:b/>
          <w:bCs/>
          <w:color w:val="000000" w:themeColor="text1"/>
        </w:rPr>
        <w:t>Cyber Prep 2.0: Motivating organizational cyber strategies in terms of threat preparedness</w:t>
      </w:r>
      <w:r w:rsidRPr="00545ABB">
        <w:rPr>
          <w:rFonts w:asciiTheme="majorBidi" w:hAnsiTheme="majorBidi" w:cstheme="majorBidi"/>
          <w:b/>
          <w:bCs/>
          <w:color w:val="000000" w:themeColor="text1"/>
        </w:rPr>
        <w:t>. The MITRE Corporation.</w:t>
      </w:r>
    </w:p>
    <w:p w14:paraId="15B060B9"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lastRenderedPageBreak/>
        <w:t xml:space="preserve">[41] Carnovale, S., &amp; Yeniyurt, S. (2021). </w:t>
      </w:r>
      <w:r w:rsidRPr="00545ABB">
        <w:rPr>
          <w:rStyle w:val="Emphasis"/>
          <w:rFonts w:asciiTheme="majorBidi" w:hAnsiTheme="majorBidi" w:cstheme="majorBidi"/>
          <w:b/>
          <w:bCs/>
          <w:color w:val="000000" w:themeColor="text1"/>
        </w:rPr>
        <w:t>Cybersecurity and supply chain management: Risks, challenges, and solutions</w:t>
      </w:r>
      <w:r w:rsidRPr="00545ABB">
        <w:rPr>
          <w:rFonts w:asciiTheme="majorBidi" w:hAnsiTheme="majorBidi" w:cstheme="majorBidi"/>
          <w:b/>
          <w:bCs/>
          <w:color w:val="000000" w:themeColor="text1"/>
        </w:rPr>
        <w:t>. World Scientific.</w:t>
      </w:r>
    </w:p>
    <w:p w14:paraId="2A7B62B7"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[42] de Villiers, C., Kuruppu, S., &amp; Dissanayake, D. (2022). A review of corporate sustainability research: Trends and future directions. </w:t>
      </w:r>
      <w:r w:rsidRPr="00545ABB">
        <w:rPr>
          <w:rStyle w:val="Emphasis"/>
          <w:rFonts w:asciiTheme="majorBidi" w:hAnsiTheme="majorBidi" w:cstheme="majorBidi"/>
          <w:b/>
          <w:bCs/>
          <w:color w:val="000000" w:themeColor="text1"/>
        </w:rPr>
        <w:t>Journal of Business Ethics, 176</w:t>
      </w:r>
      <w:r w:rsidRPr="00545ABB">
        <w:rPr>
          <w:rFonts w:asciiTheme="majorBidi" w:hAnsiTheme="majorBidi" w:cstheme="majorBidi"/>
          <w:b/>
          <w:bCs/>
          <w:color w:val="000000" w:themeColor="text1"/>
        </w:rPr>
        <w:t>, 1–21.</w:t>
      </w:r>
    </w:p>
    <w:p w14:paraId="5A86C139"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[43] Deloitte. (2020). </w:t>
      </w:r>
      <w:r w:rsidRPr="00545ABB">
        <w:rPr>
          <w:rStyle w:val="Emphasis"/>
          <w:rFonts w:asciiTheme="majorBidi" w:hAnsiTheme="majorBidi" w:cstheme="majorBidi"/>
          <w:b/>
          <w:bCs/>
          <w:color w:val="000000" w:themeColor="text1"/>
        </w:rPr>
        <w:t>Accounting considerations related to Coronavirus Disease 2019</w:t>
      </w:r>
      <w:r w:rsidRPr="00545ABB">
        <w:rPr>
          <w:rFonts w:asciiTheme="majorBidi" w:hAnsiTheme="majorBidi" w:cstheme="majorBidi"/>
          <w:b/>
          <w:bCs/>
          <w:color w:val="000000" w:themeColor="text1"/>
        </w:rPr>
        <w:t>. Deloitte.</w:t>
      </w:r>
    </w:p>
    <w:p w14:paraId="7EAF9121"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[44] Ferreyra, A., &amp; Jahan, S. (2006). </w:t>
      </w:r>
      <w:r w:rsidRPr="00545ABB">
        <w:rPr>
          <w:rStyle w:val="Emphasis"/>
          <w:rFonts w:asciiTheme="majorBidi" w:hAnsiTheme="majorBidi" w:cstheme="majorBidi"/>
          <w:b/>
          <w:bCs/>
          <w:color w:val="000000" w:themeColor="text1"/>
        </w:rPr>
        <w:t>Governance for the future: Democracy and development in the least developed countries</w:t>
      </w:r>
      <w:r w:rsidRPr="00545ABB">
        <w:rPr>
          <w:rFonts w:asciiTheme="majorBidi" w:hAnsiTheme="majorBidi" w:cstheme="majorBidi"/>
          <w:b/>
          <w:bCs/>
          <w:color w:val="000000" w:themeColor="text1"/>
        </w:rPr>
        <w:t>. United Nations Development Programme.</w:t>
      </w:r>
    </w:p>
    <w:p w14:paraId="305F8EA2"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[45] Gae, D. (2019). C’est quoi une start-up? </w:t>
      </w:r>
      <w:r w:rsidRPr="00545ABB">
        <w:rPr>
          <w:rStyle w:val="Emphasis"/>
          <w:rFonts w:asciiTheme="majorBidi" w:hAnsiTheme="majorBidi" w:cstheme="majorBidi"/>
          <w:b/>
          <w:bCs/>
          <w:color w:val="000000" w:themeColor="text1"/>
        </w:rPr>
        <w:t>Wydden</w:t>
      </w:r>
      <w:r w:rsidRPr="00545ABB">
        <w:rPr>
          <w:rFonts w:asciiTheme="majorBidi" w:hAnsiTheme="majorBidi" w:cstheme="majorBidi"/>
          <w:b/>
          <w:bCs/>
          <w:color w:val="000000" w:themeColor="text1"/>
        </w:rPr>
        <w:t>.</w:t>
      </w:r>
    </w:p>
    <w:p w14:paraId="5CEFA934"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[46] Gelling, L., &amp; Engward, H. (2015). Planning a research project. </w:t>
      </w:r>
      <w:r w:rsidRPr="00545ABB">
        <w:rPr>
          <w:rStyle w:val="Emphasis"/>
          <w:rFonts w:asciiTheme="majorBidi" w:hAnsiTheme="majorBidi" w:cstheme="majorBidi"/>
          <w:b/>
          <w:bCs/>
          <w:color w:val="000000" w:themeColor="text1"/>
        </w:rPr>
        <w:t>Nursing Standard, 29</w:t>
      </w:r>
      <w:r w:rsidRPr="00545ABB">
        <w:rPr>
          <w:rFonts w:asciiTheme="majorBidi" w:hAnsiTheme="majorBidi" w:cstheme="majorBidi"/>
          <w:b/>
          <w:bCs/>
          <w:color w:val="000000" w:themeColor="text1"/>
        </w:rPr>
        <w:t>(28), 44–48.</w:t>
      </w:r>
    </w:p>
    <w:p w14:paraId="713B0D40"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[47] Gheorghe, M. (2010). Audit methodology for IT governance. </w:t>
      </w:r>
      <w:r w:rsidRPr="00545ABB">
        <w:rPr>
          <w:rStyle w:val="Emphasis"/>
          <w:rFonts w:asciiTheme="majorBidi" w:hAnsiTheme="majorBidi" w:cstheme="majorBidi"/>
          <w:b/>
          <w:bCs/>
          <w:color w:val="000000" w:themeColor="text1"/>
        </w:rPr>
        <w:t>Informatica Economica, 14</w:t>
      </w:r>
      <w:r w:rsidRPr="00545ABB">
        <w:rPr>
          <w:rFonts w:asciiTheme="majorBidi" w:hAnsiTheme="majorBidi" w:cstheme="majorBidi"/>
          <w:b/>
          <w:bCs/>
          <w:color w:val="000000" w:themeColor="text1"/>
        </w:rPr>
        <w:t>(1).</w:t>
      </w:r>
    </w:p>
    <w:p w14:paraId="01783688"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[48] González, J. S., &amp; García-Meca, E. (2013). Does corporate governance influence earnings management in Latin American markets? </w:t>
      </w:r>
      <w:r w:rsidRPr="00545ABB">
        <w:rPr>
          <w:rStyle w:val="Emphasis"/>
          <w:rFonts w:asciiTheme="majorBidi" w:hAnsiTheme="majorBidi" w:cstheme="majorBidi"/>
          <w:b/>
          <w:bCs/>
          <w:color w:val="000000" w:themeColor="text1"/>
        </w:rPr>
        <w:t>Journal of Business Ethics, 113</w:t>
      </w:r>
      <w:r w:rsidRPr="00545ABB">
        <w:rPr>
          <w:rFonts w:asciiTheme="majorBidi" w:hAnsiTheme="majorBidi" w:cstheme="majorBidi"/>
          <w:b/>
          <w:bCs/>
          <w:color w:val="000000" w:themeColor="text1"/>
        </w:rPr>
        <w:t>(3).</w:t>
      </w:r>
    </w:p>
    <w:p w14:paraId="7BD0B0A1"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[49] Graham, P. (2012). Startup = growth. </w:t>
      </w:r>
      <w:r w:rsidRPr="00545ABB">
        <w:rPr>
          <w:rStyle w:val="Emphasis"/>
          <w:rFonts w:asciiTheme="majorBidi" w:hAnsiTheme="majorBidi" w:cstheme="majorBidi"/>
          <w:b/>
          <w:bCs/>
          <w:color w:val="000000" w:themeColor="text1"/>
        </w:rPr>
        <w:t>Paul Graham</w:t>
      </w:r>
      <w:r w:rsidRPr="00545ABB">
        <w:rPr>
          <w:rFonts w:asciiTheme="majorBidi" w:hAnsiTheme="majorBidi" w:cstheme="majorBidi"/>
          <w:b/>
          <w:bCs/>
          <w:color w:val="000000" w:themeColor="text1"/>
        </w:rPr>
        <w:t>.</w:t>
      </w:r>
    </w:p>
    <w:p w14:paraId="10151DA8"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[50] Haniffa, R., &amp; Hudaib, M. (2006). Corporate governance structure and performance of Malaysian listed companies. </w:t>
      </w:r>
      <w:r w:rsidRPr="00545ABB">
        <w:rPr>
          <w:rStyle w:val="Emphasis"/>
          <w:rFonts w:asciiTheme="majorBidi" w:hAnsiTheme="majorBidi" w:cstheme="majorBidi"/>
          <w:b/>
          <w:bCs/>
          <w:color w:val="000000" w:themeColor="text1"/>
        </w:rPr>
        <w:t>Journal of Business Finance &amp; Accounting, 33</w:t>
      </w:r>
      <w:r w:rsidRPr="00545ABB">
        <w:rPr>
          <w:rFonts w:asciiTheme="majorBidi" w:hAnsiTheme="majorBidi" w:cstheme="majorBidi"/>
          <w:b/>
          <w:bCs/>
          <w:color w:val="000000" w:themeColor="text1"/>
        </w:rPr>
        <w:t>(7–8).</w:t>
      </w:r>
    </w:p>
    <w:p w14:paraId="151F7D24"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[51] Jiang, W., Lee, P., &amp; Anandarajan, A. (2008). The association between corporate governance and earnings quality: Further evidence using the GOV-score. </w:t>
      </w:r>
      <w:r w:rsidRPr="00545ABB">
        <w:rPr>
          <w:rStyle w:val="Emphasis"/>
          <w:rFonts w:asciiTheme="majorBidi" w:hAnsiTheme="majorBidi" w:cstheme="majorBidi"/>
          <w:b/>
          <w:bCs/>
          <w:color w:val="000000" w:themeColor="text1"/>
        </w:rPr>
        <w:t>Advances in Accounting, 24</w:t>
      </w:r>
      <w:r w:rsidRPr="00545ABB">
        <w:rPr>
          <w:rFonts w:asciiTheme="majorBidi" w:hAnsiTheme="majorBidi" w:cstheme="majorBidi"/>
          <w:b/>
          <w:bCs/>
          <w:color w:val="000000" w:themeColor="text1"/>
        </w:rPr>
        <w:t>(2), 191–201.</w:t>
      </w:r>
    </w:p>
    <w:p w14:paraId="74109003"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[52] Larousse. (n.d.). Start-up. In </w:t>
      </w:r>
      <w:r w:rsidRPr="00545ABB">
        <w:rPr>
          <w:rStyle w:val="Emphasis"/>
          <w:rFonts w:asciiTheme="majorBidi" w:hAnsiTheme="majorBidi" w:cstheme="majorBidi"/>
          <w:b/>
          <w:bCs/>
          <w:color w:val="000000" w:themeColor="text1"/>
        </w:rPr>
        <w:t>Larousse Dictionary</w:t>
      </w:r>
      <w:r w:rsidRPr="00545ABB">
        <w:rPr>
          <w:rFonts w:asciiTheme="majorBidi" w:hAnsiTheme="majorBidi" w:cstheme="majorBidi"/>
          <w:b/>
          <w:bCs/>
          <w:color w:val="000000" w:themeColor="text1"/>
        </w:rPr>
        <w:t>.</w:t>
      </w:r>
    </w:p>
    <w:p w14:paraId="3A71BD4C"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lastRenderedPageBreak/>
        <w:t xml:space="preserve">[53] Lehto, M., &amp; Neittaanmäki, P. (Eds.). (2015). </w:t>
      </w:r>
      <w:r w:rsidRPr="00545ABB">
        <w:rPr>
          <w:rStyle w:val="Emphasis"/>
          <w:rFonts w:asciiTheme="majorBidi" w:hAnsiTheme="majorBidi" w:cstheme="majorBidi"/>
          <w:b/>
          <w:bCs/>
          <w:color w:val="000000" w:themeColor="text1"/>
        </w:rPr>
        <w:t>Cyber security: Analytics, technology and automation</w:t>
      </w:r>
      <w:r w:rsidRPr="00545ABB">
        <w:rPr>
          <w:rFonts w:asciiTheme="majorBidi" w:hAnsiTheme="majorBidi" w:cstheme="majorBidi"/>
          <w:b/>
          <w:bCs/>
          <w:color w:val="000000" w:themeColor="text1"/>
        </w:rPr>
        <w:t xml:space="preserve"> (Vol. 78). Springer.</w:t>
      </w:r>
    </w:p>
    <w:p w14:paraId="3877F057"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[54] Lel, U. (2013). </w:t>
      </w:r>
      <w:r w:rsidRPr="00545ABB">
        <w:rPr>
          <w:rStyle w:val="Emphasis"/>
          <w:rFonts w:asciiTheme="majorBidi" w:hAnsiTheme="majorBidi" w:cstheme="majorBidi"/>
          <w:b/>
          <w:bCs/>
          <w:color w:val="000000" w:themeColor="text1"/>
        </w:rPr>
        <w:t>Can institutional investors restrain earnings management activities in weak investor protection countries?</w:t>
      </w:r>
      <w:r w:rsidRPr="00545ABB">
        <w:rPr>
          <w:rFonts w:asciiTheme="majorBidi" w:hAnsiTheme="majorBidi" w:cstheme="majorBidi"/>
          <w:b/>
          <w:bCs/>
          <w:color w:val="000000" w:themeColor="text1"/>
        </w:rPr>
        <w:t xml:space="preserve"> [Working paper].</w:t>
      </w:r>
    </w:p>
    <w:p w14:paraId="6C4C0A60"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[55] Liew, P. K. (2007). Corporate governance reforms in Malaysia: The key leading players’ perspectives. </w:t>
      </w:r>
      <w:r w:rsidRPr="00545ABB">
        <w:rPr>
          <w:rStyle w:val="Emphasis"/>
          <w:rFonts w:asciiTheme="majorBidi" w:hAnsiTheme="majorBidi" w:cstheme="majorBidi"/>
          <w:b/>
          <w:bCs/>
          <w:color w:val="000000" w:themeColor="text1"/>
        </w:rPr>
        <w:t>Corporate Governance: An International Review, 15</w:t>
      </w:r>
      <w:r w:rsidRPr="00545ABB">
        <w:rPr>
          <w:rFonts w:asciiTheme="majorBidi" w:hAnsiTheme="majorBidi" w:cstheme="majorBidi"/>
          <w:b/>
          <w:bCs/>
          <w:color w:val="000000" w:themeColor="text1"/>
        </w:rPr>
        <w:t>(5).</w:t>
      </w:r>
    </w:p>
    <w:p w14:paraId="3C36FDBC"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[56] Montiel, I., &amp; Delgado-Ceballos, J. (2014). Defining and measuring corporate sustainability: Are we there yet? </w:t>
      </w:r>
      <w:r w:rsidRPr="00545ABB">
        <w:rPr>
          <w:rStyle w:val="Emphasis"/>
          <w:rFonts w:asciiTheme="majorBidi" w:hAnsiTheme="majorBidi" w:cstheme="majorBidi"/>
          <w:b/>
          <w:bCs/>
          <w:color w:val="000000" w:themeColor="text1"/>
        </w:rPr>
        <w:t>Organization &amp; Environment, 27</w:t>
      </w:r>
      <w:r w:rsidRPr="00545ABB">
        <w:rPr>
          <w:rFonts w:asciiTheme="majorBidi" w:hAnsiTheme="majorBidi" w:cstheme="majorBidi"/>
          <w:b/>
          <w:bCs/>
          <w:color w:val="000000" w:themeColor="text1"/>
        </w:rPr>
        <w:t xml:space="preserve">(2), 113–139. </w:t>
      </w:r>
      <w:hyperlink r:id="rId33" w:history="1">
        <w:r w:rsidRPr="00545ABB">
          <w:rPr>
            <w:rStyle w:val="Hyperlink"/>
            <w:rFonts w:asciiTheme="majorBidi" w:hAnsiTheme="majorBidi" w:cstheme="majorBidi"/>
            <w:b/>
            <w:bCs/>
            <w:color w:val="000000" w:themeColor="text1"/>
          </w:rPr>
          <w:t>https://doi.org/10.1177/1086026614526413</w:t>
        </w:r>
      </w:hyperlink>
    </w:p>
    <w:p w14:paraId="24B0EEB0"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[57] Myers, J. N., Myers, L. A., &amp; Omer, T. C. (2003). Exploring the term of the auditor-client relationship and the quality of earnings: A case for mandatory auditor rotation? </w:t>
      </w:r>
      <w:r w:rsidRPr="00545ABB">
        <w:rPr>
          <w:rStyle w:val="Emphasis"/>
          <w:rFonts w:asciiTheme="majorBidi" w:hAnsiTheme="majorBidi" w:cstheme="majorBidi"/>
          <w:b/>
          <w:bCs/>
          <w:color w:val="000000" w:themeColor="text1"/>
        </w:rPr>
        <w:t>The Accounting Review, 78</w:t>
      </w:r>
      <w:r w:rsidRPr="00545ABB">
        <w:rPr>
          <w:rFonts w:asciiTheme="majorBidi" w:hAnsiTheme="majorBidi" w:cstheme="majorBidi"/>
          <w:b/>
          <w:bCs/>
          <w:color w:val="000000" w:themeColor="text1"/>
        </w:rPr>
        <w:t>(3), 779–799.</w:t>
      </w:r>
    </w:p>
    <w:p w14:paraId="32C1A42A"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[58] Ntim, C. G., Opong, K. K., Danbolt, J., &amp; Thomas, D. A. (2012). Voluntary corporate governance disclosures by post-apartheid South African corporations. </w:t>
      </w:r>
      <w:r w:rsidRPr="00545ABB">
        <w:rPr>
          <w:rStyle w:val="Emphasis"/>
          <w:rFonts w:asciiTheme="majorBidi" w:hAnsiTheme="majorBidi" w:cstheme="majorBidi"/>
          <w:b/>
          <w:bCs/>
          <w:color w:val="000000" w:themeColor="text1"/>
        </w:rPr>
        <w:t>Journal of Applied Accounting Research, 13</w:t>
      </w:r>
      <w:r w:rsidRPr="00545ABB">
        <w:rPr>
          <w:rFonts w:asciiTheme="majorBidi" w:hAnsiTheme="majorBidi" w:cstheme="majorBidi"/>
          <w:b/>
          <w:bCs/>
          <w:color w:val="000000" w:themeColor="text1"/>
        </w:rPr>
        <w:t>(2).</w:t>
      </w:r>
    </w:p>
    <w:p w14:paraId="49C3AB03"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[59] Nigro, P. (2020). Cybersecurity governance: A path to cyber maturity. </w:t>
      </w:r>
      <w:r w:rsidRPr="00545ABB">
        <w:rPr>
          <w:rStyle w:val="Emphasis"/>
          <w:rFonts w:asciiTheme="majorBidi" w:hAnsiTheme="majorBidi" w:cstheme="majorBidi"/>
          <w:b/>
          <w:bCs/>
          <w:color w:val="000000" w:themeColor="text1"/>
        </w:rPr>
        <w:t>TechTarget</w:t>
      </w:r>
      <w:r w:rsidRPr="00545ABB">
        <w:rPr>
          <w:rFonts w:asciiTheme="majorBidi" w:hAnsiTheme="majorBidi" w:cstheme="majorBidi"/>
          <w:b/>
          <w:bCs/>
          <w:color w:val="000000" w:themeColor="text1"/>
        </w:rPr>
        <w:t>.</w:t>
      </w:r>
    </w:p>
    <w:p w14:paraId="72845E10"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[60] Facon, P. (n.d.). Qu’est-ce qu’une start-up? Tout ce qu’il faut savoir. </w:t>
      </w:r>
      <w:r w:rsidRPr="00545ABB">
        <w:rPr>
          <w:rStyle w:val="Emphasis"/>
          <w:rFonts w:asciiTheme="majorBidi" w:hAnsiTheme="majorBidi" w:cstheme="majorBidi"/>
          <w:b/>
          <w:bCs/>
          <w:color w:val="000000" w:themeColor="text1"/>
        </w:rPr>
        <w:t>Le Coin des Entrepreneurs</w:t>
      </w:r>
      <w:r w:rsidRPr="00545ABB">
        <w:rPr>
          <w:rFonts w:asciiTheme="majorBidi" w:hAnsiTheme="majorBidi" w:cstheme="majorBidi"/>
          <w:b/>
          <w:bCs/>
          <w:color w:val="000000" w:themeColor="text1"/>
        </w:rPr>
        <w:t>.</w:t>
      </w:r>
    </w:p>
    <w:p w14:paraId="5B19930F"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[61] Piskadlo, D., Drake, D., Mannix, E., &amp; Veel, J. (2019). </w:t>
      </w:r>
      <w:r w:rsidRPr="00545ABB">
        <w:rPr>
          <w:rStyle w:val="Emphasis"/>
          <w:rFonts w:asciiTheme="majorBidi" w:hAnsiTheme="majorBidi" w:cstheme="majorBidi"/>
          <w:b/>
          <w:bCs/>
          <w:color w:val="000000" w:themeColor="text1"/>
        </w:rPr>
        <w:t>Corporate governance for early-stage, innovative companies: A practical resource guide</w:t>
      </w:r>
      <w:r w:rsidRPr="00545ABB">
        <w:rPr>
          <w:rFonts w:asciiTheme="majorBidi" w:hAnsiTheme="majorBidi" w:cstheme="majorBidi"/>
          <w:b/>
          <w:bCs/>
          <w:color w:val="000000" w:themeColor="text1"/>
        </w:rPr>
        <w:t>. Center for Financial Inclusion at Accion.</w:t>
      </w:r>
    </w:p>
    <w:p w14:paraId="7F2B7B0A"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[62] Ramirez, M., Ariza, L., &amp; Miranda, M. (2022). The disclosure of information on cybersecurity in listed companies in Latin America: Proposal for a cybersecurity disclosure index. </w:t>
      </w:r>
      <w:r w:rsidRPr="00545ABB">
        <w:rPr>
          <w:rStyle w:val="Emphasis"/>
          <w:rFonts w:asciiTheme="majorBidi" w:hAnsiTheme="majorBidi" w:cstheme="majorBidi"/>
          <w:b/>
          <w:bCs/>
          <w:color w:val="000000" w:themeColor="text1"/>
        </w:rPr>
        <w:t>Sustainability, 14</w:t>
      </w:r>
      <w:r w:rsidRPr="00545ABB">
        <w:rPr>
          <w:rFonts w:asciiTheme="majorBidi" w:hAnsiTheme="majorBidi" w:cstheme="majorBidi"/>
          <w:b/>
          <w:bCs/>
          <w:color w:val="000000" w:themeColor="text1"/>
        </w:rPr>
        <w:t>(3).</w:t>
      </w:r>
    </w:p>
    <w:p w14:paraId="421C319C"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lastRenderedPageBreak/>
        <w:t xml:space="preserve">[63] Razali, M., Fazlida, M. R., &amp; Said, J. (2015). Information security, risk governance and implementation setback. </w:t>
      </w:r>
      <w:r w:rsidRPr="00545ABB">
        <w:rPr>
          <w:rStyle w:val="Emphasis"/>
          <w:rFonts w:asciiTheme="majorBidi" w:hAnsiTheme="majorBidi" w:cstheme="majorBidi"/>
          <w:b/>
          <w:bCs/>
          <w:color w:val="000000" w:themeColor="text1"/>
        </w:rPr>
        <w:t>7th International Conference on Financial Criminology</w:t>
      </w:r>
      <w:r w:rsidRPr="00545ABB">
        <w:rPr>
          <w:rFonts w:asciiTheme="majorBidi" w:hAnsiTheme="majorBidi" w:cstheme="majorBidi"/>
          <w:b/>
          <w:bCs/>
          <w:color w:val="000000" w:themeColor="text1"/>
        </w:rPr>
        <w:t>, Oxford, United Kingdom.</w:t>
      </w:r>
    </w:p>
    <w:p w14:paraId="4EA7F4A1" w14:textId="77777777" w:rsidR="00ED4FB3" w:rsidRPr="00545ABB" w:rsidRDefault="00ED4FB3" w:rsidP="00ED4FB3">
      <w:pPr>
        <w:pStyle w:val="NormalWeb"/>
        <w:spacing w:line="360" w:lineRule="auto"/>
        <w:rPr>
          <w:rFonts w:asciiTheme="majorBidi" w:hAnsiTheme="majorBidi" w:cstheme="majorBidi"/>
          <w:b/>
          <w:bCs/>
          <w:color w:val="000000" w:themeColor="text1"/>
        </w:rPr>
      </w:pPr>
      <w:r w:rsidRPr="00545ABB">
        <w:rPr>
          <w:rFonts w:asciiTheme="majorBidi" w:hAnsiTheme="majorBidi" w:cstheme="majorBidi"/>
          <w:b/>
          <w:bCs/>
          <w:color w:val="000000" w:themeColor="text1"/>
        </w:rPr>
        <w:t xml:space="preserve">[64] Sihotang, J., Panjaitan, E. S., &amp; Yunis, R. (2020). Evaluation of information technology governance by using COBIT 5 framework at higher education. </w:t>
      </w:r>
      <w:r w:rsidRPr="00545ABB">
        <w:rPr>
          <w:rStyle w:val="Emphasis"/>
          <w:rFonts w:asciiTheme="majorBidi" w:hAnsiTheme="majorBidi" w:cstheme="majorBidi"/>
          <w:b/>
          <w:bCs/>
          <w:color w:val="000000" w:themeColor="text1"/>
        </w:rPr>
        <w:t>Journal of Mantik, 4</w:t>
      </w:r>
      <w:r w:rsidRPr="00545ABB">
        <w:rPr>
          <w:rFonts w:asciiTheme="majorBidi" w:hAnsiTheme="majorBidi" w:cstheme="majorBidi"/>
          <w:b/>
          <w:bCs/>
          <w:color w:val="000000" w:themeColor="text1"/>
        </w:rPr>
        <w:t>(3).</w:t>
      </w:r>
    </w:p>
    <w:p w14:paraId="1C609EDB" w14:textId="77777777" w:rsidR="00ED4FB3" w:rsidRPr="00545ABB" w:rsidRDefault="00ED4FB3" w:rsidP="00ED4FB3">
      <w:pPr>
        <w:spacing w:line="360" w:lineRule="auto"/>
        <w:rPr>
          <w:rFonts w:ascii="Traditional Arabic" w:hAnsi="Traditional Arabic" w:cs="Traditional Arabic"/>
          <w:b/>
          <w:bCs/>
          <w:color w:val="000000" w:themeColor="text1"/>
          <w:sz w:val="24"/>
          <w:szCs w:val="24"/>
        </w:rPr>
      </w:pPr>
      <w:r w:rsidRPr="00545ABB">
        <w:rPr>
          <w:rFonts w:ascii="Traditional Arabic" w:hAnsi="Traditional Arabic" w:cs="Traditional Arabic"/>
          <w:b/>
          <w:bCs/>
          <w:color w:val="000000" w:themeColor="text1"/>
          <w:sz w:val="24"/>
          <w:szCs w:val="24"/>
        </w:rPr>
        <w:pict w14:anchorId="7959B26D">
          <v:rect id="_x0000_i1176" style="width:0;height:1.5pt" o:hralign="center" o:hrstd="t" o:hr="t" fillcolor="#a0a0a0" stroked="f"/>
        </w:pict>
      </w:r>
    </w:p>
    <w:p w14:paraId="41BAED48" w14:textId="77777777" w:rsidR="00ED4FB3" w:rsidRPr="00545ABB" w:rsidRDefault="00ED4FB3" w:rsidP="00ED4FB3">
      <w:pPr>
        <w:pStyle w:val="Heading1"/>
        <w:bidi/>
        <w:spacing w:line="360" w:lineRule="auto"/>
        <w:rPr>
          <w:rFonts w:ascii="Traditional Arabic" w:hAnsi="Traditional Arabic" w:cs="Traditional Arabic"/>
          <w:b/>
          <w:bCs/>
          <w:color w:val="000000" w:themeColor="text1"/>
          <w:sz w:val="28"/>
          <w:szCs w:val="28"/>
        </w:rPr>
      </w:pPr>
      <w:bookmarkStart w:id="167" w:name="_Toc242325315"/>
      <w:r w:rsidRPr="00545ABB">
        <w:rPr>
          <w:rFonts w:ascii="Traditional Arabic" w:hAnsi="Traditional Arabic" w:cs="Traditional Arabic"/>
          <w:b/>
          <w:bCs/>
          <w:color w:val="000000" w:themeColor="text1"/>
          <w:sz w:val="28"/>
          <w:szCs w:val="28"/>
          <w:rtl/>
        </w:rPr>
        <w:t>ثالثًا: المراجع التنظيمية والرسمية</w:t>
      </w:r>
      <w:bookmarkEnd w:id="167"/>
    </w:p>
    <w:p w14:paraId="3B2DC610"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[65] </w:t>
      </w:r>
      <w:r w:rsidRPr="00545ABB">
        <w:rPr>
          <w:rFonts w:ascii="Traditional Arabic" w:hAnsi="Traditional Arabic" w:cs="Traditional Arabic"/>
          <w:b/>
          <w:bCs/>
          <w:color w:val="000000" w:themeColor="text1"/>
          <w:rtl/>
        </w:rPr>
        <w:t>الهيئة الوطنية للأمن السيبراني</w:t>
      </w:r>
      <w:r w:rsidRPr="00545ABB">
        <w:rPr>
          <w:rFonts w:ascii="Traditional Arabic" w:hAnsi="Traditional Arabic" w:cs="Traditional Arabic"/>
          <w:b/>
          <w:bCs/>
          <w:color w:val="000000" w:themeColor="text1"/>
        </w:rPr>
        <w:t xml:space="preserve">. (2024). </w:t>
      </w:r>
      <w:r w:rsidRPr="00545ABB">
        <w:rPr>
          <w:rStyle w:val="Emphasis"/>
          <w:rFonts w:ascii="Traditional Arabic" w:hAnsi="Traditional Arabic" w:cs="Traditional Arabic"/>
          <w:b/>
          <w:bCs/>
          <w:color w:val="000000" w:themeColor="text1"/>
          <w:rtl/>
        </w:rPr>
        <w:t xml:space="preserve">الضوابط الأساسية للأمن السيبراني </w:t>
      </w:r>
      <w:r w:rsidRPr="00545ABB">
        <w:rPr>
          <w:rStyle w:val="Emphasis"/>
          <w:rFonts w:ascii="Traditional Arabic" w:hAnsi="Traditional Arabic" w:cs="Traditional Arabic"/>
          <w:b/>
          <w:bCs/>
          <w:color w:val="000000" w:themeColor="text1"/>
        </w:rPr>
        <w:t>(ECC 2-2024)</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المملكة العربية السعودية</w:t>
      </w:r>
      <w:r w:rsidRPr="00545ABB">
        <w:rPr>
          <w:rFonts w:ascii="Traditional Arabic" w:hAnsi="Traditional Arabic" w:cs="Traditional Arabic"/>
          <w:b/>
          <w:bCs/>
          <w:color w:val="000000" w:themeColor="text1"/>
        </w:rPr>
        <w:t>.</w:t>
      </w:r>
    </w:p>
    <w:p w14:paraId="661424A8"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[66] </w:t>
      </w:r>
      <w:r w:rsidRPr="00545ABB">
        <w:rPr>
          <w:rFonts w:ascii="Traditional Arabic" w:hAnsi="Traditional Arabic" w:cs="Traditional Arabic"/>
          <w:b/>
          <w:bCs/>
          <w:color w:val="000000" w:themeColor="text1"/>
          <w:rtl/>
        </w:rPr>
        <w:t>المملكة العربية السعودية</w:t>
      </w:r>
      <w:r w:rsidRPr="00545ABB">
        <w:rPr>
          <w:rFonts w:ascii="Traditional Arabic" w:hAnsi="Traditional Arabic" w:cs="Traditional Arabic"/>
          <w:b/>
          <w:bCs/>
          <w:color w:val="000000" w:themeColor="text1"/>
        </w:rPr>
        <w:t xml:space="preserve">. (2016). </w:t>
      </w:r>
      <w:r w:rsidRPr="00545ABB">
        <w:rPr>
          <w:rStyle w:val="Emphasis"/>
          <w:rFonts w:ascii="Traditional Arabic" w:hAnsi="Traditional Arabic" w:cs="Traditional Arabic"/>
          <w:b/>
          <w:bCs/>
          <w:color w:val="000000" w:themeColor="text1"/>
          <w:rtl/>
        </w:rPr>
        <w:t xml:space="preserve">رؤية المملكة العربية السعودية </w:t>
      </w:r>
      <w:r w:rsidRPr="00545ABB">
        <w:rPr>
          <w:rStyle w:val="Emphasis"/>
          <w:rFonts w:ascii="Traditional Arabic" w:hAnsi="Traditional Arabic" w:cs="Traditional Arabic"/>
          <w:b/>
          <w:bCs/>
          <w:color w:val="000000" w:themeColor="text1"/>
        </w:rPr>
        <w:t>2030</w:t>
      </w:r>
      <w:r w:rsidRPr="00545ABB">
        <w:rPr>
          <w:rFonts w:ascii="Traditional Arabic" w:hAnsi="Traditional Arabic" w:cs="Traditional Arabic"/>
          <w:b/>
          <w:bCs/>
          <w:color w:val="000000" w:themeColor="text1"/>
        </w:rPr>
        <w:t>.</w:t>
      </w:r>
    </w:p>
    <w:p w14:paraId="2DCF40DC" w14:textId="77777777" w:rsidR="00ED4FB3" w:rsidRPr="00545ABB" w:rsidRDefault="00ED4FB3" w:rsidP="00ED4FB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[67] </w:t>
      </w:r>
      <w:r w:rsidRPr="00545ABB">
        <w:rPr>
          <w:rFonts w:ascii="Traditional Arabic" w:hAnsi="Traditional Arabic" w:cs="Traditional Arabic"/>
          <w:b/>
          <w:bCs/>
          <w:color w:val="000000" w:themeColor="text1"/>
          <w:rtl/>
        </w:rPr>
        <w:t>برنامج الأمم المتحدة الإنمائي</w:t>
      </w:r>
      <w:r w:rsidRPr="00545ABB">
        <w:rPr>
          <w:rFonts w:ascii="Traditional Arabic" w:hAnsi="Traditional Arabic" w:cs="Traditional Arabic"/>
          <w:b/>
          <w:bCs/>
          <w:color w:val="000000" w:themeColor="text1"/>
        </w:rPr>
        <w:t xml:space="preserve">. (2002). </w:t>
      </w:r>
      <w:r w:rsidRPr="00545ABB">
        <w:rPr>
          <w:rStyle w:val="Emphasis"/>
          <w:rFonts w:ascii="Traditional Arabic" w:hAnsi="Traditional Arabic" w:cs="Traditional Arabic"/>
          <w:b/>
          <w:bCs/>
          <w:color w:val="000000" w:themeColor="text1"/>
          <w:rtl/>
        </w:rPr>
        <w:t>تقرير التنمية الإنسانية العربية 2002: خلق الفرص للأجيال القادمة</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برنامج الأمم المتحدة الإنمائي</w:t>
      </w:r>
      <w:r w:rsidRPr="00545ABB">
        <w:rPr>
          <w:rFonts w:ascii="Traditional Arabic" w:hAnsi="Traditional Arabic" w:cs="Traditional Arabic"/>
          <w:b/>
          <w:bCs/>
          <w:color w:val="000000" w:themeColor="text1"/>
        </w:rPr>
        <w:t>.</w:t>
      </w:r>
    </w:p>
    <w:p w14:paraId="02F80D1F" w14:textId="77777777"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[68] Asian Development Bank. (2010). </w:t>
      </w:r>
      <w:r w:rsidRPr="00545ABB">
        <w:rPr>
          <w:rStyle w:val="Emphasis"/>
          <w:rFonts w:ascii="Traditional Arabic" w:hAnsi="Traditional Arabic" w:cs="Traditional Arabic"/>
          <w:b/>
          <w:bCs/>
          <w:color w:val="000000" w:themeColor="text1"/>
        </w:rPr>
        <w:t>Anticorruption and integrity</w:t>
      </w:r>
      <w:r w:rsidRPr="00545ABB">
        <w:rPr>
          <w:rFonts w:ascii="Traditional Arabic" w:hAnsi="Traditional Arabic" w:cs="Traditional Arabic"/>
          <w:b/>
          <w:bCs/>
          <w:color w:val="000000" w:themeColor="text1"/>
        </w:rPr>
        <w:t xml:space="preserve"> (2nd ed.). Asian Development Bank.</w:t>
      </w:r>
    </w:p>
    <w:p w14:paraId="011BFF89" w14:textId="6A249F89"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[69] ASX Corporate Governance Council. (2019). </w:t>
      </w:r>
      <w:r w:rsidRPr="00545ABB">
        <w:rPr>
          <w:rStyle w:val="Emphasis"/>
          <w:rFonts w:ascii="Traditional Arabic" w:hAnsi="Traditional Arabic" w:cs="Traditional Arabic"/>
          <w:b/>
          <w:bCs/>
          <w:color w:val="000000" w:themeColor="text1"/>
        </w:rPr>
        <w:t>Corporate Governance Principles and Recommendations</w:t>
      </w:r>
      <w:r w:rsidRPr="00545ABB">
        <w:rPr>
          <w:rFonts w:ascii="Traditional Arabic" w:hAnsi="Traditional Arabic" w:cs="Traditional Arabic"/>
          <w:b/>
          <w:bCs/>
          <w:color w:val="000000" w:themeColor="text1"/>
        </w:rPr>
        <w:t xml:space="preserve"> (4th ed.). Australian Securities Exchange. </w:t>
      </w:r>
      <w:r w:rsidRPr="00545ABB">
        <w:rPr>
          <w:rFonts w:ascii="Traditional Arabic" w:hAnsi="Traditional Arabic" w:cs="Traditional Arabic"/>
          <w:b/>
          <w:bCs/>
          <w:color w:val="000000" w:themeColor="text1"/>
          <w:rtl/>
        </w:rPr>
        <w:t xml:space="preserve">النسخة الرابعة صدرت رسميًا في فبراير </w:t>
      </w:r>
    </w:p>
    <w:p w14:paraId="2A26D0C3" w14:textId="06AA5357"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[70] European Union Agency for Cybersecurity (ENISA). (2022). </w:t>
      </w:r>
      <w:r w:rsidRPr="00545ABB">
        <w:rPr>
          <w:rStyle w:val="Emphasis"/>
          <w:rFonts w:ascii="Traditional Arabic" w:hAnsi="Traditional Arabic" w:cs="Traditional Arabic"/>
          <w:b/>
          <w:bCs/>
          <w:color w:val="000000" w:themeColor="text1"/>
        </w:rPr>
        <w:t>ENISA CSIRT Maturity Framework: Updated and Improved</w:t>
      </w:r>
      <w:r w:rsidRPr="00545ABB">
        <w:rPr>
          <w:rFonts w:ascii="Traditional Arabic" w:hAnsi="Traditional Arabic" w:cs="Traditional Arabic"/>
          <w:b/>
          <w:bCs/>
          <w:color w:val="000000" w:themeColor="text1"/>
        </w:rPr>
        <w:t xml:space="preserve">. ENISA. </w:t>
      </w:r>
    </w:p>
    <w:p w14:paraId="2E2396D6" w14:textId="77777777"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lastRenderedPageBreak/>
        <w:t xml:space="preserve">[71] Information Technology Governance Institute (ITGI). (2006). </w:t>
      </w:r>
      <w:r w:rsidRPr="00545ABB">
        <w:rPr>
          <w:rStyle w:val="Emphasis"/>
          <w:rFonts w:ascii="Traditional Arabic" w:hAnsi="Traditional Arabic" w:cs="Traditional Arabic"/>
          <w:b/>
          <w:bCs/>
          <w:color w:val="000000" w:themeColor="text1"/>
        </w:rPr>
        <w:t>Information Security Governance: Guidance for Boards of Directors and Executive Management</w:t>
      </w:r>
      <w:r w:rsidRPr="00545ABB">
        <w:rPr>
          <w:rFonts w:ascii="Traditional Arabic" w:hAnsi="Traditional Arabic" w:cs="Traditional Arabic"/>
          <w:b/>
          <w:bCs/>
          <w:color w:val="000000" w:themeColor="text1"/>
        </w:rPr>
        <w:t xml:space="preserve"> (2nd ed.). ITGI.</w:t>
      </w:r>
    </w:p>
    <w:p w14:paraId="265E59D0" w14:textId="0FF33EFE"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[72] ISACA. (2019). </w:t>
      </w:r>
      <w:r w:rsidRPr="00545ABB">
        <w:rPr>
          <w:rStyle w:val="Emphasis"/>
          <w:rFonts w:ascii="Traditional Arabic" w:hAnsi="Traditional Arabic" w:cs="Traditional Arabic"/>
          <w:b/>
          <w:bCs/>
          <w:color w:val="000000" w:themeColor="text1"/>
        </w:rPr>
        <w:t>COBIT 2019 Framework: Introduction &amp; Methodology</w:t>
      </w:r>
      <w:r w:rsidRPr="00545ABB">
        <w:rPr>
          <w:rFonts w:ascii="Traditional Arabic" w:hAnsi="Traditional Arabic" w:cs="Traditional Arabic"/>
          <w:b/>
          <w:bCs/>
          <w:color w:val="000000" w:themeColor="text1"/>
        </w:rPr>
        <w:t xml:space="preserve">. ISACA. </w:t>
      </w:r>
    </w:p>
    <w:p w14:paraId="0CA83607" w14:textId="77777777"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[73] National Institute of Standards and Technology (NIST). (2018). </w:t>
      </w:r>
      <w:r w:rsidRPr="00545ABB">
        <w:rPr>
          <w:rStyle w:val="Emphasis"/>
          <w:rFonts w:ascii="Traditional Arabic" w:hAnsi="Traditional Arabic" w:cs="Traditional Arabic"/>
          <w:b/>
          <w:bCs/>
          <w:color w:val="000000" w:themeColor="text1"/>
        </w:rPr>
        <w:t>Framework for Improving Critical Infrastructure Cybersecurity</w:t>
      </w:r>
      <w:r w:rsidRPr="00545ABB">
        <w:rPr>
          <w:rFonts w:ascii="Traditional Arabic" w:hAnsi="Traditional Arabic" w:cs="Traditional Arabic"/>
          <w:b/>
          <w:bCs/>
          <w:color w:val="000000" w:themeColor="text1"/>
        </w:rPr>
        <w:t xml:space="preserve"> (Version 1.1). U.S. Department of Commerce.</w:t>
      </w:r>
    </w:p>
    <w:p w14:paraId="2C2D61E1" w14:textId="77777777"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[74] National Institute of Standards and Technology (NIST). (2024). </w:t>
      </w:r>
      <w:r w:rsidRPr="00545ABB">
        <w:rPr>
          <w:rStyle w:val="Emphasis"/>
          <w:rFonts w:ascii="Traditional Arabic" w:hAnsi="Traditional Arabic" w:cs="Traditional Arabic"/>
          <w:b/>
          <w:bCs/>
          <w:color w:val="000000" w:themeColor="text1"/>
        </w:rPr>
        <w:t>The NIST Cybersecurity Framework (CSF) 2.0</w:t>
      </w:r>
      <w:r w:rsidRPr="00545ABB">
        <w:rPr>
          <w:rFonts w:ascii="Traditional Arabic" w:hAnsi="Traditional Arabic" w:cs="Traditional Arabic"/>
          <w:b/>
          <w:bCs/>
          <w:color w:val="000000" w:themeColor="text1"/>
        </w:rPr>
        <w:t xml:space="preserve"> (NIST CSWP 29). U.S. Department of Commerce. </w:t>
      </w:r>
      <w:hyperlink r:id="rId34" w:history="1">
        <w:r w:rsidRPr="00545ABB">
          <w:rPr>
            <w:rStyle w:val="Hyperlink"/>
            <w:rFonts w:ascii="Traditional Arabic" w:hAnsi="Traditional Arabic" w:cs="Traditional Arabic"/>
            <w:b/>
            <w:bCs/>
            <w:color w:val="000000" w:themeColor="text1"/>
          </w:rPr>
          <w:t>https://doi.org/10.6028/NIST.CSWP.29</w:t>
        </w:r>
      </w:hyperlink>
    </w:p>
    <w:p w14:paraId="6410C0D3" w14:textId="77777777"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[75] OECD. (2023). </w:t>
      </w:r>
      <w:r w:rsidRPr="00545ABB">
        <w:rPr>
          <w:rStyle w:val="Emphasis"/>
          <w:rFonts w:ascii="Traditional Arabic" w:hAnsi="Traditional Arabic" w:cs="Traditional Arabic"/>
          <w:b/>
          <w:bCs/>
          <w:color w:val="000000" w:themeColor="text1"/>
        </w:rPr>
        <w:t>G20/OECD Principles of Corporate Governance 2023</w:t>
      </w:r>
      <w:r w:rsidRPr="00545ABB">
        <w:rPr>
          <w:rFonts w:ascii="Traditional Arabic" w:hAnsi="Traditional Arabic" w:cs="Traditional Arabic"/>
          <w:b/>
          <w:bCs/>
          <w:color w:val="000000" w:themeColor="text1"/>
        </w:rPr>
        <w:t xml:space="preserve">. OECD Publishing. </w:t>
      </w:r>
      <w:hyperlink r:id="rId35" w:history="1">
        <w:r w:rsidRPr="00545ABB">
          <w:rPr>
            <w:rStyle w:val="Hyperlink"/>
            <w:rFonts w:ascii="Traditional Arabic" w:hAnsi="Traditional Arabic" w:cs="Traditional Arabic"/>
            <w:b/>
            <w:bCs/>
            <w:color w:val="000000" w:themeColor="text1"/>
          </w:rPr>
          <w:t>https://doi.org/10.1787/ed750b30-en</w:t>
        </w:r>
      </w:hyperlink>
      <w:r w:rsidRPr="00545ABB">
        <w:rPr>
          <w:rFonts w:ascii="Traditional Arabic" w:hAnsi="Traditional Arabic" w:cs="Traditional Arabic"/>
          <w:b/>
          <w:bCs/>
          <w:color w:val="000000" w:themeColor="text1"/>
        </w:rPr>
        <w:t xml:space="preserve"> </w:t>
      </w:r>
      <w:hyperlink r:id="rId36" w:history="1">
        <w:r w:rsidRPr="00545ABB">
          <w:rPr>
            <w:rStyle w:val="Hyperlink"/>
            <w:rFonts w:ascii="Traditional Arabic" w:hAnsi="Traditional Arabic" w:cs="Traditional Arabic"/>
            <w:b/>
            <w:bCs/>
            <w:color w:val="000000" w:themeColor="text1"/>
          </w:rPr>
          <w:t>OECD</w:t>
        </w:r>
      </w:hyperlink>
    </w:p>
    <w:p w14:paraId="71C25D2B" w14:textId="77777777" w:rsidR="00ED4FB3" w:rsidRPr="00545ABB" w:rsidRDefault="00ED4FB3" w:rsidP="00410DB4">
      <w:pPr>
        <w:pStyle w:val="NormalWeb"/>
        <w:bidi/>
        <w:spacing w:line="360" w:lineRule="auto"/>
        <w:jc w:val="right"/>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Pr>
        <w:t xml:space="preserve">[76] World Bank. (1992). </w:t>
      </w:r>
      <w:r w:rsidRPr="00545ABB">
        <w:rPr>
          <w:rStyle w:val="Emphasis"/>
          <w:rFonts w:ascii="Traditional Arabic" w:hAnsi="Traditional Arabic" w:cs="Traditional Arabic"/>
          <w:b/>
          <w:bCs/>
          <w:color w:val="000000" w:themeColor="text1"/>
        </w:rPr>
        <w:t>Governance and Development</w:t>
      </w:r>
      <w:r w:rsidRPr="00545ABB">
        <w:rPr>
          <w:rFonts w:ascii="Traditional Arabic" w:hAnsi="Traditional Arabic" w:cs="Traditional Arabic"/>
          <w:b/>
          <w:bCs/>
          <w:color w:val="000000" w:themeColor="text1"/>
        </w:rPr>
        <w:t>. World Bank.</w:t>
      </w:r>
    </w:p>
    <w:p w14:paraId="4A7EAC37" w14:textId="77777777" w:rsidR="00FE45D5" w:rsidRPr="00545ABB" w:rsidRDefault="00FE45D5" w:rsidP="00A13ED6">
      <w:pPr>
        <w:spacing w:after="0" w:line="360" w:lineRule="auto"/>
        <w:rPr>
          <w:rFonts w:ascii="Traditional Arabic" w:eastAsia="Times New Roman" w:hAnsi="Traditional Arabic" w:cs="Traditional Arabic"/>
          <w:b/>
          <w:bCs/>
          <w:color w:val="000000" w:themeColor="text1"/>
          <w:sz w:val="32"/>
          <w:szCs w:val="32"/>
          <w:rtl/>
        </w:rPr>
      </w:pPr>
    </w:p>
    <w:p w14:paraId="78A1A739" w14:textId="28A90DE1" w:rsidR="00300305" w:rsidRPr="00545ABB" w:rsidRDefault="00300305" w:rsidP="00022590">
      <w:pPr>
        <w:bidi w:val="0"/>
        <w:spacing w:after="0" w:line="360" w:lineRule="auto"/>
        <w:rPr>
          <w:rFonts w:ascii="Traditional Arabic" w:eastAsia="Times New Roman" w:hAnsi="Traditional Arabic" w:cs="Traditional Arabic"/>
          <w:b/>
          <w:bCs/>
          <w:color w:val="000000" w:themeColor="text1"/>
          <w:sz w:val="32"/>
          <w:szCs w:val="32"/>
          <w:rtl/>
        </w:rPr>
      </w:pPr>
      <w:r w:rsidRPr="00545ABB">
        <w:rPr>
          <w:rFonts w:ascii="Traditional Arabic" w:eastAsia="Times New Roman" w:hAnsi="Traditional Arabic" w:cs="Traditional Arabic"/>
          <w:b/>
          <w:bCs/>
          <w:color w:val="000000" w:themeColor="text1"/>
          <w:sz w:val="32"/>
          <w:szCs w:val="32"/>
          <w:rtl/>
        </w:rPr>
        <w:br w:type="page"/>
      </w:r>
      <w:bookmarkStart w:id="168" w:name="_Hlk238218855"/>
    </w:p>
    <w:p w14:paraId="684B867A" w14:textId="62B6DDB5" w:rsidR="00D8380E" w:rsidRPr="00545ABB" w:rsidRDefault="00D8380E" w:rsidP="002174D5">
      <w:pPr>
        <w:pStyle w:val="Heading1"/>
        <w:bidi/>
        <w:rPr>
          <w:rFonts w:ascii="Traditional Arabic" w:eastAsia="Times New Roman" w:hAnsi="Traditional Arabic" w:cs="Traditional Arabic"/>
          <w:b/>
          <w:bCs/>
          <w:color w:val="000000" w:themeColor="text1"/>
          <w:sz w:val="32"/>
          <w:szCs w:val="32"/>
          <w:rtl/>
        </w:rPr>
      </w:pPr>
      <w:bookmarkStart w:id="169" w:name="_Toc242325316"/>
      <w:r w:rsidRPr="00545ABB">
        <w:rPr>
          <w:rFonts w:ascii="Traditional Arabic" w:eastAsia="Times New Roman" w:hAnsi="Traditional Arabic" w:cs="Traditional Arabic"/>
          <w:b/>
          <w:bCs/>
          <w:color w:val="000000" w:themeColor="text1"/>
          <w:sz w:val="32"/>
          <w:szCs w:val="32"/>
          <w:rtl/>
        </w:rPr>
        <w:lastRenderedPageBreak/>
        <w:t>الملاحق</w:t>
      </w:r>
      <w:bookmarkEnd w:id="169"/>
    </w:p>
    <w:p w14:paraId="3C8BE00F" w14:textId="77777777" w:rsidR="00410DB4" w:rsidRPr="00545ABB" w:rsidRDefault="00410DB4" w:rsidP="00410DB4">
      <w:pPr>
        <w:pStyle w:val="Heading2"/>
        <w:bidi/>
        <w:spacing w:line="360" w:lineRule="auto"/>
        <w:rPr>
          <w:rFonts w:ascii="Traditional Arabic" w:hAnsi="Traditional Arabic" w:cs="Traditional Arabic"/>
          <w:b/>
          <w:bCs/>
          <w:color w:val="000000" w:themeColor="text1"/>
          <w:sz w:val="28"/>
          <w:szCs w:val="28"/>
        </w:rPr>
      </w:pPr>
      <w:bookmarkStart w:id="170" w:name="_Toc242325317"/>
      <w:r w:rsidRPr="00545ABB">
        <w:rPr>
          <w:rFonts w:ascii="Traditional Arabic" w:hAnsi="Traditional Arabic" w:cs="Traditional Arabic"/>
          <w:b/>
          <w:bCs/>
          <w:color w:val="000000" w:themeColor="text1"/>
          <w:sz w:val="28"/>
          <w:szCs w:val="28"/>
          <w:rtl/>
        </w:rPr>
        <w:t>ملحق (أ): مفاهيم الدراسة</w:t>
      </w:r>
      <w:bookmarkEnd w:id="170"/>
    </w:p>
    <w:p w14:paraId="5D1F7D68" w14:textId="77777777" w:rsidR="00410DB4" w:rsidRPr="00545ABB" w:rsidRDefault="00410DB4" w:rsidP="00410DB4">
      <w:pPr>
        <w:pStyle w:val="Heading3"/>
        <w:bidi/>
        <w:spacing w:line="360" w:lineRule="auto"/>
        <w:rPr>
          <w:rFonts w:ascii="Traditional Arabic" w:hAnsi="Traditional Arabic" w:cs="Traditional Arabic"/>
          <w:b/>
          <w:bCs/>
          <w:color w:val="000000" w:themeColor="text1"/>
          <w:sz w:val="24"/>
          <w:szCs w:val="24"/>
        </w:rPr>
      </w:pPr>
      <w:bookmarkStart w:id="171" w:name="_Toc242325318"/>
      <w:r w:rsidRPr="00545ABB">
        <w:rPr>
          <w:rFonts w:ascii="Traditional Arabic" w:hAnsi="Traditional Arabic" w:cs="Traditional Arabic"/>
          <w:b/>
          <w:bCs/>
          <w:color w:val="000000" w:themeColor="text1"/>
          <w:sz w:val="24"/>
          <w:szCs w:val="24"/>
          <w:rtl/>
        </w:rPr>
        <w:t>أولًا: الشركات الناشئة</w:t>
      </w:r>
      <w:bookmarkEnd w:id="171"/>
    </w:p>
    <w:p w14:paraId="1C1AF672" w14:textId="3BE5E3C1" w:rsidR="00410DB4" w:rsidRPr="00545ABB" w:rsidRDefault="009B4043" w:rsidP="00410DB4">
      <w:pPr>
        <w:pStyle w:val="Heading4"/>
        <w:bidi/>
        <w:spacing w:line="360" w:lineRule="auto"/>
        <w:rPr>
          <w:rFonts w:ascii="Traditional Arabic" w:hAnsi="Traditional Arabic" w:cs="Traditional Arabic"/>
          <w:b/>
          <w:bCs/>
          <w:i w:val="0"/>
          <w:iCs w:val="0"/>
          <w:color w:val="000000" w:themeColor="text1"/>
        </w:rPr>
      </w:pPr>
      <w:r w:rsidRPr="00545ABB">
        <w:rPr>
          <w:rFonts w:ascii="Traditional Arabic" w:hAnsi="Traditional Arabic" w:cs="Traditional Arabic" w:hint="cs"/>
          <w:b/>
          <w:bCs/>
          <w:i w:val="0"/>
          <w:iCs w:val="0"/>
          <w:color w:val="000000" w:themeColor="text1"/>
          <w:rtl/>
        </w:rPr>
        <w:t xml:space="preserve">1- </w:t>
      </w:r>
      <w:r w:rsidR="00410DB4" w:rsidRPr="00545ABB">
        <w:rPr>
          <w:rFonts w:ascii="Traditional Arabic" w:hAnsi="Traditional Arabic" w:cs="Traditional Arabic"/>
          <w:b/>
          <w:bCs/>
          <w:i w:val="0"/>
          <w:iCs w:val="0"/>
          <w:color w:val="000000" w:themeColor="text1"/>
        </w:rPr>
        <w:t xml:space="preserve"> </w:t>
      </w:r>
      <w:r w:rsidR="00410DB4" w:rsidRPr="00545ABB">
        <w:rPr>
          <w:rFonts w:ascii="Traditional Arabic" w:hAnsi="Traditional Arabic" w:cs="Traditional Arabic"/>
          <w:b/>
          <w:bCs/>
          <w:i w:val="0"/>
          <w:iCs w:val="0"/>
          <w:color w:val="000000" w:themeColor="text1"/>
          <w:rtl/>
        </w:rPr>
        <w:t>مفهوم الشركات الناشئة</w:t>
      </w:r>
    </w:p>
    <w:p w14:paraId="516D29F6"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شهد مفهوم الشركات الناشئة</w:t>
      </w:r>
      <w:r w:rsidRPr="00545ABB">
        <w:rPr>
          <w:rFonts w:ascii="Traditional Arabic" w:hAnsi="Traditional Arabic" w:cs="Traditional Arabic"/>
          <w:b/>
          <w:bCs/>
          <w:color w:val="000000" w:themeColor="text1"/>
        </w:rPr>
        <w:t xml:space="preserve"> (Start-Up) </w:t>
      </w:r>
      <w:r w:rsidRPr="00545ABB">
        <w:rPr>
          <w:rFonts w:ascii="Traditional Arabic" w:hAnsi="Traditional Arabic" w:cs="Traditional Arabic"/>
          <w:b/>
          <w:bCs/>
          <w:color w:val="000000" w:themeColor="text1"/>
          <w:rtl/>
        </w:rPr>
        <w:t>تطورًا ملحوظًا مع توسع بيئة ريادة الأعمال وظهور نماذج الأعمال القائمة على الابتكار والتكنولوجيا ورأس المال الاستثماري. ويُستخدم المصطلح للإشارة إلى الشركات حديثة التأسيس التي تسعى إلى تطوير منتجات أو خدمات أو حلول جديدة، وتمتلك قابلية للنمو والتوسع في ظل بيئة تتسم بدرجات متفاوتة من عدم اليقين</w:t>
      </w:r>
      <w:r w:rsidRPr="00545ABB">
        <w:rPr>
          <w:rFonts w:ascii="Traditional Arabic" w:hAnsi="Traditional Arabic" w:cs="Traditional Arabic"/>
          <w:b/>
          <w:bCs/>
          <w:color w:val="000000" w:themeColor="text1"/>
        </w:rPr>
        <w:t>.</w:t>
      </w:r>
    </w:p>
    <w:p w14:paraId="63EFA532"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ومن الناحية الاصطلاحية، تعددت تعريفات الشركات الناشئة باختلاف الزاوية التي تناولها منها الباحثون ورواد الأعمال والمؤسسات المتخصصة. ويعرف قاموس</w:t>
      </w:r>
      <w:r w:rsidRPr="00545ABB">
        <w:rPr>
          <w:rFonts w:ascii="Traditional Arabic" w:hAnsi="Traditional Arabic" w:cs="Traditional Arabic"/>
          <w:b/>
          <w:bCs/>
          <w:color w:val="000000" w:themeColor="text1"/>
        </w:rPr>
        <w:t xml:space="preserve"> Larousse </w:t>
      </w:r>
      <w:r w:rsidRPr="00545ABB">
        <w:rPr>
          <w:rFonts w:ascii="Traditional Arabic" w:hAnsi="Traditional Arabic" w:cs="Traditional Arabic"/>
          <w:b/>
          <w:bCs/>
          <w:color w:val="000000" w:themeColor="text1"/>
          <w:rtl/>
        </w:rPr>
        <w:t xml:space="preserve">الشركة الناشئة بأنها شركة حديثة ومبتكرة ترتبط في الغالب بالقطاعات الحديثة والتكنولوجية، وتسعى إلى تطوير نشاط قابل للنمو والتوسع </w:t>
      </w:r>
      <w:r w:rsidRPr="00545ABB">
        <w:rPr>
          <w:rFonts w:ascii="Traditional Arabic" w:hAnsi="Traditional Arabic" w:cs="Traditional Arabic"/>
          <w:b/>
          <w:bCs/>
          <w:color w:val="000000" w:themeColor="text1"/>
        </w:rPr>
        <w:t>(Larousse, n.d.).</w:t>
      </w:r>
    </w:p>
    <w:p w14:paraId="7BA15F67"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ويرى</w:t>
      </w:r>
      <w:r w:rsidRPr="00545ABB">
        <w:rPr>
          <w:rFonts w:ascii="Traditional Arabic" w:hAnsi="Traditional Arabic" w:cs="Traditional Arabic"/>
          <w:b/>
          <w:bCs/>
          <w:color w:val="000000" w:themeColor="text1"/>
        </w:rPr>
        <w:t xml:space="preserve"> Graham (2012) </w:t>
      </w:r>
      <w:r w:rsidRPr="00545ABB">
        <w:rPr>
          <w:rFonts w:ascii="Traditional Arabic" w:hAnsi="Traditional Arabic" w:cs="Traditional Arabic"/>
          <w:b/>
          <w:bCs/>
          <w:color w:val="000000" w:themeColor="text1"/>
          <w:rtl/>
        </w:rPr>
        <w:t xml:space="preserve">أن العنصر الجوهري الذي يميز الشركة الناشئة هو </w:t>
      </w:r>
      <w:r w:rsidRPr="00545ABB">
        <w:rPr>
          <w:rStyle w:val="Strong"/>
          <w:rFonts w:ascii="Traditional Arabic" w:hAnsi="Traditional Arabic" w:cs="Traditional Arabic"/>
          <w:color w:val="000000" w:themeColor="text1"/>
          <w:rtl/>
        </w:rPr>
        <w:t>النمو</w:t>
      </w:r>
      <w:r w:rsidRPr="00545ABB">
        <w:rPr>
          <w:rFonts w:ascii="Traditional Arabic" w:hAnsi="Traditional Arabic" w:cs="Traditional Arabic"/>
          <w:b/>
          <w:bCs/>
          <w:color w:val="000000" w:themeColor="text1"/>
          <w:rtl/>
        </w:rPr>
        <w:t>، إذ يشير إلى أن الشركة الناشئة هي شركة صُممت أساسًا لتحقيق نمو سريع، وأن حداثة التأسيس أو العمل في قطاع التكنولوجيا لا تكفي وحدها لوصف المنشأة بأنها شركة ناشئة، بل تمثل قابلية النمو السريع والتوسع السمة الأكثر تمييزًا لها</w:t>
      </w:r>
      <w:r w:rsidRPr="00545ABB">
        <w:rPr>
          <w:rFonts w:ascii="Traditional Arabic" w:hAnsi="Traditional Arabic" w:cs="Traditional Arabic"/>
          <w:b/>
          <w:bCs/>
          <w:color w:val="000000" w:themeColor="text1"/>
        </w:rPr>
        <w:t>.</w:t>
      </w:r>
    </w:p>
    <w:p w14:paraId="78D5F65D"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تشير مؤسسة محمد بن سلمان «مسك» إلى أن الشركة الناشئة هي شركة حديثة الإنشاء تنطلق عادةً من فكرة أو فرصة قابلة للتطوير، وتمر بمراحل متتابعة تبدأ من تكوين الفكرة واختبارها، ثم تطوير المنتج أو الخدمة، وصولًا إلى النمو والتوسع، مع ما يصاحب هذه المراحل من تحديات تتعلق بتطوير نموذج الأعمال والتمويل وبناء السوق (مؤسسة محمد بن سلمان «مسك</w:t>
      </w:r>
      <w:r w:rsidRPr="00545ABB">
        <w:rPr>
          <w:rFonts w:ascii="Traditional Arabic" w:hAnsi="Traditional Arabic" w:cs="Traditional Arabic"/>
          <w:b/>
          <w:bCs/>
          <w:color w:val="000000" w:themeColor="text1"/>
        </w:rPr>
        <w:t>»</w:t>
      </w:r>
      <w:r w:rsidRPr="00545ABB">
        <w:rPr>
          <w:rFonts w:ascii="Traditional Arabic" w:hAnsi="Traditional Arabic" w:cs="Traditional Arabic"/>
          <w:b/>
          <w:bCs/>
          <w:color w:val="000000" w:themeColor="text1"/>
          <w:rtl/>
        </w:rPr>
        <w:t xml:space="preserve">، </w:t>
      </w:r>
      <w:r w:rsidRPr="00545ABB">
        <w:rPr>
          <w:rFonts w:ascii="Traditional Arabic" w:hAnsi="Traditional Arabic" w:cs="Traditional Arabic"/>
          <w:b/>
          <w:bCs/>
          <w:color w:val="000000" w:themeColor="text1"/>
        </w:rPr>
        <w:t>2022).</w:t>
      </w:r>
    </w:p>
    <w:p w14:paraId="4359490B"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وتوضح الأدبيات المرتبطة باستدامة الشركات الناشئة أن نجاح هذه الشركات لا يرتبط فقط بقدرتها على الابتكار، وإنما يتأثر كذلك بكفاءة الإدارة، والقدرة على الحصول على الموارد، والتكيف مع المتغيرات، وبناء نموذج أعمال مستدام يمكنه دعم النمو والاستمرار على المدى البعيد </w:t>
      </w:r>
      <w:r w:rsidRPr="00545ABB">
        <w:rPr>
          <w:rFonts w:ascii="Traditional Arabic" w:hAnsi="Traditional Arabic" w:cs="Traditional Arabic"/>
          <w:b/>
          <w:bCs/>
          <w:color w:val="000000" w:themeColor="text1"/>
        </w:rPr>
        <w:t>(Alqahtani, 2022).</w:t>
      </w:r>
    </w:p>
    <w:p w14:paraId="5353FD31"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وبناءً على ما سبق، يمكن النظر إلى الشركات الناشئة باعتبارها مؤسسات حديثة التأسيس تقوم على تطوير فكرة أو منتج أو خدمة مبتكرة، وتتميز بقابلية مرتفعة للنمو والتوسع، وتعمل في بيئة تتسم بعدم اليقين والتغير السريع، الأمر الذي يتطلب منها تطوير قدراتها الإدارية والتنظيمية والمالية والتقنية بما يعزز قدرتها على الاستمرار والنمو</w:t>
      </w:r>
      <w:r w:rsidRPr="00545ABB">
        <w:rPr>
          <w:rFonts w:ascii="Traditional Arabic" w:hAnsi="Traditional Arabic" w:cs="Traditional Arabic"/>
          <w:b/>
          <w:bCs/>
          <w:color w:val="000000" w:themeColor="text1"/>
        </w:rPr>
        <w:t>.</w:t>
      </w:r>
    </w:p>
    <w:p w14:paraId="5825249B" w14:textId="77777777" w:rsidR="00410DB4" w:rsidRPr="00545ABB" w:rsidRDefault="00410DB4" w:rsidP="00410DB4">
      <w:pPr>
        <w:pStyle w:val="Heading4"/>
        <w:bidi/>
        <w:spacing w:line="360" w:lineRule="auto"/>
        <w:rPr>
          <w:rFonts w:ascii="Traditional Arabic" w:hAnsi="Traditional Arabic" w:cs="Traditional Arabic"/>
          <w:b/>
          <w:bCs/>
          <w:color w:val="000000" w:themeColor="text1"/>
          <w:sz w:val="28"/>
          <w:szCs w:val="28"/>
        </w:rPr>
      </w:pPr>
      <w:r w:rsidRPr="00545ABB">
        <w:rPr>
          <w:rFonts w:ascii="Traditional Arabic" w:hAnsi="Traditional Arabic" w:cs="Traditional Arabic"/>
          <w:b/>
          <w:bCs/>
          <w:color w:val="000000" w:themeColor="text1"/>
          <w:sz w:val="28"/>
          <w:szCs w:val="28"/>
          <w:rtl/>
        </w:rPr>
        <w:t>التعريف الإجرائي للشركات الناشئة</w:t>
      </w:r>
    </w:p>
    <w:p w14:paraId="4E928F19" w14:textId="45FF1657" w:rsidR="00410DB4" w:rsidRPr="00545ABB" w:rsidRDefault="00410DB4" w:rsidP="00922AC8">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تُعرّف الدراسة الحالية الشركات الناشئة إجرائيًا بأنها</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الشركات حديثة التأسيس التي تقوم على تطوير فكرة أو منتج أو خدمة مبتكرة، وتستهدف تحقيق النمو والتوسع، وتعتمد بدرجات متفاوتة على التكنولوجيا والابتكار، وتواجه خلال مراحل نموها الأولى تحديات تتعلق بالتمويل، وتطوير نموذج الأعمال، وبناء القدرات المؤسسية والتنظيمية اللازمة لاستمرار النشاط وتحقيق النمو المستدام</w:t>
      </w:r>
      <w:r w:rsidRPr="00545ABB">
        <w:rPr>
          <w:rStyle w:val="Strong"/>
          <w:rFonts w:ascii="Traditional Arabic" w:hAnsi="Traditional Arabic" w:cs="Traditional Arabic"/>
          <w:color w:val="000000" w:themeColor="text1"/>
        </w:rPr>
        <w:t>.</w:t>
      </w:r>
    </w:p>
    <w:p w14:paraId="67888BC5" w14:textId="77777777" w:rsidR="00410DB4" w:rsidRPr="00545ABB" w:rsidRDefault="00410DB4" w:rsidP="00410DB4">
      <w:pPr>
        <w:pStyle w:val="Heading3"/>
        <w:bidi/>
        <w:spacing w:line="360" w:lineRule="auto"/>
        <w:rPr>
          <w:rFonts w:ascii="Traditional Arabic" w:hAnsi="Traditional Arabic" w:cs="Traditional Arabic"/>
          <w:b/>
          <w:bCs/>
          <w:color w:val="000000" w:themeColor="text1"/>
        </w:rPr>
      </w:pPr>
      <w:bookmarkStart w:id="172" w:name="_Toc242325319"/>
      <w:r w:rsidRPr="00545ABB">
        <w:rPr>
          <w:rFonts w:ascii="Traditional Arabic" w:hAnsi="Traditional Arabic" w:cs="Traditional Arabic"/>
          <w:b/>
          <w:bCs/>
          <w:color w:val="000000" w:themeColor="text1"/>
          <w:rtl/>
        </w:rPr>
        <w:t>ثانيًا: الحوكمة وحوكمة الشركات</w:t>
      </w:r>
      <w:bookmarkEnd w:id="172"/>
    </w:p>
    <w:p w14:paraId="7C66EEA9" w14:textId="152EC251" w:rsidR="00410DB4" w:rsidRPr="00545ABB" w:rsidRDefault="00E32200" w:rsidP="00410DB4">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hint="cs"/>
          <w:b/>
          <w:bCs/>
          <w:i w:val="0"/>
          <w:iCs w:val="0"/>
          <w:color w:val="000000" w:themeColor="text1"/>
          <w:sz w:val="28"/>
          <w:szCs w:val="28"/>
          <w:rtl/>
        </w:rPr>
        <w:t xml:space="preserve">2- </w:t>
      </w:r>
      <w:r w:rsidR="00410DB4" w:rsidRPr="00545ABB">
        <w:rPr>
          <w:rFonts w:ascii="Traditional Arabic" w:hAnsi="Traditional Arabic" w:cs="Traditional Arabic"/>
          <w:b/>
          <w:bCs/>
          <w:i w:val="0"/>
          <w:iCs w:val="0"/>
          <w:color w:val="000000" w:themeColor="text1"/>
          <w:sz w:val="28"/>
          <w:szCs w:val="28"/>
        </w:rPr>
        <w:t xml:space="preserve"> </w:t>
      </w:r>
      <w:r w:rsidR="00410DB4" w:rsidRPr="00545ABB">
        <w:rPr>
          <w:rFonts w:ascii="Traditional Arabic" w:hAnsi="Traditional Arabic" w:cs="Traditional Arabic"/>
          <w:b/>
          <w:bCs/>
          <w:i w:val="0"/>
          <w:iCs w:val="0"/>
          <w:color w:val="000000" w:themeColor="text1"/>
          <w:sz w:val="28"/>
          <w:szCs w:val="28"/>
          <w:rtl/>
        </w:rPr>
        <w:t>مفهوم الحوكمة</w:t>
      </w:r>
    </w:p>
    <w:p w14:paraId="13DED164"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يُعد مفهوم الحوكمة</w:t>
      </w:r>
      <w:r w:rsidRPr="00545ABB">
        <w:rPr>
          <w:rFonts w:ascii="Traditional Arabic" w:hAnsi="Traditional Arabic" w:cs="Traditional Arabic"/>
          <w:b/>
          <w:bCs/>
          <w:color w:val="000000" w:themeColor="text1"/>
        </w:rPr>
        <w:t xml:space="preserve"> (Governance) </w:t>
      </w:r>
      <w:r w:rsidRPr="00545ABB">
        <w:rPr>
          <w:rFonts w:ascii="Traditional Arabic" w:hAnsi="Traditional Arabic" w:cs="Traditional Arabic"/>
          <w:b/>
          <w:bCs/>
          <w:color w:val="000000" w:themeColor="text1"/>
          <w:rtl/>
        </w:rPr>
        <w:t>من المفاهيم الإدارية والتنظيمية التي تطور استخدامها بصورة كبيرة خلال العقود الماضية، وأصبح يرتبط بالكيفية التي تتم بها ممارسة السلطة واتخاذ القرارات وإدارة الموارد وتحديد المسؤوليات وآليات الرقابة والمساءلة داخل المؤسسات والدول</w:t>
      </w:r>
      <w:r w:rsidRPr="00545ABB">
        <w:rPr>
          <w:rFonts w:ascii="Traditional Arabic" w:hAnsi="Traditional Arabic" w:cs="Traditional Arabic"/>
          <w:b/>
          <w:bCs/>
          <w:color w:val="000000" w:themeColor="text1"/>
        </w:rPr>
        <w:t>.</w:t>
      </w:r>
    </w:p>
    <w:p w14:paraId="6613B6E0"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تناول البنك الدولي الحوكمة باعتبارها الطريقة التي تمارس بها السلطة في إدارة الموارد الاقتصادية والاجتماعية للدولة من أجل تحقيق التنمية، بما يشمل طبيعة المؤسسات والعمليات التي تتم من خلالها صياغة القرارات وتنفيذها وإدارة الموارد </w:t>
      </w:r>
      <w:r w:rsidRPr="00545ABB">
        <w:rPr>
          <w:rFonts w:ascii="Traditional Arabic" w:hAnsi="Traditional Arabic" w:cs="Traditional Arabic"/>
          <w:b/>
          <w:bCs/>
          <w:color w:val="000000" w:themeColor="text1"/>
        </w:rPr>
        <w:t>(World Bank, 1992).</w:t>
      </w:r>
    </w:p>
    <w:p w14:paraId="1D5BAF81"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ويرتبط مفهوم الحوكمة كذلك بمفهوم </w:t>
      </w:r>
      <w:r w:rsidRPr="00545ABB">
        <w:rPr>
          <w:rStyle w:val="Strong"/>
          <w:rFonts w:ascii="Traditional Arabic" w:hAnsi="Traditional Arabic" w:cs="Traditional Arabic"/>
          <w:color w:val="000000" w:themeColor="text1"/>
          <w:rtl/>
        </w:rPr>
        <w:t xml:space="preserve">الحوكمة الرشيدة </w:t>
      </w:r>
      <w:r w:rsidRPr="00545ABB">
        <w:rPr>
          <w:rStyle w:val="Strong"/>
          <w:rFonts w:ascii="Traditional Arabic" w:hAnsi="Traditional Arabic" w:cs="Traditional Arabic"/>
          <w:color w:val="000000" w:themeColor="text1"/>
        </w:rPr>
        <w:t>(Good Governance)</w:t>
      </w:r>
      <w:r w:rsidRPr="00545ABB">
        <w:rPr>
          <w:rFonts w:ascii="Traditional Arabic" w:hAnsi="Traditional Arabic" w:cs="Traditional Arabic"/>
          <w:b/>
          <w:bCs/>
          <w:color w:val="000000" w:themeColor="text1"/>
          <w:rtl/>
        </w:rPr>
        <w:t>، الذي يقوم على عدد من المبادئ الرئيسة، من أبرزها الشفافية، والمساءلة، والمشاركة، وسيادة القانون، والكفاءة، والاستجابة، والعدالة في إدارة الموارد واتخاذ القرارات</w:t>
      </w:r>
      <w:r w:rsidRPr="00545ABB">
        <w:rPr>
          <w:rFonts w:ascii="Traditional Arabic" w:hAnsi="Traditional Arabic" w:cs="Traditional Arabic"/>
          <w:b/>
          <w:bCs/>
          <w:color w:val="000000" w:themeColor="text1"/>
        </w:rPr>
        <w:t>.</w:t>
      </w:r>
    </w:p>
    <w:p w14:paraId="6168B291"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وقد أضاف تقرير التنمية الإنسانية العربية بعدًا تنمويًا لمفهوم الحوكمة، من خلال ربطها بتوسيع قدرات الأفراد وخياراتهم وفرصهم الاقتصادية والاجتماعية والسياسية، وتعزيز المشاركة والمساءلة، وضمان استجابة المؤسسات لاحتياجات المجتمع (برنامج الأمم المتحدة الإنمائي، </w:t>
      </w:r>
      <w:r w:rsidRPr="00545ABB">
        <w:rPr>
          <w:rFonts w:ascii="Traditional Arabic" w:hAnsi="Traditional Arabic" w:cs="Traditional Arabic"/>
          <w:b/>
          <w:bCs/>
          <w:color w:val="000000" w:themeColor="text1"/>
        </w:rPr>
        <w:t>2002).</w:t>
      </w:r>
    </w:p>
    <w:p w14:paraId="08974231"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كما تناولت الأدبيات العربية الحوكمة بوصفها منظومة متكاملة من القواعد والآليات والمؤسسات التي تضبط ممارسة السلطة، وتنظم العلاقات بين الأطراف المختلفة، وتدعم الشفافية والمساءلة والمشاركة والفاعلية في اتخاذ القرارات وإدارة الموارد (الكايد، </w:t>
      </w:r>
      <w:r w:rsidRPr="00545ABB">
        <w:rPr>
          <w:rFonts w:ascii="Traditional Arabic" w:hAnsi="Traditional Arabic" w:cs="Traditional Arabic"/>
          <w:b/>
          <w:bCs/>
          <w:color w:val="000000" w:themeColor="text1"/>
        </w:rPr>
        <w:t>2003).</w:t>
      </w:r>
    </w:p>
    <w:p w14:paraId="11B25B29" w14:textId="7ED3668A" w:rsidR="00410DB4" w:rsidRPr="00545ABB" w:rsidRDefault="00410DB4" w:rsidP="00274D73">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وبناءً على ما سبق، يمكن تعريف الحوكمة بصورة عامة بأنها</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منظومة من المبادئ والقواعد والهياكل والعمليات التي تنظم ممارسة السلطة واتخاذ القرار وإدارة الموارد، وتحدد المسؤوليات وآليات الرقابة والمساءلة، بما يعزز الشفافية والعدالة والكفاءة وتحقيق الأهداف المؤسسية والتنموية</w:t>
      </w:r>
      <w:r w:rsidRPr="00545ABB">
        <w:rPr>
          <w:rStyle w:val="Strong"/>
          <w:rFonts w:ascii="Traditional Arabic" w:hAnsi="Traditional Arabic" w:cs="Traditional Arabic"/>
          <w:color w:val="000000" w:themeColor="text1"/>
        </w:rPr>
        <w:t>.</w:t>
      </w:r>
    </w:p>
    <w:p w14:paraId="025FEE1E" w14:textId="3E31322B" w:rsidR="00410DB4" w:rsidRPr="00545ABB" w:rsidRDefault="00274D73" w:rsidP="00410DB4">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hint="cs"/>
          <w:b/>
          <w:bCs/>
          <w:i w:val="0"/>
          <w:iCs w:val="0"/>
          <w:color w:val="000000" w:themeColor="text1"/>
          <w:sz w:val="28"/>
          <w:szCs w:val="28"/>
          <w:rtl/>
        </w:rPr>
        <w:t xml:space="preserve">3- </w:t>
      </w:r>
      <w:r w:rsidR="00410DB4" w:rsidRPr="00545ABB">
        <w:rPr>
          <w:rFonts w:ascii="Traditional Arabic" w:hAnsi="Traditional Arabic" w:cs="Traditional Arabic"/>
          <w:b/>
          <w:bCs/>
          <w:i w:val="0"/>
          <w:iCs w:val="0"/>
          <w:color w:val="000000" w:themeColor="text1"/>
          <w:sz w:val="28"/>
          <w:szCs w:val="28"/>
          <w:rtl/>
        </w:rPr>
        <w:t>مفهوم حوكمة الشركات</w:t>
      </w:r>
    </w:p>
    <w:p w14:paraId="353EAD8C"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تمثل حوكمة الشركات</w:t>
      </w:r>
      <w:r w:rsidRPr="00545ABB">
        <w:rPr>
          <w:rFonts w:ascii="Traditional Arabic" w:hAnsi="Traditional Arabic" w:cs="Traditional Arabic"/>
          <w:b/>
          <w:bCs/>
          <w:color w:val="000000" w:themeColor="text1"/>
        </w:rPr>
        <w:t xml:space="preserve"> (Corporate Governance) </w:t>
      </w:r>
      <w:r w:rsidRPr="00545ABB">
        <w:rPr>
          <w:rFonts w:ascii="Traditional Arabic" w:hAnsi="Traditional Arabic" w:cs="Traditional Arabic"/>
          <w:b/>
          <w:bCs/>
          <w:color w:val="000000" w:themeColor="text1"/>
          <w:rtl/>
        </w:rPr>
        <w:t>أحد التطبيقات المؤسسية الرئيسة لمفهوم الحوكمة، وتهتم بكيفية توجيه الشركات وإدارتها والرقابة عليها، وتنظيم العلاقات بين الأطراف ذات العلاقة بها</w:t>
      </w:r>
      <w:r w:rsidRPr="00545ABB">
        <w:rPr>
          <w:rFonts w:ascii="Traditional Arabic" w:hAnsi="Traditional Arabic" w:cs="Traditional Arabic"/>
          <w:b/>
          <w:bCs/>
          <w:color w:val="000000" w:themeColor="text1"/>
        </w:rPr>
        <w:t>.</w:t>
      </w:r>
    </w:p>
    <w:p w14:paraId="409493A0" w14:textId="7BF5B858" w:rsidR="00410DB4" w:rsidRPr="00545ABB" w:rsidRDefault="00410DB4" w:rsidP="00A6165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وتوضح منظمة التعاون الاقتصادي والتنمية أن حوكمة الشركات تشمل مجموعة العلاقات بين إدارة الشركة ومجلس إدارتها والمساهمين وأصحاب المصلحة، كما توفر الهيكل والنظم التي يتم من خلالها توجيه الشركة وتحديد أهدافها، وتحديد الوسائل اللازمة لتحقيق تلك الأهداف ومراقبة الأداء </w:t>
      </w:r>
      <w:r w:rsidRPr="00545ABB">
        <w:rPr>
          <w:rFonts w:ascii="Traditional Arabic" w:hAnsi="Traditional Arabic" w:cs="Traditional Arabic"/>
          <w:b/>
          <w:bCs/>
          <w:color w:val="000000" w:themeColor="text1"/>
        </w:rPr>
        <w:t xml:space="preserve">(OECD, 2023). </w:t>
      </w:r>
    </w:p>
    <w:p w14:paraId="1EF041B6" w14:textId="724AF53C" w:rsidR="00410DB4" w:rsidRPr="00545ABB" w:rsidRDefault="00410DB4" w:rsidP="00A6165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وتؤكد مبادئ</w:t>
      </w:r>
      <w:r w:rsidRPr="00545ABB">
        <w:rPr>
          <w:rFonts w:ascii="Traditional Arabic" w:hAnsi="Traditional Arabic" w:cs="Traditional Arabic"/>
          <w:b/>
          <w:bCs/>
          <w:color w:val="000000" w:themeColor="text1"/>
        </w:rPr>
        <w:t xml:space="preserve"> G20/OECD </w:t>
      </w:r>
      <w:r w:rsidRPr="00545ABB">
        <w:rPr>
          <w:rFonts w:ascii="Traditional Arabic" w:hAnsi="Traditional Arabic" w:cs="Traditional Arabic"/>
          <w:b/>
          <w:bCs/>
          <w:color w:val="000000" w:themeColor="text1"/>
          <w:rtl/>
        </w:rPr>
        <w:t xml:space="preserve">لحوكمة الشركات لعام 2023 على أن الإطار الفعال لحوكمة الشركات ينبغي أن يدعم الشفافية والعدالة وكفاءة تخصيص الموارد، وأن يوفر آليات مناسبة للإشراف والمساءلة والإنفاذ، بما يسهم في تعزيز الثقة والنمو المستدام والاستقرار المؤسسي </w:t>
      </w:r>
      <w:r w:rsidRPr="00545ABB">
        <w:rPr>
          <w:rFonts w:ascii="Traditional Arabic" w:hAnsi="Traditional Arabic" w:cs="Traditional Arabic"/>
          <w:b/>
          <w:bCs/>
          <w:color w:val="000000" w:themeColor="text1"/>
        </w:rPr>
        <w:t xml:space="preserve">(OECD, 2023). </w:t>
      </w:r>
    </w:p>
    <w:p w14:paraId="02159BC4"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يعرف</w:t>
      </w:r>
      <w:r w:rsidRPr="00545ABB">
        <w:rPr>
          <w:rFonts w:ascii="Traditional Arabic" w:hAnsi="Traditional Arabic" w:cs="Traditional Arabic"/>
          <w:b/>
          <w:bCs/>
          <w:color w:val="000000" w:themeColor="text1"/>
        </w:rPr>
        <w:t xml:space="preserve"> ASX Corporate Governance Council </w:t>
      </w:r>
      <w:r w:rsidRPr="00545ABB">
        <w:rPr>
          <w:rFonts w:ascii="Traditional Arabic" w:hAnsi="Traditional Arabic" w:cs="Traditional Arabic"/>
          <w:b/>
          <w:bCs/>
          <w:color w:val="000000" w:themeColor="text1"/>
          <w:rtl/>
        </w:rPr>
        <w:t xml:space="preserve">حوكمة الشركات باعتبارها الإطار الذي يتضمن القواعد والعلاقات والنظم والعمليات التي تمارس من خلالها السلطة وتخضع الشركات من خلالها للتوجيه والرقابة والمساءلة </w:t>
      </w:r>
      <w:r w:rsidRPr="00545ABB">
        <w:rPr>
          <w:rFonts w:ascii="Traditional Arabic" w:hAnsi="Traditional Arabic" w:cs="Traditional Arabic"/>
          <w:b/>
          <w:bCs/>
          <w:color w:val="000000" w:themeColor="text1"/>
        </w:rPr>
        <w:t>(ASX Corporate Governance Council, 2019).</w:t>
      </w:r>
    </w:p>
    <w:p w14:paraId="12056DF8"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وتتضمن حوكمة الشركات عددًا من المبادئ المحورية، من أبرزها: الشفافية والإفصاح، والمساءلة والمسؤولية، وضوح الصلاحيات، حماية حقوق أصحاب المصلحة، الرقابة على الأداء، إدارة المخاطر، وكفاءة عملية اتخاذ القرار</w:t>
      </w:r>
      <w:r w:rsidRPr="00545ABB">
        <w:rPr>
          <w:rFonts w:ascii="Traditional Arabic" w:hAnsi="Traditional Arabic" w:cs="Traditional Arabic"/>
          <w:b/>
          <w:bCs/>
          <w:color w:val="000000" w:themeColor="text1"/>
        </w:rPr>
        <w:t>.</w:t>
      </w:r>
    </w:p>
    <w:p w14:paraId="75588CAC"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وبناءً على هذه التعريفات، يمكن النظر إلى حوكمة الشركات باعتبارها </w:t>
      </w:r>
      <w:r w:rsidRPr="00545ABB">
        <w:rPr>
          <w:rStyle w:val="Strong"/>
          <w:rFonts w:ascii="Traditional Arabic" w:hAnsi="Traditional Arabic" w:cs="Traditional Arabic"/>
          <w:color w:val="000000" w:themeColor="text1"/>
          <w:rtl/>
        </w:rPr>
        <w:t>إطارًا مؤسسيًا وتنظيميًا يحدد كيفية توجيه الشركة وإدارتها والرقابة عليها، وينظم العلاقات والصلاحيات والمسؤوليات بين مجلس الإدارة والإدارة التنفيذية والمساهمين وأصحاب المصلحة، بما يعزز الشفافية والمساءلة وكفاءة الأداء وحماية المصالح وتحقيق الاستدامة</w:t>
      </w:r>
      <w:r w:rsidRPr="00545ABB">
        <w:rPr>
          <w:rStyle w:val="Strong"/>
          <w:rFonts w:ascii="Traditional Arabic" w:hAnsi="Traditional Arabic" w:cs="Traditional Arabic"/>
          <w:color w:val="000000" w:themeColor="text1"/>
        </w:rPr>
        <w:t>.</w:t>
      </w:r>
    </w:p>
    <w:p w14:paraId="6119A190" w14:textId="77777777" w:rsidR="00410DB4" w:rsidRPr="00545ABB" w:rsidRDefault="00410DB4" w:rsidP="00410DB4">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b/>
          <w:bCs/>
          <w:i w:val="0"/>
          <w:iCs w:val="0"/>
          <w:color w:val="000000" w:themeColor="text1"/>
          <w:sz w:val="28"/>
          <w:szCs w:val="28"/>
          <w:rtl/>
        </w:rPr>
        <w:lastRenderedPageBreak/>
        <w:t>التعريف الإجرائي لحوكمة الشركات</w:t>
      </w:r>
    </w:p>
    <w:p w14:paraId="2F57ED8D"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تُعرّف الدراسة الحالية حوكمة الشركات إجرائيًا بأنها</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منظومة من القواعد والمبادئ والهياكل والآليات والإجراءات التي تنظم عملية توجيه الشركة وإدارتها والرقابة عليها، وتحدد المسؤوليات والصلاحيات والعلاقات بين الأطراف ذات الصلة، بما يعزز الشفافية والإفصاح، والمساءلة والمسؤولية، والمشاركة في اتخاذ القرار، وإدارة المخاطر والالتزام، والكفاءة في استخدام الموارد، ويدعم تحقيق الاستدامة والنجاح المؤسسي</w:t>
      </w:r>
      <w:r w:rsidRPr="00545ABB">
        <w:rPr>
          <w:rStyle w:val="Strong"/>
          <w:rFonts w:ascii="Traditional Arabic" w:hAnsi="Traditional Arabic" w:cs="Traditional Arabic"/>
          <w:color w:val="000000" w:themeColor="text1"/>
        </w:rPr>
        <w:t>.</w:t>
      </w:r>
    </w:p>
    <w:p w14:paraId="685E35FE" w14:textId="05C7D191" w:rsidR="00410DB4" w:rsidRPr="00545ABB" w:rsidRDefault="00410DB4" w:rsidP="00A61655">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وهذا التعريف يتفق بصورة مباشرة مع الأبعاد الخمسة للحوكمة الفعالة التي اعتمدتها الدراسة</w:t>
      </w:r>
      <w:r w:rsidRPr="00545ABB">
        <w:rPr>
          <w:rFonts w:ascii="Traditional Arabic" w:hAnsi="Traditional Arabic" w:cs="Traditional Arabic"/>
          <w:b/>
          <w:bCs/>
          <w:color w:val="000000" w:themeColor="text1"/>
        </w:rPr>
        <w:t>.</w:t>
      </w:r>
    </w:p>
    <w:p w14:paraId="014A51DB" w14:textId="77777777" w:rsidR="00410DB4" w:rsidRPr="00545ABB" w:rsidRDefault="00410DB4" w:rsidP="00410DB4">
      <w:pPr>
        <w:pStyle w:val="Heading3"/>
        <w:bidi/>
        <w:spacing w:line="360" w:lineRule="auto"/>
        <w:rPr>
          <w:rFonts w:ascii="Traditional Arabic" w:hAnsi="Traditional Arabic" w:cs="Traditional Arabic"/>
          <w:b/>
          <w:bCs/>
          <w:color w:val="000000" w:themeColor="text1"/>
        </w:rPr>
      </w:pPr>
      <w:bookmarkStart w:id="173" w:name="_Toc242325320"/>
      <w:r w:rsidRPr="00545ABB">
        <w:rPr>
          <w:rFonts w:ascii="Traditional Arabic" w:hAnsi="Traditional Arabic" w:cs="Traditional Arabic"/>
          <w:b/>
          <w:bCs/>
          <w:color w:val="000000" w:themeColor="text1"/>
          <w:rtl/>
        </w:rPr>
        <w:t>ثالثًا: الأمن السيبراني</w:t>
      </w:r>
      <w:bookmarkEnd w:id="173"/>
    </w:p>
    <w:p w14:paraId="1B32E659" w14:textId="423D9666" w:rsidR="00410DB4" w:rsidRPr="00545ABB" w:rsidRDefault="00410DB4" w:rsidP="00D95153">
      <w:pPr>
        <w:pStyle w:val="Heading4"/>
        <w:numPr>
          <w:ilvl w:val="0"/>
          <w:numId w:val="6"/>
        </w:numPr>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b/>
          <w:bCs/>
          <w:i w:val="0"/>
          <w:iCs w:val="0"/>
          <w:color w:val="000000" w:themeColor="text1"/>
          <w:sz w:val="28"/>
          <w:szCs w:val="28"/>
        </w:rPr>
        <w:t xml:space="preserve"> </w:t>
      </w:r>
      <w:r w:rsidRPr="00545ABB">
        <w:rPr>
          <w:rFonts w:ascii="Traditional Arabic" w:hAnsi="Traditional Arabic" w:cs="Traditional Arabic"/>
          <w:b/>
          <w:bCs/>
          <w:i w:val="0"/>
          <w:iCs w:val="0"/>
          <w:color w:val="000000" w:themeColor="text1"/>
          <w:sz w:val="28"/>
          <w:szCs w:val="28"/>
          <w:rtl/>
        </w:rPr>
        <w:t>مفهوم الأمن السيبراني</w:t>
      </w:r>
    </w:p>
    <w:p w14:paraId="0ABBA91F"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أصبح الأمن السيبراني من المفاهيم الأساسية في البيئات الرقمية الحديثة نتيجة الاعتماد المتزايد على تقنيات المعلومات والاتصالات، والخدمات الرقمية، والشبكات، والبيانات، وما صاحب ذلك من تصاعد في مستوى التهديدات والهجمات والمخاطر السيبرانية</w:t>
      </w:r>
      <w:r w:rsidRPr="00545ABB">
        <w:rPr>
          <w:rFonts w:ascii="Traditional Arabic" w:hAnsi="Traditional Arabic" w:cs="Traditional Arabic"/>
          <w:b/>
          <w:bCs/>
          <w:color w:val="000000" w:themeColor="text1"/>
        </w:rPr>
        <w:t>.</w:t>
      </w:r>
    </w:p>
    <w:p w14:paraId="5C53BF7F" w14:textId="77777777" w:rsidR="00410DB4" w:rsidRPr="00545ABB" w:rsidRDefault="00410DB4" w:rsidP="00410DB4">
      <w:pPr>
        <w:pStyle w:val="Heading4"/>
        <w:bidi/>
        <w:spacing w:line="360" w:lineRule="auto"/>
        <w:rPr>
          <w:rFonts w:ascii="Traditional Arabic" w:hAnsi="Traditional Arabic" w:cs="Traditional Arabic"/>
          <w:b/>
          <w:bCs/>
          <w:i w:val="0"/>
          <w:iCs w:val="0"/>
          <w:color w:val="000000" w:themeColor="text1"/>
        </w:rPr>
      </w:pPr>
      <w:r w:rsidRPr="00545ABB">
        <w:rPr>
          <w:rFonts w:ascii="Traditional Arabic" w:hAnsi="Traditional Arabic" w:cs="Traditional Arabic"/>
          <w:b/>
          <w:bCs/>
          <w:i w:val="0"/>
          <w:iCs w:val="0"/>
          <w:color w:val="000000" w:themeColor="text1"/>
          <w:rtl/>
        </w:rPr>
        <w:t>أ- الأمن من الناحية اللغوية</w:t>
      </w:r>
    </w:p>
    <w:p w14:paraId="13E65A4C"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يشير الأمن في اللغة إلى الطمأنينة وسكون النفس وزوال الخوف، وهو نقيض الخوف، ويقال: أمِن من الشر، أي سلم منه</w:t>
      </w:r>
      <w:r w:rsidRPr="00545ABB">
        <w:rPr>
          <w:rFonts w:ascii="Traditional Arabic" w:hAnsi="Traditional Arabic" w:cs="Traditional Arabic"/>
          <w:b/>
          <w:bCs/>
          <w:color w:val="000000" w:themeColor="text1"/>
        </w:rPr>
        <w:t>.</w:t>
      </w:r>
    </w:p>
    <w:p w14:paraId="0722C7AA"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ورد في القرآن الكريم قوله تعالى</w:t>
      </w:r>
      <w:r w:rsidRPr="00545ABB">
        <w:rPr>
          <w:rFonts w:ascii="Traditional Arabic" w:hAnsi="Traditional Arabic" w:cs="Traditional Arabic"/>
          <w:b/>
          <w:bCs/>
          <w:color w:val="000000" w:themeColor="text1"/>
        </w:rPr>
        <w:t>:</w:t>
      </w:r>
    </w:p>
    <w:p w14:paraId="5C52851F" w14:textId="628CBD79" w:rsidR="00410DB4" w:rsidRPr="00545ABB" w:rsidRDefault="00410DB4" w:rsidP="009D080A">
      <w:pPr>
        <w:pStyle w:val="NormalWeb"/>
        <w:bidi/>
        <w:spacing w:line="360" w:lineRule="auto"/>
        <w:rPr>
          <w:rFonts w:ascii="Traditional Arabic" w:hAnsi="Traditional Arabic" w:cs="Traditional Arabic"/>
          <w:b/>
          <w:bCs/>
          <w:color w:val="000000" w:themeColor="text1"/>
        </w:rPr>
      </w:pPr>
      <w:r w:rsidRPr="00545ABB">
        <w:rPr>
          <w:rStyle w:val="Strong"/>
          <w:rFonts w:ascii="Traditional Arabic" w:hAnsi="Traditional Arabic" w:cs="Traditional Arabic"/>
          <w:color w:val="000000" w:themeColor="text1"/>
          <w:rtl/>
        </w:rPr>
        <w:t>﴿وَإِذْ قَالَ إِبْرَاهِيمُ رَبِّ اجْعَلْ هَٰذَا بَلَدًا آمِنًا وَارْزُقْ أَهْلَهُ مِنَ الثَّمَرَاتِ﴾</w:t>
      </w:r>
      <w:r w:rsidRPr="00545ABB">
        <w:rPr>
          <w:rFonts w:ascii="Traditional Arabic" w:hAnsi="Traditional Arabic" w:cs="Traditional Arabic"/>
          <w:b/>
          <w:bCs/>
          <w:color w:val="000000" w:themeColor="text1"/>
        </w:rPr>
        <w:br/>
      </w:r>
      <w:r w:rsidR="009D080A" w:rsidRPr="00545ABB">
        <w:rPr>
          <w:rStyle w:val="Emphasis"/>
          <w:rFonts w:ascii="Traditional Arabic" w:hAnsi="Traditional Arabic" w:cs="Traditional Arabic" w:hint="cs"/>
          <w:b/>
          <w:bCs/>
          <w:color w:val="000000" w:themeColor="text1"/>
          <w:rtl/>
        </w:rPr>
        <w:t>(</w:t>
      </w:r>
      <w:r w:rsidRPr="00545ABB">
        <w:rPr>
          <w:rStyle w:val="Emphasis"/>
          <w:rFonts w:ascii="Traditional Arabic" w:hAnsi="Traditional Arabic" w:cs="Traditional Arabic"/>
          <w:b/>
          <w:bCs/>
          <w:color w:val="000000" w:themeColor="text1"/>
          <w:rtl/>
        </w:rPr>
        <w:t xml:space="preserve">سورة البقرة: الآية </w:t>
      </w:r>
      <w:r w:rsidRPr="00545ABB">
        <w:rPr>
          <w:rStyle w:val="Emphasis"/>
          <w:rFonts w:ascii="Traditional Arabic" w:hAnsi="Traditional Arabic" w:cs="Traditional Arabic"/>
          <w:b/>
          <w:bCs/>
          <w:color w:val="000000" w:themeColor="text1"/>
        </w:rPr>
        <w:t>126</w:t>
      </w:r>
      <w:r w:rsidR="009D080A" w:rsidRPr="00545ABB">
        <w:rPr>
          <w:rStyle w:val="Emphasis"/>
          <w:rFonts w:ascii="Traditional Arabic" w:hAnsi="Traditional Arabic" w:cs="Traditional Arabic" w:hint="cs"/>
          <w:b/>
          <w:bCs/>
          <w:color w:val="000000" w:themeColor="text1"/>
          <w:rtl/>
        </w:rPr>
        <w:t>)</w:t>
      </w:r>
      <w:r w:rsidRPr="00545ABB">
        <w:rPr>
          <w:rStyle w:val="Emphasis"/>
          <w:rFonts w:ascii="Traditional Arabic" w:hAnsi="Traditional Arabic" w:cs="Traditional Arabic"/>
          <w:b/>
          <w:bCs/>
          <w:color w:val="000000" w:themeColor="text1"/>
        </w:rPr>
        <w:t>.</w:t>
      </w:r>
    </w:p>
    <w:p w14:paraId="64C9D139" w14:textId="77777777" w:rsidR="00410DB4" w:rsidRPr="00545ABB" w:rsidRDefault="00410DB4" w:rsidP="00410DB4">
      <w:pPr>
        <w:pStyle w:val="Heading4"/>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ب- الأمن السيبراني من الناحية الاصطلاحية</w:t>
      </w:r>
    </w:p>
    <w:p w14:paraId="2D6C652E" w14:textId="02F1FDA5" w:rsidR="00410DB4" w:rsidRPr="00545ABB" w:rsidRDefault="00410DB4" w:rsidP="009D080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يعرّف المعهد الوطني الأمريكي للمعايير والتكنولوجيا</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 xml:space="preserve">الأمن السيبراني بأنه القدرة على حماية استخدام الفضاء السيبراني والدفاع عنه في مواجهة الهجمات السيبرانية </w:t>
      </w:r>
      <w:r w:rsidRPr="00545ABB">
        <w:rPr>
          <w:rFonts w:ascii="Traditional Arabic" w:hAnsi="Traditional Arabic" w:cs="Traditional Arabic"/>
          <w:b/>
          <w:bCs/>
          <w:color w:val="000000" w:themeColor="text1"/>
        </w:rPr>
        <w:t xml:space="preserve">(NIST, 2018). </w:t>
      </w:r>
    </w:p>
    <w:p w14:paraId="327257A6" w14:textId="382D7418" w:rsidR="00410DB4" w:rsidRPr="00545ABB" w:rsidRDefault="00410DB4" w:rsidP="009D080A">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lastRenderedPageBreak/>
        <w:t>كما يوضح</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أن مفهوم الأمن السيبراني يشمل حماية الأنظمة الحاسوبية، وأنظمة الاتصالات الإلكترونية، والخدمات والمعلومات التي تحتوي عليها، من الضرر أو الاستخدام غير المصرح به أو الاستغلال، والمحافظة على خصائص السرية والتكامل والتوافر وغيرها من خصائص الحماية الأساسية</w:t>
      </w:r>
      <w:r w:rsidRPr="00545ABB">
        <w:rPr>
          <w:rFonts w:ascii="Traditional Arabic" w:hAnsi="Traditional Arabic" w:cs="Traditional Arabic"/>
          <w:b/>
          <w:bCs/>
          <w:color w:val="000000" w:themeColor="text1"/>
        </w:rPr>
        <w:t xml:space="preserve">. </w:t>
      </w:r>
    </w:p>
    <w:p w14:paraId="67994F26"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وتشير الأدبيات المتخصصة إلى أن الأمن السيبراني لا يقتصر على الوسائل والتقنيات المستخدمة لمنع الهجمات، وإنما يشمل كذلك مجموعة متكاملة من السياسات والعمليات والإجراءات التنظيمية والإدارية وآليات إدارة المخاطر والاستجابة للحوادث والتعافي منها</w:t>
      </w:r>
      <w:r w:rsidRPr="00545ABB">
        <w:rPr>
          <w:rFonts w:ascii="Traditional Arabic" w:hAnsi="Traditional Arabic" w:cs="Traditional Arabic"/>
          <w:b/>
          <w:bCs/>
          <w:color w:val="000000" w:themeColor="text1"/>
        </w:rPr>
        <w:t>.</w:t>
      </w:r>
    </w:p>
    <w:p w14:paraId="7F7E4875"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وفي هذا السياق، تناول الطيار (2020) الأمن السيبراني باعتباره مجموعة من الممارسات والإجراءات الوقائية والعلاجية التي تستهدف حماية الأنظمة والشبكات والبرامج من الهجمات الرقمية ومواجهة آثارها، بما يعزز قدرة المؤسسات على حماية أصولها الرقمية واستمرارية أعمالها</w:t>
      </w:r>
      <w:r w:rsidRPr="00545ABB">
        <w:rPr>
          <w:rFonts w:ascii="Traditional Arabic" w:hAnsi="Traditional Arabic" w:cs="Traditional Arabic"/>
          <w:b/>
          <w:bCs/>
          <w:color w:val="000000" w:themeColor="text1"/>
        </w:rPr>
        <w:t>.</w:t>
      </w:r>
    </w:p>
    <w:p w14:paraId="2AAEA0AC"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كما تناول</w:t>
      </w:r>
      <w:r w:rsidRPr="00545ABB">
        <w:rPr>
          <w:rFonts w:ascii="Traditional Arabic" w:hAnsi="Traditional Arabic" w:cs="Traditional Arabic"/>
          <w:b/>
          <w:bCs/>
          <w:color w:val="000000" w:themeColor="text1"/>
        </w:rPr>
        <w:t xml:space="preserve"> Lehto and Neittaanmäki (2015) </w:t>
      </w:r>
      <w:r w:rsidRPr="00545ABB">
        <w:rPr>
          <w:rFonts w:ascii="Traditional Arabic" w:hAnsi="Traditional Arabic" w:cs="Traditional Arabic"/>
          <w:b/>
          <w:bCs/>
          <w:color w:val="000000" w:themeColor="text1"/>
          <w:rtl/>
        </w:rPr>
        <w:t>الأمن السيبراني من منظور تكاملي يشمل التدابير الدفاعية والتقنيات والإجراءات التنظيمية المستخدمة للتعامل مع التهديدات والهجمات السيبرانية والحد من آثارها على الأنظمة والمعلومات</w:t>
      </w:r>
      <w:r w:rsidRPr="00545ABB">
        <w:rPr>
          <w:rFonts w:ascii="Traditional Arabic" w:hAnsi="Traditional Arabic" w:cs="Traditional Arabic"/>
          <w:b/>
          <w:bCs/>
          <w:color w:val="000000" w:themeColor="text1"/>
        </w:rPr>
        <w:t>.</w:t>
      </w:r>
    </w:p>
    <w:p w14:paraId="0856BD2E"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وتبرز أهمية البعد الإداري والتنظيمي للأمن السيبراني بصفة خاصة عند ربطه بحوكمة المؤسسات، إذ إن مستوى الأمن السيبراني لا يعتمد فقط على الحلول التقنية، وإنما يرتبط كذلك بجودة الإدارة، ووضوح المسؤوليات والصلاحيات، وإدارة المخاطر، والالتزام بالضوابط والمتطلبات التنظيمية، والمراقبة المستمرة للأداء الأمني</w:t>
      </w:r>
      <w:r w:rsidRPr="00545ABB">
        <w:rPr>
          <w:rFonts w:ascii="Traditional Arabic" w:hAnsi="Traditional Arabic" w:cs="Traditional Arabic"/>
          <w:b/>
          <w:bCs/>
          <w:color w:val="000000" w:themeColor="text1"/>
        </w:rPr>
        <w:t>.</w:t>
      </w:r>
    </w:p>
    <w:p w14:paraId="02A44743"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وقد عزز الإصدار الحديث من إطار</w:t>
      </w:r>
      <w:r w:rsidRPr="00545ABB">
        <w:rPr>
          <w:rFonts w:ascii="Traditional Arabic" w:hAnsi="Traditional Arabic" w:cs="Traditional Arabic"/>
          <w:b/>
          <w:bCs/>
          <w:color w:val="000000" w:themeColor="text1"/>
        </w:rPr>
        <w:t xml:space="preserve"> NIST </w:t>
      </w:r>
      <w:r w:rsidRPr="00545ABB">
        <w:rPr>
          <w:rFonts w:ascii="Traditional Arabic" w:hAnsi="Traditional Arabic" w:cs="Traditional Arabic"/>
          <w:b/>
          <w:bCs/>
          <w:color w:val="000000" w:themeColor="text1"/>
          <w:rtl/>
        </w:rPr>
        <w:t>للأمن السيبراني</w:t>
      </w:r>
      <w:r w:rsidRPr="00545ABB">
        <w:rPr>
          <w:rFonts w:ascii="Traditional Arabic" w:hAnsi="Traditional Arabic" w:cs="Traditional Arabic"/>
          <w:b/>
          <w:bCs/>
          <w:color w:val="000000" w:themeColor="text1"/>
        </w:rPr>
        <w:t xml:space="preserve"> CSF 2.0 </w:t>
      </w:r>
      <w:r w:rsidRPr="00545ABB">
        <w:rPr>
          <w:rFonts w:ascii="Traditional Arabic" w:hAnsi="Traditional Arabic" w:cs="Traditional Arabic"/>
          <w:b/>
          <w:bCs/>
          <w:color w:val="000000" w:themeColor="text1"/>
          <w:rtl/>
        </w:rPr>
        <w:t xml:space="preserve">هذا التوجه من خلال إضافة وظيفة </w:t>
      </w:r>
      <w:r w:rsidRPr="00545ABB">
        <w:rPr>
          <w:rStyle w:val="Strong"/>
          <w:rFonts w:ascii="Traditional Arabic" w:hAnsi="Traditional Arabic" w:cs="Traditional Arabic"/>
          <w:color w:val="000000" w:themeColor="text1"/>
          <w:rtl/>
        </w:rPr>
        <w:t xml:space="preserve">الحوكمة </w:t>
      </w:r>
      <w:r w:rsidRPr="00545ABB">
        <w:rPr>
          <w:rStyle w:val="Strong"/>
          <w:rFonts w:ascii="Traditional Arabic" w:hAnsi="Traditional Arabic" w:cs="Traditional Arabic"/>
          <w:color w:val="000000" w:themeColor="text1"/>
        </w:rPr>
        <w:t>(Govern)</w:t>
      </w:r>
      <w:r w:rsidRPr="00545ABB">
        <w:rPr>
          <w:rFonts w:ascii="Traditional Arabic" w:hAnsi="Traditional Arabic" w:cs="Traditional Arabic"/>
          <w:b/>
          <w:bCs/>
          <w:color w:val="000000" w:themeColor="text1"/>
        </w:rPr>
        <w:t xml:space="preserve"> </w:t>
      </w:r>
      <w:r w:rsidRPr="00545ABB">
        <w:rPr>
          <w:rFonts w:ascii="Traditional Arabic" w:hAnsi="Traditional Arabic" w:cs="Traditional Arabic"/>
          <w:b/>
          <w:bCs/>
          <w:color w:val="000000" w:themeColor="text1"/>
          <w:rtl/>
        </w:rPr>
        <w:t xml:space="preserve">بوصفها إحدى الوظائف الرئيسة للإطار، بما يؤكد أهمية الحوكمة وإدارة المخاطر والسياسات والمسؤوليات في بناء منظومة الأمن السيبراني المؤسسية </w:t>
      </w:r>
      <w:r w:rsidRPr="00545ABB">
        <w:rPr>
          <w:rFonts w:ascii="Traditional Arabic" w:hAnsi="Traditional Arabic" w:cs="Traditional Arabic"/>
          <w:b/>
          <w:bCs/>
          <w:color w:val="000000" w:themeColor="text1"/>
        </w:rPr>
        <w:t>(NIST, 2024).</w:t>
      </w:r>
    </w:p>
    <w:p w14:paraId="734E75A2"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 xml:space="preserve">وبناءً على ما سبق، يمكن النظر إلى الأمن السيبراني باعتباره </w:t>
      </w:r>
      <w:r w:rsidRPr="00545ABB">
        <w:rPr>
          <w:rStyle w:val="Strong"/>
          <w:rFonts w:ascii="Traditional Arabic" w:hAnsi="Traditional Arabic" w:cs="Traditional Arabic"/>
          <w:color w:val="000000" w:themeColor="text1"/>
          <w:rtl/>
        </w:rPr>
        <w:t>منظومة متكاملة من السياسات والإجراءات والممارسات والتقنيات والضوابط التنظيمية التي تهدف إلى حماية الأنظمة والشبكات والبيانات والأصول الرقمية من التهديدات والهجمات السيبرانية، وإدارة المخاطر المرتبطة بها، والاستجابة للحوادث والتعافي منها، وضمان استمرارية الأعمال</w:t>
      </w:r>
      <w:r w:rsidRPr="00545ABB">
        <w:rPr>
          <w:rStyle w:val="Strong"/>
          <w:rFonts w:ascii="Traditional Arabic" w:hAnsi="Traditional Arabic" w:cs="Traditional Arabic"/>
          <w:color w:val="000000" w:themeColor="text1"/>
        </w:rPr>
        <w:t>.</w:t>
      </w:r>
    </w:p>
    <w:p w14:paraId="2403ACB6" w14:textId="77777777" w:rsidR="00410DB4" w:rsidRPr="00545ABB" w:rsidRDefault="00410DB4" w:rsidP="00410DB4">
      <w:pPr>
        <w:pStyle w:val="Heading4"/>
        <w:bidi/>
        <w:spacing w:line="360" w:lineRule="auto"/>
        <w:rPr>
          <w:rFonts w:ascii="Traditional Arabic" w:hAnsi="Traditional Arabic" w:cs="Traditional Arabic"/>
          <w:b/>
          <w:bCs/>
          <w:i w:val="0"/>
          <w:iCs w:val="0"/>
          <w:color w:val="000000" w:themeColor="text1"/>
          <w:sz w:val="28"/>
          <w:szCs w:val="28"/>
        </w:rPr>
      </w:pPr>
      <w:r w:rsidRPr="00545ABB">
        <w:rPr>
          <w:rFonts w:ascii="Traditional Arabic" w:hAnsi="Traditional Arabic" w:cs="Traditional Arabic"/>
          <w:b/>
          <w:bCs/>
          <w:i w:val="0"/>
          <w:iCs w:val="0"/>
          <w:color w:val="000000" w:themeColor="text1"/>
          <w:sz w:val="28"/>
          <w:szCs w:val="28"/>
          <w:rtl/>
        </w:rPr>
        <w:lastRenderedPageBreak/>
        <w:t>التعريف الإجرائي للأمن السيبراني</w:t>
      </w:r>
    </w:p>
    <w:p w14:paraId="3C05790A" w14:textId="77777777" w:rsidR="00410DB4" w:rsidRPr="00545ABB" w:rsidRDefault="00410DB4" w:rsidP="00410DB4">
      <w:pPr>
        <w:pStyle w:val="NormalWeb"/>
        <w:bidi/>
        <w:spacing w:line="360" w:lineRule="auto"/>
        <w:rPr>
          <w:rFonts w:ascii="Traditional Arabic" w:hAnsi="Traditional Arabic" w:cs="Traditional Arabic"/>
          <w:b/>
          <w:bCs/>
          <w:color w:val="000000" w:themeColor="text1"/>
        </w:rPr>
      </w:pPr>
      <w:r w:rsidRPr="00545ABB">
        <w:rPr>
          <w:rFonts w:ascii="Traditional Arabic" w:hAnsi="Traditional Arabic" w:cs="Traditional Arabic"/>
          <w:b/>
          <w:bCs/>
          <w:color w:val="000000" w:themeColor="text1"/>
          <w:rtl/>
        </w:rPr>
        <w:t>تُعرّف الدراسة الحالية الأمن السيبراني إجرائيًا بأنه</w:t>
      </w:r>
      <w:r w:rsidRPr="00545ABB">
        <w:rPr>
          <w:rFonts w:ascii="Traditional Arabic" w:hAnsi="Traditional Arabic" w:cs="Traditional Arabic"/>
          <w:b/>
          <w:bCs/>
          <w:color w:val="000000" w:themeColor="text1"/>
        </w:rPr>
        <w:t xml:space="preserve">: </w:t>
      </w:r>
      <w:r w:rsidRPr="00545ABB">
        <w:rPr>
          <w:rStyle w:val="Strong"/>
          <w:rFonts w:ascii="Traditional Arabic" w:hAnsi="Traditional Arabic" w:cs="Traditional Arabic"/>
          <w:color w:val="000000" w:themeColor="text1"/>
          <w:rtl/>
        </w:rPr>
        <w:t>مجموعة السياسات والإجراءات والممارسات والتدابير التقنية والتنظيمية والإدارية التي تهدف إلى حماية الأنظمة والشبكات والبرامج والبيانات والأصول الرقمية من التهديدات والهجمات السيبرانية، وتعزيز قدرة المؤسسة على إدارة المخاطر، والاستجابة للحوادث، والتعافي منها، والمحافظة على سرية المعلومات وسلامتها وتوافرها واستمرارية الأعمال</w:t>
      </w:r>
      <w:r w:rsidRPr="00545ABB">
        <w:rPr>
          <w:rStyle w:val="Strong"/>
          <w:rFonts w:ascii="Traditional Arabic" w:hAnsi="Traditional Arabic" w:cs="Traditional Arabic"/>
          <w:color w:val="000000" w:themeColor="text1"/>
        </w:rPr>
        <w:t>.</w:t>
      </w:r>
    </w:p>
    <w:p w14:paraId="25F25252"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08B90B0D"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47C3E394"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7E2F1345"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6AD4AAAC"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7095AB45"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61FC154C"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428FC621"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3665B0BB"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23EA44D6"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03F65CCB"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03B0D001"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73C50D8E"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1DE9B49E"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3578B9AF" w14:textId="77777777" w:rsidR="00931FB7" w:rsidRPr="00545ABB" w:rsidRDefault="00931FB7" w:rsidP="00122E0B">
      <w:pPr>
        <w:bidi w:val="0"/>
        <w:spacing w:after="0" w:line="360" w:lineRule="auto"/>
        <w:jc w:val="center"/>
        <w:rPr>
          <w:rStyle w:val="fontstyle01"/>
          <w:rFonts w:asciiTheme="majorBidi" w:hAnsiTheme="majorBidi" w:cstheme="majorBidi"/>
          <w:b/>
          <w:bCs/>
          <w:color w:val="000000" w:themeColor="text1"/>
          <w:sz w:val="32"/>
          <w:szCs w:val="32"/>
          <w:rtl/>
        </w:rPr>
      </w:pPr>
      <w:r w:rsidRPr="00545ABB">
        <w:rPr>
          <w:rStyle w:val="fontstyle01"/>
          <w:rFonts w:asciiTheme="majorBidi" w:hAnsiTheme="majorBidi" w:cstheme="majorBidi"/>
          <w:b/>
          <w:bCs/>
          <w:color w:val="000000" w:themeColor="text1"/>
          <w:sz w:val="32"/>
          <w:szCs w:val="32"/>
        </w:rPr>
        <w:lastRenderedPageBreak/>
        <w:t>Abstract</w:t>
      </w:r>
    </w:p>
    <w:p w14:paraId="737848B6" w14:textId="77777777" w:rsidR="00931FB7" w:rsidRPr="00545ABB" w:rsidRDefault="00931FB7" w:rsidP="00931FB7">
      <w:pPr>
        <w:spacing w:after="0" w:line="360" w:lineRule="auto"/>
        <w:jc w:val="center"/>
        <w:rPr>
          <w:rFonts w:asciiTheme="majorBidi" w:eastAsia="Calibri" w:hAnsiTheme="majorBidi" w:cstheme="majorBidi"/>
          <w:b/>
          <w:bCs/>
          <w:color w:val="000000" w:themeColor="text1"/>
          <w:sz w:val="24"/>
          <w:szCs w:val="24"/>
          <w:rtl/>
          <w:lang w:bidi="ar-EG"/>
        </w:rPr>
      </w:pPr>
    </w:p>
    <w:p w14:paraId="4E59FE1A" w14:textId="77777777" w:rsidR="00021F86" w:rsidRPr="00545ABB" w:rsidRDefault="00021F86" w:rsidP="00021F86">
      <w:pPr>
        <w:pStyle w:val="NormalWeb"/>
        <w:rPr>
          <w:rFonts w:asciiTheme="majorBidi" w:hAnsiTheme="majorBidi" w:cstheme="majorBidi"/>
          <w:color w:val="000000" w:themeColor="text1"/>
        </w:rPr>
      </w:pPr>
      <w:r w:rsidRPr="00545ABB">
        <w:rPr>
          <w:rFonts w:asciiTheme="majorBidi" w:hAnsiTheme="majorBidi" w:cstheme="majorBidi"/>
          <w:color w:val="000000" w:themeColor="text1"/>
        </w:rPr>
        <w:t>In light of rapid technological advancement and the growing dependence on digital systems, cybersecurity has become a critical component in protecting information, supporting digital transformation, and strengthening organizational resilience. Within this context, cybersecurity startups play an increasingly important role in developing innovative solutions and supporting the growth of the digital economy. This study aimed to examine the impact of effective governance on the sustainability and institutional success of cybersecurity startups in the Kingdom of Saudi Arabia.</w:t>
      </w:r>
    </w:p>
    <w:p w14:paraId="6D75FD90" w14:textId="77777777" w:rsidR="00021F86" w:rsidRPr="00545ABB" w:rsidRDefault="00021F86" w:rsidP="00021F86">
      <w:pPr>
        <w:pStyle w:val="NormalWeb"/>
        <w:rPr>
          <w:rFonts w:asciiTheme="majorBidi" w:hAnsiTheme="majorBidi" w:cstheme="majorBidi"/>
          <w:color w:val="000000" w:themeColor="text1"/>
        </w:rPr>
      </w:pPr>
      <w:r w:rsidRPr="00545ABB">
        <w:rPr>
          <w:rFonts w:asciiTheme="majorBidi" w:hAnsiTheme="majorBidi" w:cstheme="majorBidi"/>
          <w:color w:val="000000" w:themeColor="text1"/>
        </w:rPr>
        <w:t>The study focused on effective governance as the independent variable, represented by five dimensions: transparency and disclosure, accountability and responsibility, participation in decision-making, risk management and compliance, and efficiency in the use of resources. Institutional sustainability and institutional success were examined as the dependent variables. Institutional sustainability was assessed through economic, social, and technological dimensions, while institutional success was assessed through the quality of administrative and technical performance, operational efficiency, innovation and adaptability, and customer satisfaction and institutional growth.</w:t>
      </w:r>
    </w:p>
    <w:p w14:paraId="628D8083" w14:textId="77777777" w:rsidR="00021F86" w:rsidRPr="00545ABB" w:rsidRDefault="00021F86" w:rsidP="00021F86">
      <w:pPr>
        <w:pStyle w:val="NormalWeb"/>
        <w:rPr>
          <w:rFonts w:asciiTheme="majorBidi" w:hAnsiTheme="majorBidi" w:cstheme="majorBidi"/>
          <w:color w:val="000000" w:themeColor="text1"/>
        </w:rPr>
      </w:pPr>
      <w:r w:rsidRPr="00545ABB">
        <w:rPr>
          <w:rFonts w:asciiTheme="majorBidi" w:hAnsiTheme="majorBidi" w:cstheme="majorBidi"/>
          <w:color w:val="000000" w:themeColor="text1"/>
        </w:rPr>
        <w:t>The study adopted a descriptive-analytical approach and utilized both quantitative and qualitative data. A questionnaire was used as the primary quantitative data collection instrument, consisting of 56 items distributed across the study variables and their dimensions. Semi-structured interviews were also conducted with specialists and experts, in addition to the use of relevant documents and reports to support the contextual interpretation of the findings. The institutional sample consisted of two cybersecurity startups operating in the Kingdom of Saudi Arabia: Advanced Controls IT Co. and Smart Security Variable. The human sample consisted of 63 participants from professionals and specialists related to cybersecurity, management, and governance. Quantitative data were analyzed using SPSS through descriptive statistics, Pearson correlation, and linear regression, while qualitative data were analyzed thematically.</w:t>
      </w:r>
    </w:p>
    <w:p w14:paraId="6987FD86" w14:textId="77777777" w:rsidR="00021F86" w:rsidRPr="00545ABB" w:rsidRDefault="00021F86" w:rsidP="00021F86">
      <w:pPr>
        <w:pStyle w:val="NormalWeb"/>
        <w:rPr>
          <w:rFonts w:asciiTheme="majorBidi" w:hAnsiTheme="majorBidi" w:cstheme="majorBidi"/>
          <w:color w:val="000000" w:themeColor="text1"/>
        </w:rPr>
      </w:pPr>
      <w:r w:rsidRPr="00545ABB">
        <w:rPr>
          <w:rFonts w:asciiTheme="majorBidi" w:hAnsiTheme="majorBidi" w:cstheme="majorBidi"/>
          <w:color w:val="000000" w:themeColor="text1"/>
        </w:rPr>
        <w:t>The findings revealed high levels of effective governance, institutional sustainability, and institutional success among the companies examined. The results also demonstrated strong and statistically significant positive relationships between effective governance and both institutional sustainability and institutional success. These findings indicate that stronger governance practices are associated with improved organizational performance, enhanced sustainability, and greater capacity for growth and adaptation within cybersecurity startups. The findings also suggest that strengthening governance practices in cybersecurity startups is consistent with the broader objectives of Saudi Vision 2030, particularly those related to digital transformation, entrepreneurship, innovation, and the development of a competitive digital economy.</w:t>
      </w:r>
    </w:p>
    <w:p w14:paraId="2115F904" w14:textId="77777777" w:rsidR="00021F86" w:rsidRPr="00545ABB" w:rsidRDefault="00021F86" w:rsidP="00021F86">
      <w:pPr>
        <w:pStyle w:val="NormalWeb"/>
        <w:rPr>
          <w:rFonts w:asciiTheme="majorBidi" w:hAnsiTheme="majorBidi" w:cstheme="majorBidi"/>
          <w:color w:val="000000" w:themeColor="text1"/>
        </w:rPr>
      </w:pPr>
      <w:r w:rsidRPr="00545ABB">
        <w:rPr>
          <w:rFonts w:asciiTheme="majorBidi" w:hAnsiTheme="majorBidi" w:cstheme="majorBidi"/>
          <w:color w:val="000000" w:themeColor="text1"/>
        </w:rPr>
        <w:t xml:space="preserve">The study concludes that effective governance represents an important organizational foundation for supporting the sustainability and success of cybersecurity startups in the Kingdom of Saudi Arabia. It recommends strengthening governance structures, risk management practices, </w:t>
      </w:r>
      <w:r w:rsidRPr="00545ABB">
        <w:rPr>
          <w:rFonts w:asciiTheme="majorBidi" w:hAnsiTheme="majorBidi" w:cstheme="majorBidi"/>
          <w:color w:val="000000" w:themeColor="text1"/>
        </w:rPr>
        <w:lastRenderedPageBreak/>
        <w:t>accountability mechanisms, and organizational capabilities in order to support the long-term development and competitiveness of startups operating in the cybersecurity sector.</w:t>
      </w:r>
    </w:p>
    <w:p w14:paraId="62FEC12E" w14:textId="77777777" w:rsidR="00021F86" w:rsidRPr="00545ABB" w:rsidRDefault="00021F86" w:rsidP="00021F86">
      <w:pPr>
        <w:pStyle w:val="NormalWeb"/>
        <w:rPr>
          <w:rFonts w:asciiTheme="majorBidi" w:hAnsiTheme="majorBidi" w:cstheme="majorBidi"/>
          <w:color w:val="000000" w:themeColor="text1"/>
        </w:rPr>
      </w:pPr>
      <w:r w:rsidRPr="00545ABB">
        <w:rPr>
          <w:rStyle w:val="Strong"/>
          <w:rFonts w:asciiTheme="majorBidi" w:hAnsiTheme="majorBidi" w:cstheme="majorBidi"/>
          <w:color w:val="000000" w:themeColor="text1"/>
        </w:rPr>
        <w:t>Keywords:</w:t>
      </w:r>
      <w:r w:rsidRPr="00545ABB">
        <w:rPr>
          <w:rFonts w:asciiTheme="majorBidi" w:hAnsiTheme="majorBidi" w:cstheme="majorBidi"/>
          <w:color w:val="000000" w:themeColor="text1"/>
        </w:rPr>
        <w:t xml:space="preserve"> Effective Governance, Cybersecurity, Startups, Institutional Sustainability, Institutional Success, Corporate Governance, Saudi Vision 2030, Digital Economy.</w:t>
      </w:r>
    </w:p>
    <w:p w14:paraId="33D60B35"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5D320D9B"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26752C2F"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699866E4"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1128FA10" w14:textId="77777777" w:rsidR="00A151E1" w:rsidRPr="00545ABB" w:rsidRDefault="00A151E1"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6DD21186" w14:textId="77777777" w:rsidR="00A151E1" w:rsidRPr="00545ABB" w:rsidRDefault="00A151E1"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5F3FA5EB" w14:textId="77777777" w:rsidR="00A151E1" w:rsidRPr="00545ABB" w:rsidRDefault="00A151E1"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008CAFC4" w14:textId="77777777" w:rsidR="00A151E1" w:rsidRPr="00545ABB" w:rsidRDefault="00A151E1"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136DC547" w14:textId="77777777" w:rsidR="00A151E1" w:rsidRPr="00545ABB" w:rsidRDefault="00A151E1"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30855C05" w14:textId="77777777" w:rsidR="00A151E1" w:rsidRPr="00545ABB" w:rsidRDefault="00A151E1"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7C307722" w14:textId="77777777" w:rsidR="00931FB7" w:rsidRPr="00545ABB" w:rsidRDefault="00931FB7"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59883EB9" w14:textId="459CB6E1" w:rsidR="00021F86" w:rsidRPr="00545ABB" w:rsidRDefault="00021F86"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2820BE7D" w14:textId="77777777" w:rsidR="00021F86" w:rsidRPr="00545ABB" w:rsidRDefault="00021F86">
      <w:pPr>
        <w:bidi w:val="0"/>
        <w:rPr>
          <w:rFonts w:ascii="Traditional Arabic" w:eastAsia="Times New Roman" w:hAnsi="Traditional Arabic" w:cs="Traditional Arabic"/>
          <w:b/>
          <w:bCs/>
          <w:color w:val="000000" w:themeColor="text1"/>
          <w:sz w:val="32"/>
          <w:szCs w:val="32"/>
          <w:rtl/>
        </w:rPr>
      </w:pPr>
      <w:r w:rsidRPr="00545ABB">
        <w:rPr>
          <w:rFonts w:ascii="Traditional Arabic" w:eastAsia="Times New Roman" w:hAnsi="Traditional Arabic" w:cs="Traditional Arabic"/>
          <w:b/>
          <w:bCs/>
          <w:color w:val="000000" w:themeColor="text1"/>
          <w:sz w:val="32"/>
          <w:szCs w:val="32"/>
          <w:rtl/>
        </w:rPr>
        <w:br w:type="page"/>
      </w:r>
    </w:p>
    <w:p w14:paraId="3FC00C17" w14:textId="77777777" w:rsidR="00B90309" w:rsidRPr="00545ABB" w:rsidRDefault="00B90309" w:rsidP="00D8380E">
      <w:pPr>
        <w:spacing w:after="0" w:line="360" w:lineRule="auto"/>
        <w:jc w:val="both"/>
        <w:rPr>
          <w:rFonts w:ascii="Traditional Arabic" w:eastAsia="Times New Roman" w:hAnsi="Traditional Arabic" w:cs="Traditional Arabic"/>
          <w:b/>
          <w:bCs/>
          <w:color w:val="000000" w:themeColor="text1"/>
          <w:sz w:val="32"/>
          <w:szCs w:val="32"/>
          <w:rtl/>
        </w:rPr>
      </w:pPr>
    </w:p>
    <w:p w14:paraId="5566F990" w14:textId="689361BF" w:rsidR="00300305" w:rsidRPr="00545ABB" w:rsidRDefault="00300305" w:rsidP="00990F09">
      <w:pPr>
        <w:spacing w:line="360" w:lineRule="auto"/>
        <w:rPr>
          <w:rFonts w:ascii="Traditional Arabic" w:eastAsia="Times New Roman" w:hAnsi="Traditional Arabic" w:cs="Traditional Arabic"/>
          <w:color w:val="000000" w:themeColor="text1"/>
          <w:sz w:val="32"/>
          <w:szCs w:val="32"/>
        </w:rPr>
      </w:pPr>
      <w:r w:rsidRPr="00545ABB">
        <w:rPr>
          <w:rFonts w:ascii="Traditional Arabic" w:eastAsia="Times New Roman" w:hAnsi="Traditional Arabic" w:cs="Traditional Arabic"/>
          <w:noProof/>
          <w:color w:val="000000" w:themeColor="text1"/>
          <w:sz w:val="32"/>
          <w:szCs w:val="32"/>
        </w:rPr>
        <w:drawing>
          <wp:anchor distT="0" distB="0" distL="114300" distR="114300" simplePos="0" relativeHeight="251694592" behindDoc="0" locked="0" layoutInCell="1" allowOverlap="1" wp14:anchorId="244E4C13" wp14:editId="43140FB3">
            <wp:simplePos x="0" y="0"/>
            <wp:positionH relativeFrom="column">
              <wp:posOffset>1680210</wp:posOffset>
            </wp:positionH>
            <wp:positionV relativeFrom="paragraph">
              <wp:posOffset>89556</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8785C8A" w14:textId="1DA88D9C" w:rsidR="00990F09" w:rsidRPr="00545ABB" w:rsidRDefault="00990F09" w:rsidP="00990F09">
      <w:pPr>
        <w:spacing w:line="360" w:lineRule="auto"/>
        <w:jc w:val="center"/>
        <w:rPr>
          <w:rFonts w:ascii="Traditional Arabic" w:eastAsia="Times New Roman" w:hAnsi="Traditional Arabic" w:cs="Traditional Arabic"/>
          <w:b/>
          <w:bCs/>
          <w:color w:val="000000" w:themeColor="text1"/>
          <w:sz w:val="32"/>
          <w:szCs w:val="32"/>
          <w:rtl/>
        </w:rPr>
      </w:pPr>
    </w:p>
    <w:p w14:paraId="127B1B4F" w14:textId="7919D372" w:rsidR="00990F09" w:rsidRPr="00545ABB" w:rsidRDefault="008814AA" w:rsidP="00990F09">
      <w:pPr>
        <w:spacing w:line="360" w:lineRule="auto"/>
        <w:jc w:val="center"/>
        <w:rPr>
          <w:rFonts w:ascii="Traditional Arabic" w:eastAsia="Times New Roman" w:hAnsi="Traditional Arabic" w:cs="Traditional Arabic"/>
          <w:b/>
          <w:bCs/>
          <w:color w:val="000000" w:themeColor="text1"/>
          <w:sz w:val="32"/>
          <w:szCs w:val="32"/>
          <w:rtl/>
        </w:rPr>
      </w:pPr>
      <w:r w:rsidRPr="00545ABB">
        <w:rPr>
          <w:rFonts w:ascii="Traditional Arabic" w:eastAsia="Times New Roman" w:hAnsi="Traditional Arabic" w:cs="Traditional Arabic"/>
          <w:noProof/>
          <w:color w:val="000000" w:themeColor="text1"/>
          <w:sz w:val="32"/>
          <w:szCs w:val="32"/>
        </w:rPr>
        <mc:AlternateContent>
          <mc:Choice Requires="wps">
            <w:drawing>
              <wp:anchor distT="0" distB="0" distL="114300" distR="114300" simplePos="0" relativeHeight="251693568" behindDoc="0" locked="0" layoutInCell="1" allowOverlap="1" wp14:anchorId="423BA19E" wp14:editId="788F2520">
                <wp:simplePos x="0" y="0"/>
                <wp:positionH relativeFrom="column">
                  <wp:posOffset>1936115</wp:posOffset>
                </wp:positionH>
                <wp:positionV relativeFrom="paragraph">
                  <wp:posOffset>21590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F97E797" w14:textId="77777777" w:rsidR="00ED4FB3" w:rsidRPr="007D1829" w:rsidRDefault="00ED4FB3" w:rsidP="00300305">
                            <w:pPr>
                              <w:rPr>
                                <w:rFonts w:asciiTheme="majorBidi" w:hAnsiTheme="majorBidi" w:cstheme="majorBidi"/>
                                <w:b/>
                                <w:bCs/>
                                <w:sz w:val="28"/>
                                <w:szCs w:val="28"/>
                                <w:rtl/>
                                <w:lang w:bidi="ar-EG"/>
                              </w:rPr>
                            </w:pPr>
                            <w:r w:rsidRPr="007D1829">
                              <w:rPr>
                                <w:rFonts w:asciiTheme="majorBidi" w:hAnsiTheme="majorBidi" w:cstheme="majorBidi"/>
                                <w:b/>
                                <w:bCs/>
                                <w:sz w:val="28"/>
                                <w:szCs w:val="28"/>
                                <w:lang w:bidi="ar-EG"/>
                              </w:rPr>
                              <w:t>Midocean University</w:t>
                            </w:r>
                          </w:p>
                          <w:p w14:paraId="119C5969" w14:textId="6FBBCB44" w:rsidR="00ED4FB3" w:rsidRPr="00094E97" w:rsidRDefault="00ED4FB3" w:rsidP="007D1829">
                            <w:pPr>
                              <w:jc w:val="center"/>
                              <w:rPr>
                                <w:rFonts w:asciiTheme="majorBidi" w:hAnsiTheme="majorBidi" w:cstheme="majorBidi"/>
                                <w:b/>
                                <w:bCs/>
                                <w:sz w:val="24"/>
                                <w:szCs w:val="24"/>
                                <w:lang w:bidi="ar-EG"/>
                              </w:rPr>
                            </w:pPr>
                            <w:r w:rsidRPr="00094E97">
                              <w:rPr>
                                <w:rFonts w:asciiTheme="majorBidi" w:hAnsiTheme="majorBidi" w:cstheme="majorBidi"/>
                                <w:b/>
                                <w:bCs/>
                                <w:sz w:val="24"/>
                                <w:szCs w:val="24"/>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BA19E" id="Rectangle 9" o:spid="_x0000_s1046" style="position:absolute;left:0;text-align:left;margin-left:152.45pt;margin-top:1.7pt;width:148.2pt;height:73.2pt;z-index:2516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GjOeQIAACQ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" fillcolor="window" strokecolor="window" strokeweight="1pt">
                <v:textbox>
                  <w:txbxContent>
                    <w:p w14:paraId="4F97E797" w14:textId="77777777" w:rsidR="00ED4FB3" w:rsidRPr="007D1829" w:rsidRDefault="00ED4FB3" w:rsidP="00300305">
                      <w:pPr>
                        <w:rPr>
                          <w:rFonts w:asciiTheme="majorBidi" w:hAnsiTheme="majorBidi" w:cstheme="majorBidi"/>
                          <w:b/>
                          <w:bCs/>
                          <w:sz w:val="28"/>
                          <w:szCs w:val="28"/>
                          <w:rtl/>
                          <w:lang w:bidi="ar-EG"/>
                        </w:rPr>
                      </w:pPr>
                      <w:r w:rsidRPr="007D1829">
                        <w:rPr>
                          <w:rFonts w:asciiTheme="majorBidi" w:hAnsiTheme="majorBidi" w:cstheme="majorBidi"/>
                          <w:b/>
                          <w:bCs/>
                          <w:sz w:val="28"/>
                          <w:szCs w:val="28"/>
                          <w:lang w:bidi="ar-EG"/>
                        </w:rPr>
                        <w:t>Midocean University</w:t>
                      </w:r>
                    </w:p>
                    <w:p w14:paraId="119C5969" w14:textId="6FBBCB44" w:rsidR="00ED4FB3" w:rsidRPr="00094E97" w:rsidRDefault="00ED4FB3" w:rsidP="007D1829">
                      <w:pPr>
                        <w:jc w:val="center"/>
                        <w:rPr>
                          <w:rFonts w:asciiTheme="majorBidi" w:hAnsiTheme="majorBidi" w:cstheme="majorBidi"/>
                          <w:b/>
                          <w:bCs/>
                          <w:sz w:val="24"/>
                          <w:szCs w:val="24"/>
                          <w:lang w:bidi="ar-EG"/>
                        </w:rPr>
                      </w:pPr>
                      <w:r w:rsidRPr="00094E97">
                        <w:rPr>
                          <w:rFonts w:asciiTheme="majorBidi" w:hAnsiTheme="majorBidi" w:cstheme="majorBidi"/>
                          <w:b/>
                          <w:bCs/>
                          <w:sz w:val="24"/>
                          <w:szCs w:val="24"/>
                          <w:lang w:bidi="ar-EG"/>
                        </w:rPr>
                        <w:t>Ph.D. program</w:t>
                      </w:r>
                    </w:p>
                  </w:txbxContent>
                </v:textbox>
                <w10:wrap type="square"/>
              </v:rect>
            </w:pict>
          </mc:Fallback>
        </mc:AlternateContent>
      </w:r>
    </w:p>
    <w:p w14:paraId="25E7F8CB" w14:textId="77777777" w:rsidR="00990F09" w:rsidRPr="00545ABB" w:rsidRDefault="00990F09" w:rsidP="00D51293">
      <w:pPr>
        <w:spacing w:line="360" w:lineRule="auto"/>
        <w:jc w:val="center"/>
        <w:rPr>
          <w:rFonts w:ascii="Traditional Arabic" w:eastAsia="Times New Roman" w:hAnsi="Traditional Arabic" w:cs="Traditional Arabic"/>
          <w:b/>
          <w:bCs/>
          <w:color w:val="000000" w:themeColor="text1"/>
          <w:sz w:val="32"/>
          <w:szCs w:val="32"/>
          <w:rtl/>
        </w:rPr>
      </w:pPr>
    </w:p>
    <w:p w14:paraId="54216B6F" w14:textId="107A01E3" w:rsidR="00300305" w:rsidRPr="00545ABB" w:rsidRDefault="009B76ED" w:rsidP="009B76ED">
      <w:pPr>
        <w:bidi w:val="0"/>
        <w:spacing w:line="360" w:lineRule="auto"/>
        <w:jc w:val="center"/>
        <w:rPr>
          <w:rFonts w:asciiTheme="majorBidi" w:eastAsia="Times New Roman" w:hAnsiTheme="majorBidi" w:cstheme="majorBidi"/>
          <w:b/>
          <w:bCs/>
          <w:color w:val="000000" w:themeColor="text1"/>
          <w:sz w:val="36"/>
          <w:szCs w:val="36"/>
        </w:rPr>
      </w:pPr>
      <w:r w:rsidRPr="00545ABB">
        <w:rPr>
          <w:rFonts w:asciiTheme="majorBidi" w:eastAsia="Times New Roman" w:hAnsiTheme="majorBidi" w:cstheme="majorBidi"/>
          <w:b/>
          <w:bCs/>
          <w:color w:val="000000" w:themeColor="text1"/>
          <w:sz w:val="36"/>
          <w:szCs w:val="36"/>
        </w:rPr>
        <w:t>Effective Governance to Ensure the Sustainability and Success of Cybersecurity Startups in the Kingdom of Saudi Arabia</w:t>
      </w:r>
    </w:p>
    <w:p w14:paraId="2123662E" w14:textId="77777777" w:rsidR="00300305" w:rsidRPr="00545ABB" w:rsidRDefault="00300305" w:rsidP="009B76ED">
      <w:pPr>
        <w:bidi w:val="0"/>
        <w:spacing w:line="360" w:lineRule="auto"/>
        <w:jc w:val="center"/>
        <w:rPr>
          <w:rFonts w:ascii="Traditional Arabic" w:eastAsia="Times New Roman" w:hAnsi="Traditional Arabic" w:cs="Traditional Arabic"/>
          <w:color w:val="000000" w:themeColor="text1"/>
          <w:sz w:val="32"/>
          <w:szCs w:val="32"/>
        </w:rPr>
      </w:pPr>
    </w:p>
    <w:p w14:paraId="1DA9F0C8" w14:textId="2AED67A9" w:rsidR="00300305" w:rsidRPr="00545ABB" w:rsidRDefault="00374D16" w:rsidP="009B76ED">
      <w:pPr>
        <w:bidi w:val="0"/>
        <w:spacing w:line="360" w:lineRule="auto"/>
        <w:jc w:val="center"/>
        <w:rPr>
          <w:rFonts w:ascii="Traditional Arabic" w:eastAsia="Times New Roman" w:hAnsi="Traditional Arabic" w:cs="Traditional Arabic"/>
          <w:color w:val="000000" w:themeColor="text1"/>
          <w:sz w:val="24"/>
          <w:szCs w:val="24"/>
        </w:rPr>
      </w:pPr>
      <w:r w:rsidRPr="00545ABB">
        <w:rPr>
          <w:rFonts w:ascii="Traditional Arabic" w:eastAsia="Times New Roman" w:hAnsi="Traditional Arabic" w:cs="Traditional Arabic"/>
          <w:color w:val="000000" w:themeColor="text1"/>
          <w:sz w:val="24"/>
          <w:szCs w:val="24"/>
        </w:rPr>
        <w:t>By</w:t>
      </w:r>
    </w:p>
    <w:p w14:paraId="1B86E13B" w14:textId="13E7F4EA" w:rsidR="00300305" w:rsidRPr="00545ABB" w:rsidRDefault="0052588E" w:rsidP="009B76ED">
      <w:pPr>
        <w:bidi w:val="0"/>
        <w:spacing w:line="360" w:lineRule="auto"/>
        <w:jc w:val="center"/>
        <w:rPr>
          <w:rFonts w:ascii="Traditional Arabic" w:eastAsia="Times New Roman" w:hAnsi="Traditional Arabic" w:cs="Traditional Arabic"/>
          <w:b/>
          <w:bCs/>
          <w:color w:val="000000" w:themeColor="text1"/>
          <w:sz w:val="28"/>
          <w:szCs w:val="28"/>
        </w:rPr>
      </w:pPr>
      <w:r w:rsidRPr="00545ABB">
        <w:rPr>
          <w:rFonts w:ascii="Traditional Arabic" w:eastAsia="Times New Roman" w:hAnsi="Traditional Arabic" w:cs="Traditional Arabic"/>
          <w:b/>
          <w:bCs/>
          <w:color w:val="000000" w:themeColor="text1"/>
          <w:sz w:val="28"/>
          <w:szCs w:val="28"/>
        </w:rPr>
        <w:t>Mohammad Abdulaziz A</w:t>
      </w:r>
      <w:r w:rsidR="004477D6" w:rsidRPr="00545ABB">
        <w:rPr>
          <w:rFonts w:ascii="Traditional Arabic" w:eastAsia="Times New Roman" w:hAnsi="Traditional Arabic" w:cs="Traditional Arabic"/>
          <w:b/>
          <w:bCs/>
          <w:color w:val="000000" w:themeColor="text1"/>
          <w:sz w:val="28"/>
          <w:szCs w:val="28"/>
        </w:rPr>
        <w:t>.</w:t>
      </w:r>
      <w:r w:rsidRPr="00545ABB">
        <w:rPr>
          <w:rFonts w:ascii="Traditional Arabic" w:eastAsia="Times New Roman" w:hAnsi="Traditional Arabic" w:cs="Traditional Arabic"/>
          <w:b/>
          <w:bCs/>
          <w:color w:val="000000" w:themeColor="text1"/>
          <w:sz w:val="28"/>
          <w:szCs w:val="28"/>
        </w:rPr>
        <w:t xml:space="preserve"> Alduriweesh</w:t>
      </w:r>
    </w:p>
    <w:p w14:paraId="63F8E98C" w14:textId="4641766B" w:rsidR="00300305" w:rsidRPr="00545ABB" w:rsidRDefault="00300305" w:rsidP="009B76ED">
      <w:pPr>
        <w:bidi w:val="0"/>
        <w:spacing w:after="0"/>
        <w:jc w:val="center"/>
        <w:rPr>
          <w:rFonts w:ascii="Traditional Arabic" w:eastAsia="Times New Roman" w:hAnsi="Traditional Arabic" w:cs="Traditional Arabic"/>
          <w:color w:val="000000" w:themeColor="text1"/>
          <w:sz w:val="24"/>
          <w:szCs w:val="24"/>
        </w:rPr>
      </w:pPr>
    </w:p>
    <w:bookmarkEnd w:id="168"/>
    <w:p w14:paraId="1BDAE660" w14:textId="77777777" w:rsidR="009B76ED" w:rsidRPr="00545ABB" w:rsidRDefault="009B76ED" w:rsidP="009B76ED">
      <w:pPr>
        <w:bidi w:val="0"/>
        <w:spacing w:after="0" w:line="360" w:lineRule="auto"/>
        <w:jc w:val="center"/>
        <w:rPr>
          <w:rFonts w:asciiTheme="majorBidi" w:eastAsia="Times New Roman" w:hAnsiTheme="majorBidi" w:cstheme="majorBidi"/>
          <w:color w:val="000000" w:themeColor="text1"/>
          <w:sz w:val="24"/>
          <w:szCs w:val="24"/>
        </w:rPr>
      </w:pPr>
      <w:r w:rsidRPr="00545ABB">
        <w:rPr>
          <w:rFonts w:asciiTheme="majorBidi" w:eastAsia="Times New Roman" w:hAnsiTheme="majorBidi" w:cstheme="majorBidi"/>
          <w:color w:val="000000" w:themeColor="text1"/>
          <w:sz w:val="24"/>
          <w:szCs w:val="24"/>
        </w:rPr>
        <w:t>A Dissertation Submitted to the Doctoral Program</w:t>
      </w:r>
    </w:p>
    <w:p w14:paraId="37C4AA0C" w14:textId="77777777" w:rsidR="009B76ED" w:rsidRPr="00545ABB" w:rsidRDefault="009B76ED" w:rsidP="009B76ED">
      <w:pPr>
        <w:bidi w:val="0"/>
        <w:spacing w:after="0" w:line="360" w:lineRule="auto"/>
        <w:jc w:val="center"/>
        <w:rPr>
          <w:rFonts w:asciiTheme="majorBidi" w:eastAsia="Times New Roman" w:hAnsiTheme="majorBidi" w:cstheme="majorBidi"/>
          <w:color w:val="000000" w:themeColor="text1"/>
          <w:sz w:val="24"/>
          <w:szCs w:val="24"/>
        </w:rPr>
      </w:pPr>
      <w:r w:rsidRPr="00545ABB">
        <w:rPr>
          <w:rFonts w:asciiTheme="majorBidi" w:eastAsia="Times New Roman" w:hAnsiTheme="majorBidi" w:cstheme="majorBidi"/>
          <w:color w:val="000000" w:themeColor="text1"/>
          <w:sz w:val="24"/>
          <w:szCs w:val="24"/>
        </w:rPr>
        <w:t>in Partial Fulfillment of the Requirements for the Degree of</w:t>
      </w:r>
    </w:p>
    <w:p w14:paraId="0EBC588B" w14:textId="77777777" w:rsidR="009B76ED" w:rsidRPr="00545ABB" w:rsidRDefault="009B76ED" w:rsidP="009B76ED">
      <w:pPr>
        <w:bidi w:val="0"/>
        <w:spacing w:after="0" w:line="360" w:lineRule="auto"/>
        <w:jc w:val="center"/>
        <w:rPr>
          <w:rFonts w:asciiTheme="majorBidi" w:eastAsia="Times New Roman" w:hAnsiTheme="majorBidi" w:cstheme="majorBidi"/>
          <w:color w:val="000000" w:themeColor="text1"/>
          <w:sz w:val="24"/>
          <w:szCs w:val="24"/>
        </w:rPr>
      </w:pPr>
      <w:r w:rsidRPr="00545ABB">
        <w:rPr>
          <w:rFonts w:asciiTheme="majorBidi" w:eastAsia="Times New Roman" w:hAnsiTheme="majorBidi" w:cstheme="majorBidi"/>
          <w:color w:val="000000" w:themeColor="text1"/>
          <w:sz w:val="24"/>
          <w:szCs w:val="24"/>
        </w:rPr>
        <w:t>Doctor of Philosophy (Ph.D.)</w:t>
      </w:r>
    </w:p>
    <w:p w14:paraId="6A9D793A" w14:textId="77777777" w:rsidR="009B76ED" w:rsidRPr="00545ABB" w:rsidRDefault="009B76ED" w:rsidP="009B76ED">
      <w:pPr>
        <w:bidi w:val="0"/>
        <w:spacing w:after="0" w:line="360" w:lineRule="auto"/>
        <w:jc w:val="center"/>
        <w:rPr>
          <w:rFonts w:asciiTheme="majorBidi" w:eastAsia="Times New Roman" w:hAnsiTheme="majorBidi" w:cstheme="majorBidi"/>
          <w:color w:val="000000" w:themeColor="text1"/>
          <w:sz w:val="24"/>
          <w:szCs w:val="24"/>
        </w:rPr>
      </w:pPr>
      <w:r w:rsidRPr="00545ABB">
        <w:rPr>
          <w:rFonts w:asciiTheme="majorBidi" w:eastAsia="Times New Roman" w:hAnsiTheme="majorBidi" w:cstheme="majorBidi"/>
          <w:color w:val="000000" w:themeColor="text1"/>
          <w:sz w:val="24"/>
          <w:szCs w:val="24"/>
        </w:rPr>
        <w:t>in Management</w:t>
      </w:r>
    </w:p>
    <w:p w14:paraId="364090C5" w14:textId="77777777" w:rsidR="009B76ED" w:rsidRPr="00545ABB" w:rsidRDefault="009B76ED" w:rsidP="009B76ED">
      <w:pPr>
        <w:bidi w:val="0"/>
        <w:spacing w:after="0" w:line="360" w:lineRule="auto"/>
        <w:jc w:val="center"/>
        <w:rPr>
          <w:rFonts w:asciiTheme="majorBidi" w:eastAsia="Times New Roman" w:hAnsiTheme="majorBidi" w:cstheme="majorBidi"/>
          <w:color w:val="000000" w:themeColor="text1"/>
          <w:sz w:val="24"/>
          <w:szCs w:val="24"/>
        </w:rPr>
      </w:pPr>
      <w:r w:rsidRPr="00545ABB">
        <w:rPr>
          <w:rFonts w:asciiTheme="majorBidi" w:eastAsia="Times New Roman" w:hAnsiTheme="majorBidi" w:cstheme="majorBidi"/>
          <w:color w:val="000000" w:themeColor="text1"/>
          <w:sz w:val="24"/>
          <w:szCs w:val="24"/>
        </w:rPr>
        <w:t>Academic Year: 2026 AD</w:t>
      </w:r>
    </w:p>
    <w:p w14:paraId="3A99408E" w14:textId="65FEA237" w:rsidR="00300305" w:rsidRPr="00545ABB" w:rsidRDefault="009B76ED" w:rsidP="009B76ED">
      <w:pPr>
        <w:bidi w:val="0"/>
        <w:spacing w:after="0" w:line="360" w:lineRule="auto"/>
        <w:jc w:val="center"/>
        <w:rPr>
          <w:rFonts w:asciiTheme="majorBidi" w:eastAsia="Arial Unicode MS" w:hAnsiTheme="majorBidi" w:cstheme="majorBidi"/>
          <w:b/>
          <w:bCs/>
          <w:color w:val="000000" w:themeColor="text1"/>
          <w:sz w:val="16"/>
          <w:szCs w:val="16"/>
          <w:u w:color="548DD4"/>
          <w:bdr w:val="nil"/>
          <w:rtl/>
          <w:lang w:val="ar-SA"/>
          <w14:textOutline w14:w="12700" w14:cap="flat" w14:cmpd="sng" w14:algn="ctr">
            <w14:noFill/>
            <w14:prstDash w14:val="solid"/>
            <w14:miter w14:lim="400000"/>
          </w14:textOutline>
        </w:rPr>
      </w:pPr>
      <w:r w:rsidRPr="00545ABB">
        <w:rPr>
          <w:rFonts w:asciiTheme="majorBidi" w:eastAsia="Times New Roman" w:hAnsiTheme="majorBidi" w:cstheme="majorBidi"/>
          <w:color w:val="000000" w:themeColor="text1"/>
          <w:sz w:val="24"/>
          <w:szCs w:val="24"/>
        </w:rPr>
        <w:t>1447–1448 AH</w:t>
      </w:r>
    </w:p>
    <w:sectPr w:rsidR="00300305" w:rsidRPr="00545ABB" w:rsidSect="00CD5F03">
      <w:footerReference w:type="default" r:id="rId37"/>
      <w:pgSz w:w="12240" w:h="15840" w:code="1"/>
      <w:pgMar w:top="1440" w:right="1440" w:bottom="1440" w:left="1440" w:header="288" w:footer="28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6BC0B" w14:textId="77777777" w:rsidR="00D95153" w:rsidRDefault="00D95153" w:rsidP="00AF441E">
      <w:pPr>
        <w:spacing w:after="0" w:line="240" w:lineRule="auto"/>
      </w:pPr>
      <w:r>
        <w:separator/>
      </w:r>
    </w:p>
  </w:endnote>
  <w:endnote w:type="continuationSeparator" w:id="0">
    <w:p w14:paraId="0AF62005" w14:textId="77777777" w:rsidR="00D95153" w:rsidRDefault="00D95153" w:rsidP="00AF4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exandria-Regular">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6463401"/>
      <w:docPartObj>
        <w:docPartGallery w:val="Page Numbers (Bottom of Page)"/>
        <w:docPartUnique/>
      </w:docPartObj>
    </w:sdtPr>
    <w:sdtEndPr>
      <w:rPr>
        <w:color w:val="7F7F7F" w:themeColor="background1" w:themeShade="7F"/>
        <w:spacing w:val="60"/>
      </w:rPr>
    </w:sdtEndPr>
    <w:sdtContent>
      <w:p w14:paraId="1C50E0BB" w14:textId="0373AFB0" w:rsidR="00ED4FB3" w:rsidRDefault="00ED4FB3">
        <w:pPr>
          <w:pStyle w:val="Footer"/>
          <w:pBdr>
            <w:top w:val="single" w:sz="4" w:space="1" w:color="D9D9D9" w:themeColor="background1" w:themeShade="D9"/>
          </w:pBdr>
          <w:jc w:val="right"/>
        </w:pPr>
        <w:r>
          <w:fldChar w:fldCharType="begin"/>
        </w:r>
        <w:r>
          <w:instrText xml:space="preserve"> PAGE   \* MERGEFORMAT </w:instrText>
        </w:r>
        <w:r>
          <w:fldChar w:fldCharType="separate"/>
        </w:r>
        <w:r w:rsidR="005C1307">
          <w:rPr>
            <w:noProof/>
          </w:rPr>
          <w:t>6</w:t>
        </w:r>
        <w:r>
          <w:rPr>
            <w:noProof/>
          </w:rPr>
          <w:fldChar w:fldCharType="end"/>
        </w:r>
        <w:r>
          <w:t xml:space="preserve"> | </w:t>
        </w:r>
        <w:r>
          <w:rPr>
            <w:color w:val="7F7F7F" w:themeColor="background1" w:themeShade="7F"/>
            <w:spacing w:val="60"/>
          </w:rPr>
          <w:t>Page</w:t>
        </w:r>
      </w:p>
    </w:sdtContent>
  </w:sdt>
  <w:p w14:paraId="65CA1669" w14:textId="77777777" w:rsidR="00ED4FB3" w:rsidRDefault="00ED4F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9CD31" w14:textId="77777777" w:rsidR="00D95153" w:rsidRDefault="00D95153" w:rsidP="00AF441E">
      <w:pPr>
        <w:spacing w:after="0" w:line="240" w:lineRule="auto"/>
      </w:pPr>
      <w:r>
        <w:separator/>
      </w:r>
    </w:p>
  </w:footnote>
  <w:footnote w:type="continuationSeparator" w:id="0">
    <w:p w14:paraId="0C8A9D50" w14:textId="77777777" w:rsidR="00D95153" w:rsidRDefault="00D95153" w:rsidP="00AF44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7FD"/>
    <w:multiLevelType w:val="multilevel"/>
    <w:tmpl w:val="F6747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13E19"/>
    <w:multiLevelType w:val="multilevel"/>
    <w:tmpl w:val="3214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03D33"/>
    <w:multiLevelType w:val="hybridMultilevel"/>
    <w:tmpl w:val="0FAC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CC38F3"/>
    <w:multiLevelType w:val="multilevel"/>
    <w:tmpl w:val="1EB0A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3F748A"/>
    <w:multiLevelType w:val="multilevel"/>
    <w:tmpl w:val="61C4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C3060"/>
    <w:multiLevelType w:val="multilevel"/>
    <w:tmpl w:val="140A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3E1F5C"/>
    <w:multiLevelType w:val="hybridMultilevel"/>
    <w:tmpl w:val="85B4D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66D40"/>
    <w:multiLevelType w:val="multilevel"/>
    <w:tmpl w:val="0E40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85750"/>
    <w:multiLevelType w:val="multilevel"/>
    <w:tmpl w:val="C7EC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E64EB"/>
    <w:multiLevelType w:val="hybridMultilevel"/>
    <w:tmpl w:val="96083866"/>
    <w:lvl w:ilvl="0" w:tplc="C2CCA608">
      <w:start w:val="1"/>
      <w:numFmt w:val="decimal"/>
      <w:suff w:val="space"/>
      <w:lvlText w:val="%1."/>
      <w:lvlJc w:val="left"/>
      <w:pPr>
        <w:ind w:left="720" w:hanging="360"/>
      </w:pPr>
      <w:rPr>
        <w:rFonts w:ascii="Simplified Arabic" w:eastAsiaTheme="minorHAnsi"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454E53"/>
    <w:multiLevelType w:val="multilevel"/>
    <w:tmpl w:val="223A7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D4541C"/>
    <w:multiLevelType w:val="multilevel"/>
    <w:tmpl w:val="0AF8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C5202B"/>
    <w:multiLevelType w:val="multilevel"/>
    <w:tmpl w:val="8C60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37019"/>
    <w:multiLevelType w:val="multilevel"/>
    <w:tmpl w:val="79F638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162B1A"/>
    <w:multiLevelType w:val="multilevel"/>
    <w:tmpl w:val="59F20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F10B79"/>
    <w:multiLevelType w:val="multilevel"/>
    <w:tmpl w:val="C27E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666C9"/>
    <w:multiLevelType w:val="multilevel"/>
    <w:tmpl w:val="F6CC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32842"/>
    <w:multiLevelType w:val="multilevel"/>
    <w:tmpl w:val="56902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896AD5"/>
    <w:multiLevelType w:val="multilevel"/>
    <w:tmpl w:val="7CA8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D146A2"/>
    <w:multiLevelType w:val="multilevel"/>
    <w:tmpl w:val="ED54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636CA5"/>
    <w:multiLevelType w:val="multilevel"/>
    <w:tmpl w:val="8E2A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831EC0"/>
    <w:multiLevelType w:val="multilevel"/>
    <w:tmpl w:val="C996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FD51BF"/>
    <w:multiLevelType w:val="multilevel"/>
    <w:tmpl w:val="A848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A968C9"/>
    <w:multiLevelType w:val="multilevel"/>
    <w:tmpl w:val="630C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D43F80"/>
    <w:multiLevelType w:val="multilevel"/>
    <w:tmpl w:val="9E2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CF0612"/>
    <w:multiLevelType w:val="hybridMultilevel"/>
    <w:tmpl w:val="A84CED30"/>
    <w:lvl w:ilvl="0" w:tplc="0409000F">
      <w:start w:val="1"/>
      <w:numFmt w:val="decimal"/>
      <w:lvlText w:val="%1."/>
      <w:lvlJc w:val="left"/>
      <w:pPr>
        <w:ind w:left="360" w:hanging="360"/>
      </w:pPr>
    </w:lvl>
    <w:lvl w:ilvl="1" w:tplc="3954CFEC">
      <w:start w:val="1"/>
      <w:numFmt w:val="decimal"/>
      <w:lvlText w:val="%2-"/>
      <w:lvlJc w:val="left"/>
      <w:pPr>
        <w:ind w:left="1110" w:hanging="390"/>
      </w:pPr>
      <w:rPr>
        <w:rFonts w:hint="default"/>
      </w:rPr>
    </w:lvl>
    <w:lvl w:ilvl="2" w:tplc="D518A280">
      <w:start w:val="1"/>
      <w:numFmt w:val="arabicAlpha"/>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D200304"/>
    <w:multiLevelType w:val="hybridMultilevel"/>
    <w:tmpl w:val="C2826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376B7E"/>
    <w:multiLevelType w:val="hybridMultilevel"/>
    <w:tmpl w:val="1F349062"/>
    <w:lvl w:ilvl="0" w:tplc="44E220C2">
      <w:start w:val="1"/>
      <w:numFmt w:val="bullet"/>
      <w:lvlText w:val="-"/>
      <w:lvlJc w:val="left"/>
      <w:pPr>
        <w:ind w:left="720" w:hanging="360"/>
      </w:pPr>
      <w:rPr>
        <w:rFonts w:ascii="Simplified Arabic" w:eastAsia="Times New Roman" w:hAnsi="Simplified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0" w15:restartNumberingAfterBreak="0">
    <w:nsid w:val="517A777D"/>
    <w:multiLevelType w:val="hybridMultilevel"/>
    <w:tmpl w:val="AE14AEA6"/>
    <w:lvl w:ilvl="0" w:tplc="AB8A3904">
      <w:start w:val="1"/>
      <w:numFmt w:val="decimal"/>
      <w:lvlText w:val="%1-"/>
      <w:lvlJc w:val="left"/>
      <w:pPr>
        <w:ind w:left="720" w:hanging="360"/>
      </w:pPr>
      <w:rPr>
        <w:rFonts w:ascii="Simplified Arabic" w:eastAsiaTheme="minorHAnsi" w:hAnsi="Simplified Arabic" w:cs="Simplified Arabic"/>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AD0ACA"/>
    <w:multiLevelType w:val="multilevel"/>
    <w:tmpl w:val="1262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5E6B9E"/>
    <w:multiLevelType w:val="hybridMultilevel"/>
    <w:tmpl w:val="BB064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0834A8"/>
    <w:multiLevelType w:val="multilevel"/>
    <w:tmpl w:val="A104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7B6102"/>
    <w:multiLevelType w:val="multilevel"/>
    <w:tmpl w:val="CA22F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EF36FF"/>
    <w:multiLevelType w:val="hybridMultilevel"/>
    <w:tmpl w:val="A84CED30"/>
    <w:lvl w:ilvl="0" w:tplc="0409000F">
      <w:start w:val="1"/>
      <w:numFmt w:val="decimal"/>
      <w:lvlText w:val="%1."/>
      <w:lvlJc w:val="left"/>
      <w:pPr>
        <w:ind w:left="360" w:hanging="360"/>
      </w:pPr>
    </w:lvl>
    <w:lvl w:ilvl="1" w:tplc="3954CFEC">
      <w:start w:val="1"/>
      <w:numFmt w:val="decimal"/>
      <w:lvlText w:val="%2-"/>
      <w:lvlJc w:val="left"/>
      <w:pPr>
        <w:ind w:left="1110" w:hanging="390"/>
      </w:pPr>
      <w:rPr>
        <w:rFonts w:hint="default"/>
      </w:rPr>
    </w:lvl>
    <w:lvl w:ilvl="2" w:tplc="D518A280">
      <w:start w:val="1"/>
      <w:numFmt w:val="arabicAlpha"/>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08E059B"/>
    <w:multiLevelType w:val="multilevel"/>
    <w:tmpl w:val="5D1C9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DE130B"/>
    <w:multiLevelType w:val="hybridMultilevel"/>
    <w:tmpl w:val="97169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693926"/>
    <w:multiLevelType w:val="hybridMultilevel"/>
    <w:tmpl w:val="62B4FDB6"/>
    <w:lvl w:ilvl="0" w:tplc="784A2F14">
      <w:start w:val="1"/>
      <w:numFmt w:val="bullet"/>
      <w:suff w:val="space"/>
      <w:lvlText w:val=""/>
      <w:lvlJc w:val="left"/>
      <w:pPr>
        <w:ind w:left="567" w:hanging="567"/>
      </w:pPr>
      <w:rPr>
        <w:rFonts w:ascii="Wingdings" w:hAnsi="Wingdings" w:hint="default"/>
        <w:b w:val="0"/>
        <w:bCs w:val="0"/>
        <w:sz w:val="28"/>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40" w15:restartNumberingAfterBreak="0">
    <w:nsid w:val="730F69C7"/>
    <w:multiLevelType w:val="hybridMultilevel"/>
    <w:tmpl w:val="4FCA7F64"/>
    <w:lvl w:ilvl="0" w:tplc="FFE49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8B40ED"/>
    <w:multiLevelType w:val="multilevel"/>
    <w:tmpl w:val="0B52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8E25BA"/>
    <w:multiLevelType w:val="hybridMultilevel"/>
    <w:tmpl w:val="B0CAB3BA"/>
    <w:lvl w:ilvl="0" w:tplc="04090005">
      <w:start w:val="1"/>
      <w:numFmt w:val="bullet"/>
      <w:lvlText w:val=""/>
      <w:lvlJc w:val="left"/>
      <w:pPr>
        <w:ind w:left="720" w:hanging="360"/>
      </w:pPr>
      <w:rPr>
        <w:rFonts w:ascii="Wingdings" w:hAnsi="Wingding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41"/>
  </w:num>
  <w:num w:numId="3">
    <w:abstractNumId w:val="29"/>
  </w:num>
  <w:num w:numId="4">
    <w:abstractNumId w:val="30"/>
  </w:num>
  <w:num w:numId="5">
    <w:abstractNumId w:val="20"/>
  </w:num>
  <w:num w:numId="6">
    <w:abstractNumId w:val="37"/>
  </w:num>
  <w:num w:numId="7">
    <w:abstractNumId w:val="39"/>
  </w:num>
  <w:num w:numId="8">
    <w:abstractNumId w:val="34"/>
  </w:num>
  <w:num w:numId="9">
    <w:abstractNumId w:val="21"/>
  </w:num>
  <w:num w:numId="10">
    <w:abstractNumId w:val="19"/>
  </w:num>
  <w:num w:numId="11">
    <w:abstractNumId w:val="1"/>
  </w:num>
  <w:num w:numId="12">
    <w:abstractNumId w:val="3"/>
  </w:num>
  <w:num w:numId="13">
    <w:abstractNumId w:val="40"/>
  </w:num>
  <w:num w:numId="14">
    <w:abstractNumId w:val="42"/>
  </w:num>
  <w:num w:numId="15">
    <w:abstractNumId w:val="13"/>
  </w:num>
  <w:num w:numId="16">
    <w:abstractNumId w:val="9"/>
  </w:num>
  <w:num w:numId="17">
    <w:abstractNumId w:val="28"/>
  </w:num>
  <w:num w:numId="18">
    <w:abstractNumId w:val="38"/>
  </w:num>
  <w:num w:numId="19">
    <w:abstractNumId w:val="6"/>
  </w:num>
  <w:num w:numId="20">
    <w:abstractNumId w:val="32"/>
  </w:num>
  <w:num w:numId="21">
    <w:abstractNumId w:val="27"/>
  </w:num>
  <w:num w:numId="22">
    <w:abstractNumId w:val="2"/>
  </w:num>
  <w:num w:numId="23">
    <w:abstractNumId w:val="0"/>
  </w:num>
  <w:num w:numId="24">
    <w:abstractNumId w:val="17"/>
  </w:num>
  <w:num w:numId="25">
    <w:abstractNumId w:val="18"/>
  </w:num>
  <w:num w:numId="26">
    <w:abstractNumId w:val="10"/>
  </w:num>
  <w:num w:numId="27">
    <w:abstractNumId w:val="24"/>
  </w:num>
  <w:num w:numId="28">
    <w:abstractNumId w:val="16"/>
  </w:num>
  <w:num w:numId="29">
    <w:abstractNumId w:val="8"/>
  </w:num>
  <w:num w:numId="30">
    <w:abstractNumId w:val="22"/>
  </w:num>
  <w:num w:numId="31">
    <w:abstractNumId w:val="33"/>
  </w:num>
  <w:num w:numId="32">
    <w:abstractNumId w:val="35"/>
  </w:num>
  <w:num w:numId="33">
    <w:abstractNumId w:val="11"/>
  </w:num>
  <w:num w:numId="34">
    <w:abstractNumId w:val="36"/>
  </w:num>
  <w:num w:numId="35">
    <w:abstractNumId w:val="4"/>
  </w:num>
  <w:num w:numId="36">
    <w:abstractNumId w:val="7"/>
  </w:num>
  <w:num w:numId="37">
    <w:abstractNumId w:val="5"/>
  </w:num>
  <w:num w:numId="38">
    <w:abstractNumId w:val="31"/>
  </w:num>
  <w:num w:numId="39">
    <w:abstractNumId w:val="23"/>
  </w:num>
  <w:num w:numId="40">
    <w:abstractNumId w:val="26"/>
  </w:num>
  <w:num w:numId="41">
    <w:abstractNumId w:val="15"/>
  </w:num>
  <w:num w:numId="42">
    <w:abstractNumId w:val="12"/>
  </w:num>
  <w:num w:numId="43">
    <w:abstractNumId w:val="1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jS3NDAxMLQ0MLCwMDJS0lEKTi0uzszPAykwqwUAzRSQaSwAAAA="/>
  </w:docVars>
  <w:rsids>
    <w:rsidRoot w:val="00BF2747"/>
    <w:rsid w:val="00001B26"/>
    <w:rsid w:val="00003BBB"/>
    <w:rsid w:val="0000605A"/>
    <w:rsid w:val="000127B1"/>
    <w:rsid w:val="00012C41"/>
    <w:rsid w:val="000135AB"/>
    <w:rsid w:val="0001530D"/>
    <w:rsid w:val="000154A5"/>
    <w:rsid w:val="00021426"/>
    <w:rsid w:val="00021F86"/>
    <w:rsid w:val="00022590"/>
    <w:rsid w:val="000319C6"/>
    <w:rsid w:val="00034F5C"/>
    <w:rsid w:val="00051424"/>
    <w:rsid w:val="000555B4"/>
    <w:rsid w:val="0006113E"/>
    <w:rsid w:val="00061159"/>
    <w:rsid w:val="00063393"/>
    <w:rsid w:val="00072D65"/>
    <w:rsid w:val="00077E10"/>
    <w:rsid w:val="0008262C"/>
    <w:rsid w:val="00091B87"/>
    <w:rsid w:val="00094E97"/>
    <w:rsid w:val="000A2220"/>
    <w:rsid w:val="000B3CEF"/>
    <w:rsid w:val="000C2A68"/>
    <w:rsid w:val="000C2B44"/>
    <w:rsid w:val="000C7885"/>
    <w:rsid w:val="000D3F49"/>
    <w:rsid w:val="000D44C4"/>
    <w:rsid w:val="000E764E"/>
    <w:rsid w:val="000E7A58"/>
    <w:rsid w:val="000F0CF5"/>
    <w:rsid w:val="000F1B6D"/>
    <w:rsid w:val="001014C7"/>
    <w:rsid w:val="0010241E"/>
    <w:rsid w:val="00102F61"/>
    <w:rsid w:val="00106D8F"/>
    <w:rsid w:val="0010712D"/>
    <w:rsid w:val="00110995"/>
    <w:rsid w:val="001138D8"/>
    <w:rsid w:val="0011407D"/>
    <w:rsid w:val="00121E8F"/>
    <w:rsid w:val="00122295"/>
    <w:rsid w:val="00122E0B"/>
    <w:rsid w:val="001276FA"/>
    <w:rsid w:val="00130F83"/>
    <w:rsid w:val="00137927"/>
    <w:rsid w:val="001423AE"/>
    <w:rsid w:val="001442C3"/>
    <w:rsid w:val="001448AB"/>
    <w:rsid w:val="00152257"/>
    <w:rsid w:val="001526BC"/>
    <w:rsid w:val="00160E2F"/>
    <w:rsid w:val="00163D06"/>
    <w:rsid w:val="0017224B"/>
    <w:rsid w:val="00173E13"/>
    <w:rsid w:val="0017436A"/>
    <w:rsid w:val="001760A9"/>
    <w:rsid w:val="00177363"/>
    <w:rsid w:val="001837EE"/>
    <w:rsid w:val="001878F2"/>
    <w:rsid w:val="0019225B"/>
    <w:rsid w:val="001A7827"/>
    <w:rsid w:val="001A7FEA"/>
    <w:rsid w:val="001B00A3"/>
    <w:rsid w:val="001B1475"/>
    <w:rsid w:val="001B3A47"/>
    <w:rsid w:val="001C03EF"/>
    <w:rsid w:val="001C2505"/>
    <w:rsid w:val="001C3D02"/>
    <w:rsid w:val="001C5A4B"/>
    <w:rsid w:val="001C62D8"/>
    <w:rsid w:val="001D12E7"/>
    <w:rsid w:val="001D19F1"/>
    <w:rsid w:val="001D1F20"/>
    <w:rsid w:val="001D423E"/>
    <w:rsid w:val="001D5812"/>
    <w:rsid w:val="001D70B8"/>
    <w:rsid w:val="001E397C"/>
    <w:rsid w:val="001E4C76"/>
    <w:rsid w:val="001E4DC1"/>
    <w:rsid w:val="001E751B"/>
    <w:rsid w:val="001F0F06"/>
    <w:rsid w:val="001F2228"/>
    <w:rsid w:val="001F510C"/>
    <w:rsid w:val="0020208E"/>
    <w:rsid w:val="002031CA"/>
    <w:rsid w:val="00205D62"/>
    <w:rsid w:val="00215594"/>
    <w:rsid w:val="00216987"/>
    <w:rsid w:val="002174D5"/>
    <w:rsid w:val="0022157D"/>
    <w:rsid w:val="00231C2C"/>
    <w:rsid w:val="00234D82"/>
    <w:rsid w:val="0023585B"/>
    <w:rsid w:val="00237D4B"/>
    <w:rsid w:val="002428A8"/>
    <w:rsid w:val="002470D7"/>
    <w:rsid w:val="002500AB"/>
    <w:rsid w:val="00254CD4"/>
    <w:rsid w:val="00257DD8"/>
    <w:rsid w:val="00257FE0"/>
    <w:rsid w:val="00261B2C"/>
    <w:rsid w:val="00263661"/>
    <w:rsid w:val="00264FDE"/>
    <w:rsid w:val="00267E5C"/>
    <w:rsid w:val="00273E9D"/>
    <w:rsid w:val="00274D73"/>
    <w:rsid w:val="002763F0"/>
    <w:rsid w:val="002772E6"/>
    <w:rsid w:val="0028000F"/>
    <w:rsid w:val="002809E3"/>
    <w:rsid w:val="0028264A"/>
    <w:rsid w:val="002874C7"/>
    <w:rsid w:val="00287B34"/>
    <w:rsid w:val="00290052"/>
    <w:rsid w:val="00290444"/>
    <w:rsid w:val="002908C4"/>
    <w:rsid w:val="00290C54"/>
    <w:rsid w:val="00290E02"/>
    <w:rsid w:val="0029117E"/>
    <w:rsid w:val="00291F56"/>
    <w:rsid w:val="00295677"/>
    <w:rsid w:val="00297008"/>
    <w:rsid w:val="002A3B74"/>
    <w:rsid w:val="002A3C0A"/>
    <w:rsid w:val="002A5BC0"/>
    <w:rsid w:val="002B0AD5"/>
    <w:rsid w:val="002B0B26"/>
    <w:rsid w:val="002B1510"/>
    <w:rsid w:val="002C01B4"/>
    <w:rsid w:val="002C3256"/>
    <w:rsid w:val="002C70FF"/>
    <w:rsid w:val="002D0B4A"/>
    <w:rsid w:val="002D0EEB"/>
    <w:rsid w:val="002D213D"/>
    <w:rsid w:val="002D2CB0"/>
    <w:rsid w:val="002E1E8F"/>
    <w:rsid w:val="002E1ECB"/>
    <w:rsid w:val="002E3F3F"/>
    <w:rsid w:val="002E4DD8"/>
    <w:rsid w:val="002E65F7"/>
    <w:rsid w:val="002E7881"/>
    <w:rsid w:val="002F25FA"/>
    <w:rsid w:val="002F349F"/>
    <w:rsid w:val="00300305"/>
    <w:rsid w:val="00302054"/>
    <w:rsid w:val="00303F3E"/>
    <w:rsid w:val="00304014"/>
    <w:rsid w:val="00305D49"/>
    <w:rsid w:val="00306C39"/>
    <w:rsid w:val="003115E5"/>
    <w:rsid w:val="00311C53"/>
    <w:rsid w:val="00313069"/>
    <w:rsid w:val="00316699"/>
    <w:rsid w:val="003166FF"/>
    <w:rsid w:val="00316ED1"/>
    <w:rsid w:val="00327798"/>
    <w:rsid w:val="00330D06"/>
    <w:rsid w:val="00335E11"/>
    <w:rsid w:val="00341EEC"/>
    <w:rsid w:val="003444E4"/>
    <w:rsid w:val="00344C6B"/>
    <w:rsid w:val="0034711C"/>
    <w:rsid w:val="00351D2E"/>
    <w:rsid w:val="00352581"/>
    <w:rsid w:val="003532D4"/>
    <w:rsid w:val="0036223A"/>
    <w:rsid w:val="003653E9"/>
    <w:rsid w:val="0036585F"/>
    <w:rsid w:val="00370856"/>
    <w:rsid w:val="00373552"/>
    <w:rsid w:val="003741A5"/>
    <w:rsid w:val="00374D16"/>
    <w:rsid w:val="003761D4"/>
    <w:rsid w:val="00381BC1"/>
    <w:rsid w:val="003831FF"/>
    <w:rsid w:val="003A172C"/>
    <w:rsid w:val="003A206E"/>
    <w:rsid w:val="003A28FC"/>
    <w:rsid w:val="003A3A5B"/>
    <w:rsid w:val="003A4B6E"/>
    <w:rsid w:val="003A540D"/>
    <w:rsid w:val="003A619B"/>
    <w:rsid w:val="003A78E7"/>
    <w:rsid w:val="003B13B3"/>
    <w:rsid w:val="003B217F"/>
    <w:rsid w:val="003B27B5"/>
    <w:rsid w:val="003B63B4"/>
    <w:rsid w:val="003B6F13"/>
    <w:rsid w:val="003B6FC3"/>
    <w:rsid w:val="003B722C"/>
    <w:rsid w:val="003B7F01"/>
    <w:rsid w:val="003C39FA"/>
    <w:rsid w:val="003C4EB1"/>
    <w:rsid w:val="003C5CD3"/>
    <w:rsid w:val="003C6B57"/>
    <w:rsid w:val="003D069A"/>
    <w:rsid w:val="003D75F8"/>
    <w:rsid w:val="003E05A9"/>
    <w:rsid w:val="003E087A"/>
    <w:rsid w:val="003E684A"/>
    <w:rsid w:val="003F6209"/>
    <w:rsid w:val="003F65B8"/>
    <w:rsid w:val="00402ADA"/>
    <w:rsid w:val="00405572"/>
    <w:rsid w:val="00406713"/>
    <w:rsid w:val="00410DB4"/>
    <w:rsid w:val="00412241"/>
    <w:rsid w:val="004139A2"/>
    <w:rsid w:val="00415DE8"/>
    <w:rsid w:val="004261B9"/>
    <w:rsid w:val="00427D8C"/>
    <w:rsid w:val="00435757"/>
    <w:rsid w:val="00442694"/>
    <w:rsid w:val="00443315"/>
    <w:rsid w:val="004477D6"/>
    <w:rsid w:val="0044795C"/>
    <w:rsid w:val="00455B58"/>
    <w:rsid w:val="00463C16"/>
    <w:rsid w:val="0047193D"/>
    <w:rsid w:val="00476CD8"/>
    <w:rsid w:val="004772E4"/>
    <w:rsid w:val="004846FC"/>
    <w:rsid w:val="00486876"/>
    <w:rsid w:val="004905DC"/>
    <w:rsid w:val="00492D07"/>
    <w:rsid w:val="00494BA4"/>
    <w:rsid w:val="004A0337"/>
    <w:rsid w:val="004B0FDB"/>
    <w:rsid w:val="004C0916"/>
    <w:rsid w:val="004C0BEA"/>
    <w:rsid w:val="004C672F"/>
    <w:rsid w:val="004D0899"/>
    <w:rsid w:val="004D0D81"/>
    <w:rsid w:val="004D35D0"/>
    <w:rsid w:val="004D40CE"/>
    <w:rsid w:val="004D5A94"/>
    <w:rsid w:val="004D7487"/>
    <w:rsid w:val="004E0435"/>
    <w:rsid w:val="004E6773"/>
    <w:rsid w:val="004F047E"/>
    <w:rsid w:val="004F1C9B"/>
    <w:rsid w:val="004F4611"/>
    <w:rsid w:val="004F56B3"/>
    <w:rsid w:val="004F68F2"/>
    <w:rsid w:val="004F710A"/>
    <w:rsid w:val="004F75DC"/>
    <w:rsid w:val="004F7EF5"/>
    <w:rsid w:val="005003E5"/>
    <w:rsid w:val="00500C9C"/>
    <w:rsid w:val="00500D7F"/>
    <w:rsid w:val="00504B9B"/>
    <w:rsid w:val="00505AB0"/>
    <w:rsid w:val="00506A11"/>
    <w:rsid w:val="005074A4"/>
    <w:rsid w:val="00512F4C"/>
    <w:rsid w:val="00513489"/>
    <w:rsid w:val="00516DF5"/>
    <w:rsid w:val="00517504"/>
    <w:rsid w:val="00520542"/>
    <w:rsid w:val="0052486A"/>
    <w:rsid w:val="005253E2"/>
    <w:rsid w:val="00525661"/>
    <w:rsid w:val="0052588E"/>
    <w:rsid w:val="00532AAA"/>
    <w:rsid w:val="00534874"/>
    <w:rsid w:val="00534B26"/>
    <w:rsid w:val="00537536"/>
    <w:rsid w:val="00537CBD"/>
    <w:rsid w:val="00545034"/>
    <w:rsid w:val="00545ABB"/>
    <w:rsid w:val="00552EB0"/>
    <w:rsid w:val="00560DE5"/>
    <w:rsid w:val="00564116"/>
    <w:rsid w:val="00566BD1"/>
    <w:rsid w:val="00577A32"/>
    <w:rsid w:val="005814BA"/>
    <w:rsid w:val="00583AB8"/>
    <w:rsid w:val="005861D5"/>
    <w:rsid w:val="005962D7"/>
    <w:rsid w:val="005A2F4A"/>
    <w:rsid w:val="005A3671"/>
    <w:rsid w:val="005B0E38"/>
    <w:rsid w:val="005B3D7C"/>
    <w:rsid w:val="005B4954"/>
    <w:rsid w:val="005B62B4"/>
    <w:rsid w:val="005B7677"/>
    <w:rsid w:val="005C1307"/>
    <w:rsid w:val="005C2D1B"/>
    <w:rsid w:val="005C5D25"/>
    <w:rsid w:val="005D773F"/>
    <w:rsid w:val="005E1C4C"/>
    <w:rsid w:val="005E20F2"/>
    <w:rsid w:val="005E2A3B"/>
    <w:rsid w:val="005F5B0D"/>
    <w:rsid w:val="005F6D9D"/>
    <w:rsid w:val="005F6FFC"/>
    <w:rsid w:val="00601CA2"/>
    <w:rsid w:val="0060263B"/>
    <w:rsid w:val="00603961"/>
    <w:rsid w:val="00603EAA"/>
    <w:rsid w:val="006055D3"/>
    <w:rsid w:val="00606768"/>
    <w:rsid w:val="00606EBB"/>
    <w:rsid w:val="00610957"/>
    <w:rsid w:val="00612736"/>
    <w:rsid w:val="00614330"/>
    <w:rsid w:val="006207F9"/>
    <w:rsid w:val="0062502D"/>
    <w:rsid w:val="00627810"/>
    <w:rsid w:val="006311C0"/>
    <w:rsid w:val="00634190"/>
    <w:rsid w:val="006410EB"/>
    <w:rsid w:val="0065200F"/>
    <w:rsid w:val="00655991"/>
    <w:rsid w:val="006562E4"/>
    <w:rsid w:val="00656352"/>
    <w:rsid w:val="006662C4"/>
    <w:rsid w:val="006663F5"/>
    <w:rsid w:val="00666FAE"/>
    <w:rsid w:val="00670A03"/>
    <w:rsid w:val="00671E81"/>
    <w:rsid w:val="006727F3"/>
    <w:rsid w:val="00674DD3"/>
    <w:rsid w:val="00675D13"/>
    <w:rsid w:val="00682290"/>
    <w:rsid w:val="00684FBC"/>
    <w:rsid w:val="006866E2"/>
    <w:rsid w:val="006932F8"/>
    <w:rsid w:val="00694B73"/>
    <w:rsid w:val="00697838"/>
    <w:rsid w:val="00697ED3"/>
    <w:rsid w:val="006A0B12"/>
    <w:rsid w:val="006A0BEB"/>
    <w:rsid w:val="006A57BD"/>
    <w:rsid w:val="006B7D11"/>
    <w:rsid w:val="006B7EB6"/>
    <w:rsid w:val="006C3511"/>
    <w:rsid w:val="006C3EAB"/>
    <w:rsid w:val="006C3FFF"/>
    <w:rsid w:val="006C4086"/>
    <w:rsid w:val="006C436D"/>
    <w:rsid w:val="006D0EBD"/>
    <w:rsid w:val="006D5047"/>
    <w:rsid w:val="006D50D2"/>
    <w:rsid w:val="006D5CB2"/>
    <w:rsid w:val="006E57E6"/>
    <w:rsid w:val="006F2A72"/>
    <w:rsid w:val="006F4C0F"/>
    <w:rsid w:val="007030D2"/>
    <w:rsid w:val="00703BDF"/>
    <w:rsid w:val="007049F9"/>
    <w:rsid w:val="00706DF5"/>
    <w:rsid w:val="007070B0"/>
    <w:rsid w:val="00714EFF"/>
    <w:rsid w:val="00717515"/>
    <w:rsid w:val="00720BB7"/>
    <w:rsid w:val="007254EB"/>
    <w:rsid w:val="00726D33"/>
    <w:rsid w:val="007271E8"/>
    <w:rsid w:val="00732B5F"/>
    <w:rsid w:val="007341B7"/>
    <w:rsid w:val="0073445C"/>
    <w:rsid w:val="007347AF"/>
    <w:rsid w:val="007363EB"/>
    <w:rsid w:val="00742136"/>
    <w:rsid w:val="007461F4"/>
    <w:rsid w:val="00750308"/>
    <w:rsid w:val="00761D53"/>
    <w:rsid w:val="00766966"/>
    <w:rsid w:val="007812DA"/>
    <w:rsid w:val="00785164"/>
    <w:rsid w:val="00790271"/>
    <w:rsid w:val="007977A9"/>
    <w:rsid w:val="007A1914"/>
    <w:rsid w:val="007A1E9E"/>
    <w:rsid w:val="007A25BB"/>
    <w:rsid w:val="007A2EA3"/>
    <w:rsid w:val="007A6A62"/>
    <w:rsid w:val="007A7E0D"/>
    <w:rsid w:val="007B4F65"/>
    <w:rsid w:val="007B5C11"/>
    <w:rsid w:val="007B62A1"/>
    <w:rsid w:val="007B62E5"/>
    <w:rsid w:val="007C3CF4"/>
    <w:rsid w:val="007D1829"/>
    <w:rsid w:val="007D28EA"/>
    <w:rsid w:val="007D4697"/>
    <w:rsid w:val="007D4AB7"/>
    <w:rsid w:val="007E387C"/>
    <w:rsid w:val="007F6824"/>
    <w:rsid w:val="00800196"/>
    <w:rsid w:val="00800F7F"/>
    <w:rsid w:val="0080451E"/>
    <w:rsid w:val="00805777"/>
    <w:rsid w:val="00806E78"/>
    <w:rsid w:val="0081179A"/>
    <w:rsid w:val="008153D7"/>
    <w:rsid w:val="008158E5"/>
    <w:rsid w:val="008206B5"/>
    <w:rsid w:val="00822283"/>
    <w:rsid w:val="00823601"/>
    <w:rsid w:val="008258BE"/>
    <w:rsid w:val="00830A0A"/>
    <w:rsid w:val="00831CAB"/>
    <w:rsid w:val="0083484C"/>
    <w:rsid w:val="008348FD"/>
    <w:rsid w:val="00836479"/>
    <w:rsid w:val="008367E1"/>
    <w:rsid w:val="00836EC9"/>
    <w:rsid w:val="00837FC7"/>
    <w:rsid w:val="008432D7"/>
    <w:rsid w:val="008447EE"/>
    <w:rsid w:val="00844AB6"/>
    <w:rsid w:val="00851782"/>
    <w:rsid w:val="008517AB"/>
    <w:rsid w:val="00852104"/>
    <w:rsid w:val="008600D0"/>
    <w:rsid w:val="00864D54"/>
    <w:rsid w:val="00866F60"/>
    <w:rsid w:val="008814AA"/>
    <w:rsid w:val="00884B7C"/>
    <w:rsid w:val="0089285B"/>
    <w:rsid w:val="0089403E"/>
    <w:rsid w:val="00894492"/>
    <w:rsid w:val="008A522F"/>
    <w:rsid w:val="008B236D"/>
    <w:rsid w:val="008B4C8C"/>
    <w:rsid w:val="008C08EC"/>
    <w:rsid w:val="008C23D1"/>
    <w:rsid w:val="008C2736"/>
    <w:rsid w:val="008C42CC"/>
    <w:rsid w:val="008C468E"/>
    <w:rsid w:val="008C788D"/>
    <w:rsid w:val="008D0958"/>
    <w:rsid w:val="008D0CB5"/>
    <w:rsid w:val="008D2C4E"/>
    <w:rsid w:val="008D63F0"/>
    <w:rsid w:val="008D6D76"/>
    <w:rsid w:val="008E0DE7"/>
    <w:rsid w:val="008E1B1D"/>
    <w:rsid w:val="008E5B00"/>
    <w:rsid w:val="008F1884"/>
    <w:rsid w:val="008F58EC"/>
    <w:rsid w:val="00903EC6"/>
    <w:rsid w:val="00906759"/>
    <w:rsid w:val="00910BA1"/>
    <w:rsid w:val="009147DD"/>
    <w:rsid w:val="00915DAF"/>
    <w:rsid w:val="00920FDA"/>
    <w:rsid w:val="00921BAC"/>
    <w:rsid w:val="00922AC8"/>
    <w:rsid w:val="009252B2"/>
    <w:rsid w:val="009257AC"/>
    <w:rsid w:val="00931FB7"/>
    <w:rsid w:val="009367C4"/>
    <w:rsid w:val="00937737"/>
    <w:rsid w:val="00946C7F"/>
    <w:rsid w:val="00947421"/>
    <w:rsid w:val="00947BCD"/>
    <w:rsid w:val="0095142E"/>
    <w:rsid w:val="009517F5"/>
    <w:rsid w:val="009567C9"/>
    <w:rsid w:val="00961702"/>
    <w:rsid w:val="00962A48"/>
    <w:rsid w:val="0096742E"/>
    <w:rsid w:val="00971560"/>
    <w:rsid w:val="009824A6"/>
    <w:rsid w:val="00985B7F"/>
    <w:rsid w:val="0098608B"/>
    <w:rsid w:val="00990F09"/>
    <w:rsid w:val="00992990"/>
    <w:rsid w:val="009933B9"/>
    <w:rsid w:val="009972E3"/>
    <w:rsid w:val="00997872"/>
    <w:rsid w:val="009A00A3"/>
    <w:rsid w:val="009A04B7"/>
    <w:rsid w:val="009A3065"/>
    <w:rsid w:val="009A38CC"/>
    <w:rsid w:val="009A5569"/>
    <w:rsid w:val="009A78AE"/>
    <w:rsid w:val="009A7C57"/>
    <w:rsid w:val="009B038B"/>
    <w:rsid w:val="009B29B2"/>
    <w:rsid w:val="009B4043"/>
    <w:rsid w:val="009B42BD"/>
    <w:rsid w:val="009B76ED"/>
    <w:rsid w:val="009C0DA6"/>
    <w:rsid w:val="009C4608"/>
    <w:rsid w:val="009C56D6"/>
    <w:rsid w:val="009C5BDA"/>
    <w:rsid w:val="009D080A"/>
    <w:rsid w:val="009D1D1E"/>
    <w:rsid w:val="009E1399"/>
    <w:rsid w:val="009E4292"/>
    <w:rsid w:val="009E62CF"/>
    <w:rsid w:val="009E685C"/>
    <w:rsid w:val="009F2550"/>
    <w:rsid w:val="009F6F3A"/>
    <w:rsid w:val="009F72E3"/>
    <w:rsid w:val="009F7E53"/>
    <w:rsid w:val="00A0208F"/>
    <w:rsid w:val="00A03FF9"/>
    <w:rsid w:val="00A113B2"/>
    <w:rsid w:val="00A12685"/>
    <w:rsid w:val="00A13ED6"/>
    <w:rsid w:val="00A151E1"/>
    <w:rsid w:val="00A15CA1"/>
    <w:rsid w:val="00A170C9"/>
    <w:rsid w:val="00A2133B"/>
    <w:rsid w:val="00A26168"/>
    <w:rsid w:val="00A276C3"/>
    <w:rsid w:val="00A27E69"/>
    <w:rsid w:val="00A303A6"/>
    <w:rsid w:val="00A36718"/>
    <w:rsid w:val="00A37481"/>
    <w:rsid w:val="00A42C0D"/>
    <w:rsid w:val="00A43FF7"/>
    <w:rsid w:val="00A4441B"/>
    <w:rsid w:val="00A46D17"/>
    <w:rsid w:val="00A474FC"/>
    <w:rsid w:val="00A47E49"/>
    <w:rsid w:val="00A536C1"/>
    <w:rsid w:val="00A5720A"/>
    <w:rsid w:val="00A60352"/>
    <w:rsid w:val="00A60775"/>
    <w:rsid w:val="00A61655"/>
    <w:rsid w:val="00A61863"/>
    <w:rsid w:val="00A67CFB"/>
    <w:rsid w:val="00A71427"/>
    <w:rsid w:val="00A7556A"/>
    <w:rsid w:val="00A755D7"/>
    <w:rsid w:val="00A80DE4"/>
    <w:rsid w:val="00A8308E"/>
    <w:rsid w:val="00A833CB"/>
    <w:rsid w:val="00A9404F"/>
    <w:rsid w:val="00A95525"/>
    <w:rsid w:val="00AA2A35"/>
    <w:rsid w:val="00AA3A62"/>
    <w:rsid w:val="00AA429A"/>
    <w:rsid w:val="00AA4989"/>
    <w:rsid w:val="00AA51E7"/>
    <w:rsid w:val="00AA6D57"/>
    <w:rsid w:val="00AA6DE6"/>
    <w:rsid w:val="00AB0BC6"/>
    <w:rsid w:val="00AB35AC"/>
    <w:rsid w:val="00AB53B8"/>
    <w:rsid w:val="00AB7872"/>
    <w:rsid w:val="00AC492C"/>
    <w:rsid w:val="00AC50A5"/>
    <w:rsid w:val="00AC7588"/>
    <w:rsid w:val="00AD2038"/>
    <w:rsid w:val="00AD6635"/>
    <w:rsid w:val="00AD6D38"/>
    <w:rsid w:val="00AE2239"/>
    <w:rsid w:val="00AE7937"/>
    <w:rsid w:val="00AF2627"/>
    <w:rsid w:val="00AF26E8"/>
    <w:rsid w:val="00AF2F7C"/>
    <w:rsid w:val="00AF3F1B"/>
    <w:rsid w:val="00AF441E"/>
    <w:rsid w:val="00AF5227"/>
    <w:rsid w:val="00AF7E62"/>
    <w:rsid w:val="00B000FE"/>
    <w:rsid w:val="00B03DCA"/>
    <w:rsid w:val="00B07185"/>
    <w:rsid w:val="00B11C8C"/>
    <w:rsid w:val="00B24B1D"/>
    <w:rsid w:val="00B2790F"/>
    <w:rsid w:val="00B30979"/>
    <w:rsid w:val="00B3389C"/>
    <w:rsid w:val="00B35AF9"/>
    <w:rsid w:val="00B37D0B"/>
    <w:rsid w:val="00B40045"/>
    <w:rsid w:val="00B4689A"/>
    <w:rsid w:val="00B52A8B"/>
    <w:rsid w:val="00B5324F"/>
    <w:rsid w:val="00B53DC2"/>
    <w:rsid w:val="00B567BC"/>
    <w:rsid w:val="00B62624"/>
    <w:rsid w:val="00B65C7D"/>
    <w:rsid w:val="00B67697"/>
    <w:rsid w:val="00B713AE"/>
    <w:rsid w:val="00B760B2"/>
    <w:rsid w:val="00B8299C"/>
    <w:rsid w:val="00B85237"/>
    <w:rsid w:val="00B90309"/>
    <w:rsid w:val="00B9340F"/>
    <w:rsid w:val="00B93AB0"/>
    <w:rsid w:val="00B93C83"/>
    <w:rsid w:val="00B94CFC"/>
    <w:rsid w:val="00B96EE4"/>
    <w:rsid w:val="00B970EC"/>
    <w:rsid w:val="00B97D17"/>
    <w:rsid w:val="00BA53E7"/>
    <w:rsid w:val="00BA56EC"/>
    <w:rsid w:val="00BA5CB0"/>
    <w:rsid w:val="00BB14A1"/>
    <w:rsid w:val="00BB7134"/>
    <w:rsid w:val="00BD29A7"/>
    <w:rsid w:val="00BD5559"/>
    <w:rsid w:val="00BD5BC8"/>
    <w:rsid w:val="00BD699B"/>
    <w:rsid w:val="00BE61EB"/>
    <w:rsid w:val="00BE793F"/>
    <w:rsid w:val="00BF0BEF"/>
    <w:rsid w:val="00BF2747"/>
    <w:rsid w:val="00C0292C"/>
    <w:rsid w:val="00C111BE"/>
    <w:rsid w:val="00C11BB9"/>
    <w:rsid w:val="00C1390C"/>
    <w:rsid w:val="00C17F36"/>
    <w:rsid w:val="00C21390"/>
    <w:rsid w:val="00C2589F"/>
    <w:rsid w:val="00C27109"/>
    <w:rsid w:val="00C32854"/>
    <w:rsid w:val="00C3416E"/>
    <w:rsid w:val="00C36614"/>
    <w:rsid w:val="00C40151"/>
    <w:rsid w:val="00C5201B"/>
    <w:rsid w:val="00C5396A"/>
    <w:rsid w:val="00C64756"/>
    <w:rsid w:val="00C66542"/>
    <w:rsid w:val="00C76CC8"/>
    <w:rsid w:val="00C76E3B"/>
    <w:rsid w:val="00C80BD2"/>
    <w:rsid w:val="00C834F5"/>
    <w:rsid w:val="00C83A22"/>
    <w:rsid w:val="00C92247"/>
    <w:rsid w:val="00C92BDB"/>
    <w:rsid w:val="00C939AA"/>
    <w:rsid w:val="00C969A3"/>
    <w:rsid w:val="00C97725"/>
    <w:rsid w:val="00CA047E"/>
    <w:rsid w:val="00CA4C7F"/>
    <w:rsid w:val="00CA7C35"/>
    <w:rsid w:val="00CB4743"/>
    <w:rsid w:val="00CB613E"/>
    <w:rsid w:val="00CC4BB7"/>
    <w:rsid w:val="00CC6E83"/>
    <w:rsid w:val="00CD5407"/>
    <w:rsid w:val="00CD5F03"/>
    <w:rsid w:val="00CE0537"/>
    <w:rsid w:val="00CE0846"/>
    <w:rsid w:val="00CE0D38"/>
    <w:rsid w:val="00CE0E91"/>
    <w:rsid w:val="00CE30EF"/>
    <w:rsid w:val="00CF23D6"/>
    <w:rsid w:val="00CF248E"/>
    <w:rsid w:val="00CF412E"/>
    <w:rsid w:val="00CF4E8A"/>
    <w:rsid w:val="00D00B97"/>
    <w:rsid w:val="00D06C48"/>
    <w:rsid w:val="00D112C5"/>
    <w:rsid w:val="00D11FD4"/>
    <w:rsid w:val="00D137E4"/>
    <w:rsid w:val="00D22718"/>
    <w:rsid w:val="00D24A1E"/>
    <w:rsid w:val="00D277DA"/>
    <w:rsid w:val="00D31CA7"/>
    <w:rsid w:val="00D3353E"/>
    <w:rsid w:val="00D33F17"/>
    <w:rsid w:val="00D5058C"/>
    <w:rsid w:val="00D51293"/>
    <w:rsid w:val="00D543D6"/>
    <w:rsid w:val="00D6082E"/>
    <w:rsid w:val="00D70C6B"/>
    <w:rsid w:val="00D70CFF"/>
    <w:rsid w:val="00D8067A"/>
    <w:rsid w:val="00D80D19"/>
    <w:rsid w:val="00D8380E"/>
    <w:rsid w:val="00D91A6E"/>
    <w:rsid w:val="00D91EF5"/>
    <w:rsid w:val="00D91F2E"/>
    <w:rsid w:val="00D92606"/>
    <w:rsid w:val="00D94668"/>
    <w:rsid w:val="00D95153"/>
    <w:rsid w:val="00D95FC1"/>
    <w:rsid w:val="00D97E5C"/>
    <w:rsid w:val="00DA2134"/>
    <w:rsid w:val="00DA2238"/>
    <w:rsid w:val="00DA550A"/>
    <w:rsid w:val="00DB0BBB"/>
    <w:rsid w:val="00DB18F6"/>
    <w:rsid w:val="00DB4A00"/>
    <w:rsid w:val="00DB7BBE"/>
    <w:rsid w:val="00DC1219"/>
    <w:rsid w:val="00DD4351"/>
    <w:rsid w:val="00DE3587"/>
    <w:rsid w:val="00DE4421"/>
    <w:rsid w:val="00DE71A2"/>
    <w:rsid w:val="00DF088B"/>
    <w:rsid w:val="00DF4AD2"/>
    <w:rsid w:val="00DF7B70"/>
    <w:rsid w:val="00E01361"/>
    <w:rsid w:val="00E11695"/>
    <w:rsid w:val="00E13BD7"/>
    <w:rsid w:val="00E1404B"/>
    <w:rsid w:val="00E1459C"/>
    <w:rsid w:val="00E214AC"/>
    <w:rsid w:val="00E221AB"/>
    <w:rsid w:val="00E2341B"/>
    <w:rsid w:val="00E2428D"/>
    <w:rsid w:val="00E27C11"/>
    <w:rsid w:val="00E30007"/>
    <w:rsid w:val="00E32200"/>
    <w:rsid w:val="00E3293D"/>
    <w:rsid w:val="00E3558F"/>
    <w:rsid w:val="00E41BF3"/>
    <w:rsid w:val="00E42A00"/>
    <w:rsid w:val="00E4652C"/>
    <w:rsid w:val="00E5067B"/>
    <w:rsid w:val="00E54603"/>
    <w:rsid w:val="00E56A9E"/>
    <w:rsid w:val="00E60459"/>
    <w:rsid w:val="00E631DE"/>
    <w:rsid w:val="00E72DB6"/>
    <w:rsid w:val="00E75E8F"/>
    <w:rsid w:val="00E77573"/>
    <w:rsid w:val="00E813CA"/>
    <w:rsid w:val="00E86049"/>
    <w:rsid w:val="00E90BA1"/>
    <w:rsid w:val="00E9254A"/>
    <w:rsid w:val="00E95AC4"/>
    <w:rsid w:val="00E96C62"/>
    <w:rsid w:val="00E97F72"/>
    <w:rsid w:val="00EA003F"/>
    <w:rsid w:val="00EA02AD"/>
    <w:rsid w:val="00EA1C8F"/>
    <w:rsid w:val="00EA2E8D"/>
    <w:rsid w:val="00EA2F11"/>
    <w:rsid w:val="00EA46FD"/>
    <w:rsid w:val="00EA68C0"/>
    <w:rsid w:val="00EB0927"/>
    <w:rsid w:val="00EB20B0"/>
    <w:rsid w:val="00EB2376"/>
    <w:rsid w:val="00EB6454"/>
    <w:rsid w:val="00EC1917"/>
    <w:rsid w:val="00EC1BE5"/>
    <w:rsid w:val="00EC4C11"/>
    <w:rsid w:val="00ED04A0"/>
    <w:rsid w:val="00ED1502"/>
    <w:rsid w:val="00ED4FB3"/>
    <w:rsid w:val="00EE0D52"/>
    <w:rsid w:val="00EE3852"/>
    <w:rsid w:val="00EF45A3"/>
    <w:rsid w:val="00EF5263"/>
    <w:rsid w:val="00F00533"/>
    <w:rsid w:val="00F01484"/>
    <w:rsid w:val="00F02C0D"/>
    <w:rsid w:val="00F03D91"/>
    <w:rsid w:val="00F14F32"/>
    <w:rsid w:val="00F201D6"/>
    <w:rsid w:val="00F262FF"/>
    <w:rsid w:val="00F340D5"/>
    <w:rsid w:val="00F36C14"/>
    <w:rsid w:val="00F37CAD"/>
    <w:rsid w:val="00F412D7"/>
    <w:rsid w:val="00F461C7"/>
    <w:rsid w:val="00F55820"/>
    <w:rsid w:val="00F615F9"/>
    <w:rsid w:val="00F65A25"/>
    <w:rsid w:val="00F66A06"/>
    <w:rsid w:val="00F7006B"/>
    <w:rsid w:val="00F703BC"/>
    <w:rsid w:val="00F75649"/>
    <w:rsid w:val="00F76EDB"/>
    <w:rsid w:val="00F81A22"/>
    <w:rsid w:val="00F876E7"/>
    <w:rsid w:val="00F87EA0"/>
    <w:rsid w:val="00F92890"/>
    <w:rsid w:val="00F9650D"/>
    <w:rsid w:val="00FA69EF"/>
    <w:rsid w:val="00FB42CD"/>
    <w:rsid w:val="00FB77BB"/>
    <w:rsid w:val="00FC05A1"/>
    <w:rsid w:val="00FC1F7D"/>
    <w:rsid w:val="00FC61FA"/>
    <w:rsid w:val="00FC669B"/>
    <w:rsid w:val="00FD01C2"/>
    <w:rsid w:val="00FD02DA"/>
    <w:rsid w:val="00FD6340"/>
    <w:rsid w:val="00FE07B0"/>
    <w:rsid w:val="00FE37F7"/>
    <w:rsid w:val="00FE45D5"/>
    <w:rsid w:val="00FE66E5"/>
    <w:rsid w:val="00FE6C7C"/>
    <w:rsid w:val="00FF141C"/>
    <w:rsid w:val="00FF3288"/>
    <w:rsid w:val="00FF3405"/>
    <w:rsid w:val="00FF3BD1"/>
    <w:rsid w:val="00FF72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05D7"/>
  <w15:docId w15:val="{29819C8D-2282-4618-93E7-5438F75D5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FE45D5"/>
    <w:pPr>
      <w:keepNext/>
      <w:keepLines/>
      <w:bidi w:val="0"/>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E45D5"/>
    <w:pPr>
      <w:keepNext/>
      <w:keepLines/>
      <w:bidi w:val="0"/>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FE45D5"/>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E45D5"/>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E45D5"/>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E45D5"/>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E45D5"/>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E45D5"/>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E45D5"/>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3-Accent6">
    <w:name w:val="Medium Grid 3 Accent 6"/>
    <w:basedOn w:val="TableNormal"/>
    <w:uiPriority w:val="69"/>
    <w:rsid w:val="00A474FC"/>
    <w:pPr>
      <w:spacing w:after="0" w:line="240" w:lineRule="auto"/>
    </w:pPr>
    <w:tblPr>
      <w:tblStyleRowBandSize w:val="1"/>
      <w:tblStyleColBandSize w:val="1"/>
    </w:tblPr>
    <w:tcPr>
      <w:shd w:val="clear" w:color="auto" w:fill="FBD4B4" w:themeFill="accent6" w:themeFillTint="66"/>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numbering" w:customStyle="1" w:styleId="NoList1">
    <w:name w:val="No List1"/>
    <w:next w:val="NoList"/>
    <w:uiPriority w:val="99"/>
    <w:semiHidden/>
    <w:unhideWhenUsed/>
    <w:rsid w:val="00AF441E"/>
  </w:style>
  <w:style w:type="paragraph" w:styleId="Header">
    <w:name w:val="header"/>
    <w:basedOn w:val="Normal"/>
    <w:link w:val="HeaderChar"/>
    <w:uiPriority w:val="99"/>
    <w:unhideWhenUsed/>
    <w:rsid w:val="00AF441E"/>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AF441E"/>
  </w:style>
  <w:style w:type="paragraph" w:styleId="Footer">
    <w:name w:val="footer"/>
    <w:basedOn w:val="Normal"/>
    <w:link w:val="FooterChar"/>
    <w:uiPriority w:val="99"/>
    <w:unhideWhenUsed/>
    <w:rsid w:val="00AF441E"/>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AF441E"/>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AF441E"/>
    <w:pPr>
      <w:bidi w:val="0"/>
      <w:spacing w:after="160" w:line="259" w:lineRule="auto"/>
      <w:ind w:left="720"/>
      <w:contextualSpacing/>
    </w:pPr>
  </w:style>
  <w:style w:type="paragraph" w:styleId="FootnoteText">
    <w:name w:val="footnote text"/>
    <w:basedOn w:val="Normal"/>
    <w:link w:val="FootnoteTextChar"/>
    <w:uiPriority w:val="99"/>
    <w:unhideWhenUsed/>
    <w:rsid w:val="00AF441E"/>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AF441E"/>
    <w:rPr>
      <w:sz w:val="20"/>
      <w:szCs w:val="20"/>
    </w:rPr>
  </w:style>
  <w:style w:type="character" w:styleId="FootnoteReference">
    <w:name w:val="footnote reference"/>
    <w:basedOn w:val="DefaultParagraphFont"/>
    <w:unhideWhenUsed/>
    <w:rsid w:val="00AF441E"/>
    <w:rPr>
      <w:vertAlign w:val="superscript"/>
    </w:rPr>
  </w:style>
  <w:style w:type="character" w:customStyle="1" w:styleId="Hyperlink1">
    <w:name w:val="Hyperlink1"/>
    <w:basedOn w:val="DefaultParagraphFont"/>
    <w:uiPriority w:val="99"/>
    <w:unhideWhenUsed/>
    <w:rsid w:val="00AF441E"/>
    <w:rPr>
      <w:color w:val="0563C1"/>
      <w:u w:val="single"/>
    </w:rPr>
  </w:style>
  <w:style w:type="paragraph" w:styleId="NormalWeb">
    <w:name w:val="Normal (Web)"/>
    <w:basedOn w:val="Normal"/>
    <w:uiPriority w:val="99"/>
    <w:unhideWhenUsed/>
    <w:rsid w:val="00AF441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F441E"/>
    <w:rPr>
      <w:color w:val="0000FF" w:themeColor="hyperlink"/>
      <w:u w:val="single"/>
    </w:rPr>
  </w:style>
  <w:style w:type="numbering" w:customStyle="1" w:styleId="NoList2">
    <w:name w:val="No List2"/>
    <w:next w:val="NoList"/>
    <w:uiPriority w:val="99"/>
    <w:semiHidden/>
    <w:unhideWhenUsed/>
    <w:rsid w:val="005C2D1B"/>
  </w:style>
  <w:style w:type="character" w:styleId="Strong">
    <w:name w:val="Strong"/>
    <w:basedOn w:val="DefaultParagraphFont"/>
    <w:uiPriority w:val="22"/>
    <w:qFormat/>
    <w:rsid w:val="009A00A3"/>
    <w:rPr>
      <w:b/>
      <w:bCs/>
    </w:rPr>
  </w:style>
  <w:style w:type="paragraph" w:styleId="BalloonText">
    <w:name w:val="Balloon Text"/>
    <w:basedOn w:val="Normal"/>
    <w:link w:val="BalloonTextChar"/>
    <w:uiPriority w:val="99"/>
    <w:semiHidden/>
    <w:unhideWhenUsed/>
    <w:rsid w:val="00B970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0EC"/>
    <w:rPr>
      <w:rFonts w:ascii="Tahoma" w:hAnsi="Tahoma" w:cs="Tahoma"/>
      <w:sz w:val="16"/>
      <w:szCs w:val="16"/>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locked/>
    <w:rsid w:val="009B038B"/>
  </w:style>
  <w:style w:type="table" w:styleId="TableGrid">
    <w:name w:val="Table Grid"/>
    <w:basedOn w:val="TableNormal"/>
    <w:uiPriority w:val="39"/>
    <w:rsid w:val="00F02C0D"/>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45D5"/>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FE45D5"/>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FE45D5"/>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FE45D5"/>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FE45D5"/>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FE45D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FE45D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FE45D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FE45D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FE45D5"/>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E45D5"/>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FE45D5"/>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E45D5"/>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FE45D5"/>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E45D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FE45D5"/>
    <w:rPr>
      <w:i/>
      <w:iCs/>
      <w:color w:val="365F91" w:themeColor="accent1" w:themeShade="BF"/>
    </w:rPr>
  </w:style>
  <w:style w:type="paragraph" w:styleId="IntenseQuote">
    <w:name w:val="Intense Quote"/>
    <w:basedOn w:val="Normal"/>
    <w:next w:val="Normal"/>
    <w:link w:val="IntenseQuoteChar"/>
    <w:uiPriority w:val="30"/>
    <w:qFormat/>
    <w:rsid w:val="00FE45D5"/>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E45D5"/>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FE45D5"/>
    <w:rPr>
      <w:b/>
      <w:bCs/>
      <w:smallCaps/>
      <w:color w:val="365F91" w:themeColor="accent1" w:themeShade="BF"/>
      <w:spacing w:val="5"/>
    </w:rPr>
  </w:style>
  <w:style w:type="character" w:customStyle="1" w:styleId="UnresolvedMention1">
    <w:name w:val="Unresolved Mention1"/>
    <w:basedOn w:val="DefaultParagraphFont"/>
    <w:uiPriority w:val="99"/>
    <w:semiHidden/>
    <w:unhideWhenUsed/>
    <w:rsid w:val="00FE45D5"/>
    <w:rPr>
      <w:color w:val="605E5C"/>
      <w:shd w:val="clear" w:color="auto" w:fill="E1DFDD"/>
    </w:rPr>
  </w:style>
  <w:style w:type="paragraph" w:customStyle="1" w:styleId="pdq2pgselectionanchorcontainer">
    <w:name w:val="pdq2pg_selectionanchorcontainer"/>
    <w:basedOn w:val="Normal"/>
    <w:rsid w:val="00FE45D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Char">
    <w:name w:val="نمط1 Char Char"/>
    <w:rsid w:val="002874C7"/>
    <w:rPr>
      <w:rFonts w:cs="Simplified Arabic"/>
      <w:sz w:val="28"/>
      <w:szCs w:val="28"/>
      <w:lang w:val="en-US" w:eastAsia="en-US" w:bidi="ar-SA"/>
    </w:rPr>
  </w:style>
  <w:style w:type="character" w:customStyle="1" w:styleId="UnresolvedMention">
    <w:name w:val="Unresolved Mention"/>
    <w:basedOn w:val="DefaultParagraphFont"/>
    <w:uiPriority w:val="99"/>
    <w:semiHidden/>
    <w:unhideWhenUsed/>
    <w:rsid w:val="009252B2"/>
    <w:rPr>
      <w:color w:val="605E5C"/>
      <w:shd w:val="clear" w:color="auto" w:fill="E1DFDD"/>
    </w:rPr>
  </w:style>
  <w:style w:type="paragraph" w:customStyle="1" w:styleId="isselectedend">
    <w:name w:val="isselectedend"/>
    <w:basedOn w:val="Normal"/>
    <w:rsid w:val="006D0EB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A2134"/>
    <w:rPr>
      <w:rFonts w:ascii="Alexandria-Regular" w:hAnsi="Alexandria-Regular" w:hint="default"/>
      <w:b w:val="0"/>
      <w:bCs w:val="0"/>
      <w:i w:val="0"/>
      <w:iCs w:val="0"/>
      <w:color w:val="000000"/>
      <w:sz w:val="34"/>
      <w:szCs w:val="34"/>
    </w:rPr>
  </w:style>
  <w:style w:type="paragraph" w:styleId="TOCHeading">
    <w:name w:val="TOC Heading"/>
    <w:basedOn w:val="Heading1"/>
    <w:next w:val="Normal"/>
    <w:uiPriority w:val="39"/>
    <w:unhideWhenUsed/>
    <w:qFormat/>
    <w:rsid w:val="00E4652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174D5"/>
    <w:pPr>
      <w:tabs>
        <w:tab w:val="right" w:leader="dot" w:pos="9350"/>
      </w:tabs>
      <w:spacing w:after="100"/>
    </w:pPr>
  </w:style>
  <w:style w:type="paragraph" w:styleId="TOC2">
    <w:name w:val="toc 2"/>
    <w:basedOn w:val="Normal"/>
    <w:next w:val="Normal"/>
    <w:autoRedefine/>
    <w:uiPriority w:val="39"/>
    <w:unhideWhenUsed/>
    <w:rsid w:val="00E4652C"/>
    <w:pPr>
      <w:spacing w:after="100"/>
      <w:ind w:left="220"/>
    </w:pPr>
  </w:style>
  <w:style w:type="paragraph" w:styleId="TOC3">
    <w:name w:val="toc 3"/>
    <w:basedOn w:val="Normal"/>
    <w:next w:val="Normal"/>
    <w:autoRedefine/>
    <w:uiPriority w:val="39"/>
    <w:unhideWhenUsed/>
    <w:rsid w:val="00287B34"/>
    <w:pPr>
      <w:spacing w:after="100"/>
      <w:ind w:left="440"/>
    </w:pPr>
  </w:style>
  <w:style w:type="paragraph" w:customStyle="1" w:styleId="a">
    <w:name w:val="أحمد صلاح"/>
    <w:basedOn w:val="Heading2"/>
    <w:link w:val="Char"/>
    <w:qFormat/>
    <w:rsid w:val="001D70B8"/>
    <w:pPr>
      <w:bidi/>
    </w:pPr>
    <w:rPr>
      <w:rFonts w:ascii="Simplified Arabic" w:eastAsia="Times New Roman" w:hAnsi="Simplified Arabic"/>
      <w:b/>
      <w:color w:val="000000" w:themeColor="text1"/>
      <w:sz w:val="28"/>
    </w:rPr>
  </w:style>
  <w:style w:type="character" w:customStyle="1" w:styleId="Char">
    <w:name w:val="أحمد صلاح Char"/>
    <w:basedOn w:val="Heading1Char"/>
    <w:link w:val="a"/>
    <w:rsid w:val="001D70B8"/>
    <w:rPr>
      <w:rFonts w:ascii="Simplified Arabic" w:eastAsia="Times New Roman" w:hAnsi="Simplified Arabic" w:cstheme="majorBidi"/>
      <w:b/>
      <w:color w:val="000000" w:themeColor="text1"/>
      <w:kern w:val="2"/>
      <w:sz w:val="28"/>
      <w:szCs w:val="32"/>
      <w14:ligatures w14:val="standardContextual"/>
    </w:rPr>
  </w:style>
  <w:style w:type="paragraph" w:styleId="TOC4">
    <w:name w:val="toc 4"/>
    <w:basedOn w:val="Normal"/>
    <w:next w:val="Normal"/>
    <w:autoRedefine/>
    <w:uiPriority w:val="39"/>
    <w:unhideWhenUsed/>
    <w:rsid w:val="002174D5"/>
    <w:pPr>
      <w:bidi w:val="0"/>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2174D5"/>
    <w:pPr>
      <w:bidi w:val="0"/>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2174D5"/>
    <w:pPr>
      <w:bidi w:val="0"/>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2174D5"/>
    <w:pPr>
      <w:bidi w:val="0"/>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2174D5"/>
    <w:pPr>
      <w:bidi w:val="0"/>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2174D5"/>
    <w:pPr>
      <w:bidi w:val="0"/>
      <w:spacing w:after="100" w:line="278" w:lineRule="auto"/>
      <w:ind w:left="1920"/>
    </w:pPr>
    <w:rPr>
      <w:rFonts w:eastAsiaTheme="minorEastAsia"/>
      <w:kern w:val="2"/>
      <w:sz w:val="24"/>
      <w:szCs w:val="24"/>
      <w14:ligatures w14:val="standardContextual"/>
    </w:rPr>
  </w:style>
  <w:style w:type="character" w:styleId="Emphasis">
    <w:name w:val="Emphasis"/>
    <w:basedOn w:val="DefaultParagraphFont"/>
    <w:uiPriority w:val="20"/>
    <w:qFormat/>
    <w:rsid w:val="00330D06"/>
    <w:rPr>
      <w:i/>
      <w:iCs/>
    </w:rPr>
  </w:style>
  <w:style w:type="character" w:styleId="HTMLCode">
    <w:name w:val="HTML Code"/>
    <w:basedOn w:val="DefaultParagraphFont"/>
    <w:uiPriority w:val="99"/>
    <w:semiHidden/>
    <w:unhideWhenUsed/>
    <w:rsid w:val="00ED4FB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5255">
      <w:bodyDiv w:val="1"/>
      <w:marLeft w:val="0"/>
      <w:marRight w:val="0"/>
      <w:marTop w:val="0"/>
      <w:marBottom w:val="0"/>
      <w:divBdr>
        <w:top w:val="none" w:sz="0" w:space="0" w:color="auto"/>
        <w:left w:val="none" w:sz="0" w:space="0" w:color="auto"/>
        <w:bottom w:val="none" w:sz="0" w:space="0" w:color="auto"/>
        <w:right w:val="none" w:sz="0" w:space="0" w:color="auto"/>
      </w:divBdr>
    </w:div>
    <w:div w:id="33776826">
      <w:bodyDiv w:val="1"/>
      <w:marLeft w:val="0"/>
      <w:marRight w:val="0"/>
      <w:marTop w:val="0"/>
      <w:marBottom w:val="0"/>
      <w:divBdr>
        <w:top w:val="none" w:sz="0" w:space="0" w:color="auto"/>
        <w:left w:val="none" w:sz="0" w:space="0" w:color="auto"/>
        <w:bottom w:val="none" w:sz="0" w:space="0" w:color="auto"/>
        <w:right w:val="none" w:sz="0" w:space="0" w:color="auto"/>
      </w:divBdr>
    </w:div>
    <w:div w:id="70859585">
      <w:bodyDiv w:val="1"/>
      <w:marLeft w:val="0"/>
      <w:marRight w:val="0"/>
      <w:marTop w:val="0"/>
      <w:marBottom w:val="0"/>
      <w:divBdr>
        <w:top w:val="none" w:sz="0" w:space="0" w:color="auto"/>
        <w:left w:val="none" w:sz="0" w:space="0" w:color="auto"/>
        <w:bottom w:val="none" w:sz="0" w:space="0" w:color="auto"/>
        <w:right w:val="none" w:sz="0" w:space="0" w:color="auto"/>
      </w:divBdr>
      <w:divsChild>
        <w:div w:id="2071614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202309">
          <w:marLeft w:val="0"/>
          <w:marRight w:val="0"/>
          <w:marTop w:val="0"/>
          <w:marBottom w:val="0"/>
          <w:divBdr>
            <w:top w:val="none" w:sz="0" w:space="0" w:color="auto"/>
            <w:left w:val="none" w:sz="0" w:space="0" w:color="auto"/>
            <w:bottom w:val="none" w:sz="0" w:space="0" w:color="auto"/>
            <w:right w:val="none" w:sz="0" w:space="0" w:color="auto"/>
          </w:divBdr>
          <w:divsChild>
            <w:div w:id="54356565">
              <w:marLeft w:val="0"/>
              <w:marRight w:val="0"/>
              <w:marTop w:val="0"/>
              <w:marBottom w:val="0"/>
              <w:divBdr>
                <w:top w:val="none" w:sz="0" w:space="0" w:color="auto"/>
                <w:left w:val="none" w:sz="0" w:space="0" w:color="auto"/>
                <w:bottom w:val="none" w:sz="0" w:space="0" w:color="auto"/>
                <w:right w:val="none" w:sz="0" w:space="0" w:color="auto"/>
              </w:divBdr>
              <w:divsChild>
                <w:div w:id="31858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15190">
          <w:blockQuote w:val="1"/>
          <w:marLeft w:val="720"/>
          <w:marRight w:val="720"/>
          <w:marTop w:val="100"/>
          <w:marBottom w:val="100"/>
          <w:divBdr>
            <w:top w:val="none" w:sz="0" w:space="0" w:color="auto"/>
            <w:left w:val="none" w:sz="0" w:space="0" w:color="auto"/>
            <w:bottom w:val="none" w:sz="0" w:space="0" w:color="auto"/>
            <w:right w:val="none" w:sz="0" w:space="0" w:color="auto"/>
          </w:divBdr>
        </w:div>
        <w:div w:id="962883468">
          <w:marLeft w:val="0"/>
          <w:marRight w:val="0"/>
          <w:marTop w:val="0"/>
          <w:marBottom w:val="0"/>
          <w:divBdr>
            <w:top w:val="none" w:sz="0" w:space="0" w:color="auto"/>
            <w:left w:val="none" w:sz="0" w:space="0" w:color="auto"/>
            <w:bottom w:val="none" w:sz="0" w:space="0" w:color="auto"/>
            <w:right w:val="none" w:sz="0" w:space="0" w:color="auto"/>
          </w:divBdr>
          <w:divsChild>
            <w:div w:id="1693337670">
              <w:marLeft w:val="0"/>
              <w:marRight w:val="0"/>
              <w:marTop w:val="0"/>
              <w:marBottom w:val="0"/>
              <w:divBdr>
                <w:top w:val="none" w:sz="0" w:space="0" w:color="auto"/>
                <w:left w:val="none" w:sz="0" w:space="0" w:color="auto"/>
                <w:bottom w:val="none" w:sz="0" w:space="0" w:color="auto"/>
                <w:right w:val="none" w:sz="0" w:space="0" w:color="auto"/>
              </w:divBdr>
              <w:divsChild>
                <w:div w:id="107539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3105">
      <w:bodyDiv w:val="1"/>
      <w:marLeft w:val="0"/>
      <w:marRight w:val="0"/>
      <w:marTop w:val="0"/>
      <w:marBottom w:val="0"/>
      <w:divBdr>
        <w:top w:val="none" w:sz="0" w:space="0" w:color="auto"/>
        <w:left w:val="none" w:sz="0" w:space="0" w:color="auto"/>
        <w:bottom w:val="none" w:sz="0" w:space="0" w:color="auto"/>
        <w:right w:val="none" w:sz="0" w:space="0" w:color="auto"/>
      </w:divBdr>
    </w:div>
    <w:div w:id="210777350">
      <w:bodyDiv w:val="1"/>
      <w:marLeft w:val="0"/>
      <w:marRight w:val="0"/>
      <w:marTop w:val="0"/>
      <w:marBottom w:val="0"/>
      <w:divBdr>
        <w:top w:val="none" w:sz="0" w:space="0" w:color="auto"/>
        <w:left w:val="none" w:sz="0" w:space="0" w:color="auto"/>
        <w:bottom w:val="none" w:sz="0" w:space="0" w:color="auto"/>
        <w:right w:val="none" w:sz="0" w:space="0" w:color="auto"/>
      </w:divBdr>
    </w:div>
    <w:div w:id="255090616">
      <w:bodyDiv w:val="1"/>
      <w:marLeft w:val="0"/>
      <w:marRight w:val="0"/>
      <w:marTop w:val="0"/>
      <w:marBottom w:val="0"/>
      <w:divBdr>
        <w:top w:val="none" w:sz="0" w:space="0" w:color="auto"/>
        <w:left w:val="none" w:sz="0" w:space="0" w:color="auto"/>
        <w:bottom w:val="none" w:sz="0" w:space="0" w:color="auto"/>
        <w:right w:val="none" w:sz="0" w:space="0" w:color="auto"/>
      </w:divBdr>
      <w:divsChild>
        <w:div w:id="1933927079">
          <w:marLeft w:val="0"/>
          <w:marRight w:val="0"/>
          <w:marTop w:val="0"/>
          <w:marBottom w:val="0"/>
          <w:divBdr>
            <w:top w:val="none" w:sz="0" w:space="0" w:color="auto"/>
            <w:left w:val="none" w:sz="0" w:space="0" w:color="auto"/>
            <w:bottom w:val="none" w:sz="0" w:space="0" w:color="auto"/>
            <w:right w:val="none" w:sz="0" w:space="0" w:color="auto"/>
          </w:divBdr>
          <w:divsChild>
            <w:div w:id="1475832592">
              <w:marLeft w:val="0"/>
              <w:marRight w:val="0"/>
              <w:marTop w:val="0"/>
              <w:marBottom w:val="0"/>
              <w:divBdr>
                <w:top w:val="none" w:sz="0" w:space="0" w:color="auto"/>
                <w:left w:val="none" w:sz="0" w:space="0" w:color="auto"/>
                <w:bottom w:val="none" w:sz="0" w:space="0" w:color="auto"/>
                <w:right w:val="none" w:sz="0" w:space="0" w:color="auto"/>
              </w:divBdr>
              <w:divsChild>
                <w:div w:id="10119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154776">
      <w:bodyDiv w:val="1"/>
      <w:marLeft w:val="0"/>
      <w:marRight w:val="0"/>
      <w:marTop w:val="0"/>
      <w:marBottom w:val="0"/>
      <w:divBdr>
        <w:top w:val="none" w:sz="0" w:space="0" w:color="auto"/>
        <w:left w:val="none" w:sz="0" w:space="0" w:color="auto"/>
        <w:bottom w:val="none" w:sz="0" w:space="0" w:color="auto"/>
        <w:right w:val="none" w:sz="0" w:space="0" w:color="auto"/>
      </w:divBdr>
    </w:div>
    <w:div w:id="314720745">
      <w:bodyDiv w:val="1"/>
      <w:marLeft w:val="0"/>
      <w:marRight w:val="0"/>
      <w:marTop w:val="0"/>
      <w:marBottom w:val="0"/>
      <w:divBdr>
        <w:top w:val="none" w:sz="0" w:space="0" w:color="auto"/>
        <w:left w:val="none" w:sz="0" w:space="0" w:color="auto"/>
        <w:bottom w:val="none" w:sz="0" w:space="0" w:color="auto"/>
        <w:right w:val="none" w:sz="0" w:space="0" w:color="auto"/>
      </w:divBdr>
    </w:div>
    <w:div w:id="315498710">
      <w:bodyDiv w:val="1"/>
      <w:marLeft w:val="0"/>
      <w:marRight w:val="0"/>
      <w:marTop w:val="0"/>
      <w:marBottom w:val="0"/>
      <w:divBdr>
        <w:top w:val="none" w:sz="0" w:space="0" w:color="auto"/>
        <w:left w:val="none" w:sz="0" w:space="0" w:color="auto"/>
        <w:bottom w:val="none" w:sz="0" w:space="0" w:color="auto"/>
        <w:right w:val="none" w:sz="0" w:space="0" w:color="auto"/>
      </w:divBdr>
    </w:div>
    <w:div w:id="362364346">
      <w:bodyDiv w:val="1"/>
      <w:marLeft w:val="0"/>
      <w:marRight w:val="0"/>
      <w:marTop w:val="0"/>
      <w:marBottom w:val="0"/>
      <w:divBdr>
        <w:top w:val="none" w:sz="0" w:space="0" w:color="auto"/>
        <w:left w:val="none" w:sz="0" w:space="0" w:color="auto"/>
        <w:bottom w:val="none" w:sz="0" w:space="0" w:color="auto"/>
        <w:right w:val="none" w:sz="0" w:space="0" w:color="auto"/>
      </w:divBdr>
    </w:div>
    <w:div w:id="375083033">
      <w:bodyDiv w:val="1"/>
      <w:marLeft w:val="0"/>
      <w:marRight w:val="0"/>
      <w:marTop w:val="0"/>
      <w:marBottom w:val="0"/>
      <w:divBdr>
        <w:top w:val="none" w:sz="0" w:space="0" w:color="auto"/>
        <w:left w:val="none" w:sz="0" w:space="0" w:color="auto"/>
        <w:bottom w:val="none" w:sz="0" w:space="0" w:color="auto"/>
        <w:right w:val="none" w:sz="0" w:space="0" w:color="auto"/>
      </w:divBdr>
    </w:div>
    <w:div w:id="509031573">
      <w:bodyDiv w:val="1"/>
      <w:marLeft w:val="0"/>
      <w:marRight w:val="0"/>
      <w:marTop w:val="0"/>
      <w:marBottom w:val="0"/>
      <w:divBdr>
        <w:top w:val="none" w:sz="0" w:space="0" w:color="auto"/>
        <w:left w:val="none" w:sz="0" w:space="0" w:color="auto"/>
        <w:bottom w:val="none" w:sz="0" w:space="0" w:color="auto"/>
        <w:right w:val="none" w:sz="0" w:space="0" w:color="auto"/>
      </w:divBdr>
      <w:divsChild>
        <w:div w:id="510069014">
          <w:blockQuote w:val="1"/>
          <w:marLeft w:val="720"/>
          <w:marRight w:val="720"/>
          <w:marTop w:val="100"/>
          <w:marBottom w:val="100"/>
          <w:divBdr>
            <w:top w:val="none" w:sz="0" w:space="0" w:color="auto"/>
            <w:left w:val="none" w:sz="0" w:space="0" w:color="auto"/>
            <w:bottom w:val="none" w:sz="0" w:space="0" w:color="auto"/>
            <w:right w:val="none" w:sz="0" w:space="0" w:color="auto"/>
          </w:divBdr>
        </w:div>
        <w:div w:id="332608286">
          <w:blockQuote w:val="1"/>
          <w:marLeft w:val="720"/>
          <w:marRight w:val="720"/>
          <w:marTop w:val="100"/>
          <w:marBottom w:val="100"/>
          <w:divBdr>
            <w:top w:val="none" w:sz="0" w:space="0" w:color="auto"/>
            <w:left w:val="none" w:sz="0" w:space="0" w:color="auto"/>
            <w:bottom w:val="none" w:sz="0" w:space="0" w:color="auto"/>
            <w:right w:val="none" w:sz="0" w:space="0" w:color="auto"/>
          </w:divBdr>
        </w:div>
        <w:div w:id="282735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331531">
      <w:bodyDiv w:val="1"/>
      <w:marLeft w:val="0"/>
      <w:marRight w:val="0"/>
      <w:marTop w:val="0"/>
      <w:marBottom w:val="0"/>
      <w:divBdr>
        <w:top w:val="none" w:sz="0" w:space="0" w:color="auto"/>
        <w:left w:val="none" w:sz="0" w:space="0" w:color="auto"/>
        <w:bottom w:val="none" w:sz="0" w:space="0" w:color="auto"/>
        <w:right w:val="none" w:sz="0" w:space="0" w:color="auto"/>
      </w:divBdr>
    </w:div>
    <w:div w:id="640424645">
      <w:bodyDiv w:val="1"/>
      <w:marLeft w:val="0"/>
      <w:marRight w:val="0"/>
      <w:marTop w:val="0"/>
      <w:marBottom w:val="0"/>
      <w:divBdr>
        <w:top w:val="none" w:sz="0" w:space="0" w:color="auto"/>
        <w:left w:val="none" w:sz="0" w:space="0" w:color="auto"/>
        <w:bottom w:val="none" w:sz="0" w:space="0" w:color="auto"/>
        <w:right w:val="none" w:sz="0" w:space="0" w:color="auto"/>
      </w:divBdr>
    </w:div>
    <w:div w:id="699358507">
      <w:bodyDiv w:val="1"/>
      <w:marLeft w:val="0"/>
      <w:marRight w:val="0"/>
      <w:marTop w:val="0"/>
      <w:marBottom w:val="0"/>
      <w:divBdr>
        <w:top w:val="none" w:sz="0" w:space="0" w:color="auto"/>
        <w:left w:val="none" w:sz="0" w:space="0" w:color="auto"/>
        <w:bottom w:val="none" w:sz="0" w:space="0" w:color="auto"/>
        <w:right w:val="none" w:sz="0" w:space="0" w:color="auto"/>
      </w:divBdr>
    </w:div>
    <w:div w:id="713189467">
      <w:bodyDiv w:val="1"/>
      <w:marLeft w:val="0"/>
      <w:marRight w:val="0"/>
      <w:marTop w:val="0"/>
      <w:marBottom w:val="0"/>
      <w:divBdr>
        <w:top w:val="none" w:sz="0" w:space="0" w:color="auto"/>
        <w:left w:val="none" w:sz="0" w:space="0" w:color="auto"/>
        <w:bottom w:val="none" w:sz="0" w:space="0" w:color="auto"/>
        <w:right w:val="none" w:sz="0" w:space="0" w:color="auto"/>
      </w:divBdr>
    </w:div>
    <w:div w:id="800726370">
      <w:bodyDiv w:val="1"/>
      <w:marLeft w:val="0"/>
      <w:marRight w:val="0"/>
      <w:marTop w:val="0"/>
      <w:marBottom w:val="0"/>
      <w:divBdr>
        <w:top w:val="none" w:sz="0" w:space="0" w:color="auto"/>
        <w:left w:val="none" w:sz="0" w:space="0" w:color="auto"/>
        <w:bottom w:val="none" w:sz="0" w:space="0" w:color="auto"/>
        <w:right w:val="none" w:sz="0" w:space="0" w:color="auto"/>
      </w:divBdr>
    </w:div>
    <w:div w:id="872573420">
      <w:bodyDiv w:val="1"/>
      <w:marLeft w:val="0"/>
      <w:marRight w:val="0"/>
      <w:marTop w:val="0"/>
      <w:marBottom w:val="0"/>
      <w:divBdr>
        <w:top w:val="none" w:sz="0" w:space="0" w:color="auto"/>
        <w:left w:val="none" w:sz="0" w:space="0" w:color="auto"/>
        <w:bottom w:val="none" w:sz="0" w:space="0" w:color="auto"/>
        <w:right w:val="none" w:sz="0" w:space="0" w:color="auto"/>
      </w:divBdr>
      <w:divsChild>
        <w:div w:id="163859282">
          <w:marLeft w:val="0"/>
          <w:marRight w:val="0"/>
          <w:marTop w:val="0"/>
          <w:marBottom w:val="0"/>
          <w:divBdr>
            <w:top w:val="none" w:sz="0" w:space="0" w:color="auto"/>
            <w:left w:val="none" w:sz="0" w:space="0" w:color="auto"/>
            <w:bottom w:val="none" w:sz="0" w:space="0" w:color="auto"/>
            <w:right w:val="none" w:sz="0" w:space="0" w:color="auto"/>
          </w:divBdr>
          <w:divsChild>
            <w:div w:id="1502963686">
              <w:marLeft w:val="0"/>
              <w:marRight w:val="0"/>
              <w:marTop w:val="0"/>
              <w:marBottom w:val="0"/>
              <w:divBdr>
                <w:top w:val="none" w:sz="0" w:space="0" w:color="auto"/>
                <w:left w:val="none" w:sz="0" w:space="0" w:color="auto"/>
                <w:bottom w:val="none" w:sz="0" w:space="0" w:color="auto"/>
                <w:right w:val="none" w:sz="0" w:space="0" w:color="auto"/>
              </w:divBdr>
              <w:divsChild>
                <w:div w:id="75899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60967">
      <w:bodyDiv w:val="1"/>
      <w:marLeft w:val="0"/>
      <w:marRight w:val="0"/>
      <w:marTop w:val="0"/>
      <w:marBottom w:val="0"/>
      <w:divBdr>
        <w:top w:val="none" w:sz="0" w:space="0" w:color="auto"/>
        <w:left w:val="none" w:sz="0" w:space="0" w:color="auto"/>
        <w:bottom w:val="none" w:sz="0" w:space="0" w:color="auto"/>
        <w:right w:val="none" w:sz="0" w:space="0" w:color="auto"/>
      </w:divBdr>
    </w:div>
    <w:div w:id="928736845">
      <w:bodyDiv w:val="1"/>
      <w:marLeft w:val="0"/>
      <w:marRight w:val="0"/>
      <w:marTop w:val="0"/>
      <w:marBottom w:val="0"/>
      <w:divBdr>
        <w:top w:val="none" w:sz="0" w:space="0" w:color="auto"/>
        <w:left w:val="none" w:sz="0" w:space="0" w:color="auto"/>
        <w:bottom w:val="none" w:sz="0" w:space="0" w:color="auto"/>
        <w:right w:val="none" w:sz="0" w:space="0" w:color="auto"/>
      </w:divBdr>
      <w:divsChild>
        <w:div w:id="370113279">
          <w:marLeft w:val="0"/>
          <w:marRight w:val="0"/>
          <w:marTop w:val="0"/>
          <w:marBottom w:val="0"/>
          <w:divBdr>
            <w:top w:val="none" w:sz="0" w:space="0" w:color="auto"/>
            <w:left w:val="none" w:sz="0" w:space="0" w:color="auto"/>
            <w:bottom w:val="none" w:sz="0" w:space="0" w:color="auto"/>
            <w:right w:val="none" w:sz="0" w:space="0" w:color="auto"/>
          </w:divBdr>
          <w:divsChild>
            <w:div w:id="524288591">
              <w:marLeft w:val="0"/>
              <w:marRight w:val="0"/>
              <w:marTop w:val="0"/>
              <w:marBottom w:val="0"/>
              <w:divBdr>
                <w:top w:val="none" w:sz="0" w:space="0" w:color="auto"/>
                <w:left w:val="none" w:sz="0" w:space="0" w:color="auto"/>
                <w:bottom w:val="none" w:sz="0" w:space="0" w:color="auto"/>
                <w:right w:val="none" w:sz="0" w:space="0" w:color="auto"/>
              </w:divBdr>
              <w:divsChild>
                <w:div w:id="86980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55825">
      <w:bodyDiv w:val="1"/>
      <w:marLeft w:val="0"/>
      <w:marRight w:val="0"/>
      <w:marTop w:val="0"/>
      <w:marBottom w:val="0"/>
      <w:divBdr>
        <w:top w:val="none" w:sz="0" w:space="0" w:color="auto"/>
        <w:left w:val="none" w:sz="0" w:space="0" w:color="auto"/>
        <w:bottom w:val="none" w:sz="0" w:space="0" w:color="auto"/>
        <w:right w:val="none" w:sz="0" w:space="0" w:color="auto"/>
      </w:divBdr>
    </w:div>
    <w:div w:id="953051075">
      <w:bodyDiv w:val="1"/>
      <w:marLeft w:val="0"/>
      <w:marRight w:val="0"/>
      <w:marTop w:val="0"/>
      <w:marBottom w:val="0"/>
      <w:divBdr>
        <w:top w:val="none" w:sz="0" w:space="0" w:color="auto"/>
        <w:left w:val="none" w:sz="0" w:space="0" w:color="auto"/>
        <w:bottom w:val="none" w:sz="0" w:space="0" w:color="auto"/>
        <w:right w:val="none" w:sz="0" w:space="0" w:color="auto"/>
      </w:divBdr>
    </w:div>
    <w:div w:id="960839109">
      <w:bodyDiv w:val="1"/>
      <w:marLeft w:val="0"/>
      <w:marRight w:val="0"/>
      <w:marTop w:val="0"/>
      <w:marBottom w:val="0"/>
      <w:divBdr>
        <w:top w:val="none" w:sz="0" w:space="0" w:color="auto"/>
        <w:left w:val="none" w:sz="0" w:space="0" w:color="auto"/>
        <w:bottom w:val="none" w:sz="0" w:space="0" w:color="auto"/>
        <w:right w:val="none" w:sz="0" w:space="0" w:color="auto"/>
      </w:divBdr>
    </w:div>
    <w:div w:id="964196511">
      <w:bodyDiv w:val="1"/>
      <w:marLeft w:val="0"/>
      <w:marRight w:val="0"/>
      <w:marTop w:val="0"/>
      <w:marBottom w:val="0"/>
      <w:divBdr>
        <w:top w:val="none" w:sz="0" w:space="0" w:color="auto"/>
        <w:left w:val="none" w:sz="0" w:space="0" w:color="auto"/>
        <w:bottom w:val="none" w:sz="0" w:space="0" w:color="auto"/>
        <w:right w:val="none" w:sz="0" w:space="0" w:color="auto"/>
      </w:divBdr>
    </w:div>
    <w:div w:id="987633639">
      <w:bodyDiv w:val="1"/>
      <w:marLeft w:val="0"/>
      <w:marRight w:val="0"/>
      <w:marTop w:val="0"/>
      <w:marBottom w:val="0"/>
      <w:divBdr>
        <w:top w:val="none" w:sz="0" w:space="0" w:color="auto"/>
        <w:left w:val="none" w:sz="0" w:space="0" w:color="auto"/>
        <w:bottom w:val="none" w:sz="0" w:space="0" w:color="auto"/>
        <w:right w:val="none" w:sz="0" w:space="0" w:color="auto"/>
      </w:divBdr>
    </w:div>
    <w:div w:id="1081484966">
      <w:bodyDiv w:val="1"/>
      <w:marLeft w:val="0"/>
      <w:marRight w:val="0"/>
      <w:marTop w:val="0"/>
      <w:marBottom w:val="0"/>
      <w:divBdr>
        <w:top w:val="none" w:sz="0" w:space="0" w:color="auto"/>
        <w:left w:val="none" w:sz="0" w:space="0" w:color="auto"/>
        <w:bottom w:val="none" w:sz="0" w:space="0" w:color="auto"/>
        <w:right w:val="none" w:sz="0" w:space="0" w:color="auto"/>
      </w:divBdr>
    </w:div>
    <w:div w:id="1102381737">
      <w:bodyDiv w:val="1"/>
      <w:marLeft w:val="0"/>
      <w:marRight w:val="0"/>
      <w:marTop w:val="0"/>
      <w:marBottom w:val="0"/>
      <w:divBdr>
        <w:top w:val="none" w:sz="0" w:space="0" w:color="auto"/>
        <w:left w:val="none" w:sz="0" w:space="0" w:color="auto"/>
        <w:bottom w:val="none" w:sz="0" w:space="0" w:color="auto"/>
        <w:right w:val="none" w:sz="0" w:space="0" w:color="auto"/>
      </w:divBdr>
    </w:div>
    <w:div w:id="1121680621">
      <w:bodyDiv w:val="1"/>
      <w:marLeft w:val="0"/>
      <w:marRight w:val="0"/>
      <w:marTop w:val="0"/>
      <w:marBottom w:val="0"/>
      <w:divBdr>
        <w:top w:val="none" w:sz="0" w:space="0" w:color="auto"/>
        <w:left w:val="none" w:sz="0" w:space="0" w:color="auto"/>
        <w:bottom w:val="none" w:sz="0" w:space="0" w:color="auto"/>
        <w:right w:val="none" w:sz="0" w:space="0" w:color="auto"/>
      </w:divBdr>
    </w:div>
    <w:div w:id="1186989294">
      <w:bodyDiv w:val="1"/>
      <w:marLeft w:val="0"/>
      <w:marRight w:val="0"/>
      <w:marTop w:val="0"/>
      <w:marBottom w:val="0"/>
      <w:divBdr>
        <w:top w:val="none" w:sz="0" w:space="0" w:color="auto"/>
        <w:left w:val="none" w:sz="0" w:space="0" w:color="auto"/>
        <w:bottom w:val="none" w:sz="0" w:space="0" w:color="auto"/>
        <w:right w:val="none" w:sz="0" w:space="0" w:color="auto"/>
      </w:divBdr>
    </w:div>
    <w:div w:id="1187913907">
      <w:bodyDiv w:val="1"/>
      <w:marLeft w:val="0"/>
      <w:marRight w:val="0"/>
      <w:marTop w:val="0"/>
      <w:marBottom w:val="0"/>
      <w:divBdr>
        <w:top w:val="none" w:sz="0" w:space="0" w:color="auto"/>
        <w:left w:val="none" w:sz="0" w:space="0" w:color="auto"/>
        <w:bottom w:val="none" w:sz="0" w:space="0" w:color="auto"/>
        <w:right w:val="none" w:sz="0" w:space="0" w:color="auto"/>
      </w:divBdr>
    </w:div>
    <w:div w:id="1199512378">
      <w:bodyDiv w:val="1"/>
      <w:marLeft w:val="0"/>
      <w:marRight w:val="0"/>
      <w:marTop w:val="0"/>
      <w:marBottom w:val="0"/>
      <w:divBdr>
        <w:top w:val="none" w:sz="0" w:space="0" w:color="auto"/>
        <w:left w:val="none" w:sz="0" w:space="0" w:color="auto"/>
        <w:bottom w:val="none" w:sz="0" w:space="0" w:color="auto"/>
        <w:right w:val="none" w:sz="0" w:space="0" w:color="auto"/>
      </w:divBdr>
    </w:div>
    <w:div w:id="1201279159">
      <w:bodyDiv w:val="1"/>
      <w:marLeft w:val="0"/>
      <w:marRight w:val="0"/>
      <w:marTop w:val="0"/>
      <w:marBottom w:val="0"/>
      <w:divBdr>
        <w:top w:val="none" w:sz="0" w:space="0" w:color="auto"/>
        <w:left w:val="none" w:sz="0" w:space="0" w:color="auto"/>
        <w:bottom w:val="none" w:sz="0" w:space="0" w:color="auto"/>
        <w:right w:val="none" w:sz="0" w:space="0" w:color="auto"/>
      </w:divBdr>
    </w:div>
    <w:div w:id="1247836907">
      <w:bodyDiv w:val="1"/>
      <w:marLeft w:val="0"/>
      <w:marRight w:val="0"/>
      <w:marTop w:val="0"/>
      <w:marBottom w:val="0"/>
      <w:divBdr>
        <w:top w:val="none" w:sz="0" w:space="0" w:color="auto"/>
        <w:left w:val="none" w:sz="0" w:space="0" w:color="auto"/>
        <w:bottom w:val="none" w:sz="0" w:space="0" w:color="auto"/>
        <w:right w:val="none" w:sz="0" w:space="0" w:color="auto"/>
      </w:divBdr>
      <w:divsChild>
        <w:div w:id="592010603">
          <w:marLeft w:val="0"/>
          <w:marRight w:val="0"/>
          <w:marTop w:val="0"/>
          <w:marBottom w:val="0"/>
          <w:divBdr>
            <w:top w:val="none" w:sz="0" w:space="0" w:color="auto"/>
            <w:left w:val="none" w:sz="0" w:space="0" w:color="auto"/>
            <w:bottom w:val="none" w:sz="0" w:space="0" w:color="auto"/>
            <w:right w:val="none" w:sz="0" w:space="0" w:color="auto"/>
          </w:divBdr>
          <w:divsChild>
            <w:div w:id="743992789">
              <w:marLeft w:val="0"/>
              <w:marRight w:val="0"/>
              <w:marTop w:val="0"/>
              <w:marBottom w:val="0"/>
              <w:divBdr>
                <w:top w:val="none" w:sz="0" w:space="0" w:color="auto"/>
                <w:left w:val="none" w:sz="0" w:space="0" w:color="auto"/>
                <w:bottom w:val="none" w:sz="0" w:space="0" w:color="auto"/>
                <w:right w:val="none" w:sz="0" w:space="0" w:color="auto"/>
              </w:divBdr>
              <w:divsChild>
                <w:div w:id="69384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925590">
          <w:marLeft w:val="0"/>
          <w:marRight w:val="0"/>
          <w:marTop w:val="0"/>
          <w:marBottom w:val="0"/>
          <w:divBdr>
            <w:top w:val="none" w:sz="0" w:space="0" w:color="auto"/>
            <w:left w:val="none" w:sz="0" w:space="0" w:color="auto"/>
            <w:bottom w:val="none" w:sz="0" w:space="0" w:color="auto"/>
            <w:right w:val="none" w:sz="0" w:space="0" w:color="auto"/>
          </w:divBdr>
          <w:divsChild>
            <w:div w:id="181746373">
              <w:marLeft w:val="0"/>
              <w:marRight w:val="0"/>
              <w:marTop w:val="0"/>
              <w:marBottom w:val="0"/>
              <w:divBdr>
                <w:top w:val="none" w:sz="0" w:space="0" w:color="auto"/>
                <w:left w:val="none" w:sz="0" w:space="0" w:color="auto"/>
                <w:bottom w:val="none" w:sz="0" w:space="0" w:color="auto"/>
                <w:right w:val="none" w:sz="0" w:space="0" w:color="auto"/>
              </w:divBdr>
              <w:divsChild>
                <w:div w:id="18009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007578">
      <w:bodyDiv w:val="1"/>
      <w:marLeft w:val="0"/>
      <w:marRight w:val="0"/>
      <w:marTop w:val="0"/>
      <w:marBottom w:val="0"/>
      <w:divBdr>
        <w:top w:val="none" w:sz="0" w:space="0" w:color="auto"/>
        <w:left w:val="none" w:sz="0" w:space="0" w:color="auto"/>
        <w:bottom w:val="none" w:sz="0" w:space="0" w:color="auto"/>
        <w:right w:val="none" w:sz="0" w:space="0" w:color="auto"/>
      </w:divBdr>
    </w:div>
    <w:div w:id="1299795434">
      <w:bodyDiv w:val="1"/>
      <w:marLeft w:val="0"/>
      <w:marRight w:val="0"/>
      <w:marTop w:val="0"/>
      <w:marBottom w:val="0"/>
      <w:divBdr>
        <w:top w:val="none" w:sz="0" w:space="0" w:color="auto"/>
        <w:left w:val="none" w:sz="0" w:space="0" w:color="auto"/>
        <w:bottom w:val="none" w:sz="0" w:space="0" w:color="auto"/>
        <w:right w:val="none" w:sz="0" w:space="0" w:color="auto"/>
      </w:divBdr>
    </w:div>
    <w:div w:id="1349480892">
      <w:bodyDiv w:val="1"/>
      <w:marLeft w:val="0"/>
      <w:marRight w:val="0"/>
      <w:marTop w:val="0"/>
      <w:marBottom w:val="0"/>
      <w:divBdr>
        <w:top w:val="none" w:sz="0" w:space="0" w:color="auto"/>
        <w:left w:val="none" w:sz="0" w:space="0" w:color="auto"/>
        <w:bottom w:val="none" w:sz="0" w:space="0" w:color="auto"/>
        <w:right w:val="none" w:sz="0" w:space="0" w:color="auto"/>
      </w:divBdr>
    </w:div>
    <w:div w:id="1361010189">
      <w:bodyDiv w:val="1"/>
      <w:marLeft w:val="0"/>
      <w:marRight w:val="0"/>
      <w:marTop w:val="0"/>
      <w:marBottom w:val="0"/>
      <w:divBdr>
        <w:top w:val="none" w:sz="0" w:space="0" w:color="auto"/>
        <w:left w:val="none" w:sz="0" w:space="0" w:color="auto"/>
        <w:bottom w:val="none" w:sz="0" w:space="0" w:color="auto"/>
        <w:right w:val="none" w:sz="0" w:space="0" w:color="auto"/>
      </w:divBdr>
    </w:div>
    <w:div w:id="1369798608">
      <w:bodyDiv w:val="1"/>
      <w:marLeft w:val="0"/>
      <w:marRight w:val="0"/>
      <w:marTop w:val="0"/>
      <w:marBottom w:val="0"/>
      <w:divBdr>
        <w:top w:val="none" w:sz="0" w:space="0" w:color="auto"/>
        <w:left w:val="none" w:sz="0" w:space="0" w:color="auto"/>
        <w:bottom w:val="none" w:sz="0" w:space="0" w:color="auto"/>
        <w:right w:val="none" w:sz="0" w:space="0" w:color="auto"/>
      </w:divBdr>
    </w:div>
    <w:div w:id="1407335029">
      <w:bodyDiv w:val="1"/>
      <w:marLeft w:val="0"/>
      <w:marRight w:val="0"/>
      <w:marTop w:val="0"/>
      <w:marBottom w:val="0"/>
      <w:divBdr>
        <w:top w:val="none" w:sz="0" w:space="0" w:color="auto"/>
        <w:left w:val="none" w:sz="0" w:space="0" w:color="auto"/>
        <w:bottom w:val="none" w:sz="0" w:space="0" w:color="auto"/>
        <w:right w:val="none" w:sz="0" w:space="0" w:color="auto"/>
      </w:divBdr>
    </w:div>
    <w:div w:id="1442452885">
      <w:bodyDiv w:val="1"/>
      <w:marLeft w:val="0"/>
      <w:marRight w:val="0"/>
      <w:marTop w:val="0"/>
      <w:marBottom w:val="0"/>
      <w:divBdr>
        <w:top w:val="none" w:sz="0" w:space="0" w:color="auto"/>
        <w:left w:val="none" w:sz="0" w:space="0" w:color="auto"/>
        <w:bottom w:val="none" w:sz="0" w:space="0" w:color="auto"/>
        <w:right w:val="none" w:sz="0" w:space="0" w:color="auto"/>
      </w:divBdr>
    </w:div>
    <w:div w:id="1450200640">
      <w:bodyDiv w:val="1"/>
      <w:marLeft w:val="0"/>
      <w:marRight w:val="0"/>
      <w:marTop w:val="0"/>
      <w:marBottom w:val="0"/>
      <w:divBdr>
        <w:top w:val="none" w:sz="0" w:space="0" w:color="auto"/>
        <w:left w:val="none" w:sz="0" w:space="0" w:color="auto"/>
        <w:bottom w:val="none" w:sz="0" w:space="0" w:color="auto"/>
        <w:right w:val="none" w:sz="0" w:space="0" w:color="auto"/>
      </w:divBdr>
    </w:div>
    <w:div w:id="1484345489">
      <w:bodyDiv w:val="1"/>
      <w:marLeft w:val="0"/>
      <w:marRight w:val="0"/>
      <w:marTop w:val="0"/>
      <w:marBottom w:val="0"/>
      <w:divBdr>
        <w:top w:val="none" w:sz="0" w:space="0" w:color="auto"/>
        <w:left w:val="none" w:sz="0" w:space="0" w:color="auto"/>
        <w:bottom w:val="none" w:sz="0" w:space="0" w:color="auto"/>
        <w:right w:val="none" w:sz="0" w:space="0" w:color="auto"/>
      </w:divBdr>
    </w:div>
    <w:div w:id="1507673082">
      <w:bodyDiv w:val="1"/>
      <w:marLeft w:val="0"/>
      <w:marRight w:val="0"/>
      <w:marTop w:val="0"/>
      <w:marBottom w:val="0"/>
      <w:divBdr>
        <w:top w:val="none" w:sz="0" w:space="0" w:color="auto"/>
        <w:left w:val="none" w:sz="0" w:space="0" w:color="auto"/>
        <w:bottom w:val="none" w:sz="0" w:space="0" w:color="auto"/>
        <w:right w:val="none" w:sz="0" w:space="0" w:color="auto"/>
      </w:divBdr>
    </w:div>
    <w:div w:id="1510221573">
      <w:bodyDiv w:val="1"/>
      <w:marLeft w:val="0"/>
      <w:marRight w:val="0"/>
      <w:marTop w:val="0"/>
      <w:marBottom w:val="0"/>
      <w:divBdr>
        <w:top w:val="none" w:sz="0" w:space="0" w:color="auto"/>
        <w:left w:val="none" w:sz="0" w:space="0" w:color="auto"/>
        <w:bottom w:val="none" w:sz="0" w:space="0" w:color="auto"/>
        <w:right w:val="none" w:sz="0" w:space="0" w:color="auto"/>
      </w:divBdr>
    </w:div>
    <w:div w:id="1674844573">
      <w:bodyDiv w:val="1"/>
      <w:marLeft w:val="0"/>
      <w:marRight w:val="0"/>
      <w:marTop w:val="0"/>
      <w:marBottom w:val="0"/>
      <w:divBdr>
        <w:top w:val="none" w:sz="0" w:space="0" w:color="auto"/>
        <w:left w:val="none" w:sz="0" w:space="0" w:color="auto"/>
        <w:bottom w:val="none" w:sz="0" w:space="0" w:color="auto"/>
        <w:right w:val="none" w:sz="0" w:space="0" w:color="auto"/>
      </w:divBdr>
    </w:div>
    <w:div w:id="1734625071">
      <w:bodyDiv w:val="1"/>
      <w:marLeft w:val="0"/>
      <w:marRight w:val="0"/>
      <w:marTop w:val="0"/>
      <w:marBottom w:val="0"/>
      <w:divBdr>
        <w:top w:val="none" w:sz="0" w:space="0" w:color="auto"/>
        <w:left w:val="none" w:sz="0" w:space="0" w:color="auto"/>
        <w:bottom w:val="none" w:sz="0" w:space="0" w:color="auto"/>
        <w:right w:val="none" w:sz="0" w:space="0" w:color="auto"/>
      </w:divBdr>
    </w:div>
    <w:div w:id="1825704415">
      <w:bodyDiv w:val="1"/>
      <w:marLeft w:val="0"/>
      <w:marRight w:val="0"/>
      <w:marTop w:val="0"/>
      <w:marBottom w:val="0"/>
      <w:divBdr>
        <w:top w:val="none" w:sz="0" w:space="0" w:color="auto"/>
        <w:left w:val="none" w:sz="0" w:space="0" w:color="auto"/>
        <w:bottom w:val="none" w:sz="0" w:space="0" w:color="auto"/>
        <w:right w:val="none" w:sz="0" w:space="0" w:color="auto"/>
      </w:divBdr>
    </w:div>
    <w:div w:id="1836917661">
      <w:bodyDiv w:val="1"/>
      <w:marLeft w:val="0"/>
      <w:marRight w:val="0"/>
      <w:marTop w:val="0"/>
      <w:marBottom w:val="0"/>
      <w:divBdr>
        <w:top w:val="none" w:sz="0" w:space="0" w:color="auto"/>
        <w:left w:val="none" w:sz="0" w:space="0" w:color="auto"/>
        <w:bottom w:val="none" w:sz="0" w:space="0" w:color="auto"/>
        <w:right w:val="none" w:sz="0" w:space="0" w:color="auto"/>
      </w:divBdr>
    </w:div>
    <w:div w:id="1847868184">
      <w:bodyDiv w:val="1"/>
      <w:marLeft w:val="0"/>
      <w:marRight w:val="0"/>
      <w:marTop w:val="0"/>
      <w:marBottom w:val="0"/>
      <w:divBdr>
        <w:top w:val="none" w:sz="0" w:space="0" w:color="auto"/>
        <w:left w:val="none" w:sz="0" w:space="0" w:color="auto"/>
        <w:bottom w:val="none" w:sz="0" w:space="0" w:color="auto"/>
        <w:right w:val="none" w:sz="0" w:space="0" w:color="auto"/>
      </w:divBdr>
    </w:div>
    <w:div w:id="1882479848">
      <w:bodyDiv w:val="1"/>
      <w:marLeft w:val="0"/>
      <w:marRight w:val="0"/>
      <w:marTop w:val="0"/>
      <w:marBottom w:val="0"/>
      <w:divBdr>
        <w:top w:val="none" w:sz="0" w:space="0" w:color="auto"/>
        <w:left w:val="none" w:sz="0" w:space="0" w:color="auto"/>
        <w:bottom w:val="none" w:sz="0" w:space="0" w:color="auto"/>
        <w:right w:val="none" w:sz="0" w:space="0" w:color="auto"/>
      </w:divBdr>
      <w:divsChild>
        <w:div w:id="1046103613">
          <w:marLeft w:val="0"/>
          <w:marRight w:val="0"/>
          <w:marTop w:val="0"/>
          <w:marBottom w:val="0"/>
          <w:divBdr>
            <w:top w:val="none" w:sz="0" w:space="0" w:color="auto"/>
            <w:left w:val="none" w:sz="0" w:space="0" w:color="auto"/>
            <w:bottom w:val="none" w:sz="0" w:space="0" w:color="auto"/>
            <w:right w:val="none" w:sz="0" w:space="0" w:color="auto"/>
          </w:divBdr>
          <w:divsChild>
            <w:div w:id="742261755">
              <w:marLeft w:val="0"/>
              <w:marRight w:val="0"/>
              <w:marTop w:val="0"/>
              <w:marBottom w:val="0"/>
              <w:divBdr>
                <w:top w:val="none" w:sz="0" w:space="0" w:color="auto"/>
                <w:left w:val="none" w:sz="0" w:space="0" w:color="auto"/>
                <w:bottom w:val="none" w:sz="0" w:space="0" w:color="auto"/>
                <w:right w:val="none" w:sz="0" w:space="0" w:color="auto"/>
              </w:divBdr>
              <w:divsChild>
                <w:div w:id="172656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24246">
          <w:marLeft w:val="0"/>
          <w:marRight w:val="0"/>
          <w:marTop w:val="0"/>
          <w:marBottom w:val="0"/>
          <w:divBdr>
            <w:top w:val="none" w:sz="0" w:space="0" w:color="auto"/>
            <w:left w:val="none" w:sz="0" w:space="0" w:color="auto"/>
            <w:bottom w:val="none" w:sz="0" w:space="0" w:color="auto"/>
            <w:right w:val="none" w:sz="0" w:space="0" w:color="auto"/>
          </w:divBdr>
          <w:divsChild>
            <w:div w:id="1259289932">
              <w:marLeft w:val="0"/>
              <w:marRight w:val="0"/>
              <w:marTop w:val="0"/>
              <w:marBottom w:val="0"/>
              <w:divBdr>
                <w:top w:val="none" w:sz="0" w:space="0" w:color="auto"/>
                <w:left w:val="none" w:sz="0" w:space="0" w:color="auto"/>
                <w:bottom w:val="none" w:sz="0" w:space="0" w:color="auto"/>
                <w:right w:val="none" w:sz="0" w:space="0" w:color="auto"/>
              </w:divBdr>
              <w:divsChild>
                <w:div w:id="24053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79722">
          <w:marLeft w:val="0"/>
          <w:marRight w:val="0"/>
          <w:marTop w:val="0"/>
          <w:marBottom w:val="0"/>
          <w:divBdr>
            <w:top w:val="none" w:sz="0" w:space="0" w:color="auto"/>
            <w:left w:val="none" w:sz="0" w:space="0" w:color="auto"/>
            <w:bottom w:val="none" w:sz="0" w:space="0" w:color="auto"/>
            <w:right w:val="none" w:sz="0" w:space="0" w:color="auto"/>
          </w:divBdr>
          <w:divsChild>
            <w:div w:id="1481846334">
              <w:marLeft w:val="0"/>
              <w:marRight w:val="0"/>
              <w:marTop w:val="0"/>
              <w:marBottom w:val="0"/>
              <w:divBdr>
                <w:top w:val="none" w:sz="0" w:space="0" w:color="auto"/>
                <w:left w:val="none" w:sz="0" w:space="0" w:color="auto"/>
                <w:bottom w:val="none" w:sz="0" w:space="0" w:color="auto"/>
                <w:right w:val="none" w:sz="0" w:space="0" w:color="auto"/>
              </w:divBdr>
              <w:divsChild>
                <w:div w:id="5860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03102">
      <w:bodyDiv w:val="1"/>
      <w:marLeft w:val="0"/>
      <w:marRight w:val="0"/>
      <w:marTop w:val="0"/>
      <w:marBottom w:val="0"/>
      <w:divBdr>
        <w:top w:val="none" w:sz="0" w:space="0" w:color="auto"/>
        <w:left w:val="none" w:sz="0" w:space="0" w:color="auto"/>
        <w:bottom w:val="none" w:sz="0" w:space="0" w:color="auto"/>
        <w:right w:val="none" w:sz="0" w:space="0" w:color="auto"/>
      </w:divBdr>
    </w:div>
    <w:div w:id="1894389941">
      <w:bodyDiv w:val="1"/>
      <w:marLeft w:val="0"/>
      <w:marRight w:val="0"/>
      <w:marTop w:val="0"/>
      <w:marBottom w:val="0"/>
      <w:divBdr>
        <w:top w:val="none" w:sz="0" w:space="0" w:color="auto"/>
        <w:left w:val="none" w:sz="0" w:space="0" w:color="auto"/>
        <w:bottom w:val="none" w:sz="0" w:space="0" w:color="auto"/>
        <w:right w:val="none" w:sz="0" w:space="0" w:color="auto"/>
      </w:divBdr>
    </w:div>
    <w:div w:id="1900825869">
      <w:bodyDiv w:val="1"/>
      <w:marLeft w:val="0"/>
      <w:marRight w:val="0"/>
      <w:marTop w:val="0"/>
      <w:marBottom w:val="0"/>
      <w:divBdr>
        <w:top w:val="none" w:sz="0" w:space="0" w:color="auto"/>
        <w:left w:val="none" w:sz="0" w:space="0" w:color="auto"/>
        <w:bottom w:val="none" w:sz="0" w:space="0" w:color="auto"/>
        <w:right w:val="none" w:sz="0" w:space="0" w:color="auto"/>
      </w:divBdr>
      <w:divsChild>
        <w:div w:id="900210993">
          <w:marLeft w:val="0"/>
          <w:marRight w:val="0"/>
          <w:marTop w:val="0"/>
          <w:marBottom w:val="0"/>
          <w:divBdr>
            <w:top w:val="none" w:sz="0" w:space="0" w:color="auto"/>
            <w:left w:val="none" w:sz="0" w:space="0" w:color="auto"/>
            <w:bottom w:val="none" w:sz="0" w:space="0" w:color="auto"/>
            <w:right w:val="none" w:sz="0" w:space="0" w:color="auto"/>
          </w:divBdr>
          <w:divsChild>
            <w:div w:id="1784684858">
              <w:marLeft w:val="0"/>
              <w:marRight w:val="0"/>
              <w:marTop w:val="0"/>
              <w:marBottom w:val="0"/>
              <w:divBdr>
                <w:top w:val="none" w:sz="0" w:space="0" w:color="auto"/>
                <w:left w:val="none" w:sz="0" w:space="0" w:color="auto"/>
                <w:bottom w:val="none" w:sz="0" w:space="0" w:color="auto"/>
                <w:right w:val="none" w:sz="0" w:space="0" w:color="auto"/>
              </w:divBdr>
              <w:divsChild>
                <w:div w:id="645627902">
                  <w:marLeft w:val="0"/>
                  <w:marRight w:val="0"/>
                  <w:marTop w:val="0"/>
                  <w:marBottom w:val="0"/>
                  <w:divBdr>
                    <w:top w:val="none" w:sz="0" w:space="0" w:color="auto"/>
                    <w:left w:val="none" w:sz="0" w:space="0" w:color="auto"/>
                    <w:bottom w:val="none" w:sz="0" w:space="0" w:color="auto"/>
                    <w:right w:val="none" w:sz="0" w:space="0" w:color="auto"/>
                  </w:divBdr>
                  <w:divsChild>
                    <w:div w:id="302663679">
                      <w:marLeft w:val="0"/>
                      <w:marRight w:val="0"/>
                      <w:marTop w:val="0"/>
                      <w:marBottom w:val="0"/>
                      <w:divBdr>
                        <w:top w:val="none" w:sz="0" w:space="0" w:color="auto"/>
                        <w:left w:val="none" w:sz="0" w:space="0" w:color="auto"/>
                        <w:bottom w:val="none" w:sz="0" w:space="0" w:color="auto"/>
                        <w:right w:val="none" w:sz="0" w:space="0" w:color="auto"/>
                      </w:divBdr>
                      <w:divsChild>
                        <w:div w:id="205993548">
                          <w:marLeft w:val="0"/>
                          <w:marRight w:val="0"/>
                          <w:marTop w:val="0"/>
                          <w:marBottom w:val="0"/>
                          <w:divBdr>
                            <w:top w:val="none" w:sz="0" w:space="0" w:color="auto"/>
                            <w:left w:val="none" w:sz="0" w:space="0" w:color="auto"/>
                            <w:bottom w:val="none" w:sz="0" w:space="0" w:color="auto"/>
                            <w:right w:val="none" w:sz="0" w:space="0" w:color="auto"/>
                          </w:divBdr>
                          <w:divsChild>
                            <w:div w:id="1474449854">
                              <w:marLeft w:val="0"/>
                              <w:marRight w:val="0"/>
                              <w:marTop w:val="0"/>
                              <w:marBottom w:val="0"/>
                              <w:divBdr>
                                <w:top w:val="none" w:sz="0" w:space="0" w:color="auto"/>
                                <w:left w:val="none" w:sz="0" w:space="0" w:color="auto"/>
                                <w:bottom w:val="none" w:sz="0" w:space="0" w:color="auto"/>
                                <w:right w:val="none" w:sz="0" w:space="0" w:color="auto"/>
                              </w:divBdr>
                              <w:divsChild>
                                <w:div w:id="1923637347">
                                  <w:marLeft w:val="0"/>
                                  <w:marRight w:val="0"/>
                                  <w:marTop w:val="0"/>
                                  <w:marBottom w:val="0"/>
                                  <w:divBdr>
                                    <w:top w:val="none" w:sz="0" w:space="0" w:color="auto"/>
                                    <w:left w:val="none" w:sz="0" w:space="0" w:color="auto"/>
                                    <w:bottom w:val="none" w:sz="0" w:space="0" w:color="auto"/>
                                    <w:right w:val="none" w:sz="0" w:space="0" w:color="auto"/>
                                  </w:divBdr>
                                  <w:divsChild>
                                    <w:div w:id="365763032">
                                      <w:marLeft w:val="0"/>
                                      <w:marRight w:val="0"/>
                                      <w:marTop w:val="0"/>
                                      <w:marBottom w:val="0"/>
                                      <w:divBdr>
                                        <w:top w:val="none" w:sz="0" w:space="0" w:color="auto"/>
                                        <w:left w:val="none" w:sz="0" w:space="0" w:color="auto"/>
                                        <w:bottom w:val="none" w:sz="0" w:space="0" w:color="auto"/>
                                        <w:right w:val="none" w:sz="0" w:space="0" w:color="auto"/>
                                      </w:divBdr>
                                      <w:divsChild>
                                        <w:div w:id="795025988">
                                          <w:marLeft w:val="0"/>
                                          <w:marRight w:val="0"/>
                                          <w:marTop w:val="0"/>
                                          <w:marBottom w:val="0"/>
                                          <w:divBdr>
                                            <w:top w:val="none" w:sz="0" w:space="0" w:color="auto"/>
                                            <w:left w:val="none" w:sz="0" w:space="0" w:color="auto"/>
                                            <w:bottom w:val="none" w:sz="0" w:space="0" w:color="auto"/>
                                            <w:right w:val="none" w:sz="0" w:space="0" w:color="auto"/>
                                          </w:divBdr>
                                          <w:divsChild>
                                            <w:div w:id="1075014902">
                                              <w:marLeft w:val="0"/>
                                              <w:marRight w:val="0"/>
                                              <w:marTop w:val="0"/>
                                              <w:marBottom w:val="0"/>
                                              <w:divBdr>
                                                <w:top w:val="none" w:sz="0" w:space="0" w:color="auto"/>
                                                <w:left w:val="none" w:sz="0" w:space="0" w:color="auto"/>
                                                <w:bottom w:val="none" w:sz="0" w:space="0" w:color="auto"/>
                                                <w:right w:val="none" w:sz="0" w:space="0" w:color="auto"/>
                                              </w:divBdr>
                                              <w:divsChild>
                                                <w:div w:id="571281931">
                                                  <w:marLeft w:val="0"/>
                                                  <w:marRight w:val="0"/>
                                                  <w:marTop w:val="0"/>
                                                  <w:marBottom w:val="0"/>
                                                  <w:divBdr>
                                                    <w:top w:val="none" w:sz="0" w:space="0" w:color="auto"/>
                                                    <w:left w:val="none" w:sz="0" w:space="0" w:color="auto"/>
                                                    <w:bottom w:val="none" w:sz="0" w:space="0" w:color="auto"/>
                                                    <w:right w:val="none" w:sz="0" w:space="0" w:color="auto"/>
                                                  </w:divBdr>
                                                  <w:divsChild>
                                                    <w:div w:id="324479206">
                                                      <w:marLeft w:val="0"/>
                                                      <w:marRight w:val="0"/>
                                                      <w:marTop w:val="0"/>
                                                      <w:marBottom w:val="0"/>
                                                      <w:divBdr>
                                                        <w:top w:val="none" w:sz="0" w:space="0" w:color="auto"/>
                                                        <w:left w:val="none" w:sz="0" w:space="0" w:color="auto"/>
                                                        <w:bottom w:val="none" w:sz="0" w:space="0" w:color="auto"/>
                                                        <w:right w:val="none" w:sz="0" w:space="0" w:color="auto"/>
                                                      </w:divBdr>
                                                      <w:divsChild>
                                                        <w:div w:id="75447658">
                                                          <w:marLeft w:val="0"/>
                                                          <w:marRight w:val="0"/>
                                                          <w:marTop w:val="0"/>
                                                          <w:marBottom w:val="0"/>
                                                          <w:divBdr>
                                                            <w:top w:val="none" w:sz="0" w:space="0" w:color="auto"/>
                                                            <w:left w:val="none" w:sz="0" w:space="0" w:color="auto"/>
                                                            <w:bottom w:val="none" w:sz="0" w:space="0" w:color="auto"/>
                                                            <w:right w:val="none" w:sz="0" w:space="0" w:color="auto"/>
                                                          </w:divBdr>
                                                          <w:divsChild>
                                                            <w:div w:id="283969496">
                                                              <w:marLeft w:val="0"/>
                                                              <w:marRight w:val="0"/>
                                                              <w:marTop w:val="0"/>
                                                              <w:marBottom w:val="0"/>
                                                              <w:divBdr>
                                                                <w:top w:val="none" w:sz="0" w:space="0" w:color="auto"/>
                                                                <w:left w:val="none" w:sz="0" w:space="0" w:color="auto"/>
                                                                <w:bottom w:val="none" w:sz="0" w:space="0" w:color="auto"/>
                                                                <w:right w:val="none" w:sz="0" w:space="0" w:color="auto"/>
                                                              </w:divBdr>
                                                              <w:divsChild>
                                                                <w:div w:id="516162911">
                                                                  <w:marLeft w:val="0"/>
                                                                  <w:marRight w:val="0"/>
                                                                  <w:marTop w:val="0"/>
                                                                  <w:marBottom w:val="0"/>
                                                                  <w:divBdr>
                                                                    <w:top w:val="none" w:sz="0" w:space="0" w:color="auto"/>
                                                                    <w:left w:val="none" w:sz="0" w:space="0" w:color="auto"/>
                                                                    <w:bottom w:val="none" w:sz="0" w:space="0" w:color="auto"/>
                                                                    <w:right w:val="none" w:sz="0" w:space="0" w:color="auto"/>
                                                                  </w:divBdr>
                                                                  <w:divsChild>
                                                                    <w:div w:id="691996483">
                                                                      <w:marLeft w:val="0"/>
                                                                      <w:marRight w:val="0"/>
                                                                      <w:marTop w:val="0"/>
                                                                      <w:marBottom w:val="0"/>
                                                                      <w:divBdr>
                                                                        <w:top w:val="none" w:sz="0" w:space="0" w:color="auto"/>
                                                                        <w:left w:val="none" w:sz="0" w:space="0" w:color="auto"/>
                                                                        <w:bottom w:val="none" w:sz="0" w:space="0" w:color="auto"/>
                                                                        <w:right w:val="none" w:sz="0" w:space="0" w:color="auto"/>
                                                                      </w:divBdr>
                                                                      <w:divsChild>
                                                                        <w:div w:id="210267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0582969">
      <w:bodyDiv w:val="1"/>
      <w:marLeft w:val="0"/>
      <w:marRight w:val="0"/>
      <w:marTop w:val="0"/>
      <w:marBottom w:val="0"/>
      <w:divBdr>
        <w:top w:val="none" w:sz="0" w:space="0" w:color="auto"/>
        <w:left w:val="none" w:sz="0" w:space="0" w:color="auto"/>
        <w:bottom w:val="none" w:sz="0" w:space="0" w:color="auto"/>
        <w:right w:val="none" w:sz="0" w:space="0" w:color="auto"/>
      </w:divBdr>
    </w:div>
    <w:div w:id="1930891865">
      <w:bodyDiv w:val="1"/>
      <w:marLeft w:val="0"/>
      <w:marRight w:val="0"/>
      <w:marTop w:val="0"/>
      <w:marBottom w:val="0"/>
      <w:divBdr>
        <w:top w:val="none" w:sz="0" w:space="0" w:color="auto"/>
        <w:left w:val="none" w:sz="0" w:space="0" w:color="auto"/>
        <w:bottom w:val="none" w:sz="0" w:space="0" w:color="auto"/>
        <w:right w:val="none" w:sz="0" w:space="0" w:color="auto"/>
      </w:divBdr>
    </w:div>
    <w:div w:id="1943957348">
      <w:bodyDiv w:val="1"/>
      <w:marLeft w:val="0"/>
      <w:marRight w:val="0"/>
      <w:marTop w:val="0"/>
      <w:marBottom w:val="0"/>
      <w:divBdr>
        <w:top w:val="none" w:sz="0" w:space="0" w:color="auto"/>
        <w:left w:val="none" w:sz="0" w:space="0" w:color="auto"/>
        <w:bottom w:val="none" w:sz="0" w:space="0" w:color="auto"/>
        <w:right w:val="none" w:sz="0" w:space="0" w:color="auto"/>
      </w:divBdr>
    </w:div>
    <w:div w:id="1958871426">
      <w:bodyDiv w:val="1"/>
      <w:marLeft w:val="0"/>
      <w:marRight w:val="0"/>
      <w:marTop w:val="0"/>
      <w:marBottom w:val="0"/>
      <w:divBdr>
        <w:top w:val="none" w:sz="0" w:space="0" w:color="auto"/>
        <w:left w:val="none" w:sz="0" w:space="0" w:color="auto"/>
        <w:bottom w:val="none" w:sz="0" w:space="0" w:color="auto"/>
        <w:right w:val="none" w:sz="0" w:space="0" w:color="auto"/>
      </w:divBdr>
    </w:div>
    <w:div w:id="1974751522">
      <w:bodyDiv w:val="1"/>
      <w:marLeft w:val="0"/>
      <w:marRight w:val="0"/>
      <w:marTop w:val="0"/>
      <w:marBottom w:val="0"/>
      <w:divBdr>
        <w:top w:val="none" w:sz="0" w:space="0" w:color="auto"/>
        <w:left w:val="none" w:sz="0" w:space="0" w:color="auto"/>
        <w:bottom w:val="none" w:sz="0" w:space="0" w:color="auto"/>
        <w:right w:val="none" w:sz="0" w:space="0" w:color="auto"/>
      </w:divBdr>
    </w:div>
    <w:div w:id="1978684636">
      <w:bodyDiv w:val="1"/>
      <w:marLeft w:val="0"/>
      <w:marRight w:val="0"/>
      <w:marTop w:val="0"/>
      <w:marBottom w:val="0"/>
      <w:divBdr>
        <w:top w:val="none" w:sz="0" w:space="0" w:color="auto"/>
        <w:left w:val="none" w:sz="0" w:space="0" w:color="auto"/>
        <w:bottom w:val="none" w:sz="0" w:space="0" w:color="auto"/>
        <w:right w:val="none" w:sz="0" w:space="0" w:color="auto"/>
      </w:divBdr>
    </w:div>
    <w:div w:id="2033191311">
      <w:bodyDiv w:val="1"/>
      <w:marLeft w:val="0"/>
      <w:marRight w:val="0"/>
      <w:marTop w:val="0"/>
      <w:marBottom w:val="0"/>
      <w:divBdr>
        <w:top w:val="none" w:sz="0" w:space="0" w:color="auto"/>
        <w:left w:val="none" w:sz="0" w:space="0" w:color="auto"/>
        <w:bottom w:val="none" w:sz="0" w:space="0" w:color="auto"/>
        <w:right w:val="none" w:sz="0" w:space="0" w:color="auto"/>
      </w:divBdr>
    </w:div>
    <w:div w:id="2064868883">
      <w:bodyDiv w:val="1"/>
      <w:marLeft w:val="0"/>
      <w:marRight w:val="0"/>
      <w:marTop w:val="0"/>
      <w:marBottom w:val="0"/>
      <w:divBdr>
        <w:top w:val="none" w:sz="0" w:space="0" w:color="auto"/>
        <w:left w:val="none" w:sz="0" w:space="0" w:color="auto"/>
        <w:bottom w:val="none" w:sz="0" w:space="0" w:color="auto"/>
        <w:right w:val="none" w:sz="0" w:space="0" w:color="auto"/>
      </w:divBdr>
    </w:div>
    <w:div w:id="2067754918">
      <w:bodyDiv w:val="1"/>
      <w:marLeft w:val="0"/>
      <w:marRight w:val="0"/>
      <w:marTop w:val="0"/>
      <w:marBottom w:val="0"/>
      <w:divBdr>
        <w:top w:val="none" w:sz="0" w:space="0" w:color="auto"/>
        <w:left w:val="none" w:sz="0" w:space="0" w:color="auto"/>
        <w:bottom w:val="none" w:sz="0" w:space="0" w:color="auto"/>
        <w:right w:val="none" w:sz="0" w:space="0" w:color="auto"/>
      </w:divBdr>
    </w:div>
    <w:div w:id="212279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hyperlink" Target="https://www.nist.gov/news-events/news/2024/02/nist-releases-version-20-landmark-cybersecurity-framework?utm_source=chatgpt.com" TargetMode="External"/><Relationship Id="rId26" Type="http://schemas.openxmlformats.org/officeDocument/2006/relationships/diagramQuickStyle" Target="diagrams/quickStyle3.xml"/><Relationship Id="rId39" Type="http://schemas.openxmlformats.org/officeDocument/2006/relationships/theme" Target="theme/theme1.xml"/><Relationship Id="rId21" Type="http://schemas.openxmlformats.org/officeDocument/2006/relationships/diagramQuickStyle" Target="diagrams/quickStyle2.xml"/><Relationship Id="rId34" Type="http://schemas.openxmlformats.org/officeDocument/2006/relationships/hyperlink" Target="https://doi.org/10.6028/NIST.CSWP.29" TargetMode="Externa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diagramLayout" Target="diagrams/layout3.xml"/><Relationship Id="rId33" Type="http://schemas.openxmlformats.org/officeDocument/2006/relationships/hyperlink" Target="https://doi.org/10.1177/108602661452641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Data" Target="diagrams/data3.xml"/><Relationship Id="rId32" Type="http://schemas.openxmlformats.org/officeDocument/2006/relationships/hyperlink" Target="https://doi.org/10.9770/jesi.2022.10.1(6)"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hyperlink" Target="https://www.oecd.org/en/publications/2023/09/g20-oecd-principles-of-corporate-governance-2023_60836fcb.html?utm_source=chatgpt.com" TargetMode="External"/><Relationship Id="rId10" Type="http://schemas.openxmlformats.org/officeDocument/2006/relationships/image" Target="media/image3.png"/><Relationship Id="rId19" Type="http://schemas.openxmlformats.org/officeDocument/2006/relationships/diagramData" Target="diagrams/data2.xml"/><Relationship Id="rId31" Type="http://schemas.openxmlformats.org/officeDocument/2006/relationships/hyperlink" Target="https://doi.org/10.21608/MKSQ.2018.306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microsoft.com/office/2007/relationships/hdphoto" Target="media/hdphoto1.wdp"/><Relationship Id="rId35" Type="http://schemas.openxmlformats.org/officeDocument/2006/relationships/hyperlink" Target="https://doi.org/10.1787/ed750b30-en" TargetMode="External"/><Relationship Id="rId8" Type="http://schemas.openxmlformats.org/officeDocument/2006/relationships/image" Target="media/image1.jpe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1104F-2484-48E9-A4BB-84EC88F2C276}"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97C96446-ECF7-47DE-A23E-98BC53380D0B}">
      <dgm:prSet phldrT="[Text]" custT="1"/>
      <dgm:spPr>
        <a:xfrm>
          <a:off x="2022261" y="2403222"/>
          <a:ext cx="1690389" cy="845194"/>
        </a:xfrm>
        <a:solidFill>
          <a:srgbClr val="5B9BD5"/>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sz="1600" b="1">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5C38865-D690-4DD7-9B59-9910920A009A}" type="parTrans" cxnId="{04D169A7-1534-4B8E-ADDC-DD04C910AAE2}">
      <dgm:prSet/>
      <dgm:spPr/>
      <dgm:t>
        <a:bodyPr/>
        <a:lstStyle/>
        <a:p>
          <a:endParaRPr lang="en-US"/>
        </a:p>
      </dgm:t>
    </dgm:pt>
    <dgm:pt modelId="{91DE6B30-189F-4792-96E1-988F22553EEB}" type="sibTrans" cxnId="{04D169A7-1534-4B8E-ADDC-DD04C910AAE2}">
      <dgm:prSet/>
      <dgm:spPr>
        <a:xfrm rot="18525583">
          <a:off x="2861322" y="1716452"/>
          <a:ext cx="936630" cy="295818"/>
        </a:xfrm>
        <a:solidFill>
          <a:srgbClr val="ED7D31">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09A7D235-6D5E-4D4C-8C1C-56C754F0DD5A}">
      <dgm:prSet phldrT="[Text]" custT="1"/>
      <dgm:spPr>
        <a:xfrm>
          <a:off x="3666231" y="0"/>
          <a:ext cx="1193364" cy="2175438"/>
        </a:xfrm>
        <a:solidFill>
          <a:srgbClr val="5B9BD5"/>
        </a:solidFill>
        <a:ln w="12700" cap="flat" cmpd="sng" algn="ctr">
          <a:solidFill>
            <a:srgbClr val="5B9BD5"/>
          </a:solidFill>
          <a:prstDash val="solid"/>
          <a:miter lim="800000"/>
        </a:ln>
        <a:effectLst/>
      </dgm:spPr>
      <dgm:t>
        <a:bodyPr/>
        <a:lstStyle/>
        <a:p>
          <a:pPr>
            <a:buNone/>
          </a:pPr>
          <a:r>
            <a:rPr lang="ar-EG" sz="1400" b="1">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8921001-DA01-4B6E-A169-3F3E83822F7D}" type="parTrans" cxnId="{90087E96-574F-47D0-B1DB-BA05ECD817A4}">
      <dgm:prSet/>
      <dgm:spPr/>
      <dgm:t>
        <a:bodyPr/>
        <a:lstStyle/>
        <a:p>
          <a:endParaRPr lang="en-US"/>
        </a:p>
      </dgm:t>
    </dgm:pt>
    <dgm:pt modelId="{5B03B446-71E8-49DD-BF41-225D80535CAF}" type="sibTrans" cxnId="{90087E96-574F-47D0-B1DB-BA05ECD817A4}">
      <dgm:prSet/>
      <dgm:spPr>
        <a:xfrm rot="10800000">
          <a:off x="2025717" y="799737"/>
          <a:ext cx="1388672" cy="295818"/>
        </a:xfrm>
        <a:solidFill>
          <a:srgbClr val="FFC000"/>
        </a:solidFill>
        <a:ln>
          <a:solidFill>
            <a:srgbClr val="ED7D31"/>
          </a:solidFill>
        </a:ln>
        <a:effectLst/>
      </dgm:spPr>
      <dgm:t>
        <a:bodyPr/>
        <a:lstStyle/>
        <a:p>
          <a:pPr>
            <a:buNone/>
          </a:pPr>
          <a:endParaRPr lang="en-US">
            <a:solidFill>
              <a:sysClr val="window" lastClr="FFFFFF"/>
            </a:solidFill>
            <a:latin typeface="Calibri" panose="020F0502020204030204"/>
            <a:ea typeface="+mn-ea"/>
            <a:cs typeface="+mn-cs"/>
          </a:endParaRPr>
        </a:p>
      </dgm:t>
    </dgm:pt>
    <dgm:pt modelId="{CBAABBFD-6148-4450-9650-EA01DC1160CB}">
      <dgm:prSet phldrT="[Text]" custT="1"/>
      <dgm:spPr>
        <a:xfrm>
          <a:off x="480976" y="4"/>
          <a:ext cx="1246679" cy="2185192"/>
        </a:xfrm>
        <a:solidFill>
          <a:srgbClr val="5B9BD5"/>
        </a:solidFill>
        <a:ln w="12700" cap="flat" cmpd="sng" algn="ctr">
          <a:solidFill>
            <a:srgbClr val="ED7D31"/>
          </a:solidFill>
          <a:prstDash val="solid"/>
          <a:miter lim="800000"/>
        </a:ln>
        <a:effectLst/>
      </dgm:spPr>
      <dgm:t>
        <a:bodyPr/>
        <a:lstStyle/>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r>
            <a:rPr lang="ar-EG" sz="1400" b="1">
              <a:solidFill>
                <a:sysClr val="windowText" lastClr="000000"/>
              </a:solidFill>
              <a:latin typeface="Calibri" panose="020F0502020204030204"/>
              <a:ea typeface="+mn-ea"/>
              <a:cs typeface="Arial" panose="020B0604020202020204" pitchFamily="34" charset="0"/>
            </a:rPr>
            <a:t>حوكمة الشركات</a:t>
          </a:r>
        </a:p>
        <a:p>
          <a:pPr>
            <a:buNone/>
          </a:pPr>
          <a:r>
            <a:rPr lang="ar-EG" sz="1400" b="1">
              <a:solidFill>
                <a:sysClr val="windowText" lastClr="000000"/>
              </a:solidFill>
              <a:latin typeface="Calibri" panose="020F0502020204030204"/>
              <a:ea typeface="+mn-ea"/>
              <a:cs typeface="Arial" panose="020B0604020202020204" pitchFamily="34" charset="0"/>
            </a:rPr>
            <a:t>- مبدأ الشفافية.</a:t>
          </a:r>
        </a:p>
        <a:p>
          <a:pPr>
            <a:buNone/>
          </a:pPr>
          <a:r>
            <a:rPr lang="ar-EG" sz="1400" b="1">
              <a:solidFill>
                <a:sysClr val="windowText" lastClr="000000"/>
              </a:solidFill>
              <a:latin typeface="Calibri" panose="020F0502020204030204"/>
              <a:ea typeface="+mn-ea"/>
              <a:cs typeface="Arial" panose="020B0604020202020204" pitchFamily="34" charset="0"/>
            </a:rPr>
            <a:t>- مبدأ المساءلة.</a:t>
          </a:r>
        </a:p>
        <a:p>
          <a:pPr>
            <a:buNone/>
          </a:pPr>
          <a:r>
            <a:rPr lang="ar-EG" sz="1400" b="1">
              <a:solidFill>
                <a:sysClr val="windowText" lastClr="000000"/>
              </a:solidFill>
              <a:latin typeface="Calibri" panose="020F0502020204030204"/>
              <a:ea typeface="+mn-ea"/>
              <a:cs typeface="Arial" panose="020B0604020202020204" pitchFamily="34" charset="0"/>
            </a:rPr>
            <a:t>مبدأ النزاهة.</a:t>
          </a:r>
        </a:p>
        <a:p>
          <a:pPr>
            <a:buNone/>
          </a:pPr>
          <a:r>
            <a:rPr lang="ar-EG" sz="1400" b="1">
              <a:solidFill>
                <a:sysClr val="windowText" lastClr="000000"/>
              </a:solidFill>
              <a:latin typeface="Calibri" panose="020F0502020204030204"/>
              <a:ea typeface="+mn-ea"/>
              <a:cs typeface="Arial" panose="020B0604020202020204" pitchFamily="34" charset="0"/>
            </a:rPr>
            <a:t>- مبدأ المشاركة.</a:t>
          </a:r>
        </a:p>
        <a:p>
          <a:pPr>
            <a:buNone/>
          </a:pPr>
          <a:r>
            <a:rPr lang="ar-EG" sz="1400" b="1">
              <a:solidFill>
                <a:sysClr val="windowText" lastClr="000000"/>
              </a:solidFill>
              <a:latin typeface="Calibri" panose="020F0502020204030204"/>
              <a:ea typeface="+mn-ea"/>
              <a:cs typeface="Arial" panose="020B0604020202020204" pitchFamily="34" charset="0"/>
            </a:rPr>
            <a:t>-مبدأ العدالة.</a:t>
          </a:r>
        </a:p>
        <a:p>
          <a:pPr>
            <a:buNone/>
          </a:pPr>
          <a:r>
            <a:rPr lang="ar-EG" sz="1400" b="1">
              <a:solidFill>
                <a:sysClr val="windowText" lastClr="000000"/>
              </a:solidFill>
              <a:latin typeface="Calibri" panose="020F0502020204030204"/>
              <a:ea typeface="+mn-ea"/>
              <a:cs typeface="Arial" panose="020B0604020202020204" pitchFamily="34" charset="0"/>
            </a:rPr>
            <a:t>- مبدأ الاستدامة.</a:t>
          </a: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en-US" sz="1400" b="1">
            <a:solidFill>
              <a:sysClr val="windowText" lastClr="000000"/>
            </a:solidFill>
            <a:latin typeface="Calibri" panose="020F0502020204030204"/>
            <a:ea typeface="+mn-ea"/>
            <a:cs typeface="+mn-cs"/>
          </a:endParaRPr>
        </a:p>
      </dgm:t>
    </dgm:pt>
    <dgm:pt modelId="{B7BFF15C-3B59-468B-AA5A-5BDA78680C4C}" type="parTrans" cxnId="{03BC328B-317F-44BA-8AA3-DE079A73EF57}">
      <dgm:prSet/>
      <dgm:spPr/>
      <dgm:t>
        <a:bodyPr/>
        <a:lstStyle/>
        <a:p>
          <a:endParaRPr lang="en-US"/>
        </a:p>
      </dgm:t>
    </dgm:pt>
    <dgm:pt modelId="{B0E6B0E3-06AB-4B48-8423-1E99FBEA96E6}" type="sibTrans" cxnId="{03BC328B-317F-44BA-8AA3-DE079A73EF57}">
      <dgm:prSet/>
      <dgm:spPr>
        <a:xfrm rot="2851957">
          <a:off x="1707505" y="1715392"/>
          <a:ext cx="921775" cy="307511"/>
        </a:xfrm>
        <a:solidFill>
          <a:srgbClr val="ED7D31"/>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B22D8542-6CC6-4BB4-A055-57ED2C7D06B8}" type="pres">
      <dgm:prSet presAssocID="{FD41104F-2484-48E9-A4BB-84EC88F2C276}" presName="Name0" presStyleCnt="0">
        <dgm:presLayoutVars>
          <dgm:dir/>
          <dgm:resizeHandles val="exact"/>
        </dgm:presLayoutVars>
      </dgm:prSet>
      <dgm:spPr/>
      <dgm:t>
        <a:bodyPr/>
        <a:lstStyle/>
        <a:p>
          <a:endParaRPr lang="en-US"/>
        </a:p>
      </dgm:t>
    </dgm:pt>
    <dgm:pt modelId="{6656E99E-697F-4B71-A0B7-9E0E7DE35087}" type="pres">
      <dgm:prSet presAssocID="{97C96446-ECF7-47DE-A23E-98BC53380D0B}" presName="node" presStyleLbl="node1" presStyleIdx="0" presStyleCnt="3" custRadScaleRad="69890" custRadScaleInc="-300000">
        <dgm:presLayoutVars>
          <dgm:bulletEnabled val="1"/>
        </dgm:presLayoutVars>
      </dgm:prSet>
      <dgm:spPr>
        <a:prstGeom prst="roundRect">
          <a:avLst>
            <a:gd name="adj" fmla="val 10000"/>
          </a:avLst>
        </a:prstGeom>
      </dgm:spPr>
      <dgm:t>
        <a:bodyPr/>
        <a:lstStyle/>
        <a:p>
          <a:endParaRPr lang="en-US"/>
        </a:p>
      </dgm:t>
    </dgm:pt>
    <dgm:pt modelId="{6B81FB9A-83EA-44D9-9DFE-0159384E5065}" type="pres">
      <dgm:prSet presAssocID="{91DE6B30-189F-4792-96E1-988F22553EEB}" presName="sibTrans" presStyleLbl="sibTrans2D1" presStyleIdx="0" presStyleCnt="3" custScaleX="159521" custLinFactNeighborX="-18198" custLinFactNeighborY="-85426"/>
      <dgm:spPr>
        <a:prstGeom prst="leftRightArrow">
          <a:avLst>
            <a:gd name="adj1" fmla="val 60000"/>
            <a:gd name="adj2" fmla="val 50000"/>
          </a:avLst>
        </a:prstGeom>
      </dgm:spPr>
      <dgm:t>
        <a:bodyPr/>
        <a:lstStyle/>
        <a:p>
          <a:endParaRPr lang="en-US"/>
        </a:p>
      </dgm:t>
    </dgm:pt>
    <dgm:pt modelId="{616D47C7-72D8-4B97-977D-33233BC4EBAA}" type="pres">
      <dgm:prSet presAssocID="{91DE6B30-189F-4792-96E1-988F22553EEB}" presName="connectorText" presStyleLbl="sibTrans2D1" presStyleIdx="0" presStyleCnt="3"/>
      <dgm:spPr/>
      <dgm:t>
        <a:bodyPr/>
        <a:lstStyle/>
        <a:p>
          <a:endParaRPr lang="en-US"/>
        </a:p>
      </dgm:t>
    </dgm:pt>
    <dgm:pt modelId="{177BDE28-2CFE-46F0-9F3C-D25CDD460172}" type="pres">
      <dgm:prSet presAssocID="{09A7D235-6D5E-4D4C-8C1C-56C754F0DD5A}" presName="node" presStyleLbl="node1" presStyleIdx="1" presStyleCnt="3" custScaleX="70597" custScaleY="257389" custRadScaleRad="101800" custRadScaleInc="-107710">
        <dgm:presLayoutVars>
          <dgm:bulletEnabled val="1"/>
        </dgm:presLayoutVars>
      </dgm:prSet>
      <dgm:spPr>
        <a:prstGeom prst="roundRect">
          <a:avLst>
            <a:gd name="adj" fmla="val 10000"/>
          </a:avLst>
        </a:prstGeom>
      </dgm:spPr>
      <dgm:t>
        <a:bodyPr/>
        <a:lstStyle/>
        <a:p>
          <a:endParaRPr lang="en-US"/>
        </a:p>
      </dgm:t>
    </dgm:pt>
    <dgm:pt modelId="{03C39241-B88E-4972-A9F3-E9200C065884}" type="pres">
      <dgm:prSet presAssocID="{5B03B446-71E8-49DD-BF41-225D80535CAF}" presName="sibTrans" presStyleLbl="sibTrans2D1" presStyleIdx="1" presStyleCnt="3" custAng="5313" custScaleX="236510" custLinFactNeighborX="3936" custLinFactNeighborY="-48169"/>
      <dgm:spPr>
        <a:prstGeom prst="leftRightArrow">
          <a:avLst>
            <a:gd name="adj1" fmla="val 60000"/>
            <a:gd name="adj2" fmla="val 50000"/>
          </a:avLst>
        </a:prstGeom>
      </dgm:spPr>
      <dgm:t>
        <a:bodyPr/>
        <a:lstStyle/>
        <a:p>
          <a:endParaRPr lang="en-US"/>
        </a:p>
      </dgm:t>
    </dgm:pt>
    <dgm:pt modelId="{FB554AD6-0775-4EA9-8047-3C6838789785}" type="pres">
      <dgm:prSet presAssocID="{5B03B446-71E8-49DD-BF41-225D80535CAF}" presName="connectorText" presStyleLbl="sibTrans2D1" presStyleIdx="1" presStyleCnt="3"/>
      <dgm:spPr/>
      <dgm:t>
        <a:bodyPr/>
        <a:lstStyle/>
        <a:p>
          <a:endParaRPr lang="en-US"/>
        </a:p>
      </dgm:t>
    </dgm:pt>
    <dgm:pt modelId="{47DF25E5-A127-471A-A6B9-79BE61FD7591}" type="pres">
      <dgm:prSet presAssocID="{CBAABBFD-6148-4450-9650-EA01DC1160CB}" presName="node" presStyleLbl="node1" presStyleIdx="2" presStyleCnt="3" custScaleX="73751" custScaleY="258543" custRadScaleRad="115731" custRadScaleInc="81667">
        <dgm:presLayoutVars>
          <dgm:bulletEnabled val="1"/>
        </dgm:presLayoutVars>
      </dgm:prSet>
      <dgm:spPr>
        <a:prstGeom prst="roundRect">
          <a:avLst>
            <a:gd name="adj" fmla="val 10000"/>
          </a:avLst>
        </a:prstGeom>
      </dgm:spPr>
      <dgm:t>
        <a:bodyPr/>
        <a:lstStyle/>
        <a:p>
          <a:endParaRPr lang="en-US"/>
        </a:p>
      </dgm:t>
    </dgm:pt>
    <dgm:pt modelId="{7D8ADF69-46C2-4C0D-8648-326EBB8DF7ED}" type="pres">
      <dgm:prSet presAssocID="{B0E6B0E3-06AB-4B48-8423-1E99FBEA96E6}" presName="sibTrans" presStyleLbl="sibTrans2D1" presStyleIdx="2" presStyleCnt="3" custAng="181375" custScaleX="156991" custScaleY="103953" custLinFactNeighborX="14610" custLinFactNeighborY="-62587"/>
      <dgm:spPr>
        <a:prstGeom prst="leftRightArrow">
          <a:avLst>
            <a:gd name="adj1" fmla="val 60000"/>
            <a:gd name="adj2" fmla="val 50000"/>
          </a:avLst>
        </a:prstGeom>
      </dgm:spPr>
      <dgm:t>
        <a:bodyPr/>
        <a:lstStyle/>
        <a:p>
          <a:endParaRPr lang="en-US"/>
        </a:p>
      </dgm:t>
    </dgm:pt>
    <dgm:pt modelId="{82CE3531-FB40-4914-8C1A-210CDDF80A7B}" type="pres">
      <dgm:prSet presAssocID="{B0E6B0E3-06AB-4B48-8423-1E99FBEA96E6}" presName="connectorText" presStyleLbl="sibTrans2D1" presStyleIdx="2" presStyleCnt="3"/>
      <dgm:spPr/>
      <dgm:t>
        <a:bodyPr/>
        <a:lstStyle/>
        <a:p>
          <a:endParaRPr lang="en-US"/>
        </a:p>
      </dgm:t>
    </dgm:pt>
  </dgm:ptLst>
  <dgm:cxnLst>
    <dgm:cxn modelId="{E7E67E64-0D93-4BCF-AA7B-0C5C0A879929}" type="presOf" srcId="{91DE6B30-189F-4792-96E1-988F22553EEB}" destId="{616D47C7-72D8-4B97-977D-33233BC4EBAA}" srcOrd="1" destOrd="0" presId="urn:microsoft.com/office/officeart/2005/8/layout/cycle7"/>
    <dgm:cxn modelId="{03BC328B-317F-44BA-8AA3-DE079A73EF57}" srcId="{FD41104F-2484-48E9-A4BB-84EC88F2C276}" destId="{CBAABBFD-6148-4450-9650-EA01DC1160CB}" srcOrd="2" destOrd="0" parTransId="{B7BFF15C-3B59-468B-AA5A-5BDA78680C4C}" sibTransId="{B0E6B0E3-06AB-4B48-8423-1E99FBEA96E6}"/>
    <dgm:cxn modelId="{26F4CADD-AB6A-4402-99C9-BD1F5BEFEADF}" type="presOf" srcId="{B0E6B0E3-06AB-4B48-8423-1E99FBEA96E6}" destId="{82CE3531-FB40-4914-8C1A-210CDDF80A7B}" srcOrd="1" destOrd="0" presId="urn:microsoft.com/office/officeart/2005/8/layout/cycle7"/>
    <dgm:cxn modelId="{5274D9B5-2AB5-427E-9ACA-B299B8594491}" type="presOf" srcId="{97C96446-ECF7-47DE-A23E-98BC53380D0B}" destId="{6656E99E-697F-4B71-A0B7-9E0E7DE35087}" srcOrd="0" destOrd="0" presId="urn:microsoft.com/office/officeart/2005/8/layout/cycle7"/>
    <dgm:cxn modelId="{312A4B27-DC12-48C9-8872-834C879D30C6}" type="presOf" srcId="{5B03B446-71E8-49DD-BF41-225D80535CAF}" destId="{03C39241-B88E-4972-A9F3-E9200C065884}" srcOrd="0" destOrd="0" presId="urn:microsoft.com/office/officeart/2005/8/layout/cycle7"/>
    <dgm:cxn modelId="{828A669C-0DC1-4616-91D9-8E363836F1DC}" type="presOf" srcId="{CBAABBFD-6148-4450-9650-EA01DC1160CB}" destId="{47DF25E5-A127-471A-A6B9-79BE61FD7591}" srcOrd="0" destOrd="0" presId="urn:microsoft.com/office/officeart/2005/8/layout/cycle7"/>
    <dgm:cxn modelId="{04D169A7-1534-4B8E-ADDC-DD04C910AAE2}" srcId="{FD41104F-2484-48E9-A4BB-84EC88F2C276}" destId="{97C96446-ECF7-47DE-A23E-98BC53380D0B}" srcOrd="0" destOrd="0" parTransId="{25C38865-D690-4DD7-9B59-9910920A009A}" sibTransId="{91DE6B30-189F-4792-96E1-988F22553EEB}"/>
    <dgm:cxn modelId="{367643D0-1C23-436A-92B9-9F7080200463}" type="presOf" srcId="{B0E6B0E3-06AB-4B48-8423-1E99FBEA96E6}" destId="{7D8ADF69-46C2-4C0D-8648-326EBB8DF7ED}" srcOrd="0" destOrd="0" presId="urn:microsoft.com/office/officeart/2005/8/layout/cycle7"/>
    <dgm:cxn modelId="{A33B0C80-0341-4D16-A752-09359C7D994E}" type="presOf" srcId="{FD41104F-2484-48E9-A4BB-84EC88F2C276}" destId="{B22D8542-6CC6-4BB4-A055-57ED2C7D06B8}" srcOrd="0" destOrd="0" presId="urn:microsoft.com/office/officeart/2005/8/layout/cycle7"/>
    <dgm:cxn modelId="{3CD0B12B-8A72-4A10-87ED-F3934FE48604}" type="presOf" srcId="{5B03B446-71E8-49DD-BF41-225D80535CAF}" destId="{FB554AD6-0775-4EA9-8047-3C6838789785}" srcOrd="1" destOrd="0" presId="urn:microsoft.com/office/officeart/2005/8/layout/cycle7"/>
    <dgm:cxn modelId="{90087E96-574F-47D0-B1DB-BA05ECD817A4}" srcId="{FD41104F-2484-48E9-A4BB-84EC88F2C276}" destId="{09A7D235-6D5E-4D4C-8C1C-56C754F0DD5A}" srcOrd="1" destOrd="0" parTransId="{28921001-DA01-4B6E-A169-3F3E83822F7D}" sibTransId="{5B03B446-71E8-49DD-BF41-225D80535CAF}"/>
    <dgm:cxn modelId="{C319FF13-89AD-491B-B183-C9E026B985ED}" type="presOf" srcId="{91DE6B30-189F-4792-96E1-988F22553EEB}" destId="{6B81FB9A-83EA-44D9-9DFE-0159384E5065}" srcOrd="0" destOrd="0" presId="urn:microsoft.com/office/officeart/2005/8/layout/cycle7"/>
    <dgm:cxn modelId="{2F65CEE1-5CC7-4368-AB8B-2621608EEC28}" type="presOf" srcId="{09A7D235-6D5E-4D4C-8C1C-56C754F0DD5A}" destId="{177BDE28-2CFE-46F0-9F3C-D25CDD460172}" srcOrd="0" destOrd="0" presId="urn:microsoft.com/office/officeart/2005/8/layout/cycle7"/>
    <dgm:cxn modelId="{913F8F09-CF45-413D-916A-9329559DD193}" type="presParOf" srcId="{B22D8542-6CC6-4BB4-A055-57ED2C7D06B8}" destId="{6656E99E-697F-4B71-A0B7-9E0E7DE35087}" srcOrd="0" destOrd="0" presId="urn:microsoft.com/office/officeart/2005/8/layout/cycle7"/>
    <dgm:cxn modelId="{6AD4D748-B0AB-49BD-97E4-0F613BC1A78D}" type="presParOf" srcId="{B22D8542-6CC6-4BB4-A055-57ED2C7D06B8}" destId="{6B81FB9A-83EA-44D9-9DFE-0159384E5065}" srcOrd="1" destOrd="0" presId="urn:microsoft.com/office/officeart/2005/8/layout/cycle7"/>
    <dgm:cxn modelId="{71631C51-B108-4BF0-A9BE-F5EFB391F84B}" type="presParOf" srcId="{6B81FB9A-83EA-44D9-9DFE-0159384E5065}" destId="{616D47C7-72D8-4B97-977D-33233BC4EBAA}" srcOrd="0" destOrd="0" presId="urn:microsoft.com/office/officeart/2005/8/layout/cycle7"/>
    <dgm:cxn modelId="{99C43515-EC73-46ED-910B-AB5966C9C512}" type="presParOf" srcId="{B22D8542-6CC6-4BB4-A055-57ED2C7D06B8}" destId="{177BDE28-2CFE-46F0-9F3C-D25CDD460172}" srcOrd="2" destOrd="0" presId="urn:microsoft.com/office/officeart/2005/8/layout/cycle7"/>
    <dgm:cxn modelId="{2738F732-59E8-45D8-B6F3-6ECF38827F2C}" type="presParOf" srcId="{B22D8542-6CC6-4BB4-A055-57ED2C7D06B8}" destId="{03C39241-B88E-4972-A9F3-E9200C065884}" srcOrd="3" destOrd="0" presId="urn:microsoft.com/office/officeart/2005/8/layout/cycle7"/>
    <dgm:cxn modelId="{6269B9B8-8AA8-4669-8636-9AD679CB7FEA}" type="presParOf" srcId="{03C39241-B88E-4972-A9F3-E9200C065884}" destId="{FB554AD6-0775-4EA9-8047-3C6838789785}" srcOrd="0" destOrd="0" presId="urn:microsoft.com/office/officeart/2005/8/layout/cycle7"/>
    <dgm:cxn modelId="{5F7AC628-01D0-476D-9E61-BF30EFE7EA01}" type="presParOf" srcId="{B22D8542-6CC6-4BB4-A055-57ED2C7D06B8}" destId="{47DF25E5-A127-471A-A6B9-79BE61FD7591}" srcOrd="4" destOrd="0" presId="urn:microsoft.com/office/officeart/2005/8/layout/cycle7"/>
    <dgm:cxn modelId="{11734552-6C44-4BDA-8C65-A4AF572491B9}" type="presParOf" srcId="{B22D8542-6CC6-4BB4-A055-57ED2C7D06B8}" destId="{7D8ADF69-46C2-4C0D-8648-326EBB8DF7ED}" srcOrd="5" destOrd="0" presId="urn:microsoft.com/office/officeart/2005/8/layout/cycle7"/>
    <dgm:cxn modelId="{4395EB56-BBDA-4271-9723-8AE2FC5F19DE}" type="presParOf" srcId="{7D8ADF69-46C2-4C0D-8648-326EBB8DF7ED}" destId="{82CE3531-FB40-4914-8C1A-210CDDF80A7B}"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65EA644-5674-49C7-9435-4C252DCB5F0E}" type="doc">
      <dgm:prSet loTypeId="urn:microsoft.com/office/officeart/2005/8/layout/radial5" loCatId="cycle" qsTypeId="urn:microsoft.com/office/officeart/2005/8/quickstyle/simple1" qsCatId="simple" csTypeId="urn:microsoft.com/office/officeart/2005/8/colors/accent1_5" csCatId="accent1" phldr="1"/>
      <dgm:spPr/>
      <dgm:t>
        <a:bodyPr/>
        <a:lstStyle/>
        <a:p>
          <a:endParaRPr lang="en-US"/>
        </a:p>
      </dgm:t>
    </dgm:pt>
    <dgm:pt modelId="{E7B433D2-313E-4E58-BDDD-F4E7445CB14E}">
      <dgm:prSet phldrT="[Text]" custT="1">
        <dgm:style>
          <a:lnRef idx="1">
            <a:schemeClr val="accent5"/>
          </a:lnRef>
          <a:fillRef idx="2">
            <a:schemeClr val="accent5"/>
          </a:fillRef>
          <a:effectRef idx="1">
            <a:schemeClr val="accent5"/>
          </a:effectRef>
          <a:fontRef idx="minor">
            <a:schemeClr val="dk1"/>
          </a:fontRef>
        </dgm:style>
      </dgm:prSet>
      <dgm:spPr>
        <a:xfrm>
          <a:off x="2151648" y="1447824"/>
          <a:ext cx="1111850" cy="1111850"/>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نظام الحوكمة</a:t>
          </a:r>
          <a:endParaRPr lang="en-US" sz="1100" b="1" baseline="0">
            <a:solidFill>
              <a:sysClr val="windowText" lastClr="000000"/>
            </a:solidFill>
            <a:latin typeface="Calibri" panose="020F0502020204030204"/>
            <a:ea typeface="+mn-ea"/>
            <a:cs typeface="+mn-cs"/>
          </a:endParaRPr>
        </a:p>
      </dgm:t>
    </dgm:pt>
    <dgm:pt modelId="{1DB4F293-BAFC-4B78-BE6D-0EBB86444A35}" type="parTrans" cxnId="{D3074031-CB78-4F56-8E20-9A526298962D}">
      <dgm:prSet/>
      <dgm:spPr/>
      <dgm:t>
        <a:bodyPr/>
        <a:lstStyle/>
        <a:p>
          <a:pPr algn="r"/>
          <a:endParaRPr lang="en-US"/>
        </a:p>
      </dgm:t>
    </dgm:pt>
    <dgm:pt modelId="{EF581223-A426-4F36-8658-B7D5503B4F6A}" type="sibTrans" cxnId="{D3074031-CB78-4F56-8E20-9A526298962D}">
      <dgm:prSet/>
      <dgm:spPr/>
      <dgm:t>
        <a:bodyPr/>
        <a:lstStyle/>
        <a:p>
          <a:pPr algn="r"/>
          <a:endParaRPr lang="en-US"/>
        </a:p>
      </dgm:t>
    </dgm:pt>
    <dgm:pt modelId="{4897A508-EDCF-46C3-9EB2-EA18532917D8}">
      <dgm:prSet phldrT="[Text]" custT="1">
        <dgm:style>
          <a:lnRef idx="1">
            <a:schemeClr val="accent5"/>
          </a:lnRef>
          <a:fillRef idx="2">
            <a:schemeClr val="accent5"/>
          </a:fillRef>
          <a:effectRef idx="1">
            <a:schemeClr val="accent5"/>
          </a:effectRef>
          <a:fontRef idx="minor">
            <a:schemeClr val="dk1"/>
          </a:fontRef>
        </dgm:style>
      </dgm:prSet>
      <dgm:spPr>
        <a:xfrm>
          <a:off x="2207241" y="2831"/>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العمليات</a:t>
          </a:r>
          <a:endParaRPr lang="en-US" sz="1100" b="1" baseline="0">
            <a:solidFill>
              <a:sysClr val="windowText" lastClr="000000"/>
            </a:solidFill>
            <a:latin typeface="Calibri" panose="020F0502020204030204"/>
            <a:ea typeface="+mn-ea"/>
            <a:cs typeface="+mn-cs"/>
          </a:endParaRPr>
        </a:p>
      </dgm:t>
    </dgm:pt>
    <dgm:pt modelId="{D6C2AEC3-5419-4CF4-828E-05B78DD9CD85}" type="parTrans" cxnId="{2B772B33-7CB2-4165-B71B-7B465E1101FF}">
      <dgm:prSet/>
      <dgm:spPr>
        <a:xfrm rot="16200000">
          <a:off x="2589827" y="1043311"/>
          <a:ext cx="235493" cy="378029"/>
        </a:xfrm>
        <a:solidFill>
          <a:srgbClr val="4472C4">
            <a:shade val="90000"/>
            <a:hueOff val="0"/>
            <a:satOff val="0"/>
            <a:lumOff val="0"/>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E40AF42F-2052-4C2A-B186-3C5EEAAE4B1C}" type="sibTrans" cxnId="{2B772B33-7CB2-4165-B71B-7B465E1101FF}">
      <dgm:prSet/>
      <dgm:spPr/>
      <dgm:t>
        <a:bodyPr/>
        <a:lstStyle/>
        <a:p>
          <a:pPr algn="r"/>
          <a:endParaRPr lang="en-US"/>
        </a:p>
      </dgm:t>
    </dgm:pt>
    <dgm:pt modelId="{174BB545-0AD9-4A96-9DAA-7F4BC413C7D7}">
      <dgm:prSet phldrT="[Text]" custT="1">
        <dgm:style>
          <a:lnRef idx="1">
            <a:schemeClr val="accent5"/>
          </a:lnRef>
          <a:fillRef idx="2">
            <a:schemeClr val="accent5"/>
          </a:fillRef>
          <a:effectRef idx="1">
            <a:schemeClr val="accent5"/>
          </a:effectRef>
          <a:fontRef idx="minor">
            <a:schemeClr val="dk1"/>
          </a:fontRef>
        </dgm:style>
      </dgm:prSet>
      <dgm:spPr>
        <a:xfrm>
          <a:off x="744278"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baseline="0">
            <a:solidFill>
              <a:sysClr val="windowText" lastClr="000000"/>
            </a:solidFill>
            <a:latin typeface="Calibri" panose="020F0502020204030204"/>
            <a:ea typeface="+mn-ea"/>
            <a:cs typeface="+mn-cs"/>
          </a:endParaRPr>
        </a:p>
      </dgm:t>
    </dgm:pt>
    <dgm:pt modelId="{E6F6273E-2215-41B2-8FDC-6FB7C97EB91C}" type="parTrans" cxnId="{B9505B8F-6CD5-4649-A8AF-D5B0812F9589}">
      <dgm:prSet/>
      <dgm:spPr>
        <a:xfrm rot="10028571">
          <a:off x="1837744" y="1986393"/>
          <a:ext cx="235493" cy="378029"/>
        </a:xfrm>
        <a:solidFill>
          <a:srgbClr val="4472C4">
            <a:shade val="90000"/>
            <a:hueOff val="346188"/>
            <a:satOff val="-7393"/>
            <a:lumOff val="27591"/>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AE892AFA-4495-4F82-8CF2-43CA4DAB0977}" type="sibTrans" cxnId="{B9505B8F-6CD5-4649-A8AF-D5B0812F9589}">
      <dgm:prSet/>
      <dgm:spPr/>
      <dgm:t>
        <a:bodyPr/>
        <a:lstStyle/>
        <a:p>
          <a:pPr algn="r"/>
          <a:endParaRPr lang="en-US"/>
        </a:p>
      </dgm:t>
    </dgm:pt>
    <dgm:pt modelId="{5EB03185-C5A1-49D2-ABE4-E2551A5959B5}">
      <dgm:prSet custT="1">
        <dgm:style>
          <a:lnRef idx="1">
            <a:schemeClr val="accent5"/>
          </a:lnRef>
          <a:fillRef idx="2">
            <a:schemeClr val="accent5"/>
          </a:fillRef>
          <a:effectRef idx="1">
            <a:schemeClr val="accent5"/>
          </a:effectRef>
          <a:fontRef idx="minor">
            <a:schemeClr val="dk1"/>
          </a:fontRef>
        </dgm:style>
      </dgm:prSet>
      <dgm:spPr>
        <a:xfrm>
          <a:off x="338044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baseline="0">
            <a:solidFill>
              <a:sysClr val="windowText" lastClr="000000"/>
            </a:solidFill>
            <a:latin typeface="Calibri" panose="020F0502020204030204"/>
            <a:ea typeface="+mn-ea"/>
            <a:cs typeface="+mn-cs"/>
          </a:endParaRPr>
        </a:p>
      </dgm:t>
    </dgm:pt>
    <dgm:pt modelId="{8ED2DCED-2B48-4265-AF59-77E1D72D4404}" type="parTrans" cxnId="{5116A68A-65CB-4764-9C60-CEECA1BE8263}">
      <dgm:prSet/>
      <dgm:spPr>
        <a:xfrm rot="19285714">
          <a:off x="3192950" y="1333760"/>
          <a:ext cx="235493" cy="378029"/>
        </a:xfrm>
        <a:solidFill>
          <a:srgbClr val="4472C4">
            <a:shade val="90000"/>
            <a:hueOff val="69238"/>
            <a:satOff val="-1479"/>
            <a:lumOff val="5518"/>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418197A8-D124-4C3C-9402-5E0CA3FBEFF8}" type="sibTrans" cxnId="{5116A68A-65CB-4764-9C60-CEECA1BE8263}">
      <dgm:prSet/>
      <dgm:spPr/>
      <dgm:t>
        <a:bodyPr/>
        <a:lstStyle/>
        <a:p>
          <a:pPr algn="r"/>
          <a:endParaRPr lang="en-US"/>
        </a:p>
      </dgm:t>
    </dgm:pt>
    <dgm:pt modelId="{D218FF86-4B63-4D7D-8393-E7D35DC720B0}">
      <dgm:prSet custT="1">
        <dgm:style>
          <a:lnRef idx="1">
            <a:schemeClr val="accent5"/>
          </a:lnRef>
          <a:fillRef idx="2">
            <a:schemeClr val="accent5"/>
          </a:fillRef>
          <a:effectRef idx="1">
            <a:schemeClr val="accent5"/>
          </a:effectRef>
          <a:fontRef idx="minor">
            <a:schemeClr val="dk1"/>
          </a:fontRef>
        </dgm:style>
      </dgm:prSet>
      <dgm:spPr>
        <a:xfrm>
          <a:off x="3670203"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baseline="0">
            <a:solidFill>
              <a:sysClr val="windowText" lastClr="000000"/>
            </a:solidFill>
            <a:latin typeface="Calibri" panose="020F0502020204030204"/>
            <a:ea typeface="+mn-ea"/>
            <a:cs typeface="+mn-cs"/>
          </a:endParaRPr>
        </a:p>
      </dgm:t>
    </dgm:pt>
    <dgm:pt modelId="{4E34BD1A-76F9-4239-B9E5-F880486B398D}" type="parTrans" cxnId="{3A7CE609-8F33-4774-824B-358C993BA041}">
      <dgm:prSet/>
      <dgm:spPr>
        <a:xfrm rot="771429">
          <a:off x="3341910" y="1986393"/>
          <a:ext cx="235493" cy="378029"/>
        </a:xfrm>
        <a:solidFill>
          <a:srgbClr val="4472C4">
            <a:shade val="90000"/>
            <a:hueOff val="138475"/>
            <a:satOff val="-2957"/>
            <a:lumOff val="11036"/>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5C69E888-8371-4010-883E-391E902E0FF6}" type="sibTrans" cxnId="{3A7CE609-8F33-4774-824B-358C993BA041}">
      <dgm:prSet/>
      <dgm:spPr/>
      <dgm:t>
        <a:bodyPr/>
        <a:lstStyle/>
        <a:p>
          <a:pPr algn="r"/>
          <a:endParaRPr lang="en-US"/>
        </a:p>
      </dgm:t>
    </dgm:pt>
    <dgm:pt modelId="{1BE5814F-8A0F-423B-BAC4-FD6313A9CAA1}">
      <dgm:prSet custT="1">
        <dgm:style>
          <a:lnRef idx="1">
            <a:schemeClr val="accent5"/>
          </a:lnRef>
          <a:fillRef idx="2">
            <a:schemeClr val="accent5"/>
          </a:fillRef>
          <a:effectRef idx="1">
            <a:schemeClr val="accent5"/>
          </a:effectRef>
          <a:fontRef idx="minor">
            <a:schemeClr val="dk1"/>
          </a:fontRef>
        </dgm:style>
      </dgm:prSet>
      <dgm:spPr>
        <a:xfrm>
          <a:off x="2858320"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المعلومات </a:t>
          </a:r>
          <a:endParaRPr lang="en-US" sz="1100" b="1" baseline="0">
            <a:solidFill>
              <a:sysClr val="windowText" lastClr="000000"/>
            </a:solidFill>
            <a:latin typeface="Calibri" panose="020F0502020204030204"/>
            <a:ea typeface="+mn-ea"/>
            <a:cs typeface="+mn-cs"/>
          </a:endParaRPr>
        </a:p>
      </dgm:t>
    </dgm:pt>
    <dgm:pt modelId="{B1E2A35F-6673-4FBD-858B-2193ED44A0E6}" type="parTrans" cxnId="{66309F16-D890-4C9E-899D-273360E7405A}">
      <dgm:prSet/>
      <dgm:spPr>
        <a:xfrm rot="3857143">
          <a:off x="2924535" y="2509764"/>
          <a:ext cx="235493" cy="378029"/>
        </a:xfrm>
        <a:solidFill>
          <a:srgbClr val="4472C4">
            <a:shade val="90000"/>
            <a:hueOff val="207713"/>
            <a:satOff val="-4436"/>
            <a:lumOff val="16555"/>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9BE03274-531B-433C-8175-6D6805F95434}" type="sibTrans" cxnId="{66309F16-D890-4C9E-899D-273360E7405A}">
      <dgm:prSet/>
      <dgm:spPr/>
      <dgm:t>
        <a:bodyPr/>
        <a:lstStyle/>
        <a:p>
          <a:pPr algn="r"/>
          <a:endParaRPr lang="en-US"/>
        </a:p>
      </dgm:t>
    </dgm:pt>
    <dgm:pt modelId="{49C336E0-7FE6-4586-A943-657023BEE965}">
      <dgm:prSet custT="1">
        <dgm:style>
          <a:lnRef idx="1">
            <a:schemeClr val="accent5"/>
          </a:lnRef>
          <a:fillRef idx="2">
            <a:schemeClr val="accent5"/>
          </a:fillRef>
          <a:effectRef idx="1">
            <a:schemeClr val="accent5"/>
          </a:effectRef>
          <a:fontRef idx="minor">
            <a:schemeClr val="dk1"/>
          </a:fontRef>
        </dgm:style>
      </dgm:prSet>
      <dgm:spPr>
        <a:xfrm>
          <a:off x="1556161"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baseline="0">
            <a:solidFill>
              <a:sysClr val="windowText" lastClr="000000"/>
            </a:solidFill>
            <a:latin typeface="Calibri" panose="020F0502020204030204"/>
            <a:ea typeface="+mn-ea"/>
            <a:cs typeface="+mn-cs"/>
          </a:endParaRPr>
        </a:p>
      </dgm:t>
    </dgm:pt>
    <dgm:pt modelId="{D451C59D-FA12-443A-A0B3-90D993256A07}" type="parTrans" cxnId="{88C86A95-0622-48A6-969E-D530D795B082}">
      <dgm:prSet/>
      <dgm:spPr>
        <a:xfrm rot="6942857">
          <a:off x="2255118" y="2509764"/>
          <a:ext cx="235493" cy="378029"/>
        </a:xfrm>
        <a:solidFill>
          <a:srgbClr val="4472C4">
            <a:shade val="90000"/>
            <a:hueOff val="276951"/>
            <a:satOff val="-5914"/>
            <a:lumOff val="22073"/>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18B77640-9741-4829-9C4A-A65D24CDBF92}" type="sibTrans" cxnId="{88C86A95-0622-48A6-969E-D530D795B082}">
      <dgm:prSet/>
      <dgm:spPr/>
      <dgm:t>
        <a:bodyPr/>
        <a:lstStyle/>
        <a:p>
          <a:pPr algn="r"/>
          <a:endParaRPr lang="en-US"/>
        </a:p>
      </dgm:t>
    </dgm:pt>
    <dgm:pt modelId="{7618C601-67FB-4D0C-AEA4-7B1ACEA08E68}">
      <dgm:prSet custT="1">
        <dgm:style>
          <a:lnRef idx="1">
            <a:schemeClr val="accent5"/>
          </a:lnRef>
          <a:fillRef idx="2">
            <a:schemeClr val="accent5"/>
          </a:fillRef>
          <a:effectRef idx="1">
            <a:schemeClr val="accent5"/>
          </a:effectRef>
          <a:fontRef idx="minor">
            <a:schemeClr val="dk1"/>
          </a:fontRef>
        </dgm:style>
      </dgm:prSet>
      <dgm:spPr>
        <a:xfrm>
          <a:off x="103403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baseline="0">
            <a:solidFill>
              <a:sysClr val="windowText" lastClr="000000"/>
            </a:solidFill>
            <a:latin typeface="Calibri" panose="020F0502020204030204"/>
            <a:ea typeface="+mn-ea"/>
            <a:cs typeface="+mn-cs"/>
          </a:endParaRPr>
        </a:p>
      </dgm:t>
    </dgm:pt>
    <dgm:pt modelId="{09C45EAA-F8BF-4BF0-BE76-F061D679D9F0}" type="parTrans" cxnId="{0DF8C4A2-0503-4CEB-A321-887F8991BAAA}">
      <dgm:prSet/>
      <dgm:spPr>
        <a:xfrm rot="13114286">
          <a:off x="1986703" y="1333760"/>
          <a:ext cx="235493" cy="378029"/>
        </a:xfrm>
        <a:solidFill>
          <a:srgbClr val="4472C4">
            <a:shade val="90000"/>
            <a:hueOff val="415426"/>
            <a:satOff val="-8871"/>
            <a:lumOff val="33109"/>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324DC309-569C-43DB-99D9-4C409083DB6E}" type="sibTrans" cxnId="{0DF8C4A2-0503-4CEB-A321-887F8991BAAA}">
      <dgm:prSet/>
      <dgm:spPr/>
      <dgm:t>
        <a:bodyPr/>
        <a:lstStyle/>
        <a:p>
          <a:pPr algn="r"/>
          <a:endParaRPr lang="en-US"/>
        </a:p>
      </dgm:t>
    </dgm:pt>
    <dgm:pt modelId="{4619DA12-0F0D-4791-B9DA-A4F72E973B78}" type="pres">
      <dgm:prSet presAssocID="{665EA644-5674-49C7-9435-4C252DCB5F0E}" presName="Name0" presStyleCnt="0">
        <dgm:presLayoutVars>
          <dgm:chMax val="1"/>
          <dgm:dir/>
          <dgm:animLvl val="ctr"/>
          <dgm:resizeHandles val="exact"/>
        </dgm:presLayoutVars>
      </dgm:prSet>
      <dgm:spPr/>
      <dgm:t>
        <a:bodyPr/>
        <a:lstStyle/>
        <a:p>
          <a:endParaRPr lang="en-US"/>
        </a:p>
      </dgm:t>
    </dgm:pt>
    <dgm:pt modelId="{F7567E7A-AF28-41B4-A0BA-A7D73011AF67}" type="pres">
      <dgm:prSet presAssocID="{E7B433D2-313E-4E58-BDDD-F4E7445CB14E}" presName="centerShape" presStyleLbl="node0" presStyleIdx="0" presStyleCnt="1"/>
      <dgm:spPr>
        <a:prstGeom prst="ellipse">
          <a:avLst/>
        </a:prstGeom>
      </dgm:spPr>
      <dgm:t>
        <a:bodyPr/>
        <a:lstStyle/>
        <a:p>
          <a:endParaRPr lang="en-US"/>
        </a:p>
      </dgm:t>
    </dgm:pt>
    <dgm:pt modelId="{7732C6CD-4278-4E01-BCB0-529B3ACBC76E}" type="pres">
      <dgm:prSet presAssocID="{D6C2AEC3-5419-4CF4-828E-05B78DD9CD85}" presName="parTrans" presStyleLbl="sibTrans2D1" presStyleIdx="0" presStyleCnt="7"/>
      <dgm:spPr>
        <a:prstGeom prst="rightArrow">
          <a:avLst>
            <a:gd name="adj1" fmla="val 60000"/>
            <a:gd name="adj2" fmla="val 50000"/>
          </a:avLst>
        </a:prstGeom>
      </dgm:spPr>
      <dgm:t>
        <a:bodyPr/>
        <a:lstStyle/>
        <a:p>
          <a:endParaRPr lang="en-US"/>
        </a:p>
      </dgm:t>
    </dgm:pt>
    <dgm:pt modelId="{7F5927E5-33BD-46F9-BFD8-16083058BA7E}" type="pres">
      <dgm:prSet presAssocID="{D6C2AEC3-5419-4CF4-828E-05B78DD9CD85}" presName="connectorText" presStyleLbl="sibTrans2D1" presStyleIdx="0" presStyleCnt="7"/>
      <dgm:spPr/>
      <dgm:t>
        <a:bodyPr/>
        <a:lstStyle/>
        <a:p>
          <a:endParaRPr lang="en-US"/>
        </a:p>
      </dgm:t>
    </dgm:pt>
    <dgm:pt modelId="{41065C37-6DD6-4E17-94A8-7CFC12435553}" type="pres">
      <dgm:prSet presAssocID="{4897A508-EDCF-46C3-9EB2-EA18532917D8}" presName="node" presStyleLbl="node1" presStyleIdx="0" presStyleCnt="7">
        <dgm:presLayoutVars>
          <dgm:bulletEnabled val="1"/>
        </dgm:presLayoutVars>
      </dgm:prSet>
      <dgm:spPr>
        <a:prstGeom prst="ellipse">
          <a:avLst/>
        </a:prstGeom>
      </dgm:spPr>
      <dgm:t>
        <a:bodyPr/>
        <a:lstStyle/>
        <a:p>
          <a:endParaRPr lang="en-US"/>
        </a:p>
      </dgm:t>
    </dgm:pt>
    <dgm:pt modelId="{EC42F4C8-5F94-4F80-B627-B835D27A270F}" type="pres">
      <dgm:prSet presAssocID="{8ED2DCED-2B48-4265-AF59-77E1D72D4404}" presName="parTrans" presStyleLbl="sibTrans2D1" presStyleIdx="1" presStyleCnt="7"/>
      <dgm:spPr>
        <a:prstGeom prst="rightArrow">
          <a:avLst>
            <a:gd name="adj1" fmla="val 60000"/>
            <a:gd name="adj2" fmla="val 50000"/>
          </a:avLst>
        </a:prstGeom>
      </dgm:spPr>
      <dgm:t>
        <a:bodyPr/>
        <a:lstStyle/>
        <a:p>
          <a:endParaRPr lang="en-US"/>
        </a:p>
      </dgm:t>
    </dgm:pt>
    <dgm:pt modelId="{55E64D7D-9D91-4FF2-B4DD-61DAC63E7CD3}" type="pres">
      <dgm:prSet presAssocID="{8ED2DCED-2B48-4265-AF59-77E1D72D4404}" presName="connectorText" presStyleLbl="sibTrans2D1" presStyleIdx="1" presStyleCnt="7"/>
      <dgm:spPr/>
      <dgm:t>
        <a:bodyPr/>
        <a:lstStyle/>
        <a:p>
          <a:endParaRPr lang="en-US"/>
        </a:p>
      </dgm:t>
    </dgm:pt>
    <dgm:pt modelId="{7147248F-2CCD-473B-B93C-7F08C74F0E2E}" type="pres">
      <dgm:prSet presAssocID="{5EB03185-C5A1-49D2-ABE4-E2551A5959B5}" presName="node" presStyleLbl="node1" presStyleIdx="1" presStyleCnt="7">
        <dgm:presLayoutVars>
          <dgm:bulletEnabled val="1"/>
        </dgm:presLayoutVars>
      </dgm:prSet>
      <dgm:spPr>
        <a:prstGeom prst="ellipse">
          <a:avLst/>
        </a:prstGeom>
      </dgm:spPr>
      <dgm:t>
        <a:bodyPr/>
        <a:lstStyle/>
        <a:p>
          <a:endParaRPr lang="en-US"/>
        </a:p>
      </dgm:t>
    </dgm:pt>
    <dgm:pt modelId="{7521D4AF-509B-4353-A3D6-A95831C8BC66}" type="pres">
      <dgm:prSet presAssocID="{4E34BD1A-76F9-4239-B9E5-F880486B398D}" presName="parTrans" presStyleLbl="sibTrans2D1" presStyleIdx="2" presStyleCnt="7"/>
      <dgm:spPr>
        <a:prstGeom prst="rightArrow">
          <a:avLst>
            <a:gd name="adj1" fmla="val 60000"/>
            <a:gd name="adj2" fmla="val 50000"/>
          </a:avLst>
        </a:prstGeom>
      </dgm:spPr>
      <dgm:t>
        <a:bodyPr/>
        <a:lstStyle/>
        <a:p>
          <a:endParaRPr lang="en-US"/>
        </a:p>
      </dgm:t>
    </dgm:pt>
    <dgm:pt modelId="{00633B9F-E58D-4CF1-A2CC-D6C6BC632B91}" type="pres">
      <dgm:prSet presAssocID="{4E34BD1A-76F9-4239-B9E5-F880486B398D}" presName="connectorText" presStyleLbl="sibTrans2D1" presStyleIdx="2" presStyleCnt="7"/>
      <dgm:spPr/>
      <dgm:t>
        <a:bodyPr/>
        <a:lstStyle/>
        <a:p>
          <a:endParaRPr lang="en-US"/>
        </a:p>
      </dgm:t>
    </dgm:pt>
    <dgm:pt modelId="{55C86768-D131-458D-9C3B-935FB60554F5}" type="pres">
      <dgm:prSet presAssocID="{D218FF86-4B63-4D7D-8393-E7D35DC720B0}" presName="node" presStyleLbl="node1" presStyleIdx="2" presStyleCnt="7">
        <dgm:presLayoutVars>
          <dgm:bulletEnabled val="1"/>
        </dgm:presLayoutVars>
      </dgm:prSet>
      <dgm:spPr>
        <a:prstGeom prst="ellipse">
          <a:avLst/>
        </a:prstGeom>
      </dgm:spPr>
      <dgm:t>
        <a:bodyPr/>
        <a:lstStyle/>
        <a:p>
          <a:endParaRPr lang="en-US"/>
        </a:p>
      </dgm:t>
    </dgm:pt>
    <dgm:pt modelId="{AD1DD96E-060F-4B54-A983-4D3D4C7E6A90}" type="pres">
      <dgm:prSet presAssocID="{B1E2A35F-6673-4FBD-858B-2193ED44A0E6}" presName="parTrans" presStyleLbl="sibTrans2D1" presStyleIdx="3" presStyleCnt="7"/>
      <dgm:spPr>
        <a:prstGeom prst="rightArrow">
          <a:avLst>
            <a:gd name="adj1" fmla="val 60000"/>
            <a:gd name="adj2" fmla="val 50000"/>
          </a:avLst>
        </a:prstGeom>
      </dgm:spPr>
      <dgm:t>
        <a:bodyPr/>
        <a:lstStyle/>
        <a:p>
          <a:endParaRPr lang="en-US"/>
        </a:p>
      </dgm:t>
    </dgm:pt>
    <dgm:pt modelId="{47EC15CC-DE95-4F3E-A594-2A7D04696B88}" type="pres">
      <dgm:prSet presAssocID="{B1E2A35F-6673-4FBD-858B-2193ED44A0E6}" presName="connectorText" presStyleLbl="sibTrans2D1" presStyleIdx="3" presStyleCnt="7"/>
      <dgm:spPr/>
      <dgm:t>
        <a:bodyPr/>
        <a:lstStyle/>
        <a:p>
          <a:endParaRPr lang="en-US"/>
        </a:p>
      </dgm:t>
    </dgm:pt>
    <dgm:pt modelId="{B25C6A5A-DA2B-41A7-92E5-C5C6507E1FA6}" type="pres">
      <dgm:prSet presAssocID="{1BE5814F-8A0F-423B-BAC4-FD6313A9CAA1}" presName="node" presStyleLbl="node1" presStyleIdx="3" presStyleCnt="7">
        <dgm:presLayoutVars>
          <dgm:bulletEnabled val="1"/>
        </dgm:presLayoutVars>
      </dgm:prSet>
      <dgm:spPr>
        <a:prstGeom prst="ellipse">
          <a:avLst/>
        </a:prstGeom>
      </dgm:spPr>
      <dgm:t>
        <a:bodyPr/>
        <a:lstStyle/>
        <a:p>
          <a:endParaRPr lang="en-US"/>
        </a:p>
      </dgm:t>
    </dgm:pt>
    <dgm:pt modelId="{BFA26A0E-DBD5-4B2E-B7FF-D55E5D5033AD}" type="pres">
      <dgm:prSet presAssocID="{D451C59D-FA12-443A-A0B3-90D993256A07}" presName="parTrans" presStyleLbl="sibTrans2D1" presStyleIdx="4" presStyleCnt="7"/>
      <dgm:spPr>
        <a:prstGeom prst="rightArrow">
          <a:avLst>
            <a:gd name="adj1" fmla="val 60000"/>
            <a:gd name="adj2" fmla="val 50000"/>
          </a:avLst>
        </a:prstGeom>
      </dgm:spPr>
      <dgm:t>
        <a:bodyPr/>
        <a:lstStyle/>
        <a:p>
          <a:endParaRPr lang="en-US"/>
        </a:p>
      </dgm:t>
    </dgm:pt>
    <dgm:pt modelId="{92C0BAFF-B720-4030-B76D-41954BDB5EF0}" type="pres">
      <dgm:prSet presAssocID="{D451C59D-FA12-443A-A0B3-90D993256A07}" presName="connectorText" presStyleLbl="sibTrans2D1" presStyleIdx="4" presStyleCnt="7"/>
      <dgm:spPr/>
      <dgm:t>
        <a:bodyPr/>
        <a:lstStyle/>
        <a:p>
          <a:endParaRPr lang="en-US"/>
        </a:p>
      </dgm:t>
    </dgm:pt>
    <dgm:pt modelId="{FE223032-0F68-414C-9284-241BAD032A66}" type="pres">
      <dgm:prSet presAssocID="{49C336E0-7FE6-4586-A943-657023BEE965}" presName="node" presStyleLbl="node1" presStyleIdx="4" presStyleCnt="7">
        <dgm:presLayoutVars>
          <dgm:bulletEnabled val="1"/>
        </dgm:presLayoutVars>
      </dgm:prSet>
      <dgm:spPr>
        <a:prstGeom prst="ellipse">
          <a:avLst/>
        </a:prstGeom>
      </dgm:spPr>
      <dgm:t>
        <a:bodyPr/>
        <a:lstStyle/>
        <a:p>
          <a:endParaRPr lang="en-US"/>
        </a:p>
      </dgm:t>
    </dgm:pt>
    <dgm:pt modelId="{DB0C400D-ACB9-448A-807F-1EEE4FAAECB7}" type="pres">
      <dgm:prSet presAssocID="{E6F6273E-2215-41B2-8FDC-6FB7C97EB91C}" presName="parTrans" presStyleLbl="sibTrans2D1" presStyleIdx="5" presStyleCnt="7"/>
      <dgm:spPr>
        <a:prstGeom prst="rightArrow">
          <a:avLst>
            <a:gd name="adj1" fmla="val 60000"/>
            <a:gd name="adj2" fmla="val 50000"/>
          </a:avLst>
        </a:prstGeom>
      </dgm:spPr>
      <dgm:t>
        <a:bodyPr/>
        <a:lstStyle/>
        <a:p>
          <a:endParaRPr lang="en-US"/>
        </a:p>
      </dgm:t>
    </dgm:pt>
    <dgm:pt modelId="{4830387B-94AD-4F28-869F-E797B87939CA}" type="pres">
      <dgm:prSet presAssocID="{E6F6273E-2215-41B2-8FDC-6FB7C97EB91C}" presName="connectorText" presStyleLbl="sibTrans2D1" presStyleIdx="5" presStyleCnt="7"/>
      <dgm:spPr/>
      <dgm:t>
        <a:bodyPr/>
        <a:lstStyle/>
        <a:p>
          <a:endParaRPr lang="en-US"/>
        </a:p>
      </dgm:t>
    </dgm:pt>
    <dgm:pt modelId="{A2281BA5-00C7-40B3-91A0-BA1D16E00B72}" type="pres">
      <dgm:prSet presAssocID="{174BB545-0AD9-4A96-9DAA-7F4BC413C7D7}" presName="node" presStyleLbl="node1" presStyleIdx="5" presStyleCnt="7">
        <dgm:presLayoutVars>
          <dgm:bulletEnabled val="1"/>
        </dgm:presLayoutVars>
      </dgm:prSet>
      <dgm:spPr>
        <a:prstGeom prst="ellipse">
          <a:avLst/>
        </a:prstGeom>
      </dgm:spPr>
      <dgm:t>
        <a:bodyPr/>
        <a:lstStyle/>
        <a:p>
          <a:endParaRPr lang="en-US"/>
        </a:p>
      </dgm:t>
    </dgm:pt>
    <dgm:pt modelId="{FBF12045-FA27-44F4-86C6-EE17BD5B6096}" type="pres">
      <dgm:prSet presAssocID="{09C45EAA-F8BF-4BF0-BE76-F061D679D9F0}" presName="parTrans" presStyleLbl="sibTrans2D1" presStyleIdx="6" presStyleCnt="7"/>
      <dgm:spPr>
        <a:prstGeom prst="rightArrow">
          <a:avLst>
            <a:gd name="adj1" fmla="val 60000"/>
            <a:gd name="adj2" fmla="val 50000"/>
          </a:avLst>
        </a:prstGeom>
      </dgm:spPr>
      <dgm:t>
        <a:bodyPr/>
        <a:lstStyle/>
        <a:p>
          <a:endParaRPr lang="en-US"/>
        </a:p>
      </dgm:t>
    </dgm:pt>
    <dgm:pt modelId="{BC5DE550-9EFE-4425-A7AE-3F26E960DD50}" type="pres">
      <dgm:prSet presAssocID="{09C45EAA-F8BF-4BF0-BE76-F061D679D9F0}" presName="connectorText" presStyleLbl="sibTrans2D1" presStyleIdx="6" presStyleCnt="7"/>
      <dgm:spPr/>
      <dgm:t>
        <a:bodyPr/>
        <a:lstStyle/>
        <a:p>
          <a:endParaRPr lang="en-US"/>
        </a:p>
      </dgm:t>
    </dgm:pt>
    <dgm:pt modelId="{C9A82636-3BE0-486C-898E-1F2E3963394F}" type="pres">
      <dgm:prSet presAssocID="{7618C601-67FB-4D0C-AEA4-7B1ACEA08E68}" presName="node" presStyleLbl="node1" presStyleIdx="6" presStyleCnt="7">
        <dgm:presLayoutVars>
          <dgm:bulletEnabled val="1"/>
        </dgm:presLayoutVars>
      </dgm:prSet>
      <dgm:spPr>
        <a:prstGeom prst="ellipse">
          <a:avLst/>
        </a:prstGeom>
      </dgm:spPr>
      <dgm:t>
        <a:bodyPr/>
        <a:lstStyle/>
        <a:p>
          <a:endParaRPr lang="en-US"/>
        </a:p>
      </dgm:t>
    </dgm:pt>
  </dgm:ptLst>
  <dgm:cxnLst>
    <dgm:cxn modelId="{3A7CE609-8F33-4774-824B-358C993BA041}" srcId="{E7B433D2-313E-4E58-BDDD-F4E7445CB14E}" destId="{D218FF86-4B63-4D7D-8393-E7D35DC720B0}" srcOrd="2" destOrd="0" parTransId="{4E34BD1A-76F9-4239-B9E5-F880486B398D}" sibTransId="{5C69E888-8371-4010-883E-391E902E0FF6}"/>
    <dgm:cxn modelId="{1ECE2AF3-5258-492E-A4D8-881B601AC303}" type="presOf" srcId="{D451C59D-FA12-443A-A0B3-90D993256A07}" destId="{BFA26A0E-DBD5-4B2E-B7FF-D55E5D5033AD}" srcOrd="0" destOrd="0" presId="urn:microsoft.com/office/officeart/2005/8/layout/radial5"/>
    <dgm:cxn modelId="{6E277388-2399-4AD5-9BA6-979EDF9DD406}" type="presOf" srcId="{D451C59D-FA12-443A-A0B3-90D993256A07}" destId="{92C0BAFF-B720-4030-B76D-41954BDB5EF0}" srcOrd="1" destOrd="0" presId="urn:microsoft.com/office/officeart/2005/8/layout/radial5"/>
    <dgm:cxn modelId="{26A6A04F-E97D-4ECE-99B7-AB3B5D9656D8}" type="presOf" srcId="{174BB545-0AD9-4A96-9DAA-7F4BC413C7D7}" destId="{A2281BA5-00C7-40B3-91A0-BA1D16E00B72}" srcOrd="0" destOrd="0" presId="urn:microsoft.com/office/officeart/2005/8/layout/radial5"/>
    <dgm:cxn modelId="{0DF8C4A2-0503-4CEB-A321-887F8991BAAA}" srcId="{E7B433D2-313E-4E58-BDDD-F4E7445CB14E}" destId="{7618C601-67FB-4D0C-AEA4-7B1ACEA08E68}" srcOrd="6" destOrd="0" parTransId="{09C45EAA-F8BF-4BF0-BE76-F061D679D9F0}" sibTransId="{324DC309-569C-43DB-99D9-4C409083DB6E}"/>
    <dgm:cxn modelId="{D3074031-CB78-4F56-8E20-9A526298962D}" srcId="{665EA644-5674-49C7-9435-4C252DCB5F0E}" destId="{E7B433D2-313E-4E58-BDDD-F4E7445CB14E}" srcOrd="0" destOrd="0" parTransId="{1DB4F293-BAFC-4B78-BE6D-0EBB86444A35}" sibTransId="{EF581223-A426-4F36-8658-B7D5503B4F6A}"/>
    <dgm:cxn modelId="{79BCDF21-3195-483E-A27F-E5533B5124F4}" type="presOf" srcId="{1BE5814F-8A0F-423B-BAC4-FD6313A9CAA1}" destId="{B25C6A5A-DA2B-41A7-92E5-C5C6507E1FA6}" srcOrd="0" destOrd="0" presId="urn:microsoft.com/office/officeart/2005/8/layout/radial5"/>
    <dgm:cxn modelId="{0CB7824C-0276-4A73-9C10-8BC54E423AC4}" type="presOf" srcId="{665EA644-5674-49C7-9435-4C252DCB5F0E}" destId="{4619DA12-0F0D-4791-B9DA-A4F72E973B78}" srcOrd="0" destOrd="0" presId="urn:microsoft.com/office/officeart/2005/8/layout/radial5"/>
    <dgm:cxn modelId="{3ED118A6-A000-4A3E-8987-9A689807524C}" type="presOf" srcId="{E6F6273E-2215-41B2-8FDC-6FB7C97EB91C}" destId="{4830387B-94AD-4F28-869F-E797B87939CA}" srcOrd="1" destOrd="0" presId="urn:microsoft.com/office/officeart/2005/8/layout/radial5"/>
    <dgm:cxn modelId="{70B05AD4-2F8B-4882-91B7-AC7E876DDD01}" type="presOf" srcId="{D218FF86-4B63-4D7D-8393-E7D35DC720B0}" destId="{55C86768-D131-458D-9C3B-935FB60554F5}" srcOrd="0" destOrd="0" presId="urn:microsoft.com/office/officeart/2005/8/layout/radial5"/>
    <dgm:cxn modelId="{1DF3ED03-D4EE-4840-A0AF-18A235C2E05E}" type="presOf" srcId="{09C45EAA-F8BF-4BF0-BE76-F061D679D9F0}" destId="{FBF12045-FA27-44F4-86C6-EE17BD5B6096}" srcOrd="0" destOrd="0" presId="urn:microsoft.com/office/officeart/2005/8/layout/radial5"/>
    <dgm:cxn modelId="{5116A68A-65CB-4764-9C60-CEECA1BE8263}" srcId="{E7B433D2-313E-4E58-BDDD-F4E7445CB14E}" destId="{5EB03185-C5A1-49D2-ABE4-E2551A5959B5}" srcOrd="1" destOrd="0" parTransId="{8ED2DCED-2B48-4265-AF59-77E1D72D4404}" sibTransId="{418197A8-D124-4C3C-9402-5E0CA3FBEFF8}"/>
    <dgm:cxn modelId="{B9505B8F-6CD5-4649-A8AF-D5B0812F9589}" srcId="{E7B433D2-313E-4E58-BDDD-F4E7445CB14E}" destId="{174BB545-0AD9-4A96-9DAA-7F4BC413C7D7}" srcOrd="5" destOrd="0" parTransId="{E6F6273E-2215-41B2-8FDC-6FB7C97EB91C}" sibTransId="{AE892AFA-4495-4F82-8CF2-43CA4DAB0977}"/>
    <dgm:cxn modelId="{F1C73B2F-DF91-4C2F-9B9E-7BB71DB44A83}" type="presOf" srcId="{B1E2A35F-6673-4FBD-858B-2193ED44A0E6}" destId="{47EC15CC-DE95-4F3E-A594-2A7D04696B88}" srcOrd="1" destOrd="0" presId="urn:microsoft.com/office/officeart/2005/8/layout/radial5"/>
    <dgm:cxn modelId="{D3974054-D29D-4294-8E1C-ABD2ACFD71A7}" type="presOf" srcId="{D6C2AEC3-5419-4CF4-828E-05B78DD9CD85}" destId="{7732C6CD-4278-4E01-BCB0-529B3ACBC76E}" srcOrd="0" destOrd="0" presId="urn:microsoft.com/office/officeart/2005/8/layout/radial5"/>
    <dgm:cxn modelId="{6BB8DF22-4BF0-4024-B610-7A494B0E109F}" type="presOf" srcId="{09C45EAA-F8BF-4BF0-BE76-F061D679D9F0}" destId="{BC5DE550-9EFE-4425-A7AE-3F26E960DD50}" srcOrd="1" destOrd="0" presId="urn:microsoft.com/office/officeart/2005/8/layout/radial5"/>
    <dgm:cxn modelId="{0EB067B0-8E86-4F8C-AE06-D70053E75DFB}" type="presOf" srcId="{E7B433D2-313E-4E58-BDDD-F4E7445CB14E}" destId="{F7567E7A-AF28-41B4-A0BA-A7D73011AF67}" srcOrd="0" destOrd="0" presId="urn:microsoft.com/office/officeart/2005/8/layout/radial5"/>
    <dgm:cxn modelId="{B1918A24-D42C-413B-A799-693D4C16D6C2}" type="presOf" srcId="{4E34BD1A-76F9-4239-B9E5-F880486B398D}" destId="{00633B9F-E58D-4CF1-A2CC-D6C6BC632B91}" srcOrd="1" destOrd="0" presId="urn:microsoft.com/office/officeart/2005/8/layout/radial5"/>
    <dgm:cxn modelId="{8CC80354-2EBA-4831-9C3C-1EB8D2284BBF}" type="presOf" srcId="{7618C601-67FB-4D0C-AEA4-7B1ACEA08E68}" destId="{C9A82636-3BE0-486C-898E-1F2E3963394F}" srcOrd="0" destOrd="0" presId="urn:microsoft.com/office/officeart/2005/8/layout/radial5"/>
    <dgm:cxn modelId="{88C86A95-0622-48A6-969E-D530D795B082}" srcId="{E7B433D2-313E-4E58-BDDD-F4E7445CB14E}" destId="{49C336E0-7FE6-4586-A943-657023BEE965}" srcOrd="4" destOrd="0" parTransId="{D451C59D-FA12-443A-A0B3-90D993256A07}" sibTransId="{18B77640-9741-4829-9C4A-A65D24CDBF92}"/>
    <dgm:cxn modelId="{8C6A3DDA-46D8-48BD-A490-50B849B8CB06}" type="presOf" srcId="{8ED2DCED-2B48-4265-AF59-77E1D72D4404}" destId="{55E64D7D-9D91-4FF2-B4DD-61DAC63E7CD3}" srcOrd="1" destOrd="0" presId="urn:microsoft.com/office/officeart/2005/8/layout/radial5"/>
    <dgm:cxn modelId="{FBF84D7A-BA56-45A6-BD7B-34A9F39D4E81}" type="presOf" srcId="{D6C2AEC3-5419-4CF4-828E-05B78DD9CD85}" destId="{7F5927E5-33BD-46F9-BFD8-16083058BA7E}" srcOrd="1" destOrd="0" presId="urn:microsoft.com/office/officeart/2005/8/layout/radial5"/>
    <dgm:cxn modelId="{20558102-800D-42B2-B540-567866830F9F}" type="presOf" srcId="{8ED2DCED-2B48-4265-AF59-77E1D72D4404}" destId="{EC42F4C8-5F94-4F80-B627-B835D27A270F}" srcOrd="0" destOrd="0" presId="urn:microsoft.com/office/officeart/2005/8/layout/radial5"/>
    <dgm:cxn modelId="{21D4EAE8-5137-48A4-B72A-38FB8F55ED4F}" type="presOf" srcId="{4897A508-EDCF-46C3-9EB2-EA18532917D8}" destId="{41065C37-6DD6-4E17-94A8-7CFC12435553}" srcOrd="0" destOrd="0" presId="urn:microsoft.com/office/officeart/2005/8/layout/radial5"/>
    <dgm:cxn modelId="{2B772B33-7CB2-4165-B71B-7B465E1101FF}" srcId="{E7B433D2-313E-4E58-BDDD-F4E7445CB14E}" destId="{4897A508-EDCF-46C3-9EB2-EA18532917D8}" srcOrd="0" destOrd="0" parTransId="{D6C2AEC3-5419-4CF4-828E-05B78DD9CD85}" sibTransId="{E40AF42F-2052-4C2A-B186-3C5EEAAE4B1C}"/>
    <dgm:cxn modelId="{5C2CB24F-0EC4-489D-A242-1C8885F5ECDE}" type="presOf" srcId="{E6F6273E-2215-41B2-8FDC-6FB7C97EB91C}" destId="{DB0C400D-ACB9-448A-807F-1EEE4FAAECB7}" srcOrd="0" destOrd="0" presId="urn:microsoft.com/office/officeart/2005/8/layout/radial5"/>
    <dgm:cxn modelId="{56D76067-A23E-479B-86E7-9439A1C60722}" type="presOf" srcId="{5EB03185-C5A1-49D2-ABE4-E2551A5959B5}" destId="{7147248F-2CCD-473B-B93C-7F08C74F0E2E}" srcOrd="0" destOrd="0" presId="urn:microsoft.com/office/officeart/2005/8/layout/radial5"/>
    <dgm:cxn modelId="{308E50E8-FD2F-44D2-A245-CA3968368285}" type="presOf" srcId="{49C336E0-7FE6-4586-A943-657023BEE965}" destId="{FE223032-0F68-414C-9284-241BAD032A66}" srcOrd="0" destOrd="0" presId="urn:microsoft.com/office/officeart/2005/8/layout/radial5"/>
    <dgm:cxn modelId="{0CEDC22D-A960-4AA7-868F-14D976A93ADA}" type="presOf" srcId="{B1E2A35F-6673-4FBD-858B-2193ED44A0E6}" destId="{AD1DD96E-060F-4B54-A983-4D3D4C7E6A90}" srcOrd="0" destOrd="0" presId="urn:microsoft.com/office/officeart/2005/8/layout/radial5"/>
    <dgm:cxn modelId="{9A5B3EC4-B8A4-4E48-A4DD-AC84FEE03013}" type="presOf" srcId="{4E34BD1A-76F9-4239-B9E5-F880486B398D}" destId="{7521D4AF-509B-4353-A3D6-A95831C8BC66}" srcOrd="0" destOrd="0" presId="urn:microsoft.com/office/officeart/2005/8/layout/radial5"/>
    <dgm:cxn modelId="{66309F16-D890-4C9E-899D-273360E7405A}" srcId="{E7B433D2-313E-4E58-BDDD-F4E7445CB14E}" destId="{1BE5814F-8A0F-423B-BAC4-FD6313A9CAA1}" srcOrd="3" destOrd="0" parTransId="{B1E2A35F-6673-4FBD-858B-2193ED44A0E6}" sibTransId="{9BE03274-531B-433C-8175-6D6805F95434}"/>
    <dgm:cxn modelId="{52ECE53A-37D5-4000-B84F-D4474342FDAE}" type="presParOf" srcId="{4619DA12-0F0D-4791-B9DA-A4F72E973B78}" destId="{F7567E7A-AF28-41B4-A0BA-A7D73011AF67}" srcOrd="0" destOrd="0" presId="urn:microsoft.com/office/officeart/2005/8/layout/radial5"/>
    <dgm:cxn modelId="{4FA272F7-2687-4563-B413-0D98A93EFB12}" type="presParOf" srcId="{4619DA12-0F0D-4791-B9DA-A4F72E973B78}" destId="{7732C6CD-4278-4E01-BCB0-529B3ACBC76E}" srcOrd="1" destOrd="0" presId="urn:microsoft.com/office/officeart/2005/8/layout/radial5"/>
    <dgm:cxn modelId="{4CE62656-8FEF-4911-AC02-9072CD570F4A}" type="presParOf" srcId="{7732C6CD-4278-4E01-BCB0-529B3ACBC76E}" destId="{7F5927E5-33BD-46F9-BFD8-16083058BA7E}" srcOrd="0" destOrd="0" presId="urn:microsoft.com/office/officeart/2005/8/layout/radial5"/>
    <dgm:cxn modelId="{5996B2C0-604E-483C-9941-F081EC8FFF30}" type="presParOf" srcId="{4619DA12-0F0D-4791-B9DA-A4F72E973B78}" destId="{41065C37-6DD6-4E17-94A8-7CFC12435553}" srcOrd="2" destOrd="0" presId="urn:microsoft.com/office/officeart/2005/8/layout/radial5"/>
    <dgm:cxn modelId="{75DD03CB-E4F8-4F9C-9065-7E2709146FF3}" type="presParOf" srcId="{4619DA12-0F0D-4791-B9DA-A4F72E973B78}" destId="{EC42F4C8-5F94-4F80-B627-B835D27A270F}" srcOrd="3" destOrd="0" presId="urn:microsoft.com/office/officeart/2005/8/layout/radial5"/>
    <dgm:cxn modelId="{B674A7DD-5E81-449A-B14A-F9ED4B698DE4}" type="presParOf" srcId="{EC42F4C8-5F94-4F80-B627-B835D27A270F}" destId="{55E64D7D-9D91-4FF2-B4DD-61DAC63E7CD3}" srcOrd="0" destOrd="0" presId="urn:microsoft.com/office/officeart/2005/8/layout/radial5"/>
    <dgm:cxn modelId="{94C5A120-7EAB-40FA-A929-7EEC3C962101}" type="presParOf" srcId="{4619DA12-0F0D-4791-B9DA-A4F72E973B78}" destId="{7147248F-2CCD-473B-B93C-7F08C74F0E2E}" srcOrd="4" destOrd="0" presId="urn:microsoft.com/office/officeart/2005/8/layout/radial5"/>
    <dgm:cxn modelId="{40735C63-CEB6-4432-B88A-9167FEAF349D}" type="presParOf" srcId="{4619DA12-0F0D-4791-B9DA-A4F72E973B78}" destId="{7521D4AF-509B-4353-A3D6-A95831C8BC66}" srcOrd="5" destOrd="0" presId="urn:microsoft.com/office/officeart/2005/8/layout/radial5"/>
    <dgm:cxn modelId="{16546449-F65C-426E-B8C6-1419C774BFF8}" type="presParOf" srcId="{7521D4AF-509B-4353-A3D6-A95831C8BC66}" destId="{00633B9F-E58D-4CF1-A2CC-D6C6BC632B91}" srcOrd="0" destOrd="0" presId="urn:microsoft.com/office/officeart/2005/8/layout/radial5"/>
    <dgm:cxn modelId="{BE281D1B-33A5-49C7-AE54-36E8225C50A8}" type="presParOf" srcId="{4619DA12-0F0D-4791-B9DA-A4F72E973B78}" destId="{55C86768-D131-458D-9C3B-935FB60554F5}" srcOrd="6" destOrd="0" presId="urn:microsoft.com/office/officeart/2005/8/layout/radial5"/>
    <dgm:cxn modelId="{86928EF2-CA74-4000-A51C-01A05BA7DED7}" type="presParOf" srcId="{4619DA12-0F0D-4791-B9DA-A4F72E973B78}" destId="{AD1DD96E-060F-4B54-A983-4D3D4C7E6A90}" srcOrd="7" destOrd="0" presId="urn:microsoft.com/office/officeart/2005/8/layout/radial5"/>
    <dgm:cxn modelId="{43BC5BD0-497B-45F0-9B93-913905D12D17}" type="presParOf" srcId="{AD1DD96E-060F-4B54-A983-4D3D4C7E6A90}" destId="{47EC15CC-DE95-4F3E-A594-2A7D04696B88}" srcOrd="0" destOrd="0" presId="urn:microsoft.com/office/officeart/2005/8/layout/radial5"/>
    <dgm:cxn modelId="{68E727FA-AEDE-4CDB-A42E-27AC3B63DA48}" type="presParOf" srcId="{4619DA12-0F0D-4791-B9DA-A4F72E973B78}" destId="{B25C6A5A-DA2B-41A7-92E5-C5C6507E1FA6}" srcOrd="8" destOrd="0" presId="urn:microsoft.com/office/officeart/2005/8/layout/radial5"/>
    <dgm:cxn modelId="{A94C10C2-E9F3-4347-BF38-0585910200DB}" type="presParOf" srcId="{4619DA12-0F0D-4791-B9DA-A4F72E973B78}" destId="{BFA26A0E-DBD5-4B2E-B7FF-D55E5D5033AD}" srcOrd="9" destOrd="0" presId="urn:microsoft.com/office/officeart/2005/8/layout/radial5"/>
    <dgm:cxn modelId="{A6768CC6-7FD1-4E08-8541-423019816190}" type="presParOf" srcId="{BFA26A0E-DBD5-4B2E-B7FF-D55E5D5033AD}" destId="{92C0BAFF-B720-4030-B76D-41954BDB5EF0}" srcOrd="0" destOrd="0" presId="urn:microsoft.com/office/officeart/2005/8/layout/radial5"/>
    <dgm:cxn modelId="{78FEFEDB-474D-4DF8-8069-89D268413359}" type="presParOf" srcId="{4619DA12-0F0D-4791-B9DA-A4F72E973B78}" destId="{FE223032-0F68-414C-9284-241BAD032A66}" srcOrd="10" destOrd="0" presId="urn:microsoft.com/office/officeart/2005/8/layout/radial5"/>
    <dgm:cxn modelId="{465D9F66-3AE0-4C9F-998B-D2F6A2C509A1}" type="presParOf" srcId="{4619DA12-0F0D-4791-B9DA-A4F72E973B78}" destId="{DB0C400D-ACB9-448A-807F-1EEE4FAAECB7}" srcOrd="11" destOrd="0" presId="urn:microsoft.com/office/officeart/2005/8/layout/radial5"/>
    <dgm:cxn modelId="{1EC91650-ECC5-497B-9EDF-C9D4C1FBEED1}" type="presParOf" srcId="{DB0C400D-ACB9-448A-807F-1EEE4FAAECB7}" destId="{4830387B-94AD-4F28-869F-E797B87939CA}" srcOrd="0" destOrd="0" presId="urn:microsoft.com/office/officeart/2005/8/layout/radial5"/>
    <dgm:cxn modelId="{53CFDC5A-5AE5-409A-8B98-611D7CAA2FE7}" type="presParOf" srcId="{4619DA12-0F0D-4791-B9DA-A4F72E973B78}" destId="{A2281BA5-00C7-40B3-91A0-BA1D16E00B72}" srcOrd="12" destOrd="0" presId="urn:microsoft.com/office/officeart/2005/8/layout/radial5"/>
    <dgm:cxn modelId="{3500E3C2-13C1-4EE5-B0D7-E6ACD8E1642D}" type="presParOf" srcId="{4619DA12-0F0D-4791-B9DA-A4F72E973B78}" destId="{FBF12045-FA27-44F4-86C6-EE17BD5B6096}" srcOrd="13" destOrd="0" presId="urn:microsoft.com/office/officeart/2005/8/layout/radial5"/>
    <dgm:cxn modelId="{919390EA-0263-4593-88BA-4E80AA0A3C16}" type="presParOf" srcId="{FBF12045-FA27-44F4-86C6-EE17BD5B6096}" destId="{BC5DE550-9EFE-4425-A7AE-3F26E960DD50}" srcOrd="0" destOrd="0" presId="urn:microsoft.com/office/officeart/2005/8/layout/radial5"/>
    <dgm:cxn modelId="{15E6FF9E-F79C-447F-8988-5B417A4764DF}" type="presParOf" srcId="{4619DA12-0F0D-4791-B9DA-A4F72E973B78}" destId="{C9A82636-3BE0-486C-898E-1F2E3963394F}" srcOrd="14"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1DBCAE6-E058-4796-8A10-DDE6C5B4ECA4}" type="doc">
      <dgm:prSet loTypeId="urn:microsoft.com/office/officeart/2005/8/layout/hierarchy6" loCatId="hierarchy" qsTypeId="urn:microsoft.com/office/officeart/2005/8/quickstyle/simple1" qsCatId="simple" csTypeId="urn:microsoft.com/office/officeart/2005/8/colors/colorful3" csCatId="colorful" phldr="1"/>
      <dgm:spPr/>
      <dgm:t>
        <a:bodyPr/>
        <a:lstStyle/>
        <a:p>
          <a:endParaRPr lang="en-US"/>
        </a:p>
      </dgm:t>
    </dgm:pt>
    <dgm:pt modelId="{15500F6F-51D9-4AD9-B263-CB8FD1A1D660}">
      <dgm:prSet phldrT="[Text]" custT="1"/>
      <dgm:spPr>
        <a:xfrm>
          <a:off x="1419399" y="58012"/>
          <a:ext cx="2711640" cy="927613"/>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a:solidFill>
              <a:sysClr val="windowText" lastClr="000000"/>
            </a:solidFill>
            <a:latin typeface="Arial Black" panose="020B0A04020102020204" pitchFamily="34" charset="0"/>
            <a:ea typeface="+mn-ea"/>
            <a:cs typeface="Simplified Arabic" panose="02020603050405020304" pitchFamily="18" charset="-78"/>
          </a:endParaRPr>
        </a:p>
      </dgm:t>
    </dgm:pt>
    <dgm:pt modelId="{17FCAD84-2C40-4467-9A22-1E235BBD50DB}" type="parTrans" cxnId="{41FB5E05-A908-448E-A324-F39BF2199867}">
      <dgm:prSet/>
      <dgm:spPr/>
      <dgm:t>
        <a:bodyPr/>
        <a:lstStyle/>
        <a:p>
          <a:pPr algn="ctr"/>
          <a:endParaRPr lang="en-US"/>
        </a:p>
      </dgm:t>
    </dgm:pt>
    <dgm:pt modelId="{A0AB57B4-D00B-44D1-8F21-19DB3D857C71}" type="sibTrans" cxnId="{41FB5E05-A908-448E-A324-F39BF2199867}">
      <dgm:prSet/>
      <dgm:spPr/>
      <dgm:t>
        <a:bodyPr/>
        <a:lstStyle/>
        <a:p>
          <a:pPr algn="ctr"/>
          <a:endParaRPr lang="en-US"/>
        </a:p>
      </dgm:t>
    </dgm:pt>
    <dgm:pt modelId="{8430A5EB-D518-4875-9D16-1138566A5EB6}">
      <dgm:prSet phldrT="[Text]" custT="1"/>
      <dgm:spPr>
        <a:xfrm>
          <a:off x="314212" y="1344955"/>
          <a:ext cx="1696140" cy="541503"/>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خارجية:</a:t>
          </a:r>
          <a:endParaRPr lang="en-US" sz="1600" b="1">
            <a:solidFill>
              <a:sysClr val="windowText" lastClr="000000"/>
            </a:solidFill>
            <a:latin typeface="Calibri" panose="020F0502020204030204"/>
            <a:ea typeface="+mn-ea"/>
            <a:cs typeface="+mn-cs"/>
          </a:endParaRPr>
        </a:p>
      </dgm:t>
    </dgm:pt>
    <dgm:pt modelId="{585E1F78-5A68-43B1-A7E0-B10ED8B1A829}" type="parTrans" cxnId="{CEF70C86-6373-43B6-8BB7-AC8767975094}">
      <dgm:prSet/>
      <dgm:spPr>
        <a:xfrm>
          <a:off x="1162282" y="985625"/>
          <a:ext cx="161293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9FB5DD7B-BA54-4224-8A15-DE67EEE5ACCC}" type="sibTrans" cxnId="{CEF70C86-6373-43B6-8BB7-AC8767975094}">
      <dgm:prSet/>
      <dgm:spPr/>
      <dgm:t>
        <a:bodyPr/>
        <a:lstStyle/>
        <a:p>
          <a:pPr algn="ctr"/>
          <a:endParaRPr lang="en-US"/>
        </a:p>
      </dgm:t>
    </dgm:pt>
    <dgm:pt modelId="{67A1FC5D-B491-4AB8-A0B1-205AD70DD04A}">
      <dgm:prSet phldrT="[Text]" custT="1"/>
      <dgm:spPr>
        <a:xfrm>
          <a:off x="3173517" y="1344955"/>
          <a:ext cx="1683520" cy="542032"/>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داخلية:</a:t>
          </a:r>
          <a:endParaRPr lang="en-US" sz="1600" b="1">
            <a:solidFill>
              <a:sysClr val="windowText" lastClr="000000"/>
            </a:solidFill>
            <a:latin typeface="Calibri" panose="020F0502020204030204"/>
            <a:ea typeface="+mn-ea"/>
            <a:cs typeface="+mn-cs"/>
          </a:endParaRPr>
        </a:p>
      </dgm:t>
    </dgm:pt>
    <dgm:pt modelId="{0F6B7206-FAB2-4F22-8866-C3C08AC83E00}" type="parTrans" cxnId="{81AE4282-4D42-45D7-B64E-3978AEDC6D70}">
      <dgm:prSet/>
      <dgm:spPr>
        <a:xfrm>
          <a:off x="2775220" y="985625"/>
          <a:ext cx="124005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CED2AAD4-2B9C-4366-9F4C-2CF0CE76D38E}" type="sibTrans" cxnId="{81AE4282-4D42-45D7-B64E-3978AEDC6D70}">
      <dgm:prSet/>
      <dgm:spPr/>
      <dgm:t>
        <a:bodyPr/>
        <a:lstStyle/>
        <a:p>
          <a:pPr algn="ctr"/>
          <a:endParaRPr lang="en-US"/>
        </a:p>
      </dgm:t>
    </dgm:pt>
    <dgm:pt modelId="{3F4981E6-5F33-4D64-A5E6-FA05BE8B2F42}">
      <dgm:prSet phldrT="[Text]" custT="1"/>
      <dgm:spPr>
        <a:xfrm>
          <a:off x="3163313" y="2204815"/>
          <a:ext cx="23230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الداخلية.</a:t>
          </a:r>
        </a:p>
        <a:p>
          <a:pPr algn="ctr">
            <a:buNone/>
          </a:pPr>
          <a:r>
            <a:rPr lang="ar-EG" sz="1400">
              <a:solidFill>
                <a:sysClr val="windowText" lastClr="000000"/>
              </a:solidFill>
              <a:latin typeface="Calibri" panose="020F0502020204030204"/>
              <a:ea typeface="+mn-ea"/>
              <a:cs typeface="Arial" panose="020B0604020202020204" pitchFamily="34" charset="0"/>
            </a:rPr>
            <a:t>2- الهياكل الإدارية الواضحة </a:t>
          </a:r>
        </a:p>
        <a:p>
          <a:pPr algn="ctr">
            <a:buNone/>
          </a:pPr>
          <a:r>
            <a:rPr lang="ar-EG" sz="14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a:solidFill>
              <a:sysClr val="windowText" lastClr="000000"/>
            </a:solidFill>
            <a:latin typeface="Calibri" panose="020F0502020204030204"/>
            <a:ea typeface="+mn-ea"/>
            <a:cs typeface="+mn-cs"/>
          </a:endParaRPr>
        </a:p>
      </dgm:t>
    </dgm:pt>
    <dgm:pt modelId="{2ADE6789-3DAF-40B1-B59C-8BD7972944B6}" type="parTrans" cxnId="{B1481F90-A098-4680-A9CB-16CC659EFACD}">
      <dgm:prSet/>
      <dgm:spPr>
        <a:xfrm>
          <a:off x="4015277" y="1886987"/>
          <a:ext cx="309579" cy="317828"/>
        </a:xfrm>
        <a:noFill/>
        <a:ln w="12700" cap="flat" cmpd="sng" algn="ctr">
          <a:solidFill>
            <a:srgbClr val="5B9BD5">
              <a:hueOff val="0"/>
              <a:satOff val="0"/>
              <a:lumOff val="0"/>
              <a:alphaOff val="0"/>
            </a:srgbClr>
          </a:solidFill>
          <a:prstDash val="solid"/>
          <a:miter lim="800000"/>
        </a:ln>
        <a:effectLst/>
      </dgm:spPr>
      <dgm:t>
        <a:bodyPr/>
        <a:lstStyle/>
        <a:p>
          <a:pPr algn="ctr"/>
          <a:endParaRPr lang="en-US"/>
        </a:p>
      </dgm:t>
    </dgm:pt>
    <dgm:pt modelId="{219C5612-B638-4AE2-A24E-496097F768E7}" type="sibTrans" cxnId="{B1481F90-A098-4680-A9CB-16CC659EFACD}">
      <dgm:prSet/>
      <dgm:spPr/>
      <dgm:t>
        <a:bodyPr/>
        <a:lstStyle/>
        <a:p>
          <a:pPr algn="ctr"/>
          <a:endParaRPr lang="en-US"/>
        </a:p>
      </dgm:t>
    </dgm:pt>
    <dgm:pt modelId="{8918B572-12F5-4E1F-8B8A-CB47FBAB8B00}">
      <dgm:prSet custT="1"/>
      <dgm:spPr>
        <a:xfrm>
          <a:off x="172983" y="2246864"/>
          <a:ext cx="24637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algn="ctr">
            <a:buNone/>
          </a:pPr>
          <a:r>
            <a:rPr lang="ar-EG" sz="1400">
              <a:solidFill>
                <a:sysClr val="windowText" lastClr="000000"/>
              </a:solidFill>
              <a:latin typeface="Calibri" panose="020F0502020204030204"/>
              <a:ea typeface="+mn-ea"/>
              <a:cs typeface="Arial" panose="020B0604020202020204" pitchFamily="34" charset="0"/>
            </a:rPr>
            <a:t>2- كفاءة الهيئات الرقابية.</a:t>
          </a:r>
        </a:p>
        <a:p>
          <a:pPr algn="ctr">
            <a:buNone/>
          </a:pPr>
          <a:r>
            <a:rPr lang="ar-EG" sz="14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a:solidFill>
              <a:sysClr val="windowText" lastClr="000000"/>
            </a:solidFill>
            <a:latin typeface="Calibri" panose="020F0502020204030204"/>
            <a:ea typeface="+mn-ea"/>
            <a:cs typeface="+mn-cs"/>
          </a:endParaRPr>
        </a:p>
      </dgm:t>
    </dgm:pt>
    <dgm:pt modelId="{B541F9DE-9206-4A1B-8391-599B28594D19}" type="parTrans" cxnId="{59EFE97B-194E-417B-96F0-AB6E6BC0924F}">
      <dgm:prSet/>
      <dgm:spPr>
        <a:xfrm>
          <a:off x="1162282" y="1886458"/>
          <a:ext cx="242594" cy="360405"/>
        </a:xfr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96278523-4511-46DC-B8F8-86B537F77F8B}" type="sibTrans" cxnId="{59EFE97B-194E-417B-96F0-AB6E6BC0924F}">
      <dgm:prSet/>
      <dgm:spPr/>
      <dgm:t>
        <a:bodyPr/>
        <a:lstStyle/>
        <a:p>
          <a:endParaRPr lang="en-US"/>
        </a:p>
      </dgm:t>
    </dgm:pt>
    <dgm:pt modelId="{BDC782D4-47D9-4F1A-A780-F60ADC8AD3A0}" type="pres">
      <dgm:prSet presAssocID="{31DBCAE6-E058-4796-8A10-DDE6C5B4ECA4}" presName="mainComposite" presStyleCnt="0">
        <dgm:presLayoutVars>
          <dgm:chPref val="1"/>
          <dgm:dir/>
          <dgm:animOne val="branch"/>
          <dgm:animLvl val="lvl"/>
          <dgm:resizeHandles val="exact"/>
        </dgm:presLayoutVars>
      </dgm:prSet>
      <dgm:spPr/>
      <dgm:t>
        <a:bodyPr/>
        <a:lstStyle/>
        <a:p>
          <a:endParaRPr lang="en-US"/>
        </a:p>
      </dgm:t>
    </dgm:pt>
    <dgm:pt modelId="{E358A868-20CE-4F5E-8AAC-BAF1E71D9CAD}" type="pres">
      <dgm:prSet presAssocID="{31DBCAE6-E058-4796-8A10-DDE6C5B4ECA4}" presName="hierFlow" presStyleCnt="0"/>
      <dgm:spPr/>
    </dgm:pt>
    <dgm:pt modelId="{115C97F4-4EE3-4356-984A-70C936DA3625}" type="pres">
      <dgm:prSet presAssocID="{31DBCAE6-E058-4796-8A10-DDE6C5B4ECA4}" presName="hierChild1" presStyleCnt="0">
        <dgm:presLayoutVars>
          <dgm:chPref val="1"/>
          <dgm:animOne val="branch"/>
          <dgm:animLvl val="lvl"/>
        </dgm:presLayoutVars>
      </dgm:prSet>
      <dgm:spPr/>
    </dgm:pt>
    <dgm:pt modelId="{12F0FC1D-6AE0-4387-A2B8-063914292BA6}" type="pres">
      <dgm:prSet presAssocID="{15500F6F-51D9-4AD9-B263-CB8FD1A1D660}" presName="Name14" presStyleCnt="0"/>
      <dgm:spPr/>
    </dgm:pt>
    <dgm:pt modelId="{547C7749-AAC3-434C-B812-753FC1457973}" type="pres">
      <dgm:prSet presAssocID="{15500F6F-51D9-4AD9-B263-CB8FD1A1D660}" presName="level1Shape" presStyleLbl="node0" presStyleIdx="0" presStyleCnt="1" custScaleX="194883" custLinFactNeighborY="1263">
        <dgm:presLayoutVars>
          <dgm:chPref val="3"/>
        </dgm:presLayoutVars>
      </dgm:prSet>
      <dgm:spPr>
        <a:prstGeom prst="roundRect">
          <a:avLst>
            <a:gd name="adj" fmla="val 10000"/>
          </a:avLst>
        </a:prstGeom>
      </dgm:spPr>
      <dgm:t>
        <a:bodyPr/>
        <a:lstStyle/>
        <a:p>
          <a:endParaRPr lang="en-US"/>
        </a:p>
      </dgm:t>
    </dgm:pt>
    <dgm:pt modelId="{77034638-2D2C-4AAB-9DA9-B98AD003CA42}" type="pres">
      <dgm:prSet presAssocID="{15500F6F-51D9-4AD9-B263-CB8FD1A1D660}" presName="hierChild2" presStyleCnt="0"/>
      <dgm:spPr/>
    </dgm:pt>
    <dgm:pt modelId="{4ACDDF7A-21EE-4F0A-9C9F-B698B830F368}" type="pres">
      <dgm:prSet presAssocID="{585E1F78-5A68-43B1-A7E0-B10ED8B1A829}" presName="Name19" presStyleLbl="parChTrans1D2" presStyleIdx="0" presStyleCnt="2"/>
      <dgm:spPr>
        <a:custGeom>
          <a:avLst/>
          <a:gdLst/>
          <a:ahLst/>
          <a:cxnLst/>
          <a:rect l="0" t="0" r="0" b="0"/>
          <a:pathLst>
            <a:path>
              <a:moveTo>
                <a:pt x="1612937" y="0"/>
              </a:moveTo>
              <a:lnTo>
                <a:pt x="1612937" y="179664"/>
              </a:lnTo>
              <a:lnTo>
                <a:pt x="0" y="179664"/>
              </a:lnTo>
              <a:lnTo>
                <a:pt x="0" y="359329"/>
              </a:lnTo>
            </a:path>
          </a:pathLst>
        </a:custGeom>
      </dgm:spPr>
      <dgm:t>
        <a:bodyPr/>
        <a:lstStyle/>
        <a:p>
          <a:endParaRPr lang="en-US"/>
        </a:p>
      </dgm:t>
    </dgm:pt>
    <dgm:pt modelId="{37708071-E026-4BF8-AB8F-7A7DA7517241}" type="pres">
      <dgm:prSet presAssocID="{8430A5EB-D518-4875-9D16-1138566A5EB6}" presName="Name21" presStyleCnt="0"/>
      <dgm:spPr/>
    </dgm:pt>
    <dgm:pt modelId="{3AC94ADE-02D2-4625-9311-988FDCDC8DCD}" type="pres">
      <dgm:prSet presAssocID="{8430A5EB-D518-4875-9D16-1138566A5EB6}" presName="level2Shape" presStyleLbl="node2" presStyleIdx="0" presStyleCnt="2" custScaleX="121900" custScaleY="58376" custLinFactNeighborX="-15140"/>
      <dgm:spPr>
        <a:prstGeom prst="roundRect">
          <a:avLst>
            <a:gd name="adj" fmla="val 10000"/>
          </a:avLst>
        </a:prstGeom>
      </dgm:spPr>
      <dgm:t>
        <a:bodyPr/>
        <a:lstStyle/>
        <a:p>
          <a:endParaRPr lang="en-US"/>
        </a:p>
      </dgm:t>
    </dgm:pt>
    <dgm:pt modelId="{26343997-B7AC-4D11-A058-5C3096B7A917}" type="pres">
      <dgm:prSet presAssocID="{8430A5EB-D518-4875-9D16-1138566A5EB6}" presName="hierChild3" presStyleCnt="0"/>
      <dgm:spPr/>
    </dgm:pt>
    <dgm:pt modelId="{6FD093BA-132F-4824-BF89-77804443D4D6}" type="pres">
      <dgm:prSet presAssocID="{B541F9DE-9206-4A1B-8391-599B28594D19}" presName="Name19" presStyleLbl="parChTrans1D3" presStyleIdx="0" presStyleCnt="2"/>
      <dgm:spPr>
        <a:custGeom>
          <a:avLst/>
          <a:gdLst/>
          <a:ahLst/>
          <a:cxnLst/>
          <a:rect l="0" t="0" r="0" b="0"/>
          <a:pathLst>
            <a:path>
              <a:moveTo>
                <a:pt x="0" y="0"/>
              </a:moveTo>
              <a:lnTo>
                <a:pt x="0" y="180202"/>
              </a:lnTo>
              <a:lnTo>
                <a:pt x="242594" y="180202"/>
              </a:lnTo>
              <a:lnTo>
                <a:pt x="242594" y="360405"/>
              </a:lnTo>
            </a:path>
          </a:pathLst>
        </a:custGeom>
      </dgm:spPr>
      <dgm:t>
        <a:bodyPr/>
        <a:lstStyle/>
        <a:p>
          <a:endParaRPr lang="en-US"/>
        </a:p>
      </dgm:t>
    </dgm:pt>
    <dgm:pt modelId="{88D42CC6-687D-4125-9872-E58AB82590CC}" type="pres">
      <dgm:prSet presAssocID="{8918B572-12F5-4E1F-8B8A-CB47FBAB8B00}" presName="Name21" presStyleCnt="0"/>
      <dgm:spPr/>
    </dgm:pt>
    <dgm:pt modelId="{BC4AAA07-69FB-4AF9-93E0-CC542395957F}" type="pres">
      <dgm:prSet presAssocID="{8918B572-12F5-4E1F-8B8A-CB47FBAB8B00}" presName="level2Shape" presStyleLbl="node3" presStyleIdx="0" presStyleCnt="2" custScaleX="177070" custLinFactNeighborX="2295" custLinFactNeighborY="-1147"/>
      <dgm:spPr>
        <a:prstGeom prst="roundRect">
          <a:avLst>
            <a:gd name="adj" fmla="val 10000"/>
          </a:avLst>
        </a:prstGeom>
      </dgm:spPr>
      <dgm:t>
        <a:bodyPr/>
        <a:lstStyle/>
        <a:p>
          <a:endParaRPr lang="en-US"/>
        </a:p>
      </dgm:t>
    </dgm:pt>
    <dgm:pt modelId="{622ECDE0-9779-49BC-A548-62FDD8D0084E}" type="pres">
      <dgm:prSet presAssocID="{8918B572-12F5-4E1F-8B8A-CB47FBAB8B00}" presName="hierChild3" presStyleCnt="0"/>
      <dgm:spPr/>
    </dgm:pt>
    <dgm:pt modelId="{4E22354E-3232-4308-B2DD-0557291F4868}" type="pres">
      <dgm:prSet presAssocID="{0F6B7206-FAB2-4F22-8866-C3C08AC83E00}" presName="Name19" presStyleLbl="parChTrans1D2" presStyleIdx="1" presStyleCnt="2"/>
      <dgm:spPr>
        <a:custGeom>
          <a:avLst/>
          <a:gdLst/>
          <a:ahLst/>
          <a:cxnLst/>
          <a:rect l="0" t="0" r="0" b="0"/>
          <a:pathLst>
            <a:path>
              <a:moveTo>
                <a:pt x="0" y="0"/>
              </a:moveTo>
              <a:lnTo>
                <a:pt x="0" y="179664"/>
              </a:lnTo>
              <a:lnTo>
                <a:pt x="1240057" y="179664"/>
              </a:lnTo>
              <a:lnTo>
                <a:pt x="1240057" y="359329"/>
              </a:lnTo>
            </a:path>
          </a:pathLst>
        </a:custGeom>
      </dgm:spPr>
      <dgm:t>
        <a:bodyPr/>
        <a:lstStyle/>
        <a:p>
          <a:endParaRPr lang="en-US"/>
        </a:p>
      </dgm:t>
    </dgm:pt>
    <dgm:pt modelId="{5DE03CDB-EF94-4C42-BF6A-0A59049D7503}" type="pres">
      <dgm:prSet presAssocID="{67A1FC5D-B491-4AB8-A0B1-205AD70DD04A}" presName="Name21" presStyleCnt="0"/>
      <dgm:spPr/>
    </dgm:pt>
    <dgm:pt modelId="{B181540F-7F77-4EAB-9A80-63E7F531188C}" type="pres">
      <dgm:prSet presAssocID="{67A1FC5D-B491-4AB8-A0B1-205AD70DD04A}" presName="level2Shape" presStyleLbl="node2" presStyleIdx="1" presStyleCnt="2" custScaleX="120993" custScaleY="58433" custLinFactNeighborX="-12112"/>
      <dgm:spPr>
        <a:prstGeom prst="roundRect">
          <a:avLst>
            <a:gd name="adj" fmla="val 10000"/>
          </a:avLst>
        </a:prstGeom>
      </dgm:spPr>
      <dgm:t>
        <a:bodyPr/>
        <a:lstStyle/>
        <a:p>
          <a:endParaRPr lang="en-US"/>
        </a:p>
      </dgm:t>
    </dgm:pt>
    <dgm:pt modelId="{FCF2FFF7-1E33-4797-98FB-EA006AAF2ECB}" type="pres">
      <dgm:prSet presAssocID="{67A1FC5D-B491-4AB8-A0B1-205AD70DD04A}" presName="hierChild3" presStyleCnt="0"/>
      <dgm:spPr/>
    </dgm:pt>
    <dgm:pt modelId="{DD00683F-61B1-43AC-9F19-ED6DC4AE1607}" type="pres">
      <dgm:prSet presAssocID="{2ADE6789-3DAF-40B1-B59C-8BD7972944B6}" presName="Name19" presStyleLbl="parChTrans1D3" presStyleIdx="1" presStyleCnt="2"/>
      <dgm:spPr>
        <a:custGeom>
          <a:avLst/>
          <a:gdLst/>
          <a:ahLst/>
          <a:cxnLst/>
          <a:rect l="0" t="0" r="0" b="0"/>
          <a:pathLst>
            <a:path>
              <a:moveTo>
                <a:pt x="0" y="0"/>
              </a:moveTo>
              <a:lnTo>
                <a:pt x="0" y="158914"/>
              </a:lnTo>
              <a:lnTo>
                <a:pt x="309579" y="158914"/>
              </a:lnTo>
              <a:lnTo>
                <a:pt x="309579" y="317828"/>
              </a:lnTo>
            </a:path>
          </a:pathLst>
        </a:custGeom>
      </dgm:spPr>
      <dgm:t>
        <a:bodyPr/>
        <a:lstStyle/>
        <a:p>
          <a:endParaRPr lang="en-US"/>
        </a:p>
      </dgm:t>
    </dgm:pt>
    <dgm:pt modelId="{E46B82B5-BD04-4F71-8657-EB51880400F7}" type="pres">
      <dgm:prSet presAssocID="{3F4981E6-5F33-4D64-A5E6-FA05BE8B2F42}" presName="Name21" presStyleCnt="0"/>
      <dgm:spPr/>
    </dgm:pt>
    <dgm:pt modelId="{77A3ECE8-B8D7-4EB1-AED8-F3CD2D3A2C62}" type="pres">
      <dgm:prSet presAssocID="{3F4981E6-5F33-4D64-A5E6-FA05BE8B2F42}" presName="level2Shape" presStyleLbl="node3" presStyleIdx="1" presStyleCnt="2" custScaleX="166958" custLinFactNeighborX="32892" custLinFactNeighborY="-5737"/>
      <dgm:spPr>
        <a:prstGeom prst="roundRect">
          <a:avLst>
            <a:gd name="adj" fmla="val 10000"/>
          </a:avLst>
        </a:prstGeom>
      </dgm:spPr>
      <dgm:t>
        <a:bodyPr/>
        <a:lstStyle/>
        <a:p>
          <a:endParaRPr lang="en-US"/>
        </a:p>
      </dgm:t>
    </dgm:pt>
    <dgm:pt modelId="{29CA91E9-8987-48A5-A9DA-E1D62296405B}" type="pres">
      <dgm:prSet presAssocID="{3F4981E6-5F33-4D64-A5E6-FA05BE8B2F42}" presName="hierChild3" presStyleCnt="0"/>
      <dgm:spPr/>
    </dgm:pt>
    <dgm:pt modelId="{2C9C0D82-06F7-4606-86C5-9EC235962670}" type="pres">
      <dgm:prSet presAssocID="{31DBCAE6-E058-4796-8A10-DDE6C5B4ECA4}" presName="bgShapesFlow" presStyleCnt="0"/>
      <dgm:spPr/>
    </dgm:pt>
  </dgm:ptLst>
  <dgm:cxnLst>
    <dgm:cxn modelId="{41FB5E05-A908-448E-A324-F39BF2199867}" srcId="{31DBCAE6-E058-4796-8A10-DDE6C5B4ECA4}" destId="{15500F6F-51D9-4AD9-B263-CB8FD1A1D660}" srcOrd="0" destOrd="0" parTransId="{17FCAD84-2C40-4467-9A22-1E235BBD50DB}" sibTransId="{A0AB57B4-D00B-44D1-8F21-19DB3D857C71}"/>
    <dgm:cxn modelId="{81AE4282-4D42-45D7-B64E-3978AEDC6D70}" srcId="{15500F6F-51D9-4AD9-B263-CB8FD1A1D660}" destId="{67A1FC5D-B491-4AB8-A0B1-205AD70DD04A}" srcOrd="1" destOrd="0" parTransId="{0F6B7206-FAB2-4F22-8866-C3C08AC83E00}" sibTransId="{CED2AAD4-2B9C-4366-9F4C-2CF0CE76D38E}"/>
    <dgm:cxn modelId="{FC44D546-A45B-4B69-8608-590575730866}" type="presOf" srcId="{15500F6F-51D9-4AD9-B263-CB8FD1A1D660}" destId="{547C7749-AAC3-434C-B812-753FC1457973}" srcOrd="0" destOrd="0" presId="urn:microsoft.com/office/officeart/2005/8/layout/hierarchy6"/>
    <dgm:cxn modelId="{CEF70C86-6373-43B6-8BB7-AC8767975094}" srcId="{15500F6F-51D9-4AD9-B263-CB8FD1A1D660}" destId="{8430A5EB-D518-4875-9D16-1138566A5EB6}" srcOrd="0" destOrd="0" parTransId="{585E1F78-5A68-43B1-A7E0-B10ED8B1A829}" sibTransId="{9FB5DD7B-BA54-4224-8A15-DE67EEE5ACCC}"/>
    <dgm:cxn modelId="{1C3F0148-5AB3-4148-A88A-13507A717230}" type="presOf" srcId="{8430A5EB-D518-4875-9D16-1138566A5EB6}" destId="{3AC94ADE-02D2-4625-9311-988FDCDC8DCD}" srcOrd="0" destOrd="0" presId="urn:microsoft.com/office/officeart/2005/8/layout/hierarchy6"/>
    <dgm:cxn modelId="{2312D710-92D5-4B52-ACE7-D7C6D83FBD73}" type="presOf" srcId="{0F6B7206-FAB2-4F22-8866-C3C08AC83E00}" destId="{4E22354E-3232-4308-B2DD-0557291F4868}" srcOrd="0" destOrd="0" presId="urn:microsoft.com/office/officeart/2005/8/layout/hierarchy6"/>
    <dgm:cxn modelId="{604ECEF8-D3B5-47CE-B496-076131AB8F80}" type="presOf" srcId="{67A1FC5D-B491-4AB8-A0B1-205AD70DD04A}" destId="{B181540F-7F77-4EAB-9A80-63E7F531188C}" srcOrd="0" destOrd="0" presId="urn:microsoft.com/office/officeart/2005/8/layout/hierarchy6"/>
    <dgm:cxn modelId="{BD31D5DC-7746-4368-9FAB-E8E86F1CC123}" type="presOf" srcId="{8918B572-12F5-4E1F-8B8A-CB47FBAB8B00}" destId="{BC4AAA07-69FB-4AF9-93E0-CC542395957F}" srcOrd="0" destOrd="0" presId="urn:microsoft.com/office/officeart/2005/8/layout/hierarchy6"/>
    <dgm:cxn modelId="{10B3AF04-D6BE-4C8D-83B0-5732A07BF8CB}" type="presOf" srcId="{2ADE6789-3DAF-40B1-B59C-8BD7972944B6}" destId="{DD00683F-61B1-43AC-9F19-ED6DC4AE1607}" srcOrd="0" destOrd="0" presId="urn:microsoft.com/office/officeart/2005/8/layout/hierarchy6"/>
    <dgm:cxn modelId="{B1481F90-A098-4680-A9CB-16CC659EFACD}" srcId="{67A1FC5D-B491-4AB8-A0B1-205AD70DD04A}" destId="{3F4981E6-5F33-4D64-A5E6-FA05BE8B2F42}" srcOrd="0" destOrd="0" parTransId="{2ADE6789-3DAF-40B1-B59C-8BD7972944B6}" sibTransId="{219C5612-B638-4AE2-A24E-496097F768E7}"/>
    <dgm:cxn modelId="{59EFE97B-194E-417B-96F0-AB6E6BC0924F}" srcId="{8430A5EB-D518-4875-9D16-1138566A5EB6}" destId="{8918B572-12F5-4E1F-8B8A-CB47FBAB8B00}" srcOrd="0" destOrd="0" parTransId="{B541F9DE-9206-4A1B-8391-599B28594D19}" sibTransId="{96278523-4511-46DC-B8F8-86B537F77F8B}"/>
    <dgm:cxn modelId="{39A15AC3-CEEF-4315-9208-9F088D852304}" type="presOf" srcId="{31DBCAE6-E058-4796-8A10-DDE6C5B4ECA4}" destId="{BDC782D4-47D9-4F1A-A780-F60ADC8AD3A0}" srcOrd="0" destOrd="0" presId="urn:microsoft.com/office/officeart/2005/8/layout/hierarchy6"/>
    <dgm:cxn modelId="{47432AF4-AC66-4B72-811B-23A10BB006EB}" type="presOf" srcId="{585E1F78-5A68-43B1-A7E0-B10ED8B1A829}" destId="{4ACDDF7A-21EE-4F0A-9C9F-B698B830F368}" srcOrd="0" destOrd="0" presId="urn:microsoft.com/office/officeart/2005/8/layout/hierarchy6"/>
    <dgm:cxn modelId="{D8DE9B19-7098-4FD1-A862-8646D525ADAA}" type="presOf" srcId="{B541F9DE-9206-4A1B-8391-599B28594D19}" destId="{6FD093BA-132F-4824-BF89-77804443D4D6}" srcOrd="0" destOrd="0" presId="urn:microsoft.com/office/officeart/2005/8/layout/hierarchy6"/>
    <dgm:cxn modelId="{B8B087DA-5B44-44CA-8C2B-ABE139646406}" type="presOf" srcId="{3F4981E6-5F33-4D64-A5E6-FA05BE8B2F42}" destId="{77A3ECE8-B8D7-4EB1-AED8-F3CD2D3A2C62}" srcOrd="0" destOrd="0" presId="urn:microsoft.com/office/officeart/2005/8/layout/hierarchy6"/>
    <dgm:cxn modelId="{64471FE1-CACE-40DF-B14A-5A536060FA40}" type="presParOf" srcId="{BDC782D4-47D9-4F1A-A780-F60ADC8AD3A0}" destId="{E358A868-20CE-4F5E-8AAC-BAF1E71D9CAD}" srcOrd="0" destOrd="0" presId="urn:microsoft.com/office/officeart/2005/8/layout/hierarchy6"/>
    <dgm:cxn modelId="{23C8EDE1-4FF9-4B4B-82FD-ED3A418D39D5}" type="presParOf" srcId="{E358A868-20CE-4F5E-8AAC-BAF1E71D9CAD}" destId="{115C97F4-4EE3-4356-984A-70C936DA3625}" srcOrd="0" destOrd="0" presId="urn:microsoft.com/office/officeart/2005/8/layout/hierarchy6"/>
    <dgm:cxn modelId="{E9022B43-569D-41E5-B1E0-41AD2CF7E9D0}" type="presParOf" srcId="{115C97F4-4EE3-4356-984A-70C936DA3625}" destId="{12F0FC1D-6AE0-4387-A2B8-063914292BA6}" srcOrd="0" destOrd="0" presId="urn:microsoft.com/office/officeart/2005/8/layout/hierarchy6"/>
    <dgm:cxn modelId="{9BDB9CB0-1986-46BA-AD68-DD4690AF95C9}" type="presParOf" srcId="{12F0FC1D-6AE0-4387-A2B8-063914292BA6}" destId="{547C7749-AAC3-434C-B812-753FC1457973}" srcOrd="0" destOrd="0" presId="urn:microsoft.com/office/officeart/2005/8/layout/hierarchy6"/>
    <dgm:cxn modelId="{DE4E2B2C-046F-47B8-86A8-3DAEACFBE277}" type="presParOf" srcId="{12F0FC1D-6AE0-4387-A2B8-063914292BA6}" destId="{77034638-2D2C-4AAB-9DA9-B98AD003CA42}" srcOrd="1" destOrd="0" presId="urn:microsoft.com/office/officeart/2005/8/layout/hierarchy6"/>
    <dgm:cxn modelId="{2DFF7759-4169-46A2-A355-0AAADC3647A8}" type="presParOf" srcId="{77034638-2D2C-4AAB-9DA9-B98AD003CA42}" destId="{4ACDDF7A-21EE-4F0A-9C9F-B698B830F368}" srcOrd="0" destOrd="0" presId="urn:microsoft.com/office/officeart/2005/8/layout/hierarchy6"/>
    <dgm:cxn modelId="{66AF2F84-ECEE-4196-9976-470AD0C6CF77}" type="presParOf" srcId="{77034638-2D2C-4AAB-9DA9-B98AD003CA42}" destId="{37708071-E026-4BF8-AB8F-7A7DA7517241}" srcOrd="1" destOrd="0" presId="urn:microsoft.com/office/officeart/2005/8/layout/hierarchy6"/>
    <dgm:cxn modelId="{2248CAB2-147C-46D6-B402-552853B97528}" type="presParOf" srcId="{37708071-E026-4BF8-AB8F-7A7DA7517241}" destId="{3AC94ADE-02D2-4625-9311-988FDCDC8DCD}" srcOrd="0" destOrd="0" presId="urn:microsoft.com/office/officeart/2005/8/layout/hierarchy6"/>
    <dgm:cxn modelId="{5DCA9FD7-93BD-451E-A20B-76BA418B200A}" type="presParOf" srcId="{37708071-E026-4BF8-AB8F-7A7DA7517241}" destId="{26343997-B7AC-4D11-A058-5C3096B7A917}" srcOrd="1" destOrd="0" presId="urn:microsoft.com/office/officeart/2005/8/layout/hierarchy6"/>
    <dgm:cxn modelId="{DA9E038A-B41C-47AE-AF8A-E479C7E55BB2}" type="presParOf" srcId="{26343997-B7AC-4D11-A058-5C3096B7A917}" destId="{6FD093BA-132F-4824-BF89-77804443D4D6}" srcOrd="0" destOrd="0" presId="urn:microsoft.com/office/officeart/2005/8/layout/hierarchy6"/>
    <dgm:cxn modelId="{6A06A4FB-293B-4472-A5C0-06AA08474D1C}" type="presParOf" srcId="{26343997-B7AC-4D11-A058-5C3096B7A917}" destId="{88D42CC6-687D-4125-9872-E58AB82590CC}" srcOrd="1" destOrd="0" presId="urn:microsoft.com/office/officeart/2005/8/layout/hierarchy6"/>
    <dgm:cxn modelId="{D03158C6-2B69-4009-B515-E9C028642CFC}" type="presParOf" srcId="{88D42CC6-687D-4125-9872-E58AB82590CC}" destId="{BC4AAA07-69FB-4AF9-93E0-CC542395957F}" srcOrd="0" destOrd="0" presId="urn:microsoft.com/office/officeart/2005/8/layout/hierarchy6"/>
    <dgm:cxn modelId="{94BB83F5-9AFD-406F-867E-9D75EAC70A8A}" type="presParOf" srcId="{88D42CC6-687D-4125-9872-E58AB82590CC}" destId="{622ECDE0-9779-49BC-A548-62FDD8D0084E}" srcOrd="1" destOrd="0" presId="urn:microsoft.com/office/officeart/2005/8/layout/hierarchy6"/>
    <dgm:cxn modelId="{305AB572-2FE1-4540-8E7F-4D60E547B3CC}" type="presParOf" srcId="{77034638-2D2C-4AAB-9DA9-B98AD003CA42}" destId="{4E22354E-3232-4308-B2DD-0557291F4868}" srcOrd="2" destOrd="0" presId="urn:microsoft.com/office/officeart/2005/8/layout/hierarchy6"/>
    <dgm:cxn modelId="{214A689B-F6FF-4F93-B97A-B857044CD054}" type="presParOf" srcId="{77034638-2D2C-4AAB-9DA9-B98AD003CA42}" destId="{5DE03CDB-EF94-4C42-BF6A-0A59049D7503}" srcOrd="3" destOrd="0" presId="urn:microsoft.com/office/officeart/2005/8/layout/hierarchy6"/>
    <dgm:cxn modelId="{48E321FB-055F-4461-A107-0EDC42C2B38C}" type="presParOf" srcId="{5DE03CDB-EF94-4C42-BF6A-0A59049D7503}" destId="{B181540F-7F77-4EAB-9A80-63E7F531188C}" srcOrd="0" destOrd="0" presId="urn:microsoft.com/office/officeart/2005/8/layout/hierarchy6"/>
    <dgm:cxn modelId="{5446E96A-9D54-4584-9651-23F76E3C7550}" type="presParOf" srcId="{5DE03CDB-EF94-4C42-BF6A-0A59049D7503}" destId="{FCF2FFF7-1E33-4797-98FB-EA006AAF2ECB}" srcOrd="1" destOrd="0" presId="urn:microsoft.com/office/officeart/2005/8/layout/hierarchy6"/>
    <dgm:cxn modelId="{E6D4CAAB-36B0-4E85-974E-979B0F3C58FD}" type="presParOf" srcId="{FCF2FFF7-1E33-4797-98FB-EA006AAF2ECB}" destId="{DD00683F-61B1-43AC-9F19-ED6DC4AE1607}" srcOrd="0" destOrd="0" presId="urn:microsoft.com/office/officeart/2005/8/layout/hierarchy6"/>
    <dgm:cxn modelId="{08137A2D-78B0-4EB7-9AB1-E22C893F8AD4}" type="presParOf" srcId="{FCF2FFF7-1E33-4797-98FB-EA006AAF2ECB}" destId="{E46B82B5-BD04-4F71-8657-EB51880400F7}" srcOrd="1" destOrd="0" presId="urn:microsoft.com/office/officeart/2005/8/layout/hierarchy6"/>
    <dgm:cxn modelId="{BA69A51C-DC99-4888-BBF5-1B6DC30F0EAA}" type="presParOf" srcId="{E46B82B5-BD04-4F71-8657-EB51880400F7}" destId="{77A3ECE8-B8D7-4EB1-AED8-F3CD2D3A2C62}" srcOrd="0" destOrd="0" presId="urn:microsoft.com/office/officeart/2005/8/layout/hierarchy6"/>
    <dgm:cxn modelId="{B4730879-5B52-474A-8833-1D9F2886C627}" type="presParOf" srcId="{E46B82B5-BD04-4F71-8657-EB51880400F7}" destId="{29CA91E9-8987-48A5-A9DA-E1D62296405B}" srcOrd="1" destOrd="0" presId="urn:microsoft.com/office/officeart/2005/8/layout/hierarchy6"/>
    <dgm:cxn modelId="{57EDC9EA-7C74-4B48-B136-3A57C175886F}" type="presParOf" srcId="{BDC782D4-47D9-4F1A-A780-F60ADC8AD3A0}" destId="{2C9C0D82-06F7-4606-86C5-9EC235962670}" srcOrd="1" destOrd="0" presId="urn:microsoft.com/office/officeart/2005/8/layout/hierarchy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56E99E-697F-4B71-A0B7-9E0E7DE35087}">
      <dsp:nvSpPr>
        <dsp:cNvPr id="0" name=""/>
        <dsp:cNvSpPr/>
      </dsp:nvSpPr>
      <dsp:spPr>
        <a:xfrm>
          <a:off x="2022261" y="2403222"/>
          <a:ext cx="1690389" cy="845194"/>
        </a:xfrm>
        <a:prstGeom prst="roundRect">
          <a:avLst>
            <a:gd name="adj" fmla="val 10000"/>
          </a:avLst>
        </a:prstGeom>
        <a:solidFill>
          <a:srgbClr val="5B9BD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047016" y="2427977"/>
        <a:ext cx="1640879" cy="795684"/>
      </dsp:txXfrm>
    </dsp:sp>
    <dsp:sp modelId="{6B81FB9A-83EA-44D9-9DFE-0159384E5065}">
      <dsp:nvSpPr>
        <dsp:cNvPr id="0" name=""/>
        <dsp:cNvSpPr/>
      </dsp:nvSpPr>
      <dsp:spPr>
        <a:xfrm rot="18469893">
          <a:off x="2865194" y="1729038"/>
          <a:ext cx="884054" cy="295818"/>
        </a:xfrm>
        <a:prstGeom prst="lef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a:off x="2953939" y="1788202"/>
        <a:ext cx="706564" cy="177490"/>
      </dsp:txXfrm>
    </dsp:sp>
    <dsp:sp modelId="{177BDE28-2CFE-46F0-9F3C-D25CDD460172}">
      <dsp:nvSpPr>
        <dsp:cNvPr id="0" name=""/>
        <dsp:cNvSpPr/>
      </dsp:nvSpPr>
      <dsp:spPr>
        <a:xfrm>
          <a:off x="3620516" y="0"/>
          <a:ext cx="1193364" cy="2175438"/>
        </a:xfrm>
        <a:prstGeom prst="roundRect">
          <a:avLst>
            <a:gd name="adj" fmla="val 10000"/>
          </a:avLst>
        </a:prstGeom>
        <a:solidFill>
          <a:srgbClr val="5B9BD5"/>
        </a:solidFill>
        <a:ln w="12700" cap="flat" cmpd="sng" algn="ctr">
          <a:solidFill>
            <a:srgbClr val="5B9BD5"/>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EG" sz="1400" b="1" kern="1200">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3655468" y="34952"/>
        <a:ext cx="1123460" cy="2105534"/>
      </dsp:txXfrm>
    </dsp:sp>
    <dsp:sp modelId="{03C39241-B88E-4972-A9F3-E9200C065884}">
      <dsp:nvSpPr>
        <dsp:cNvPr id="0" name=""/>
        <dsp:cNvSpPr/>
      </dsp:nvSpPr>
      <dsp:spPr>
        <a:xfrm rot="10799922">
          <a:off x="2040538" y="799737"/>
          <a:ext cx="1310722" cy="295818"/>
        </a:xfrm>
        <a:prstGeom prst="leftRightArrow">
          <a:avLst>
            <a:gd name="adj1" fmla="val 60000"/>
            <a:gd name="adj2" fmla="val 50000"/>
          </a:avLst>
        </a:prstGeom>
        <a:solidFill>
          <a:srgbClr val="FFC000"/>
        </a:solidFill>
        <a:ln>
          <a:solidFill>
            <a:srgbClr val="ED7D3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rot="10800000">
        <a:off x="2129283" y="858901"/>
        <a:ext cx="1133232" cy="177490"/>
      </dsp:txXfrm>
    </dsp:sp>
    <dsp:sp modelId="{47DF25E5-A127-471A-A6B9-79BE61FD7591}">
      <dsp:nvSpPr>
        <dsp:cNvPr id="0" name=""/>
        <dsp:cNvSpPr/>
      </dsp:nvSpPr>
      <dsp:spPr>
        <a:xfrm>
          <a:off x="480976" y="4"/>
          <a:ext cx="1246679" cy="2185192"/>
        </a:xfrm>
        <a:prstGeom prst="roundRect">
          <a:avLst>
            <a:gd name="adj" fmla="val 10000"/>
          </a:avLst>
        </a:prstGeom>
        <a:solidFill>
          <a:srgbClr val="5B9BD5"/>
        </a:solidFill>
        <a:ln w="12700" cap="flat" cmpd="sng" algn="ctr">
          <a:solidFill>
            <a:srgbClr val="ED7D3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حوكمة الشركات</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الشفافية.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المساءلة.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النزاهة.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المشاركة.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العدالة.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الاستدامة.</a:t>
          </a:r>
        </a:p>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endParaRPr lang="en-US" sz="1400" b="1" kern="1200">
            <a:solidFill>
              <a:sysClr val="windowText" lastClr="000000"/>
            </a:solidFill>
            <a:latin typeface="Calibri" panose="020F0502020204030204"/>
            <a:ea typeface="+mn-ea"/>
            <a:cs typeface="+mn-cs"/>
          </a:endParaRPr>
        </a:p>
      </dsp:txBody>
      <dsp:txXfrm>
        <a:off x="517490" y="36518"/>
        <a:ext cx="1173651" cy="2112164"/>
      </dsp:txXfrm>
    </dsp:sp>
    <dsp:sp modelId="{7D8ADF69-46C2-4C0D-8648-326EBB8DF7ED}">
      <dsp:nvSpPr>
        <dsp:cNvPr id="0" name=""/>
        <dsp:cNvSpPr/>
      </dsp:nvSpPr>
      <dsp:spPr>
        <a:xfrm rot="2851957">
          <a:off x="1728560" y="1715392"/>
          <a:ext cx="870033" cy="307511"/>
        </a:xfrm>
        <a:prstGeom prst="leftRightArrow">
          <a:avLst>
            <a:gd name="adj1" fmla="val 60000"/>
            <a:gd name="adj2" fmla="val 50000"/>
          </a:avLst>
        </a:prstGeom>
        <a:solidFill>
          <a:srgbClr val="ED7D3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1820813" y="1776894"/>
        <a:ext cx="685527" cy="1845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567E7A-AF28-41B4-A0BA-A7D73011AF67}">
      <dsp:nvSpPr>
        <dsp:cNvPr id="0" name=""/>
        <dsp:cNvSpPr/>
      </dsp:nvSpPr>
      <dsp:spPr>
        <a:xfrm>
          <a:off x="1832620" y="1222559"/>
          <a:ext cx="938508" cy="938508"/>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نظام الحوكمة</a:t>
          </a:r>
          <a:endParaRPr lang="en-US" sz="1100" b="1" kern="1200" baseline="0">
            <a:solidFill>
              <a:sysClr val="windowText" lastClr="000000"/>
            </a:solidFill>
            <a:latin typeface="Calibri" panose="020F0502020204030204"/>
            <a:ea typeface="+mn-ea"/>
            <a:cs typeface="+mn-cs"/>
          </a:endParaRPr>
        </a:p>
      </dsp:txBody>
      <dsp:txXfrm>
        <a:off x="1970061" y="1360000"/>
        <a:ext cx="663626" cy="663626"/>
      </dsp:txXfrm>
    </dsp:sp>
    <dsp:sp modelId="{7732C6CD-4278-4E01-BCB0-529B3ACBC76E}">
      <dsp:nvSpPr>
        <dsp:cNvPr id="0" name=""/>
        <dsp:cNvSpPr/>
      </dsp:nvSpPr>
      <dsp:spPr>
        <a:xfrm rot="16200000">
          <a:off x="2202467" y="881078"/>
          <a:ext cx="198815" cy="319092"/>
        </a:xfrm>
        <a:prstGeom prst="rightArrow">
          <a:avLst>
            <a:gd name="adj1" fmla="val 60000"/>
            <a:gd name="adj2" fmla="val 50000"/>
          </a:avLst>
        </a:prstGeom>
        <a:solidFill>
          <a:srgbClr val="4472C4">
            <a:shade val="9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2232289" y="974718"/>
        <a:ext cx="139171" cy="191456"/>
      </dsp:txXfrm>
    </dsp:sp>
    <dsp:sp modelId="{41065C37-6DD6-4E17-94A8-7CFC12435553}">
      <dsp:nvSpPr>
        <dsp:cNvPr id="0" name=""/>
        <dsp:cNvSpPr/>
      </dsp:nvSpPr>
      <dsp:spPr>
        <a:xfrm>
          <a:off x="1879546" y="2778"/>
          <a:ext cx="844657" cy="844657"/>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العمليات</a:t>
          </a:r>
          <a:endParaRPr lang="en-US" sz="1100" b="1" kern="1200" baseline="0">
            <a:solidFill>
              <a:sysClr val="windowText" lastClr="000000"/>
            </a:solidFill>
            <a:latin typeface="Calibri" panose="020F0502020204030204"/>
            <a:ea typeface="+mn-ea"/>
            <a:cs typeface="+mn-cs"/>
          </a:endParaRPr>
        </a:p>
      </dsp:txBody>
      <dsp:txXfrm>
        <a:off x="2003243" y="126475"/>
        <a:ext cx="597263" cy="597263"/>
      </dsp:txXfrm>
    </dsp:sp>
    <dsp:sp modelId="{EC42F4C8-5F94-4F80-B627-B835D27A270F}">
      <dsp:nvSpPr>
        <dsp:cNvPr id="0" name=""/>
        <dsp:cNvSpPr/>
      </dsp:nvSpPr>
      <dsp:spPr>
        <a:xfrm rot="19285714">
          <a:off x="2711587" y="1126257"/>
          <a:ext cx="198815" cy="319092"/>
        </a:xfrm>
        <a:prstGeom prst="rightArrow">
          <a:avLst>
            <a:gd name="adj1" fmla="val 60000"/>
            <a:gd name="adj2" fmla="val 50000"/>
          </a:avLst>
        </a:prstGeom>
        <a:solidFill>
          <a:srgbClr val="4472C4">
            <a:shade val="90000"/>
            <a:hueOff val="69238"/>
            <a:satOff val="-1479"/>
            <a:lumOff val="551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2718093" y="1208669"/>
        <a:ext cx="139171" cy="191456"/>
      </dsp:txXfrm>
    </dsp:sp>
    <dsp:sp modelId="{7147248F-2CCD-473B-B93C-7F08C74F0E2E}">
      <dsp:nvSpPr>
        <dsp:cNvPr id="0" name=""/>
        <dsp:cNvSpPr/>
      </dsp:nvSpPr>
      <dsp:spPr>
        <a:xfrm>
          <a:off x="2869897" y="479706"/>
          <a:ext cx="844657" cy="844657"/>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kern="1200" baseline="0">
            <a:solidFill>
              <a:sysClr val="windowText" lastClr="000000"/>
            </a:solidFill>
            <a:latin typeface="Calibri" panose="020F0502020204030204"/>
            <a:ea typeface="+mn-ea"/>
            <a:cs typeface="+mn-cs"/>
          </a:endParaRPr>
        </a:p>
      </dsp:txBody>
      <dsp:txXfrm>
        <a:off x="2993594" y="603403"/>
        <a:ext cx="597263" cy="597263"/>
      </dsp:txXfrm>
    </dsp:sp>
    <dsp:sp modelId="{7521D4AF-509B-4353-A3D6-A95831C8BC66}">
      <dsp:nvSpPr>
        <dsp:cNvPr id="0" name=""/>
        <dsp:cNvSpPr/>
      </dsp:nvSpPr>
      <dsp:spPr>
        <a:xfrm rot="771429">
          <a:off x="2837329" y="1677170"/>
          <a:ext cx="198815" cy="319092"/>
        </a:xfrm>
        <a:prstGeom prst="rightArrow">
          <a:avLst>
            <a:gd name="adj1" fmla="val 60000"/>
            <a:gd name="adj2" fmla="val 50000"/>
          </a:avLst>
        </a:prstGeom>
        <a:solidFill>
          <a:srgbClr val="4472C4">
            <a:shade val="90000"/>
            <a:hueOff val="138475"/>
            <a:satOff val="-2957"/>
            <a:lumOff val="1103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2838077" y="1734352"/>
        <a:ext cx="139171" cy="191456"/>
      </dsp:txXfrm>
    </dsp:sp>
    <dsp:sp modelId="{55C86768-D131-458D-9C3B-935FB60554F5}">
      <dsp:nvSpPr>
        <dsp:cNvPr id="0" name=""/>
        <dsp:cNvSpPr/>
      </dsp:nvSpPr>
      <dsp:spPr>
        <a:xfrm>
          <a:off x="3114493" y="1551354"/>
          <a:ext cx="844657" cy="844657"/>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kern="1200" baseline="0">
            <a:solidFill>
              <a:sysClr val="windowText" lastClr="000000"/>
            </a:solidFill>
            <a:latin typeface="Calibri" panose="020F0502020204030204"/>
            <a:ea typeface="+mn-ea"/>
            <a:cs typeface="+mn-cs"/>
          </a:endParaRPr>
        </a:p>
      </dsp:txBody>
      <dsp:txXfrm>
        <a:off x="3238190" y="1675051"/>
        <a:ext cx="597263" cy="597263"/>
      </dsp:txXfrm>
    </dsp:sp>
    <dsp:sp modelId="{AD1DD96E-060F-4B54-A983-4D3D4C7E6A90}">
      <dsp:nvSpPr>
        <dsp:cNvPr id="0" name=""/>
        <dsp:cNvSpPr/>
      </dsp:nvSpPr>
      <dsp:spPr>
        <a:xfrm rot="3857143">
          <a:off x="2485007" y="2118968"/>
          <a:ext cx="198815" cy="319092"/>
        </a:xfrm>
        <a:prstGeom prst="rightArrow">
          <a:avLst>
            <a:gd name="adj1" fmla="val 60000"/>
            <a:gd name="adj2" fmla="val 50000"/>
          </a:avLst>
        </a:prstGeom>
        <a:solidFill>
          <a:srgbClr val="4472C4">
            <a:shade val="90000"/>
            <a:hueOff val="207713"/>
            <a:satOff val="-4436"/>
            <a:lumOff val="1655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2501890" y="2155917"/>
        <a:ext cx="139171" cy="191456"/>
      </dsp:txXfrm>
    </dsp:sp>
    <dsp:sp modelId="{B25C6A5A-DA2B-41A7-92E5-C5C6507E1FA6}">
      <dsp:nvSpPr>
        <dsp:cNvPr id="0" name=""/>
        <dsp:cNvSpPr/>
      </dsp:nvSpPr>
      <dsp:spPr>
        <a:xfrm>
          <a:off x="2429149" y="2410748"/>
          <a:ext cx="844657" cy="844657"/>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المعلومات </a:t>
          </a:r>
          <a:endParaRPr lang="en-US" sz="1100" b="1" kern="1200" baseline="0">
            <a:solidFill>
              <a:sysClr val="windowText" lastClr="000000"/>
            </a:solidFill>
            <a:latin typeface="Calibri" panose="020F0502020204030204"/>
            <a:ea typeface="+mn-ea"/>
            <a:cs typeface="+mn-cs"/>
          </a:endParaRPr>
        </a:p>
      </dsp:txBody>
      <dsp:txXfrm>
        <a:off x="2552846" y="2534445"/>
        <a:ext cx="597263" cy="597263"/>
      </dsp:txXfrm>
    </dsp:sp>
    <dsp:sp modelId="{BFA26A0E-DBD5-4B2E-B7FF-D55E5D5033AD}">
      <dsp:nvSpPr>
        <dsp:cNvPr id="0" name=""/>
        <dsp:cNvSpPr/>
      </dsp:nvSpPr>
      <dsp:spPr>
        <a:xfrm rot="6942857">
          <a:off x="1919926" y="2118968"/>
          <a:ext cx="198815" cy="319092"/>
        </a:xfrm>
        <a:prstGeom prst="rightArrow">
          <a:avLst>
            <a:gd name="adj1" fmla="val 60000"/>
            <a:gd name="adj2" fmla="val 50000"/>
          </a:avLst>
        </a:prstGeom>
        <a:solidFill>
          <a:srgbClr val="4472C4">
            <a:shade val="90000"/>
            <a:hueOff val="276951"/>
            <a:satOff val="-5914"/>
            <a:lumOff val="2207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rot="10800000">
        <a:off x="1962687" y="2155917"/>
        <a:ext cx="139171" cy="191456"/>
      </dsp:txXfrm>
    </dsp:sp>
    <dsp:sp modelId="{FE223032-0F68-414C-9284-241BAD032A66}">
      <dsp:nvSpPr>
        <dsp:cNvPr id="0" name=""/>
        <dsp:cNvSpPr/>
      </dsp:nvSpPr>
      <dsp:spPr>
        <a:xfrm>
          <a:off x="1329942" y="2410748"/>
          <a:ext cx="844657" cy="844657"/>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kern="1200" baseline="0">
            <a:solidFill>
              <a:sysClr val="windowText" lastClr="000000"/>
            </a:solidFill>
            <a:latin typeface="Calibri" panose="020F0502020204030204"/>
            <a:ea typeface="+mn-ea"/>
            <a:cs typeface="+mn-cs"/>
          </a:endParaRPr>
        </a:p>
      </dsp:txBody>
      <dsp:txXfrm>
        <a:off x="1453639" y="2534445"/>
        <a:ext cx="597263" cy="597263"/>
      </dsp:txXfrm>
    </dsp:sp>
    <dsp:sp modelId="{DB0C400D-ACB9-448A-807F-1EEE4FAAECB7}">
      <dsp:nvSpPr>
        <dsp:cNvPr id="0" name=""/>
        <dsp:cNvSpPr/>
      </dsp:nvSpPr>
      <dsp:spPr>
        <a:xfrm rot="10028571">
          <a:off x="1567604" y="1677170"/>
          <a:ext cx="198815" cy="319092"/>
        </a:xfrm>
        <a:prstGeom prst="rightArrow">
          <a:avLst>
            <a:gd name="adj1" fmla="val 60000"/>
            <a:gd name="adj2" fmla="val 50000"/>
          </a:avLst>
        </a:prstGeom>
        <a:solidFill>
          <a:srgbClr val="4472C4">
            <a:shade val="90000"/>
            <a:hueOff val="346188"/>
            <a:satOff val="-7393"/>
            <a:lumOff val="2759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rot="10800000">
        <a:off x="1626500" y="1734352"/>
        <a:ext cx="139171" cy="191456"/>
      </dsp:txXfrm>
    </dsp:sp>
    <dsp:sp modelId="{A2281BA5-00C7-40B3-91A0-BA1D16E00B72}">
      <dsp:nvSpPr>
        <dsp:cNvPr id="0" name=""/>
        <dsp:cNvSpPr/>
      </dsp:nvSpPr>
      <dsp:spPr>
        <a:xfrm>
          <a:off x="644598" y="1551354"/>
          <a:ext cx="844657" cy="844657"/>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kern="1200" baseline="0">
            <a:solidFill>
              <a:sysClr val="windowText" lastClr="000000"/>
            </a:solidFill>
            <a:latin typeface="Calibri" panose="020F0502020204030204"/>
            <a:ea typeface="+mn-ea"/>
            <a:cs typeface="+mn-cs"/>
          </a:endParaRPr>
        </a:p>
      </dsp:txBody>
      <dsp:txXfrm>
        <a:off x="768295" y="1675051"/>
        <a:ext cx="597263" cy="597263"/>
      </dsp:txXfrm>
    </dsp:sp>
    <dsp:sp modelId="{FBF12045-FA27-44F4-86C6-EE17BD5B6096}">
      <dsp:nvSpPr>
        <dsp:cNvPr id="0" name=""/>
        <dsp:cNvSpPr/>
      </dsp:nvSpPr>
      <dsp:spPr>
        <a:xfrm rot="13114286">
          <a:off x="1693347" y="1126257"/>
          <a:ext cx="198815" cy="319092"/>
        </a:xfrm>
        <a:prstGeom prst="rightArrow">
          <a:avLst>
            <a:gd name="adj1" fmla="val 60000"/>
            <a:gd name="adj2" fmla="val 50000"/>
          </a:avLst>
        </a:prstGeom>
        <a:solidFill>
          <a:srgbClr val="4472C4">
            <a:shade val="90000"/>
            <a:hueOff val="415426"/>
            <a:satOff val="-8871"/>
            <a:lumOff val="3310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rot="10800000">
        <a:off x="1746485" y="1208669"/>
        <a:ext cx="139171" cy="191456"/>
      </dsp:txXfrm>
    </dsp:sp>
    <dsp:sp modelId="{C9A82636-3BE0-486C-898E-1F2E3963394F}">
      <dsp:nvSpPr>
        <dsp:cNvPr id="0" name=""/>
        <dsp:cNvSpPr/>
      </dsp:nvSpPr>
      <dsp:spPr>
        <a:xfrm>
          <a:off x="889195" y="479706"/>
          <a:ext cx="844657" cy="844657"/>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kern="1200" baseline="0">
            <a:solidFill>
              <a:sysClr val="windowText" lastClr="000000"/>
            </a:solidFill>
            <a:latin typeface="Calibri" panose="020F0502020204030204"/>
            <a:ea typeface="+mn-ea"/>
            <a:cs typeface="+mn-cs"/>
          </a:endParaRPr>
        </a:p>
      </dsp:txBody>
      <dsp:txXfrm>
        <a:off x="1012892" y="603403"/>
        <a:ext cx="597263" cy="5972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C7749-AAC3-434C-B812-753FC1457973}">
      <dsp:nvSpPr>
        <dsp:cNvPr id="0" name=""/>
        <dsp:cNvSpPr/>
      </dsp:nvSpPr>
      <dsp:spPr>
        <a:xfrm>
          <a:off x="1419399" y="58012"/>
          <a:ext cx="2711640" cy="927613"/>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kern="1200">
            <a:solidFill>
              <a:sysClr val="windowText" lastClr="000000"/>
            </a:solidFill>
            <a:latin typeface="Arial Black" panose="020B0A04020102020204" pitchFamily="34" charset="0"/>
            <a:ea typeface="+mn-ea"/>
            <a:cs typeface="Simplified Arabic" panose="02020603050405020304" pitchFamily="18" charset="-78"/>
          </a:endParaRPr>
        </a:p>
      </dsp:txBody>
      <dsp:txXfrm>
        <a:off x="1446568" y="85181"/>
        <a:ext cx="2657302" cy="873275"/>
      </dsp:txXfrm>
    </dsp:sp>
    <dsp:sp modelId="{4ACDDF7A-21EE-4F0A-9C9F-B698B830F368}">
      <dsp:nvSpPr>
        <dsp:cNvPr id="0" name=""/>
        <dsp:cNvSpPr/>
      </dsp:nvSpPr>
      <dsp:spPr>
        <a:xfrm>
          <a:off x="1162282" y="985625"/>
          <a:ext cx="1612937" cy="359329"/>
        </a:xfrm>
        <a:custGeom>
          <a:avLst/>
          <a:gdLst/>
          <a:ahLst/>
          <a:cxnLst/>
          <a:rect l="0" t="0" r="0" b="0"/>
          <a:pathLst>
            <a:path>
              <a:moveTo>
                <a:pt x="1612937" y="0"/>
              </a:moveTo>
              <a:lnTo>
                <a:pt x="1612937" y="179664"/>
              </a:lnTo>
              <a:lnTo>
                <a:pt x="0" y="179664"/>
              </a:lnTo>
              <a:lnTo>
                <a:pt x="0"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C94ADE-02D2-4625-9311-988FDCDC8DCD}">
      <dsp:nvSpPr>
        <dsp:cNvPr id="0" name=""/>
        <dsp:cNvSpPr/>
      </dsp:nvSpPr>
      <dsp:spPr>
        <a:xfrm>
          <a:off x="314212" y="1344955"/>
          <a:ext cx="1696140" cy="541503"/>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خارجية:</a:t>
          </a:r>
          <a:endParaRPr lang="en-US" sz="1600" b="1" kern="1200">
            <a:solidFill>
              <a:sysClr val="windowText" lastClr="000000"/>
            </a:solidFill>
            <a:latin typeface="Calibri" panose="020F0502020204030204"/>
            <a:ea typeface="+mn-ea"/>
            <a:cs typeface="+mn-cs"/>
          </a:endParaRPr>
        </a:p>
      </dsp:txBody>
      <dsp:txXfrm>
        <a:off x="330072" y="1360815"/>
        <a:ext cx="1664420" cy="509783"/>
      </dsp:txXfrm>
    </dsp:sp>
    <dsp:sp modelId="{6FD093BA-132F-4824-BF89-77804443D4D6}">
      <dsp:nvSpPr>
        <dsp:cNvPr id="0" name=""/>
        <dsp:cNvSpPr/>
      </dsp:nvSpPr>
      <dsp:spPr>
        <a:xfrm>
          <a:off x="1162282" y="1886458"/>
          <a:ext cx="242594" cy="360405"/>
        </a:xfrm>
        <a:custGeom>
          <a:avLst/>
          <a:gdLst/>
          <a:ahLst/>
          <a:cxnLst/>
          <a:rect l="0" t="0" r="0" b="0"/>
          <a:pathLst>
            <a:path>
              <a:moveTo>
                <a:pt x="0" y="0"/>
              </a:moveTo>
              <a:lnTo>
                <a:pt x="0" y="180202"/>
              </a:lnTo>
              <a:lnTo>
                <a:pt x="242594" y="180202"/>
              </a:lnTo>
              <a:lnTo>
                <a:pt x="242594" y="36040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4AAA07-69FB-4AF9-93E0-CC542395957F}">
      <dsp:nvSpPr>
        <dsp:cNvPr id="0" name=""/>
        <dsp:cNvSpPr/>
      </dsp:nvSpPr>
      <dsp:spPr>
        <a:xfrm>
          <a:off x="172983" y="2246864"/>
          <a:ext cx="24637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كفاءة الهيئات الرقابية.</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kern="1200">
            <a:solidFill>
              <a:sysClr val="windowText" lastClr="000000"/>
            </a:solidFill>
            <a:latin typeface="Calibri" panose="020F0502020204030204"/>
            <a:ea typeface="+mn-ea"/>
            <a:cs typeface="+mn-cs"/>
          </a:endParaRPr>
        </a:p>
      </dsp:txBody>
      <dsp:txXfrm>
        <a:off x="200152" y="2274033"/>
        <a:ext cx="2409448" cy="873275"/>
      </dsp:txXfrm>
    </dsp:sp>
    <dsp:sp modelId="{4E22354E-3232-4308-B2DD-0557291F4868}">
      <dsp:nvSpPr>
        <dsp:cNvPr id="0" name=""/>
        <dsp:cNvSpPr/>
      </dsp:nvSpPr>
      <dsp:spPr>
        <a:xfrm>
          <a:off x="2775220" y="985625"/>
          <a:ext cx="1240057" cy="359329"/>
        </a:xfrm>
        <a:custGeom>
          <a:avLst/>
          <a:gdLst/>
          <a:ahLst/>
          <a:cxnLst/>
          <a:rect l="0" t="0" r="0" b="0"/>
          <a:pathLst>
            <a:path>
              <a:moveTo>
                <a:pt x="0" y="0"/>
              </a:moveTo>
              <a:lnTo>
                <a:pt x="0" y="179664"/>
              </a:lnTo>
              <a:lnTo>
                <a:pt x="1240057" y="179664"/>
              </a:lnTo>
              <a:lnTo>
                <a:pt x="1240057"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181540F-7F77-4EAB-9A80-63E7F531188C}">
      <dsp:nvSpPr>
        <dsp:cNvPr id="0" name=""/>
        <dsp:cNvSpPr/>
      </dsp:nvSpPr>
      <dsp:spPr>
        <a:xfrm>
          <a:off x="3173517" y="1344955"/>
          <a:ext cx="1683520" cy="542032"/>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داخلية:</a:t>
          </a:r>
          <a:endParaRPr lang="en-US" sz="1600" b="1" kern="1200">
            <a:solidFill>
              <a:sysClr val="windowText" lastClr="000000"/>
            </a:solidFill>
            <a:latin typeface="Calibri" panose="020F0502020204030204"/>
            <a:ea typeface="+mn-ea"/>
            <a:cs typeface="+mn-cs"/>
          </a:endParaRPr>
        </a:p>
      </dsp:txBody>
      <dsp:txXfrm>
        <a:off x="3189393" y="1360831"/>
        <a:ext cx="1651768" cy="510280"/>
      </dsp:txXfrm>
    </dsp:sp>
    <dsp:sp modelId="{DD00683F-61B1-43AC-9F19-ED6DC4AE1607}">
      <dsp:nvSpPr>
        <dsp:cNvPr id="0" name=""/>
        <dsp:cNvSpPr/>
      </dsp:nvSpPr>
      <dsp:spPr>
        <a:xfrm>
          <a:off x="4015277" y="1886987"/>
          <a:ext cx="309579" cy="317828"/>
        </a:xfrm>
        <a:custGeom>
          <a:avLst/>
          <a:gdLst/>
          <a:ahLst/>
          <a:cxnLst/>
          <a:rect l="0" t="0" r="0" b="0"/>
          <a:pathLst>
            <a:path>
              <a:moveTo>
                <a:pt x="0" y="0"/>
              </a:moveTo>
              <a:lnTo>
                <a:pt x="0" y="158914"/>
              </a:lnTo>
              <a:lnTo>
                <a:pt x="309579" y="158914"/>
              </a:lnTo>
              <a:lnTo>
                <a:pt x="309579" y="317828"/>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7A3ECE8-B8D7-4EB1-AED8-F3CD2D3A2C62}">
      <dsp:nvSpPr>
        <dsp:cNvPr id="0" name=""/>
        <dsp:cNvSpPr/>
      </dsp:nvSpPr>
      <dsp:spPr>
        <a:xfrm>
          <a:off x="3163313" y="2204815"/>
          <a:ext cx="23230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الداخلية.</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الهياكل الإدارية الواضحة </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kern="1200">
            <a:solidFill>
              <a:sysClr val="windowText" lastClr="000000"/>
            </a:solidFill>
            <a:latin typeface="Calibri" panose="020F0502020204030204"/>
            <a:ea typeface="+mn-ea"/>
            <a:cs typeface="+mn-cs"/>
          </a:endParaRPr>
        </a:p>
      </dsp:txBody>
      <dsp:txXfrm>
        <a:off x="3190482" y="2231984"/>
        <a:ext cx="2268748" cy="87327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05539-D1EF-4BD0-A82F-4F6B01F9C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770</TotalTime>
  <Pages>177</Pages>
  <Words>42487</Words>
  <Characters>242180</Characters>
  <Application>Microsoft Office Word</Application>
  <DocSecurity>0</DocSecurity>
  <Lines>2018</Lines>
  <Paragraphs>568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اسراء احمد عبد الحفيظ</dc:creator>
  <cp:lastModifiedBy>PC</cp:lastModifiedBy>
  <cp:revision>166</cp:revision>
  <cp:lastPrinted>2026-09-25T21:37:00Z</cp:lastPrinted>
  <dcterms:created xsi:type="dcterms:W3CDTF">2026-09-25T21:36:00Z</dcterms:created>
  <dcterms:modified xsi:type="dcterms:W3CDTF">2026-10-08T01:25:00Z</dcterms:modified>
</cp:coreProperties>
</file>