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E6567C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63EF8">
        <w:rPr>
          <w:rFonts w:hint="cs"/>
          <w:rtl/>
        </w:rPr>
        <w:t xml:space="preserve"> </w:t>
      </w:r>
      <w:r w:rsidR="00863EF8">
        <w:rPr>
          <w:rFonts w:ascii="Segoe UI" w:hAnsi="Segoe UI" w:cs="Segoe UI"/>
          <w:color w:val="0F1115"/>
          <w:shd w:val="clear" w:color="auto" w:fill="FFFFFF"/>
          <w:rtl/>
        </w:rPr>
        <w:t>ريان عبدالرشيد بخش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863EF8">
            <w:pPr>
              <w:jc w:val="right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863EF8">
            <w:pPr>
              <w:jc w:val="right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863EF8">
            <w:pPr>
              <w:jc w:val="right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863EF8">
            <w:pPr>
              <w:jc w:val="right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863EF8">
            <w:pPr>
              <w:bidi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856B648" w14:textId="77777777" w:rsidR="00863EF8" w:rsidRDefault="00863EF8" w:rsidP="00863EF8">
            <w:pPr>
              <w:bidi/>
            </w:pPr>
          </w:p>
          <w:p w14:paraId="319BD1CE" w14:textId="25D64053" w:rsidR="00863EF8" w:rsidRDefault="00863EF8" w:rsidP="00863EF8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41CCAA2C" w14:textId="2EFD8D0A" w:rsidR="00863EF8" w:rsidRDefault="00863EF8" w:rsidP="00863EF8">
            <w:pPr>
              <w:bidi/>
            </w:pPr>
            <w:r>
              <w:rPr>
                <w:rtl/>
              </w:rPr>
              <w:t>الأهداف الفرعية (الأهداف الفرعية (1-8) مكتوبة كنقاط فارغة بدون محتوى. يجب إكمالها فورًا بصياغة أهداف محددة مثل</w:t>
            </w:r>
            <w:r>
              <w:t>:</w:t>
            </w:r>
          </w:p>
          <w:p w14:paraId="63A927C2" w14:textId="77777777" w:rsidR="00863EF8" w:rsidRDefault="00863EF8" w:rsidP="00863EF8">
            <w:pPr>
              <w:bidi/>
            </w:pPr>
          </w:p>
          <w:p w14:paraId="6B672C25" w14:textId="77777777" w:rsidR="00863EF8" w:rsidRDefault="00863EF8" w:rsidP="00863EF8">
            <w:pPr>
              <w:bidi/>
            </w:pPr>
            <w:r>
              <w:t>"</w:t>
            </w:r>
            <w:r>
              <w:rPr>
                <w:rtl/>
              </w:rPr>
              <w:t>قياس مستوى تبنّي تحليلات البيانات والذكاء الاصطناعي لدى المنشآت الصغيرة والمتوسطة</w:t>
            </w:r>
            <w:r>
              <w:t>."</w:t>
            </w:r>
          </w:p>
          <w:p w14:paraId="70156C24" w14:textId="77777777" w:rsidR="00863EF8" w:rsidRDefault="00863EF8" w:rsidP="00863EF8">
            <w:pPr>
              <w:bidi/>
            </w:pPr>
          </w:p>
          <w:p w14:paraId="00E2A614" w14:textId="77777777" w:rsidR="00863EF8" w:rsidRDefault="00863EF8" w:rsidP="00863EF8">
            <w:pPr>
              <w:bidi/>
            </w:pPr>
            <w:r>
              <w:t>"</w:t>
            </w:r>
            <w:r>
              <w:rPr>
                <w:rtl/>
              </w:rPr>
              <w:t>تحليل أثر تبنّي تحليلات البيانات والذكاء الاصطناعي على الابتكار التشغيلي</w:t>
            </w:r>
            <w:r>
              <w:t>."</w:t>
            </w:r>
          </w:p>
          <w:p w14:paraId="120A10A1" w14:textId="77777777" w:rsidR="00863EF8" w:rsidRDefault="00863EF8" w:rsidP="00863EF8">
            <w:pPr>
              <w:bidi/>
            </w:pPr>
          </w:p>
          <w:p w14:paraId="272CAF48" w14:textId="77777777" w:rsidR="00863EF8" w:rsidRDefault="00863EF8" w:rsidP="00863EF8">
            <w:pPr>
              <w:bidi/>
            </w:pPr>
            <w:r>
              <w:t>"</w:t>
            </w:r>
            <w:r>
              <w:rPr>
                <w:rtl/>
              </w:rPr>
              <w:t>اختبار الدور الوسيط للابتكار التشغيلي في العلاقة بين التبني الرقمي والأداء التشغيلي</w:t>
            </w:r>
            <w:r>
              <w:t>."</w:t>
            </w:r>
          </w:p>
          <w:p w14:paraId="784D245F" w14:textId="77777777" w:rsidR="00863EF8" w:rsidRDefault="00863EF8" w:rsidP="00863EF8">
            <w:pPr>
              <w:bidi/>
            </w:pPr>
          </w:p>
          <w:p w14:paraId="42795672" w14:textId="594DA26A" w:rsidR="00863EF8" w:rsidRDefault="00863EF8" w:rsidP="00863EF8">
            <w:pPr>
              <w:bidi/>
            </w:pPr>
            <w:r>
              <w:rPr>
                <w:rtl/>
              </w:rPr>
              <w:t xml:space="preserve">الدراسة الاستطلاعية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): تم ذكر إجراء دراسة استطلاعية. هذا إجراء علمي ممتاز. يُنصح بتحديد حجم العينة الاستطلاعية (30-50 مشاركًا)</w:t>
            </w:r>
            <w:r>
              <w:t>.</w:t>
            </w:r>
          </w:p>
          <w:p w14:paraId="43F6344C" w14:textId="77777777" w:rsidR="00863EF8" w:rsidRDefault="00863EF8" w:rsidP="00863EF8">
            <w:pPr>
              <w:bidi/>
            </w:pPr>
          </w:p>
          <w:p w14:paraId="57411C21" w14:textId="6022BF7C" w:rsidR="00863EF8" w:rsidRDefault="00863EF8" w:rsidP="00863EF8">
            <w:pPr>
              <w:bidi/>
            </w:pPr>
            <w:r>
              <w:rPr>
                <w:rtl/>
              </w:rPr>
              <w:t>المتغيرات الضابطة (تم إضافة متغيرات ضابطة (حجم المنشأة، عمرها، قطاعها، النضج الرقمي). هذا إجراء منهجي ممتاز يزيد من دقة النتائج</w:t>
            </w:r>
            <w:r>
              <w:t>.</w:t>
            </w:r>
          </w:p>
          <w:p w14:paraId="77E0F3A1" w14:textId="77777777" w:rsidR="00863EF8" w:rsidRDefault="00863EF8" w:rsidP="00863EF8">
            <w:pPr>
              <w:bidi/>
            </w:pPr>
          </w:p>
          <w:p w14:paraId="0BEF58EF" w14:textId="425BD539" w:rsidR="00863EF8" w:rsidRDefault="00863EF8" w:rsidP="00863EF8">
            <w:pPr>
              <w:bidi/>
            </w:pPr>
            <w:r>
              <w:rPr>
                <w:rtl/>
              </w:rPr>
              <w:t xml:space="preserve">التحليل الإحصائي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): تم ذكر استخدام</w:t>
            </w:r>
            <w:r>
              <w:t xml:space="preserve"> SmartPLS </w:t>
            </w:r>
            <w:r>
              <w:rPr>
                <w:rtl/>
              </w:rPr>
              <w:t>لتحليل الوساطة. هذا ممتاز. أنصح أيضًا بإجراء اختبار</w:t>
            </w:r>
            <w:r>
              <w:t xml:space="preserve"> (VIF) </w:t>
            </w:r>
            <w:r>
              <w:rPr>
                <w:rtl/>
              </w:rPr>
              <w:t>للتأكد من عدم وجود مشكلة تعدد الخطية</w:t>
            </w:r>
            <w:r>
              <w:t>.</w:t>
            </w:r>
          </w:p>
          <w:p w14:paraId="78337C99" w14:textId="77777777" w:rsidR="00863EF8" w:rsidRDefault="00863EF8" w:rsidP="00863EF8">
            <w:pPr>
              <w:bidi/>
            </w:pPr>
          </w:p>
          <w:p w14:paraId="6A3FE720" w14:textId="71B84AE8" w:rsidR="00863EF8" w:rsidRDefault="00863EF8" w:rsidP="00863EF8">
            <w:pPr>
              <w:bidi/>
            </w:pPr>
            <w:r>
              <w:rPr>
                <w:rtl/>
              </w:rPr>
              <w:t xml:space="preserve">قائمة المراجع 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t>قائمة المراجع جيدة، لكن يُنصح بإضافة المزيد من المراجع العربية الحديثة في مجال التحول الرقمي والمنشآت الصغيرة والمتوسطة</w:t>
            </w:r>
            <w:r>
              <w:t>.</w:t>
            </w:r>
          </w:p>
          <w:p w14:paraId="3092A60B" w14:textId="77777777" w:rsidR="00863EF8" w:rsidRDefault="00863EF8" w:rsidP="00863EF8">
            <w:pPr>
              <w:bidi/>
            </w:pPr>
          </w:p>
          <w:p w14:paraId="7435E8FC" w14:textId="04F8D1A9" w:rsidR="008239B5" w:rsidRDefault="00863EF8" w:rsidP="00863EF8">
            <w:pPr>
              <w:bidi/>
            </w:pPr>
            <w:r>
              <w:rPr>
                <w:rtl/>
              </w:rPr>
              <w:t>الملاحق: يُنصح بإرفاق نسخة كاملة من الاستبيان في الملاحق بعد تحكيمه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63EF8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