
<file path=[Content_Types].xml><?xml version="1.0" encoding="utf-8"?>
<Types xmlns="http://schemas.openxmlformats.org/package/2006/content-types">
  <Default ContentType="image/jpeg" Extension="jpeg"/>
  <Default ContentType="application/vnd.openxmlformats-officedocument.obfuscatedFont" Extension="odttf"/>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xmlns:wp="http://schemas.openxmlformats.org/drawingml/2006/wordprocessingDrawing" xmlns:a="http://schemas.openxmlformats.org/drawingml/2006/main" xmlns:r="http://schemas.openxmlformats.org/officeDocument/2006/relationships">
  <w:body>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jc w:val="end"/>
      </w:pPr>
      <w:r>
        <w:drawing>
          <wp:inline>
            <wp:extent cx="1486552" cy="592714"/>
            <wp:docPr id="0" name="Drawing 0" descr="A logo for a university  Description automatically generated"/>
            <wp:cNvGraphicFramePr>
              <a:graphicFrameLocks noChangeAspect="true"/>
            </wp:cNvGraphicFramePr>
            <a:graphic>
              <a:graphicData uri="http://schemas.openxmlformats.org/drawingml/2006/picture">
                <pic:pic xmlns:pic="http://schemas.openxmlformats.org/drawingml/2006/picture">
                  <pic:nvPicPr>
                    <pic:cNvPr id="0" name="Picture 0" descr="5284ebfbbe0f96b3b8f39687155cd594.jpg"/>
                    <pic:cNvPicPr>
                      <a:picLocks noChangeAspect="true"/>
                    </pic:cNvPicPr>
                  </pic:nvPicPr>
                  <pic:blipFill>
                    <a:blip r:embed="rId3"/>
                    <a:srcRect l="0" t="21985" r="0" b="16312"/>
                    <a:stretch>
                      <a:fillRect/>
                    </a:stretch>
                  </pic:blipFill>
                  <pic:spPr>
                    <a:xfrm flipH="false" flipV="false">
                      <a:off x="0" y="0"/>
                      <a:ext cx="1486552" cy="592714"/>
                    </a:xfrm>
                    <a:prstGeom prst="rect">
                      <a:avLst/>
                    </a:prstGeom>
                  </pic:spPr>
                </pic:pic>
              </a:graphicData>
            </a:graphic>
          </wp:inline>
        </w:drawing>
      </w:r>
    </w:p>
    <w:p>
      <w:pPr>
        <w:bidi/>
        <w:spacing w:after="120" w:before="120" w:line="278" w:lineRule="auto"/>
        <w:ind w:firstLine="0" w:start="0"/>
        <w:jc w:val="start"/>
      </w:pPr>
      <w:r>
        <w:rPr>
          <w:rFonts w:ascii="Arimo" w:hAnsi="Arimo" w:cs="Arimo" w:eastAsia="Arimo"/>
          <w:color w:val="000000"/>
          <w:sz w:val="26"/>
          <w:szCs w:val="26"/>
          <w:rtl/>
        </w:rPr>
        <w:t>جامعة ميدأوشن</w:t>
      </w:r>
      <w:r>
        <w:rPr>
          <w:rFonts w:ascii="Arimo" w:hAnsi="Arimo" w:cs="Arimo" w:eastAsia="Arimo"/>
          <w:color w:val="000000"/>
          <w:sz w:val="24"/>
          <w:szCs w:val="24"/>
          <w:rtl/>
        </w:rPr>
        <w:t xml:space="preserve">
</w:t>
      </w:r>
    </w:p>
    <w:p>
      <w:pPr>
        <w:bidi/>
        <w:spacing w:after="120" w:before="120" w:line="278" w:lineRule="auto"/>
        <w:ind w:firstLine="0" w:start="0"/>
        <w:jc w:val="start"/>
      </w:pPr>
      <w:r>
        <w:rPr>
          <w:rFonts w:ascii="Arimo" w:hAnsi="Arimo" w:cs="Arimo" w:eastAsia="Arimo"/>
          <w:color w:val="000000"/>
          <w:sz w:val="26"/>
          <w:szCs w:val="26"/>
          <w:rtl/>
        </w:rPr>
        <w:t>كلية الإعلام والتسويق</w:t>
      </w:r>
      <w:r>
        <w:rPr>
          <w:rFonts w:ascii="Arimo" w:hAnsi="Arimo" w:cs="Arimo" w:eastAsia="Arimo"/>
          <w:color w:val="000000"/>
          <w:sz w:val="24"/>
          <w:szCs w:val="24"/>
          <w:rtl/>
        </w:rPr>
        <w:t xml:space="preserve">
</w:t>
      </w:r>
    </w:p>
    <w:p>
      <w:pPr>
        <w:bidi/>
        <w:spacing w:after="120" w:before="120" w:line="278" w:lineRule="auto"/>
        <w:ind w:firstLine="0" w:start="0"/>
        <w:jc w:val="start"/>
      </w:pPr>
      <w:r>
        <w:rPr>
          <w:rFonts w:ascii="Arimo" w:hAnsi="Arimo" w:cs="Arimo" w:eastAsia="Arimo"/>
          <w:color w:val="000000"/>
          <w:sz w:val="26"/>
          <w:szCs w:val="26"/>
          <w:rtl/>
        </w:rPr>
        <w:t>بكالوريوس الإعلام الرقمي "</w:t>
      </w:r>
      <w:r>
        <w:rPr>
          <w:rFonts w:ascii="Arimo" w:hAnsi="Arimo" w:cs="Arimo" w:eastAsia="Arimo"/>
          <w:color w:val="000000"/>
          <w:sz w:val="26"/>
          <w:szCs w:val="26"/>
        </w:rPr>
        <w:t>13</w:t>
      </w:r>
      <w:r>
        <w:rPr>
          <w:rFonts w:ascii="Arimo" w:hAnsi="Arimo" w:cs="Arimo" w:eastAsia="Arimo"/>
          <w:color w:val="000000"/>
          <w:sz w:val="26"/>
          <w:szCs w:val="26"/>
          <w:rtl/>
        </w:rPr>
        <w:t>"</w:t>
      </w:r>
      <w:r>
        <w:rPr>
          <w:rFonts w:ascii="Arimo" w:hAnsi="Arimo" w:cs="Arimo" w:eastAsia="Arimo"/>
          <w:color w:val="000000"/>
          <w:sz w:val="24"/>
          <w:szCs w:val="24"/>
          <w:rtl/>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bidi/>
        <w:spacing w:after="120" w:before="120" w:line="278" w:lineRule="auto"/>
        <w:ind w:firstLine="0" w:start="0"/>
        <w:jc w:val="center"/>
      </w:pPr>
      <w:r>
        <w:rPr>
          <w:rFonts w:ascii="Arimo" w:hAnsi="Arimo" w:cs="Arimo" w:eastAsia="Arimo"/>
          <w:color w:val="000000"/>
          <w:sz w:val="32"/>
          <w:szCs w:val="32"/>
          <w:rtl/>
        </w:rPr>
        <w:t>خطة بحثية مقدمة لدرجة البكالوريوس في الإعلام الرقمي</w:t>
      </w:r>
      <w:r>
        <w:rPr>
          <w:rFonts w:ascii="Arimo Bold" w:hAnsi="Arimo Bold" w:cs="Arimo Bold" w:eastAsia="Arimo Bold"/>
          <w:b/>
          <w:bCs/>
          <w:color w:val="000000"/>
          <w:sz w:val="32"/>
          <w:szCs w:val="32"/>
          <w:rtl/>
        </w:rPr>
        <w:t xml:space="preserve"> "</w:t>
      </w:r>
      <w:r>
        <w:rPr>
          <w:rFonts w:ascii="Arimo Bold" w:hAnsi="Arimo Bold" w:cs="Arimo Bold" w:eastAsia="Arimo Bold"/>
          <w:b/>
          <w:bCs/>
          <w:color w:val="000000"/>
          <w:sz w:val="32"/>
          <w:szCs w:val="32"/>
        </w:rPr>
        <w:t>16</w:t>
      </w:r>
      <w:r>
        <w:rPr>
          <w:rFonts w:ascii="Arimo Bold" w:hAnsi="Arimo Bold" w:cs="Arimo Bold" w:eastAsia="Arimo Bold"/>
          <w:b/>
          <w:bCs/>
          <w:color w:val="000000"/>
          <w:sz w:val="32"/>
          <w:szCs w:val="32"/>
          <w:rtl/>
        </w:rPr>
        <w:t>"</w:t>
      </w:r>
      <w:r>
        <w:rPr>
          <w:rFonts w:ascii="Arimo" w:hAnsi="Arimo" w:cs="Arimo" w:eastAsia="Arimo"/>
          <w:color w:val="000000"/>
          <w:sz w:val="24"/>
          <w:szCs w:val="24"/>
          <w:rtl/>
        </w:rPr>
        <w:t xml:space="preserve">
</w:t>
      </w:r>
    </w:p>
    <w:p>
      <w:pPr>
        <w:bidi/>
        <w:spacing w:after="120" w:before="120" w:line="278" w:lineRule="auto"/>
        <w:ind w:firstLine="0" w:start="0"/>
        <w:jc w:val="center"/>
      </w:pPr>
      <w:r>
        <w:rPr>
          <w:rFonts w:ascii="Arimo Bold" w:hAnsi="Arimo Bold" w:cs="Arimo Bold" w:eastAsia="Arimo Bold"/>
          <w:b/>
          <w:bCs/>
          <w:color w:val="000000"/>
          <w:sz w:val="36"/>
          <w:szCs w:val="36"/>
          <w:rtl/>
        </w:rPr>
        <w:t>تشكيل خوارزميات التيك توك للوعي الثقافي لدى الشباب السعودي</w:t>
      </w:r>
      <w:r>
        <w:rPr>
          <w:rFonts w:ascii="Arimo Bold" w:hAnsi="Arimo Bold" w:cs="Arimo Bold" w:eastAsia="Arimo Bold"/>
          <w:b/>
          <w:bCs/>
          <w:color w:val="000000"/>
          <w:sz w:val="36"/>
          <w:szCs w:val="36"/>
          <w:rtl/>
        </w:rPr>
        <w:t>"</w:t>
      </w:r>
      <w:r>
        <w:rPr>
          <w:rFonts w:ascii="Arimo Bold" w:hAnsi="Arimo Bold" w:cs="Arimo Bold" w:eastAsia="Arimo Bold"/>
          <w:b/>
          <w:bCs/>
          <w:color w:val="000000"/>
          <w:sz w:val="36"/>
          <w:szCs w:val="36"/>
        </w:rPr>
        <w:t>18</w:t>
      </w:r>
      <w:r>
        <w:rPr>
          <w:rFonts w:ascii="Arimo Bold" w:hAnsi="Arimo Bold" w:cs="Arimo Bold" w:eastAsia="Arimo Bold"/>
          <w:b/>
          <w:bCs/>
          <w:color w:val="000000"/>
          <w:sz w:val="36"/>
          <w:szCs w:val="36"/>
          <w:rtl/>
        </w:rPr>
        <w:t>"</w:t>
      </w:r>
      <w:r>
        <w:rPr>
          <w:rFonts w:ascii="Arimo" w:hAnsi="Arimo" w:cs="Arimo" w:eastAsia="Arimo"/>
          <w:color w:val="000000"/>
          <w:sz w:val="24"/>
          <w:szCs w:val="24"/>
          <w:rtl/>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bidi/>
        <w:spacing w:after="120" w:before="120" w:line="278" w:lineRule="auto"/>
        <w:ind w:firstLine="0" w:start="0"/>
        <w:jc w:val="start"/>
      </w:pPr>
      <w:r>
        <w:rPr>
          <w:rFonts w:ascii="Arimo" w:hAnsi="Arimo" w:cs="Arimo" w:eastAsia="Arimo"/>
          <w:color w:val="000000"/>
          <w:sz w:val="32"/>
          <w:szCs w:val="32"/>
          <w:rtl/>
        </w:rPr>
        <w:t xml:space="preserve">إعداد: </w:t>
      </w:r>
      <w:r>
        <w:rPr>
          <w:rFonts w:ascii="Arimo" w:hAnsi="Arimo" w:cs="Arimo" w:eastAsia="Arimo"/>
          <w:color w:val="000000"/>
          <w:sz w:val="32"/>
          <w:szCs w:val="32"/>
          <w:rtl/>
        </w:rPr>
        <w:t>ربا عبدالناصر حبش</w:t>
      </w:r>
      <w:r>
        <w:rPr>
          <w:rFonts w:ascii="Arimo" w:hAnsi="Arimo" w:cs="Arimo" w:eastAsia="Arimo"/>
          <w:color w:val="000000"/>
          <w:sz w:val="32"/>
          <w:szCs w:val="32"/>
          <w:rtl/>
        </w:rPr>
        <w:t xml:space="preserve">
</w:t>
      </w:r>
    </w:p>
    <w:p>
      <w:pPr>
        <w:bidi/>
        <w:spacing w:after="120" w:before="120" w:line="278" w:lineRule="auto"/>
        <w:ind w:firstLine="0" w:start="0"/>
        <w:jc w:val="start"/>
      </w:pPr>
      <w:r>
        <w:rPr>
          <w:rFonts w:ascii="Arimo" w:hAnsi="Arimo" w:cs="Arimo" w:eastAsia="Arimo"/>
          <w:color w:val="000000"/>
          <w:sz w:val="32"/>
          <w:szCs w:val="32"/>
          <w:rtl/>
        </w:rPr>
        <w:t>الرقم الأكاديمي:</w:t>
      </w:r>
      <w:r>
        <w:rPr>
          <w:rFonts w:ascii="Arimo" w:hAnsi="Arimo" w:cs="Arimo" w:eastAsia="Arimo"/>
          <w:color w:val="000000"/>
          <w:sz w:val="32"/>
          <w:szCs w:val="32"/>
          <w:rtl/>
        </w:rPr>
        <w:t xml:space="preserve"> </w:t>
      </w:r>
      <w:r>
        <w:rPr>
          <w:rFonts w:ascii="Arimo" w:hAnsi="Arimo" w:cs="Arimo" w:eastAsia="Arimo"/>
          <w:color w:val="000000"/>
          <w:sz w:val="32"/>
          <w:szCs w:val="32"/>
        </w:rPr>
        <w:t>233000897</w:t>
      </w:r>
      <w:r>
        <w:rPr>
          <w:rFonts w:ascii="Arimo" w:hAnsi="Arimo" w:cs="Arimo" w:eastAsia="Arimo"/>
          <w:color w:val="000000"/>
          <w:sz w:val="32"/>
          <w:szCs w:val="32"/>
          <w:rtl/>
        </w:rPr>
        <w:t xml:space="preserve">
</w:t>
      </w:r>
    </w:p>
    <w:p>
      <w:pPr>
        <w:bidi/>
        <w:spacing w:after="120" w:before="120" w:line="278" w:lineRule="auto"/>
        <w:ind w:firstLine="0" w:start="0"/>
        <w:jc w:val="center"/>
      </w:pPr>
      <w:r>
        <w:rPr>
          <w:rFonts w:ascii="Arimo" w:hAnsi="Arimo" w:cs="Arimo" w:eastAsia="Arimo"/>
          <w:color w:val="000000"/>
          <w:sz w:val="32"/>
          <w:szCs w:val="32"/>
          <w:rtl/>
        </w:rPr>
        <w:t>إشراف: "</w:t>
      </w:r>
      <w:r>
        <w:rPr>
          <w:rFonts w:ascii="Arimo" w:hAnsi="Arimo" w:cs="Arimo" w:eastAsia="Arimo"/>
          <w:color w:val="000000"/>
          <w:sz w:val="32"/>
          <w:szCs w:val="32"/>
        </w:rPr>
        <w:t>16</w:t>
      </w:r>
      <w:r>
        <w:rPr>
          <w:rFonts w:ascii="Arimo" w:hAnsi="Arimo" w:cs="Arimo" w:eastAsia="Arimo"/>
          <w:color w:val="000000"/>
          <w:sz w:val="32"/>
          <w:szCs w:val="32"/>
          <w:rtl/>
        </w:rPr>
        <w:t>"</w:t>
      </w:r>
      <w:r>
        <w:rPr>
          <w:rFonts w:ascii="Arimo" w:hAnsi="Arimo" w:cs="Arimo" w:eastAsia="Arimo"/>
          <w:color w:val="000000"/>
          <w:sz w:val="24"/>
          <w:szCs w:val="24"/>
          <w:rtl/>
        </w:rPr>
        <w:t xml:space="preserve">
</w:t>
      </w:r>
    </w:p>
    <w:p>
      <w:pPr>
        <w:bidi/>
        <w:spacing w:after="120" w:before="120" w:line="278" w:lineRule="auto"/>
        <w:ind w:firstLine="0" w:start="0"/>
        <w:jc w:val="center"/>
      </w:pPr>
      <w:r>
        <w:rPr>
          <w:rFonts w:ascii="Arimo" w:hAnsi="Arimo" w:cs="Arimo" w:eastAsia="Arimo"/>
          <w:color w:val="000000"/>
          <w:sz w:val="32"/>
          <w:szCs w:val="32"/>
          <w:rtl/>
        </w:rPr>
        <w:t>د. توفيق عمري</w:t>
      </w:r>
      <w:r>
        <w:rPr>
          <w:rFonts w:ascii="Arimo" w:hAnsi="Arimo" w:cs="Arimo" w:eastAsia="Arimo"/>
          <w:color w:val="000000"/>
          <w:sz w:val="24"/>
          <w:szCs w:val="24"/>
          <w:rtl/>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bidi/>
        <w:spacing w:after="120" w:before="120" w:line="278" w:lineRule="auto"/>
        <w:ind w:firstLine="0" w:start="0"/>
        <w:jc w:val="center"/>
      </w:pPr>
      <w:r>
        <w:rPr>
          <w:rFonts w:ascii="Arimo" w:hAnsi="Arimo" w:cs="Arimo" w:eastAsia="Arimo"/>
          <w:color w:val="000000"/>
          <w:sz w:val="26"/>
          <w:szCs w:val="26"/>
        </w:rPr>
        <w:t>2026</w:t>
      </w:r>
      <w:r>
        <w:rPr>
          <w:rFonts w:ascii="Arimo" w:hAnsi="Arimo" w:cs="Arimo" w:eastAsia="Arimo"/>
          <w:color w:val="000000"/>
          <w:sz w:val="32"/>
          <w:szCs w:val="32"/>
          <w:rtl/>
        </w:rPr>
        <w:t xml:space="preserve"> </w:t>
      </w:r>
      <w:r>
        <w:rPr>
          <w:rFonts w:ascii="Arimo" w:hAnsi="Arimo" w:cs="Arimo" w:eastAsia="Arimo"/>
          <w:color w:val="000000"/>
          <w:sz w:val="32"/>
          <w:szCs w:val="32"/>
          <w:rtl/>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jc w:val="start"/>
      </w:pPr>
      <w:r>
        <w:drawing>
          <wp:inline>
            <wp:extent cx="1486552" cy="592714"/>
            <wp:docPr id="1" name="Drawing 1" descr="A logo for a university  Description automatically generated"/>
            <wp:cNvGraphicFramePr>
              <a:graphicFrameLocks noChangeAspect="true"/>
            </wp:cNvGraphicFramePr>
            <a:graphic>
              <a:graphicData uri="http://schemas.openxmlformats.org/drawingml/2006/picture">
                <pic:pic xmlns:pic="http://schemas.openxmlformats.org/drawingml/2006/picture">
                  <pic:nvPicPr>
                    <pic:cNvPr id="0" name="Picture 1" descr="5284ebfbbe0f96b3b8f39687155cd594.jpg"/>
                    <pic:cNvPicPr>
                      <a:picLocks noChangeAspect="true"/>
                    </pic:cNvPicPr>
                  </pic:nvPicPr>
                  <pic:blipFill>
                    <a:blip r:embed="rId3"/>
                    <a:srcRect l="0" t="21985" r="0" b="16312"/>
                    <a:stretch>
                      <a:fillRect/>
                    </a:stretch>
                  </pic:blipFill>
                  <pic:spPr>
                    <a:xfrm flipH="false" flipV="false">
                      <a:off x="0" y="0"/>
                      <a:ext cx="1486552" cy="592714"/>
                    </a:xfrm>
                    <a:prstGeom prst="rect">
                      <a:avLst/>
                    </a:prstGeom>
                  </pic:spPr>
                </pic:pic>
              </a:graphicData>
            </a:graphic>
          </wp:inline>
        </w:drawing>
      </w:r>
    </w:p>
    <w:p>
      <w:pPr>
        <w:bidi/>
        <w:spacing w:after="120" w:before="120" w:line="278" w:lineRule="auto"/>
        <w:ind w:firstLine="0" w:start="0"/>
        <w:jc w:val="start"/>
      </w:pPr>
      <w:r>
        <w:rPr>
          <w:rFonts w:ascii="Calibri (MS)" w:hAnsi="Calibri (MS)" w:cs="Calibri (MS)" w:eastAsia="Calibri (MS)"/>
          <w:color w:val="000000"/>
          <w:sz w:val="26"/>
          <w:szCs w:val="26"/>
        </w:rPr>
        <w:t>Midocean University</w:t>
      </w:r>
      <w:r>
        <w:rPr>
          <w:rFonts w:ascii="Arimo" w:hAnsi="Arimo" w:cs="Arimo" w:eastAsia="Arimo"/>
          <w:color w:val="000000"/>
          <w:sz w:val="24"/>
          <w:szCs w:val="24"/>
          <w:rtl/>
        </w:rPr>
        <w:t xml:space="preserve">
</w:t>
      </w:r>
    </w:p>
    <w:p>
      <w:pPr>
        <w:bidi/>
        <w:spacing w:after="120" w:before="120" w:line="278" w:lineRule="auto"/>
        <w:ind w:firstLine="0" w:start="0"/>
        <w:jc w:val="start"/>
      </w:pPr>
      <w:r>
        <w:rPr>
          <w:rFonts w:ascii="Calibri (MS)" w:hAnsi="Calibri (MS)" w:cs="Calibri (MS)" w:eastAsia="Calibri (MS)"/>
          <w:color w:val="000000"/>
          <w:sz w:val="26"/>
          <w:szCs w:val="26"/>
        </w:rPr>
        <w:t>College of Media and Marketing</w:t>
      </w:r>
      <w:r>
        <w:rPr>
          <w:rFonts w:ascii="Arimo" w:hAnsi="Arimo" w:cs="Arimo" w:eastAsia="Arimo"/>
          <w:color w:val="000000"/>
          <w:sz w:val="24"/>
          <w:szCs w:val="24"/>
          <w:rtl/>
        </w:rPr>
        <w:t xml:space="preserve">
</w:t>
      </w:r>
    </w:p>
    <w:p>
      <w:pPr>
        <w:bidi/>
        <w:spacing w:after="120" w:before="120" w:line="278" w:lineRule="auto"/>
        <w:ind w:firstLine="0" w:start="0"/>
        <w:jc w:val="start"/>
      </w:pPr>
      <w:r>
        <w:rPr>
          <w:rFonts w:ascii="Calibri (MS)" w:hAnsi="Calibri (MS)" w:cs="Calibri (MS)" w:eastAsia="Calibri (MS)"/>
          <w:color w:val="000000"/>
          <w:sz w:val="26"/>
          <w:szCs w:val="26"/>
        </w:rPr>
        <w:t>Bachelor of Digital Media</w:t>
      </w:r>
      <w:r>
        <w:rPr>
          <w:rFonts w:ascii="Calibri (MS)" w:hAnsi="Calibri (MS)" w:cs="Calibri (MS)" w:eastAsia="Calibri (MS)"/>
          <w:color w:val="000000"/>
          <w:sz w:val="26"/>
          <w:szCs w:val="26"/>
          <w:rtl/>
        </w:rPr>
        <w:t xml:space="preserve"> </w:t>
      </w:r>
      <w:r>
        <w:rPr>
          <w:rFonts w:ascii="Arimo" w:hAnsi="Arimo" w:cs="Arimo" w:eastAsia="Arimo"/>
          <w:color w:val="000000"/>
          <w:sz w:val="24"/>
          <w:szCs w:val="24"/>
          <w:rtl/>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bidi/>
        <w:spacing w:after="120" w:before="120" w:line="278" w:lineRule="auto"/>
        <w:ind w:firstLine="0" w:start="0"/>
        <w:jc w:val="center"/>
      </w:pPr>
      <w:r>
        <w:rPr>
          <w:rFonts w:ascii="Calibri (MS)" w:hAnsi="Calibri (MS)" w:cs="Calibri (MS)" w:eastAsia="Calibri (MS)"/>
          <w:color w:val="000000"/>
          <w:sz w:val="32"/>
          <w:szCs w:val="32"/>
        </w:rPr>
        <w:t>A Research Proposal Submitted in Partial Fulfillment of the Requirements for the Bachelor of Digital Medi</w:t>
      </w:r>
      <w:r>
        <w:rPr>
          <w:rFonts w:ascii="Calibri (MS)" w:hAnsi="Calibri (MS)" w:cs="Calibri (MS)" w:eastAsia="Calibri (MS)"/>
          <w:color w:val="000000"/>
          <w:sz w:val="32"/>
          <w:szCs w:val="32"/>
          <w:rtl/>
        </w:rPr>
        <w:t xml:space="preserve">
</w:t>
      </w:r>
    </w:p>
    <w:p>
      <w:pPr>
        <w:bidi/>
        <w:spacing w:after="120" w:before="120" w:line="278" w:lineRule="auto"/>
        <w:ind w:firstLine="0" w:start="0"/>
        <w:jc w:val="center"/>
      </w:pPr>
      <w:r>
        <w:rPr>
          <w:rFonts w:ascii="Calibri (MS)" w:hAnsi="Calibri (MS)" w:cs="Calibri (MS)" w:eastAsia="Calibri (MS)"/>
          <w:color w:val="000000"/>
          <w:sz w:val="36"/>
          <w:szCs w:val="36"/>
        </w:rPr>
        <w:t>TikTok Algorithms and Their Influence on Cultural Awareness among Saudi Youth</w:t>
      </w:r>
      <w:r>
        <w:rPr>
          <w:rFonts w:ascii="Calibri (MS)" w:hAnsi="Calibri (MS)" w:cs="Calibri (MS)" w:eastAsia="Calibri (MS)"/>
          <w:color w:val="000000"/>
          <w:sz w:val="36"/>
          <w:szCs w:val="36"/>
          <w:rtl/>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bidi/>
        <w:spacing w:after="120" w:before="120" w:line="278" w:lineRule="auto"/>
        <w:ind w:firstLine="0" w:start="0"/>
        <w:jc w:val="start"/>
      </w:pPr>
      <w:r>
        <w:rPr>
          <w:rFonts w:ascii="Calibri (MS)" w:hAnsi="Calibri (MS)" w:cs="Calibri (MS)" w:eastAsia="Calibri (MS)"/>
          <w:color w:val="000000"/>
          <w:sz w:val="32"/>
          <w:szCs w:val="32"/>
          <w:rtl/>
        </w:rPr>
        <w:t xml:space="preserve"> </w:t>
      </w:r>
      <w:r>
        <w:rPr>
          <w:rFonts w:ascii="Calibri (MS)" w:hAnsi="Calibri (MS)" w:cs="Calibri (MS)" w:eastAsia="Calibri (MS)"/>
          <w:color w:val="000000"/>
          <w:sz w:val="32"/>
          <w:szCs w:val="32"/>
        </w:rPr>
        <w:t>RUBA HABASH :</w:t>
      </w:r>
      <w:r>
        <w:rPr>
          <w:rFonts w:ascii="Calibri (MS)" w:hAnsi="Calibri (MS)" w:cs="Calibri (MS)" w:eastAsia="Calibri (MS)"/>
          <w:color w:val="000000"/>
          <w:sz w:val="32"/>
          <w:szCs w:val="32"/>
        </w:rPr>
        <w:t xml:space="preserve"> name</w:t>
      </w:r>
      <w:r>
        <w:rPr>
          <w:rFonts w:ascii="Calibri (MS)" w:hAnsi="Calibri (MS)" w:cs="Calibri (MS)" w:eastAsia="Calibri (MS)"/>
          <w:color w:val="000000"/>
          <w:sz w:val="32"/>
          <w:szCs w:val="32"/>
          <w:rtl/>
        </w:rPr>
        <w:t xml:space="preserve"> </w:t>
      </w:r>
      <w:r>
        <w:rPr>
          <w:rFonts w:ascii="Calibri (MS)" w:hAnsi="Calibri (MS)" w:cs="Calibri (MS)" w:eastAsia="Calibri (MS)"/>
          <w:color w:val="000000"/>
          <w:sz w:val="32"/>
          <w:szCs w:val="32"/>
          <w:rtl/>
        </w:rPr>
        <w:t xml:space="preserve">
</w:t>
      </w:r>
    </w:p>
    <w:p>
      <w:pPr>
        <w:bidi/>
        <w:spacing w:after="120" w:before="120" w:line="278" w:lineRule="auto"/>
        <w:ind w:firstLine="0" w:start="0"/>
        <w:jc w:val="start"/>
      </w:pPr>
      <w:r>
        <w:rPr>
          <w:rFonts w:ascii="Calibri (MS)" w:hAnsi="Calibri (MS)" w:cs="Calibri (MS)" w:eastAsia="Calibri (MS)"/>
          <w:color w:val="000000"/>
          <w:sz w:val="32"/>
          <w:szCs w:val="32"/>
        </w:rPr>
        <w:t>ID:</w:t>
      </w:r>
      <w:r>
        <w:rPr>
          <w:rFonts w:ascii="Arimo" w:hAnsi="Arimo" w:cs="Arimo" w:eastAsia="Arimo"/>
          <w:color w:val="000000"/>
          <w:sz w:val="32"/>
          <w:szCs w:val="32"/>
        </w:rPr>
        <w:t>233000897</w:t>
      </w:r>
      <w:r>
        <w:rPr>
          <w:rFonts w:ascii="Arimo" w:hAnsi="Arimo" w:cs="Arimo" w:eastAsia="Arimo"/>
          <w:color w:val="000000"/>
          <w:sz w:val="32"/>
          <w:szCs w:val="32"/>
          <w:rtl/>
        </w:rPr>
        <w:t xml:space="preserve"> </w:t>
      </w:r>
      <w:r>
        <w:rPr>
          <w:rFonts w:ascii="Arimo" w:hAnsi="Arimo" w:cs="Arimo" w:eastAsia="Arimo"/>
          <w:color w:val="000000"/>
          <w:sz w:val="24"/>
          <w:szCs w:val="24"/>
          <w:rtl/>
        </w:rPr>
        <w:t xml:space="preserve">
</w:t>
      </w:r>
    </w:p>
    <w:p>
      <w:pPr>
        <w:bidi/>
        <w:spacing w:after="120" w:before="120" w:line="278" w:lineRule="auto"/>
        <w:ind w:firstLine="0" w:start="0"/>
        <w:jc w:val="center"/>
      </w:pPr>
      <w:r>
        <w:rPr>
          <w:rFonts w:ascii="Calibri (MS)" w:hAnsi="Calibri (MS)" w:cs="Calibri (MS)" w:eastAsia="Calibri (MS)"/>
          <w:color w:val="000000"/>
          <w:sz w:val="32"/>
          <w:szCs w:val="32"/>
        </w:rPr>
        <w:t>Supervised by</w:t>
      </w:r>
      <w:r>
        <w:rPr>
          <w:rFonts w:ascii="Calibri (MS)" w:hAnsi="Calibri (MS)" w:cs="Calibri (MS)" w:eastAsia="Calibri (MS)"/>
          <w:color w:val="000000"/>
          <w:sz w:val="32"/>
          <w:szCs w:val="32"/>
          <w:rtl/>
        </w:rPr>
        <w:t>:</w:t>
      </w:r>
      <w:r>
        <w:rPr>
          <w:rFonts w:ascii="Arimo" w:hAnsi="Arimo" w:cs="Arimo" w:eastAsia="Arimo"/>
          <w:color w:val="000000"/>
          <w:sz w:val="24"/>
          <w:szCs w:val="24"/>
          <w:rtl/>
        </w:rPr>
        <w:t xml:space="preserve">
</w:t>
      </w:r>
    </w:p>
    <w:p>
      <w:pPr>
        <w:bidi/>
        <w:spacing w:after="120" w:before="120" w:line="278" w:lineRule="auto"/>
        <w:ind w:firstLine="0" w:start="0"/>
        <w:jc w:val="center"/>
      </w:pPr>
      <w:r>
        <w:rPr>
          <w:rFonts w:ascii="Calibri (MS)" w:hAnsi="Calibri (MS)" w:cs="Calibri (MS)" w:eastAsia="Calibri (MS)"/>
          <w:color w:val="000000"/>
          <w:sz w:val="32"/>
          <w:szCs w:val="32"/>
        </w:rPr>
        <w:t>Dr. Tewfik amri</w:t>
      </w:r>
      <w:r>
        <w:rPr>
          <w:rFonts w:ascii="Arimo" w:hAnsi="Arimo" w:cs="Arimo" w:eastAsia="Arimo"/>
          <w:color w:val="000000"/>
          <w:sz w:val="24"/>
          <w:szCs w:val="24"/>
          <w:rtl/>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bidi/>
        <w:spacing w:after="120" w:before="120" w:line="278" w:lineRule="auto"/>
        <w:ind w:firstLine="0" w:start="0"/>
        <w:jc w:val="center"/>
      </w:pPr>
      <w:r>
        <w:rPr>
          <w:rFonts w:ascii="Arimo" w:hAnsi="Arimo" w:cs="Arimo" w:eastAsia="Arimo"/>
          <w:color w:val="000000"/>
          <w:sz w:val="26"/>
          <w:szCs w:val="26"/>
        </w:rPr>
        <w:t>2026</w:t>
      </w:r>
      <w:r>
        <w:rPr>
          <w:rFonts w:ascii="Arimo" w:hAnsi="Arimo" w:cs="Arimo" w:eastAsia="Arimo"/>
          <w:color w:val="000000"/>
          <w:sz w:val="24"/>
          <w:szCs w:val="24"/>
          <w:rtl/>
        </w:rPr>
        <w:t xml:space="preserve">
</w:t>
      </w:r>
    </w:p>
    <w:p>
      <w:pPr>
        <w:spacing w:after="120" w:before="120" w:line="278" w:lineRule="auto"/>
        <w:ind w:firstLine="0" w:start="0"/>
        <w:jc w:val="start"/>
      </w:pPr>
      <w:r>
        <w:rPr>
          <w:rFonts w:ascii="Arimo" w:hAnsi="Arimo" w:cs="Arimo" w:eastAsia="Arimo"/>
          <w:color w:val="000000"/>
          <w:sz w:val="24"/>
          <w:szCs w:val="24"/>
        </w:rPr>
        <w:t xml:space="preserve">
</w:t>
      </w:r>
    </w:p>
    <w:p>
      <w:pPr>
        <w:spacing w:after="120" w:before="120"/>
      </w:pPr>
      <w:r>
        <w:br w:type="page"/>
      </w:r>
    </w:p>
    <w:p>
      <w:pPr>
        <w:bidi/>
        <w:spacing w:after="120" w:before="120" w:line="336" w:lineRule="auto"/>
        <w:ind w:firstLine="0" w:start="0"/>
        <w:jc w:val="start"/>
      </w:pPr>
      <w:r>
        <w:rPr>
          <w:rFonts w:ascii="Calibri (MS)" w:hAnsi="Calibri (MS)" w:cs="Calibri (MS)" w:eastAsia="Calibri (MS)"/>
          <w:color w:val="ff5757"/>
          <w:sz w:val="36"/>
          <w:szCs w:val="36"/>
          <w:rtl/>
        </w:rPr>
        <w:t>الأشكالية</w:t>
      </w:r>
      <w:r>
        <w:rPr>
          <w:rFonts w:ascii="Calibri (MS)" w:hAnsi="Calibri (MS)" w:cs="Calibri (MS)" w:eastAsia="Calibri (MS)"/>
          <w:color w:val="000000"/>
          <w:sz w:val="36"/>
          <w:szCs w:val="36"/>
          <w:rtl/>
        </w:rPr>
        <w:t xml:space="preserve"> : كيف تشكل خورزميات التيك توك الوعي الثقافي لدى الشباب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Arimo" w:hAnsi="Arimo" w:cs="Arimo" w:eastAsia="Arimo"/>
          <w:color w:val="ff5757"/>
          <w:sz w:val="32"/>
          <w:szCs w:val="32"/>
          <w:rtl/>
        </w:rPr>
        <w:t xml:space="preserve">المشكلة </w:t>
      </w:r>
      <w:r>
        <w:rPr>
          <w:rFonts w:ascii="Arimo" w:hAnsi="Arimo" w:cs="Arimo" w:eastAsia="Arimo"/>
          <w:color w:val="000000"/>
          <w:sz w:val="32"/>
          <w:szCs w:val="32"/>
          <w:rtl/>
        </w:rPr>
        <w:t>:</w:t>
      </w:r>
      <w:r>
        <w:rPr>
          <w:rFonts w:ascii="Arimo" w:hAnsi="Arimo" w:cs="Arimo" w:eastAsia="Arimo"/>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6"/>
          <w:szCs w:val="36"/>
          <w:rtl/>
        </w:rPr>
        <w:t xml:space="preserve"> تعد السعودية واحدة من اكثر الدول استخدام لمنصات التواصل الاجتماعي ومنهم التيك توك الذي حقق انتشار وتاثير في السنوات الاخيرة خاصه لدى فئة الشباب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Calibri (MS)" w:hAnsi="Calibri (MS)" w:cs="Calibri (MS)" w:eastAsia="Calibri (MS)"/>
          <w:color w:val="000000"/>
          <w:sz w:val="36"/>
          <w:szCs w:val="36"/>
          <w:rtl/>
        </w:rPr>
        <w:t xml:space="preserve">وهذا التأثير يساهم في تشكيل الوعي الثقافي من خلال تعزيز بعض الأفكار و المفاهيم و القيم و المبادئ حيث تقوم هذه الخوارزميات بعرض المحتوى الترفيهي و الاستهلاكي وهذا الوضع أدى الى عدم وجود ثقافة لدى الشباب و اتباعهم لمحتوى الترفيهي الذي لا يعود عليهم بالفائدة كتعرضهم لمحتوى ثقافي يفيدهم ويرجع السبب لأن المحتوى الثقافي ربما يعرض بطريقة تعتبر مملة بنسبة لشباب ولاتدعم خورزميات المنصه مم يؤدي الى عدم وجود فرصه للاستفادة من هذة المنصه كأداة لتعزيز الوعي الثقافي </w:t>
      </w:r>
      <w:r>
        <w:rPr>
          <w:rFonts w:ascii="Calibri (MS)" w:hAnsi="Calibri (MS)" w:cs="Calibri (MS)" w:eastAsia="Calibri (MS)"/>
          <w:color w:val="000000"/>
          <w:sz w:val="36"/>
          <w:szCs w:val="36"/>
          <w:rtl/>
        </w:rPr>
        <w:t xml:space="preserve">
</w:t>
      </w:r>
    </w:p>
    <w:p>
      <w:pPr>
        <w:spacing w:after="120" w:before="120" w:line="336" w:lineRule="auto"/>
        <w:ind w:firstLine="0" w:start="0"/>
        <w:jc w:val="start"/>
      </w:pPr>
      <w:r>
        <w:rPr>
          <w:rFonts w:ascii="Arimo" w:hAnsi="Arimo" w:cs="Arimo" w:eastAsia="Arimo"/>
          <w:color w:val="000000"/>
          <w:sz w:val="32"/>
          <w:szCs w:val="32"/>
        </w:rPr>
        <w:t xml:space="preserve">
</w:t>
      </w:r>
    </w:p>
    <w:p>
      <w:pPr>
        <w:bidi/>
        <w:spacing w:after="120" w:before="120" w:line="336" w:lineRule="auto"/>
        <w:ind w:firstLine="0" w:start="0"/>
        <w:jc w:val="start"/>
      </w:pPr>
      <w:r>
        <w:rPr>
          <w:rFonts w:ascii="Arimo" w:hAnsi="Arimo" w:cs="Arimo" w:eastAsia="Arimo"/>
          <w:color w:val="ff5757"/>
          <w:sz w:val="32"/>
          <w:szCs w:val="32"/>
          <w:rtl/>
        </w:rPr>
        <w:t>توضيح سبب الدراسه</w:t>
      </w:r>
      <w:r>
        <w:rPr>
          <w:rFonts w:ascii="Arimo" w:hAnsi="Arimo" w:cs="Arimo" w:eastAsia="Arimo"/>
          <w:color w:val="000000"/>
          <w:sz w:val="32"/>
          <w:szCs w:val="32"/>
          <w:rtl/>
        </w:rPr>
        <w:t>:</w:t>
      </w:r>
      <w:r>
        <w:rPr>
          <w:rFonts w:ascii="Arimo" w:hAnsi="Arimo" w:cs="Arimo" w:eastAsia="Arimo"/>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6"/>
          <w:szCs w:val="36"/>
          <w:rtl/>
        </w:rPr>
        <w:t xml:space="preserve"> كون الشباب اكثر استخدام للمنصه واكثر تأثر بمحتواها فإن فهم كيف تؤثر الخوارزميات و تطويرها يساعد بتعزيز الاستخدام الواعي للمنصات الرقمية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Calibri (MS)" w:hAnsi="Calibri (MS)" w:cs="Calibri (MS)" w:eastAsia="Calibri (MS)"/>
          <w:color w:val="000000"/>
          <w:sz w:val="36"/>
          <w:szCs w:val="36"/>
          <w:rtl/>
        </w:rPr>
        <w:t xml:space="preserve">والاستفادة منها و الحد من آثارها السلبيه </w:t>
      </w:r>
      <w:r>
        <w:rPr>
          <w:rFonts w:ascii="Calibri (MS)" w:hAnsi="Calibri (MS)" w:cs="Calibri (MS)" w:eastAsia="Calibri (MS)"/>
          <w:color w:val="000000"/>
          <w:sz w:val="36"/>
          <w:szCs w:val="36"/>
          <w:rtl/>
        </w:rPr>
        <w:t xml:space="preserve">
</w:t>
      </w:r>
    </w:p>
    <w:p>
      <w:pPr>
        <w:spacing w:after="120" w:before="120" w:line="336" w:lineRule="auto"/>
        <w:ind w:firstLine="0" w:start="0"/>
        <w:jc w:val="start"/>
      </w:pPr>
      <w:r>
        <w:rPr>
          <w:rFonts w:ascii="Arimo" w:hAnsi="Arimo" w:cs="Arimo" w:eastAsia="Arimo"/>
          <w:color w:val="000000"/>
          <w:sz w:val="32"/>
          <w:szCs w:val="32"/>
        </w:rPr>
        <w:t xml:space="preserve">
</w:t>
      </w:r>
    </w:p>
    <w:p>
      <w:pPr>
        <w:spacing w:after="120" w:before="120" w:line="336" w:lineRule="auto"/>
        <w:ind w:firstLine="0" w:start="0"/>
        <w:jc w:val="start"/>
      </w:pPr>
      <w:r>
        <w:rPr>
          <w:rFonts w:ascii="Arimo" w:hAnsi="Arimo" w:cs="Arimo" w:eastAsia="Arimo"/>
          <w:color w:val="000000"/>
          <w:sz w:val="32"/>
          <w:szCs w:val="32"/>
        </w:rPr>
        <w:t xml:space="preserve">
</w:t>
      </w:r>
    </w:p>
    <w:p>
      <w:pPr>
        <w:bidi/>
        <w:spacing w:after="120" w:before="120" w:line="336" w:lineRule="auto"/>
        <w:ind w:firstLine="0" w:start="0"/>
        <w:jc w:val="start"/>
      </w:pPr>
      <w:r>
        <w:rPr>
          <w:rFonts w:ascii="Arimo" w:hAnsi="Arimo" w:cs="Arimo" w:eastAsia="Arimo"/>
          <w:color w:val="ff5757"/>
          <w:sz w:val="32"/>
          <w:szCs w:val="32"/>
          <w:rtl/>
        </w:rPr>
        <w:t>تحديد العلاقة بين المتغيرات</w:t>
      </w:r>
      <w:r>
        <w:rPr>
          <w:rFonts w:ascii="Arimo" w:hAnsi="Arimo" w:cs="Arimo" w:eastAsia="Arimo"/>
          <w:color w:val="000000"/>
          <w:sz w:val="32"/>
          <w:szCs w:val="32"/>
          <w:rtl/>
        </w:rPr>
        <w:t xml:space="preserve"> : </w:t>
      </w:r>
      <w:r>
        <w:rPr>
          <w:rFonts w:ascii="Arimo" w:hAnsi="Arimo" w:cs="Arimo" w:eastAsia="Arimo"/>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6"/>
          <w:szCs w:val="36"/>
          <w:rtl/>
        </w:rPr>
        <w:t xml:space="preserve">خورزميات التيك توك تمثل المتغير المستقل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Calibri (MS)" w:hAnsi="Calibri (MS)" w:cs="Calibri (MS)" w:eastAsia="Calibri (MS)"/>
          <w:color w:val="000000"/>
          <w:sz w:val="36"/>
          <w:szCs w:val="36"/>
          <w:rtl/>
        </w:rPr>
        <w:t xml:space="preserve">و الوعي الثقافي يمثل المتغير التابع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Calibri (MS)" w:hAnsi="Calibri (MS)" w:cs="Calibri (MS)" w:eastAsia="Calibri (MS)"/>
          <w:color w:val="000000"/>
          <w:sz w:val="36"/>
          <w:szCs w:val="36"/>
          <w:rtl/>
        </w:rPr>
        <w:t>حيث تؤثر طبيعة المحتوى ودرجة عرضه في مستوى الوعي الثقافي</w:t>
      </w:r>
      <w:r>
        <w:rPr>
          <w:rFonts w:ascii="Calibri (MS)" w:hAnsi="Calibri (MS)" w:cs="Calibri (MS)" w:eastAsia="Calibri (MS)"/>
          <w:color w:val="000000"/>
          <w:sz w:val="36"/>
          <w:szCs w:val="36"/>
          <w:rtl/>
        </w:rPr>
        <w:t xml:space="preserve">
</w:t>
      </w:r>
    </w:p>
    <w:p>
      <w:pPr>
        <w:spacing w:after="120" w:before="120" w:line="336" w:lineRule="auto"/>
        <w:ind w:firstLine="0" w:start="0"/>
        <w:jc w:val="start"/>
      </w:pPr>
      <w:r>
        <w:rPr>
          <w:rFonts w:ascii="Arimo" w:hAnsi="Arimo" w:cs="Arimo" w:eastAsia="Arimo"/>
          <w:color w:val="000000"/>
          <w:sz w:val="32"/>
          <w:szCs w:val="32"/>
        </w:rPr>
        <w:t xml:space="preserve">
</w:t>
      </w:r>
    </w:p>
    <w:p>
      <w:pPr>
        <w:spacing w:after="120" w:before="120" w:line="336" w:lineRule="auto"/>
        <w:ind w:firstLine="0" w:start="0"/>
        <w:jc w:val="start"/>
      </w:pPr>
      <w:r>
        <w:rPr>
          <w:rFonts w:ascii="Arimo" w:hAnsi="Arimo" w:cs="Arimo" w:eastAsia="Arimo"/>
          <w:color w:val="000000"/>
          <w:sz w:val="32"/>
          <w:szCs w:val="32"/>
        </w:rPr>
        <w:t xml:space="preserve">
</w:t>
      </w:r>
    </w:p>
    <w:p>
      <w:pPr>
        <w:spacing w:after="120" w:before="120" w:line="336" w:lineRule="auto"/>
        <w:ind w:firstLine="0" w:start="0"/>
        <w:jc w:val="start"/>
      </w:pPr>
      <w:r>
        <w:rPr>
          <w:rFonts w:ascii="Arimo" w:hAnsi="Arimo" w:cs="Arimo" w:eastAsia="Arimo"/>
          <w:color w:val="000000"/>
          <w:sz w:val="32"/>
          <w:szCs w:val="32"/>
        </w:rPr>
        <w:t xml:space="preserve">
</w:t>
      </w:r>
    </w:p>
    <w:p>
      <w:pPr>
        <w:spacing w:after="120" w:before="120"/>
      </w:pPr>
      <w:r>
        <w:br w:type="page"/>
      </w:r>
    </w:p>
    <w:p>
      <w:pPr>
        <w:bidi/>
        <w:spacing w:after="120" w:before="120" w:line="336" w:lineRule="auto"/>
        <w:ind w:firstLine="0" w:start="0"/>
        <w:jc w:val="start"/>
      </w:pPr>
      <w:r>
        <w:rPr>
          <w:rFonts w:ascii="Calibri (MS)" w:hAnsi="Calibri (MS)" w:cs="Calibri (MS)" w:eastAsia="Calibri (MS)"/>
          <w:color w:val="ff5757"/>
          <w:sz w:val="36"/>
          <w:szCs w:val="36"/>
          <w:rtl/>
        </w:rPr>
        <w:t>تساؤلات الدراسه</w:t>
      </w:r>
      <w:r>
        <w:rPr>
          <w:rFonts w:ascii="Calibri (MS)" w:hAnsi="Calibri (MS)" w:cs="Calibri (MS)" w:eastAsia="Calibri (MS)"/>
          <w:color w:val="000000"/>
          <w:sz w:val="36"/>
          <w:szCs w:val="36"/>
          <w:rtl/>
        </w:rPr>
        <w:t xml:space="preserve"> :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Arimo" w:hAnsi="Arimo" w:cs="Arimo" w:eastAsia="Arimo"/>
          <w:color w:val="000000"/>
          <w:sz w:val="32"/>
          <w:szCs w:val="32"/>
        </w:rPr>
        <w:t>١</w:t>
      </w:r>
      <w:r>
        <w:rPr>
          <w:rFonts w:ascii="Arimo" w:hAnsi="Arimo" w:cs="Arimo" w:eastAsia="Arimo"/>
          <w:color w:val="000000"/>
          <w:sz w:val="32"/>
          <w:szCs w:val="32"/>
          <w:rtl/>
        </w:rPr>
        <w:t>-</w:t>
      </w:r>
      <w:r>
        <w:rPr>
          <w:rFonts w:ascii="Calibri (MS)" w:hAnsi="Calibri (MS)" w:cs="Calibri (MS)" w:eastAsia="Calibri (MS)"/>
          <w:color w:val="000000"/>
          <w:sz w:val="32"/>
          <w:szCs w:val="32"/>
          <w:rtl/>
        </w:rPr>
        <w:t xml:space="preserve"> ماهو المحتوى الذي تظهرة خورزميات التيك توك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٢</w:t>
      </w:r>
      <w:r>
        <w:rPr>
          <w:rFonts w:ascii="Calibri (MS)" w:hAnsi="Calibri (MS)" w:cs="Calibri (MS)" w:eastAsia="Calibri (MS)"/>
          <w:color w:val="000000"/>
          <w:sz w:val="32"/>
          <w:szCs w:val="32"/>
          <w:rtl/>
        </w:rPr>
        <w:t>-مامدى تعرض المستخدمين للمحتوى الثقافي على تيك توك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٣</w:t>
      </w:r>
      <w:r>
        <w:rPr>
          <w:rFonts w:ascii="Calibri (MS)" w:hAnsi="Calibri (MS)" w:cs="Calibri (MS)" w:eastAsia="Calibri (MS)"/>
          <w:color w:val="000000"/>
          <w:sz w:val="32"/>
          <w:szCs w:val="32"/>
          <w:rtl/>
        </w:rPr>
        <w:t xml:space="preserve">ـ ما العلاقة بين كثرة استخدام التيك توك ومستوى الوعي الثقافي؟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٤</w:t>
      </w:r>
      <w:r>
        <w:rPr>
          <w:rFonts w:ascii="Calibri (MS)" w:hAnsi="Calibri (MS)" w:cs="Calibri (MS)" w:eastAsia="Calibri (MS)"/>
          <w:color w:val="000000"/>
          <w:sz w:val="32"/>
          <w:szCs w:val="32"/>
          <w:rtl/>
        </w:rPr>
        <w:t xml:space="preserve">- ما الأثار الإيجابية لخورزميات التيك توك في زيادة الوعي ؟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bidi/>
        <w:spacing w:after="120" w:before="120" w:line="336" w:lineRule="auto"/>
        <w:ind w:firstLine="0" w:start="0"/>
        <w:jc w:val="start"/>
      </w:pPr>
      <w:r>
        <w:rPr>
          <w:rFonts w:ascii="Calibri (MS)" w:hAnsi="Calibri (MS)" w:cs="Calibri (MS)" w:eastAsia="Calibri (MS)"/>
          <w:color w:val="ff5757"/>
          <w:sz w:val="32"/>
          <w:szCs w:val="32"/>
          <w:rtl/>
        </w:rPr>
        <w:t>اسباب اختيار الموضوع:</w:t>
      </w:r>
      <w:r>
        <w:rPr>
          <w:rFonts w:ascii="Calibri (MS)" w:hAnsi="Calibri (MS)" w:cs="Calibri (MS)" w:eastAsia="Calibri (MS)"/>
          <w:color w:val="ff5757"/>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الانتشار الواسع لتطبيق التيك توك وخاصه بين فئة الشباب و اهمية دراسة دور الخوارزميات في توجيه المحتوى الذي يتعرض له المستخدمون و تأثيره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bidi/>
        <w:spacing w:after="120" w:before="120" w:line="336" w:lineRule="auto"/>
        <w:ind w:firstLine="0" w:start="0"/>
        <w:jc w:val="start"/>
      </w:pPr>
      <w:r>
        <w:rPr>
          <w:rFonts w:ascii="Calibri (MS)" w:hAnsi="Calibri (MS)" w:cs="Calibri (MS)" w:eastAsia="Calibri (MS)"/>
          <w:color w:val="ff5757"/>
          <w:sz w:val="32"/>
          <w:szCs w:val="32"/>
          <w:rtl/>
        </w:rPr>
        <w:t xml:space="preserve">اهداف الدراسه : </w:t>
      </w:r>
      <w:r>
        <w:rPr>
          <w:rFonts w:ascii="Calibri (MS)" w:hAnsi="Calibri (MS)" w:cs="Calibri (MS)" w:eastAsia="Calibri (MS)"/>
          <w:color w:val="ff5757"/>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تحليل العلاقه بين آلية اقتراح المحتوى في تيك توك و مستوى الوعي و اثر كثافة استخدام التيك توك في تشكيل الاهتمامات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bidi/>
        <w:spacing w:after="120" w:before="120" w:line="336" w:lineRule="auto"/>
        <w:ind w:firstLine="0" w:start="0"/>
        <w:jc w:val="start"/>
      </w:pPr>
      <w:r>
        <w:rPr>
          <w:rFonts w:ascii="Calibri (MS)" w:hAnsi="Calibri (MS)" w:cs="Calibri (MS)" w:eastAsia="Calibri (MS)"/>
          <w:color w:val="ff5757"/>
          <w:sz w:val="32"/>
          <w:szCs w:val="32"/>
          <w:rtl/>
        </w:rPr>
        <w:t>دراسات سابقة :</w:t>
      </w:r>
      <w:r>
        <w:rPr>
          <w:rFonts w:ascii="Calibri (MS)" w:hAnsi="Calibri (MS)" w:cs="Calibri (MS)" w:eastAsia="Calibri (MS)"/>
          <w:color w:val="000000"/>
          <w:sz w:val="32"/>
          <w:szCs w:val="32"/>
          <w:rtl/>
        </w:rPr>
        <w:t xml:space="preserve">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١</w:t>
      </w:r>
      <w:r>
        <w:rPr>
          <w:rFonts w:ascii="Calibri (MS)" w:hAnsi="Calibri (MS)" w:cs="Calibri (MS)" w:eastAsia="Calibri (MS)"/>
          <w:color w:val="000000"/>
          <w:sz w:val="32"/>
          <w:szCs w:val="32"/>
          <w:rtl/>
        </w:rPr>
        <w:t>-د. خديجة خير الله عبد الرحمن العظامات (</w:t>
      </w:r>
      <w:r>
        <w:rPr>
          <w:rFonts w:ascii="Calibri (MS)" w:hAnsi="Calibri (MS)" w:cs="Calibri (MS)" w:eastAsia="Calibri (MS)"/>
          <w:color w:val="000000"/>
          <w:sz w:val="32"/>
          <w:szCs w:val="32"/>
        </w:rPr>
        <w:t>٢٠٢٢</w:t>
      </w:r>
      <w:r>
        <w:rPr>
          <w:rFonts w:ascii="Calibri (MS)" w:hAnsi="Calibri (MS)" w:cs="Calibri (MS)" w:eastAsia="Calibri (MS)"/>
          <w:color w:val="000000"/>
          <w:sz w:val="32"/>
          <w:szCs w:val="32"/>
          <w:rtl/>
        </w:rPr>
        <w:t>)</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العنوان : تاثير تطبيق التيك توك على القيم الاجتماعية في المجتمع الأردني من وجهة نظر طلبة الجامعه</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هدفت الدراسة الى تعرف على تأثير تيك توك على القيم الاجتماعية في المجتمع الاردني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تم استخدام المنهج الوصفي تصميم استبيان مكون من </w:t>
      </w:r>
      <w:r>
        <w:rPr>
          <w:rFonts w:ascii="Calibri (MS)" w:hAnsi="Calibri (MS)" w:cs="Calibri (MS)" w:eastAsia="Calibri (MS)"/>
          <w:color w:val="000000"/>
          <w:sz w:val="32"/>
          <w:szCs w:val="32"/>
        </w:rPr>
        <w:t>٢٤</w:t>
      </w:r>
      <w:r>
        <w:rPr>
          <w:rFonts w:ascii="Calibri (MS)" w:hAnsi="Calibri (MS)" w:cs="Calibri (MS)" w:eastAsia="Calibri (MS)"/>
          <w:color w:val="000000"/>
          <w:sz w:val="32"/>
          <w:szCs w:val="32"/>
          <w:rtl/>
        </w:rPr>
        <w:t xml:space="preserve"> فقرة و توزيعها وبعد جمع البينات و تحليلها وجد درجات تأثير مرتفعه لتطبيق التيك توك على القيم الاجتماعية في المجتمع الاردني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علاقتها بدراسه انها تثبت مدى تاثير تطبيق التيك توك على القيم الاجتماعية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Bold" w:hAnsi="Calibri (MS) Bold" w:cs="Calibri (MS) Bold" w:eastAsia="Calibri (MS) Bold"/>
          <w:b/>
          <w:bCs/>
          <w:color w:val="000000"/>
          <w:sz w:val="20"/>
          <w:szCs w:val="20"/>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٢</w:t>
      </w:r>
      <w:r>
        <w:rPr>
          <w:rFonts w:ascii="Calibri (MS)" w:hAnsi="Calibri (MS)" w:cs="Calibri (MS)" w:eastAsia="Calibri (MS)"/>
          <w:color w:val="000000"/>
          <w:sz w:val="32"/>
          <w:szCs w:val="32"/>
          <w:rtl/>
        </w:rPr>
        <w:t>- د.سالي نصار (</w:t>
      </w:r>
      <w:r>
        <w:rPr>
          <w:rFonts w:ascii="Calibri (MS)" w:hAnsi="Calibri (MS)" w:cs="Calibri (MS)" w:eastAsia="Calibri (MS)"/>
          <w:color w:val="000000"/>
          <w:sz w:val="32"/>
          <w:szCs w:val="32"/>
        </w:rPr>
        <w:t>٢٠٢٢</w:t>
      </w:r>
      <w:r>
        <w:rPr>
          <w:rFonts w:ascii="Calibri (MS)" w:hAnsi="Calibri (MS)" w:cs="Calibri (MS)" w:eastAsia="Calibri (MS)"/>
          <w:color w:val="000000"/>
          <w:sz w:val="32"/>
          <w:szCs w:val="32"/>
          <w:rtl/>
        </w:rPr>
        <w:t>)</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العنوان : التأثير النفسية و الاجتماعية لتطبيقات الهواتف الذكية (نموذجا </w:t>
      </w:r>
      <w:r>
        <w:rPr>
          <w:rFonts w:ascii="Calibri (MS)" w:hAnsi="Calibri (MS)" w:cs="Calibri (MS)" w:eastAsia="Calibri (MS)"/>
          <w:color w:val="000000"/>
          <w:sz w:val="32"/>
          <w:szCs w:val="32"/>
        </w:rPr>
        <w:t>TikTok</w:t>
      </w:r>
      <w:r>
        <w:rPr>
          <w:rFonts w:ascii="Calibri (MS)" w:hAnsi="Calibri (MS)" w:cs="Calibri (MS)" w:eastAsia="Calibri (MS)"/>
          <w:color w:val="000000"/>
          <w:sz w:val="32"/>
          <w:szCs w:val="32"/>
          <w:rtl/>
        </w:rPr>
        <w:t xml:space="preserve">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تشمل الدراسة على استخدام الشباب لتطبيقات الهواتف بالتركيز على تيك توك وهدفت إلى اكتشاف الأثار النفسية و الاجتماعية السلبية و الإجابية و تندرج تحت فئة الدراسة الكيفية بالتطبيق على عينة شباب الجامعة و توصلت الدراسة ان التطبيق ساعد المستخدمين على ملء الفراغ و تجاوز الشعور بالوحدة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توصلت إلى نتيجة ابرزها الأثار النفسية السلبية و هي الغيرة و الإحباط و القلق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٣</w:t>
      </w:r>
      <w:r>
        <w:rPr>
          <w:rFonts w:ascii="Calibri (MS)" w:hAnsi="Calibri (MS)" w:cs="Calibri (MS)" w:eastAsia="Calibri (MS)"/>
          <w:color w:val="000000"/>
          <w:sz w:val="32"/>
          <w:szCs w:val="32"/>
          <w:rtl/>
        </w:rPr>
        <w:t>- د.سحر مصطفى (</w:t>
      </w:r>
      <w:r>
        <w:rPr>
          <w:rFonts w:ascii="Calibri (MS)" w:hAnsi="Calibri (MS)" w:cs="Calibri (MS)" w:eastAsia="Calibri (MS)"/>
          <w:color w:val="000000"/>
          <w:sz w:val="32"/>
          <w:szCs w:val="32"/>
        </w:rPr>
        <w:t>٢٠٢٥</w:t>
      </w:r>
      <w:r>
        <w:rPr>
          <w:rFonts w:ascii="Calibri (MS)" w:hAnsi="Calibri (MS)" w:cs="Calibri (MS)" w:eastAsia="Calibri (MS)"/>
          <w:color w:val="000000"/>
          <w:sz w:val="32"/>
          <w:szCs w:val="32"/>
          <w:rtl/>
        </w:rPr>
        <w:t xml:space="preserve">)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استخدامات موقع التواصل الإجتماعي تيك توك وإثارة  على القيم الأخلاقية لدى الشباب الجامعي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هدف هذه الدراسة إلى الكشف عن أثر استخدام تطبيق «تيك توك» على القيم الأخلاقية والسلوك القويم لدى طلاب كلية</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الدر اسات الاقتصادية والاجتماعية بجامعة بحر ي. اعتمدت الدراسة  المنهج الوصفي ضمن إطار  المسحي، واستخدمت استبانة و تدل النتائج على تاثير واضح للتطبيق في تشكيل القيم و سلوكيات لدى الشباب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ترتبط الدراسة بانها تظهر اثر استخدام التيك توك على القيم و الأخلاق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w:hAnsi="Calibri (MS)" w:cs="Calibri (MS)" w:eastAsia="Calibri (MS)"/>
          <w:color w:val="000000"/>
          <w:sz w:val="24"/>
          <w:szCs w:val="24"/>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٤</w:t>
      </w:r>
      <w:r>
        <w:rPr>
          <w:rFonts w:ascii="Calibri (MS)" w:hAnsi="Calibri (MS)" w:cs="Calibri (MS)" w:eastAsia="Calibri (MS)"/>
          <w:color w:val="000000"/>
          <w:sz w:val="32"/>
          <w:szCs w:val="32"/>
          <w:rtl/>
        </w:rPr>
        <w:t xml:space="preserve">- بولطواڤ رشيد، جعرون سهام، </w:t>
      </w:r>
      <w:r>
        <w:rPr>
          <w:rFonts w:ascii="Calibri (MS)" w:hAnsi="Calibri (MS)" w:cs="Calibri (MS)" w:eastAsia="Calibri (MS)"/>
          <w:color w:val="000000"/>
          <w:sz w:val="32"/>
          <w:szCs w:val="32"/>
        </w:rPr>
        <w:t>2023</w:t>
      </w:r>
      <w:r>
        <w:rPr>
          <w:rFonts w:ascii="Calibri (MS)" w:hAnsi="Calibri (MS)" w:cs="Calibri (MS)" w:eastAsia="Calibri (MS)"/>
          <w:color w:val="000000"/>
          <w:sz w:val="32"/>
          <w:szCs w:val="32"/>
          <w:rtl/>
        </w:rPr>
        <w:t xml:space="preserve">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اعتمدت الدراسة المنهج الوصفي الميداني باستخدام الاستبيان على عينة بلغت (</w:t>
      </w:r>
      <w:r>
        <w:rPr>
          <w:rFonts w:ascii="Calibri (MS)" w:hAnsi="Calibri (MS)" w:cs="Calibri (MS)" w:eastAsia="Calibri (MS)"/>
          <w:color w:val="000000"/>
          <w:sz w:val="32"/>
          <w:szCs w:val="32"/>
        </w:rPr>
        <w:t>100</w:t>
      </w:r>
      <w:r>
        <w:rPr>
          <w:rFonts w:ascii="Calibri (MS)" w:hAnsi="Calibri (MS)" w:cs="Calibri (MS)" w:eastAsia="Calibri (MS)"/>
          <w:color w:val="000000"/>
          <w:sz w:val="32"/>
          <w:szCs w:val="32"/>
          <w:rtl/>
        </w:rPr>
        <w:t>) شاب.</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أظهرت النتائج وجود علاقة بين استخدام تيك توك وبين بعض مظاهر التأثر الثقافي والاتجاه نحو أنماط ثقافية مختلفة.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علاقتها بالدراسة الحالية: </w:t>
        <w:br/>
      </w:r>
      <w:r>
        <w:rPr>
          <w:rFonts w:ascii="Calibri (MS)" w:hAnsi="Calibri (MS)" w:cs="Calibri (MS)" w:eastAsia="Calibri (MS)"/>
          <w:color w:val="000000"/>
          <w:sz w:val="32"/>
          <w:szCs w:val="32"/>
          <w:rtl/>
        </w:rPr>
        <w:t xml:space="preserve">تساعد الدراسة الحالية في تفسير جانب التأثير الثقافي الناتج عن التعرض المستمر للمحتوى عبر المنصة.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Bold" w:hAnsi="Calibri (MS) Bold" w:cs="Calibri (MS) Bold" w:eastAsia="Calibri (MS) Bold"/>
          <w:b/>
          <w:bCs/>
          <w:color w:val="000000"/>
          <w:sz w:val="20"/>
          <w:szCs w:val="20"/>
        </w:rPr>
        <w:t xml:space="preserve">
</w:t>
      </w:r>
    </w:p>
    <w:p>
      <w:pPr>
        <w:spacing w:after="120" w:before="120"/>
      </w:pPr>
      <w:r>
        <w:br w:type="page"/>
      </w:r>
    </w:p>
    <w:p>
      <w:pPr>
        <w:bidi/>
        <w:spacing w:after="120" w:before="120" w:line="336" w:lineRule="auto"/>
        <w:ind w:firstLine="0" w:start="0"/>
        <w:jc w:val="start"/>
      </w:pPr>
      <w:r>
        <w:rPr>
          <w:rFonts w:ascii="Calibri (MS)" w:hAnsi="Calibri (MS)" w:cs="Calibri (MS)" w:eastAsia="Calibri (MS)"/>
          <w:color w:val="000000"/>
          <w:sz w:val="32"/>
          <w:szCs w:val="32"/>
        </w:rPr>
        <w:t>٥</w:t>
      </w:r>
      <w:r>
        <w:rPr>
          <w:rFonts w:ascii="Calibri (MS)" w:hAnsi="Calibri (MS)" w:cs="Calibri (MS)" w:eastAsia="Calibri (MS)"/>
          <w:color w:val="000000"/>
          <w:sz w:val="32"/>
          <w:szCs w:val="32"/>
          <w:rtl/>
        </w:rPr>
        <w:t>- عمار خالد معالي (</w:t>
      </w:r>
      <w:r>
        <w:rPr>
          <w:rFonts w:ascii="Calibri (MS)" w:hAnsi="Calibri (MS)" w:cs="Calibri (MS)" w:eastAsia="Calibri (MS)"/>
          <w:color w:val="000000"/>
          <w:sz w:val="32"/>
          <w:szCs w:val="32"/>
        </w:rPr>
        <w:t>٢٠٢٥</w:t>
      </w:r>
      <w:r>
        <w:rPr>
          <w:rFonts w:ascii="Calibri (MS)" w:hAnsi="Calibri (MS)" w:cs="Calibri (MS)" w:eastAsia="Calibri (MS)"/>
          <w:color w:val="000000"/>
          <w:sz w:val="32"/>
          <w:szCs w:val="32"/>
          <w:rtl/>
        </w:rPr>
        <w:t>)</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ffffff"/>
          <w:sz w:val="32"/>
          <w:szCs w:val="32"/>
          <w:rtl/>
        </w:rPr>
        <w:t xml:space="preserve">عنوان </w:t>
      </w:r>
      <w:r>
        <w:rPr>
          <w:rFonts w:ascii="Calibri (MS)" w:hAnsi="Calibri (MS)" w:cs="Calibri (MS)" w:eastAsia="Calibri (MS)"/>
          <w:color w:val="000000"/>
          <w:sz w:val="32"/>
          <w:szCs w:val="32"/>
          <w:rtl/>
        </w:rPr>
        <w:t xml:space="preserve">الدراسة: </w:t>
        <w:br/>
      </w:r>
      <w:r>
        <w:rPr>
          <w:rFonts w:ascii="Calibri (MS)" w:hAnsi="Calibri (MS)" w:cs="Calibri (MS)" w:eastAsia="Calibri (MS)"/>
          <w:color w:val="000000"/>
          <w:sz w:val="32"/>
          <w:szCs w:val="32"/>
          <w:rtl/>
        </w:rPr>
        <w:t>«دور التيك توك في تشكيل الثقافة الرقمية والتفاعل الاجتماعي بين الأجيال الجديدة في فلسطين».</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استخدمت الدراسه المنهج الوصفي التحليلي لقياس دور التيك توك في تشكيل الثقافة الرقمية و تفاعل الاجتماعي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توصلت لنتائج الى وجود تأثير متوسط في تشكيل الثقافة و ان مدة الاستخدام ترتبط بمدى التاثير الثقافي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تدعم هذه الدراسة الجانب المتعلق بتأثير المنصات الرقمية في تشكيل الثقافة، بينما تضيف دراستي متغير الخوارزميات بوصفها  عاملًا مباشرًا في تشكيل الوعي الثقافي.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Bold" w:hAnsi="Calibri (MS) Bold" w:cs="Calibri (MS) Bold" w:eastAsia="Calibri (MS) Bold"/>
          <w:b/>
          <w:bCs/>
          <w:color w:val="000000"/>
          <w:sz w:val="20"/>
          <w:szCs w:val="20"/>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٦</w:t>
      </w:r>
      <w:r>
        <w:rPr>
          <w:rFonts w:ascii="Calibri (MS)" w:hAnsi="Calibri (MS)" w:cs="Calibri (MS)" w:eastAsia="Calibri (MS)"/>
          <w:color w:val="000000"/>
          <w:sz w:val="32"/>
          <w:szCs w:val="32"/>
          <w:rtl/>
        </w:rPr>
        <w:t xml:space="preserve">- د. رعد خاشع حافظ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العنوان : أهمية شبكات التواصل الاجتماعي في تنمية الوعي الثقافي لدى الشباب الجامعي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Bold" w:hAnsi="Calibri (MS) Bold" w:cs="Calibri (MS) Bold" w:eastAsia="Calibri (MS) Bold"/>
          <w:b/>
          <w:bCs/>
          <w:color w:val="000000"/>
          <w:sz w:val="20"/>
          <w:szCs w:val="20"/>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اتبعت الدراسة المنهج الوصفي الميداني، واعتمدت على أدوات تحليلية لدراسة دور شبكات التواصل في رفع مستوى الوعي الثقافي لدى الطلبة الجامعيين.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توصلت الدراسة إلى أن شبكات التواصل أصبحت من الوسائل المؤثرة في نشر المعرفة الثقافية وتنمية الوعي لدى الشباب الجامعي.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Bold" w:hAnsi="Calibri (MS) Bold" w:cs="Calibri (MS) Bold" w:eastAsia="Calibri (MS) Bold"/>
          <w:b/>
          <w:bCs/>
          <w:color w:val="000000"/>
          <w:sz w:val="20"/>
          <w:szCs w:val="20"/>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٧</w:t>
      </w:r>
      <w:r>
        <w:rPr>
          <w:rFonts w:ascii="Calibri (MS)" w:hAnsi="Calibri (MS)" w:cs="Calibri (MS)" w:eastAsia="Calibri (MS)"/>
          <w:color w:val="000000"/>
          <w:sz w:val="32"/>
          <w:szCs w:val="32"/>
          <w:rtl/>
        </w:rPr>
        <w:t xml:space="preserve">- طالب بن صالح حسن العطاس، ومحمد عبد الرؤوف عطية السيد، </w:t>
      </w:r>
      <w:r>
        <w:rPr>
          <w:rFonts w:ascii="Calibri (MS)" w:hAnsi="Calibri (MS)" w:cs="Calibri (MS)" w:eastAsia="Calibri (MS)"/>
          <w:color w:val="000000"/>
          <w:sz w:val="32"/>
          <w:szCs w:val="32"/>
        </w:rPr>
        <w:t>2023</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Bold" w:hAnsi="Calibri (MS) Bold" w:cs="Calibri (MS) Bold" w:eastAsia="Calibri (MS) Bold"/>
          <w:b/>
          <w:bCs/>
          <w:color w:val="000000"/>
          <w:sz w:val="32"/>
          <w:szCs w:val="32"/>
          <w:rtl/>
        </w:rPr>
        <w:t>عنوان الدراسة:</w:t>
      </w:r>
      <w:r>
        <w:rPr>
          <w:rFonts w:ascii="Calibri (MS)" w:hAnsi="Calibri (MS)" w:cs="Calibri (MS)" w:eastAsia="Calibri (MS)"/>
          <w:color w:val="000000"/>
          <w:sz w:val="32"/>
          <w:szCs w:val="32"/>
          <w:rtl/>
        </w:rPr>
        <w:t xml:space="preserve"> </w:t>
        <w:br/>
      </w:r>
      <w:r>
        <w:rPr>
          <w:rFonts w:ascii="Calibri (MS)" w:hAnsi="Calibri (MS)" w:cs="Calibri (MS)" w:eastAsia="Calibri (MS)"/>
          <w:color w:val="000000"/>
          <w:sz w:val="32"/>
          <w:szCs w:val="32"/>
          <w:rtl/>
        </w:rPr>
        <w:t xml:space="preserve">«الأولويات الثقافية للشباب الجامعي على منصات التواصل الاجتماعي – دراسة تحليلية مقارنة».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استخدمت الدراسة المنهج الوصفي التحليلي، وطبقت استبانة على عينة من طلاب جامعات سعودية ومصرية لدراسة الأولويات الثقافية على المنصات الرقمية.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أهم النتائج المتوصل إليها: </w:t>
        <w:br/>
      </w:r>
      <w:r>
        <w:rPr>
          <w:rFonts w:ascii="Calibri (MS)" w:hAnsi="Calibri (MS)" w:cs="Calibri (MS)" w:eastAsia="Calibri (MS)"/>
          <w:color w:val="000000"/>
          <w:sz w:val="32"/>
          <w:szCs w:val="32"/>
          <w:rtl/>
        </w:rPr>
        <w:t xml:space="preserve">أظهرت النتائج اختلاف الاهتمامات الثقافية لدى الشباب وفق نوع المحتوى الرقمي وطبيعة استخدام المنصات الاجتماعية.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علاقتها تساعد الدراسه في تفسير العلاقه بين المحتوى المعروض و الاتجاهات الثقافية للشباب</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Bold" w:hAnsi="Calibri (MS) Bold" w:cs="Calibri (MS) Bold" w:eastAsia="Calibri (MS) Bold"/>
          <w:b/>
          <w:bCs/>
          <w:color w:val="000000"/>
          <w:sz w:val="20"/>
          <w:szCs w:val="20"/>
        </w:rPr>
        <w:t xml:space="preserve">
</w:t>
      </w:r>
    </w:p>
    <w:p>
      <w:pPr>
        <w:spacing w:after="120" w:before="120"/>
      </w:pPr>
      <w:r>
        <w:br w:type="page"/>
      </w:r>
    </w:p>
    <w:p>
      <w:pPr>
        <w:bidi/>
        <w:spacing w:after="120" w:before="120" w:line="336" w:lineRule="auto"/>
        <w:ind w:firstLine="0" w:start="0"/>
        <w:jc w:val="start"/>
      </w:pPr>
      <w:r>
        <w:rPr>
          <w:rFonts w:ascii="Calibri (MS)" w:hAnsi="Calibri (MS)" w:cs="Calibri (MS)" w:eastAsia="Calibri (MS)"/>
          <w:color w:val="000000"/>
          <w:sz w:val="32"/>
          <w:szCs w:val="32"/>
        </w:rPr>
        <w:t>٨</w:t>
      </w:r>
      <w:r>
        <w:rPr>
          <w:rFonts w:ascii="Calibri (MS)" w:hAnsi="Calibri (MS)" w:cs="Calibri (MS)" w:eastAsia="Calibri (MS)"/>
          <w:color w:val="000000"/>
          <w:sz w:val="32"/>
          <w:szCs w:val="32"/>
          <w:rtl/>
        </w:rPr>
        <w:t xml:space="preserve">-فضيلة حماني، وخديجة بالطاهر، </w:t>
      </w:r>
      <w:r>
        <w:rPr>
          <w:rFonts w:ascii="Calibri (MS)" w:hAnsi="Calibri (MS)" w:cs="Calibri (MS)" w:eastAsia="Calibri (MS)"/>
          <w:color w:val="000000"/>
          <w:sz w:val="32"/>
          <w:szCs w:val="32"/>
        </w:rPr>
        <w:t>2023</w:t>
      </w:r>
      <w:r>
        <w:rPr>
          <w:rFonts w:ascii="Calibri (MS)" w:hAnsi="Calibri (MS)" w:cs="Calibri (MS)" w:eastAsia="Calibri (MS)"/>
          <w:color w:val="000000"/>
          <w:sz w:val="32"/>
          <w:szCs w:val="32"/>
          <w:rtl/>
        </w:rPr>
        <w:t>:</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العنوان :التفاعل مع فيديوهات التيك توك والاغتراب الثقافي لدى الشباب</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 </w:t>
      </w:r>
      <w:r>
        <w:rPr>
          <w:rFonts w:ascii="Calibri (MS)" w:hAnsi="Calibri (MS)" w:cs="Calibri (MS)" w:eastAsia="Calibri (MS)"/>
          <w:color w:val="ffffff"/>
          <w:sz w:val="32"/>
          <w:szCs w:val="32"/>
          <w:rtl/>
        </w:rPr>
        <w:t>ا</w:t>
      </w:r>
      <w:r>
        <w:rPr>
          <w:rFonts w:ascii="Calibri (MS)" w:hAnsi="Calibri (MS)" w:cs="Calibri (MS)" w:eastAsia="Calibri (MS)"/>
          <w:color w:val="000000"/>
          <w:sz w:val="32"/>
          <w:szCs w:val="32"/>
          <w:rtl/>
        </w:rPr>
        <w:t>عتمدت الدراسة المنهج الميداني لدراسة أثر التفاعل مع فيديوهات تيك توك على القيم والمعايير والخصوصية الثقافية لدى الشباب الجامعي.</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اظهرت النتائج ان كثافة التفاعل مع الفديوهات تيك توك ترتبط بظهور تغيرات في الثقافة لدى بعض الأفراد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ترتبط بالدراسة في تاثير لثقافي لتيك توك بينما تضيف الدراسه الخورزميات بوصفها عامل مؤثر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Bold" w:hAnsi="Calibri (MS) Bold" w:cs="Calibri (MS) Bold" w:eastAsia="Calibri (MS) Bold"/>
          <w:b/>
          <w:bCs/>
          <w:color w:val="000000"/>
          <w:sz w:val="20"/>
          <w:szCs w:val="20"/>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٩</w:t>
      </w:r>
      <w:r>
        <w:rPr>
          <w:rFonts w:ascii="Calibri (MS)" w:hAnsi="Calibri (MS)" w:cs="Calibri (MS)" w:eastAsia="Calibri (MS)"/>
          <w:color w:val="000000"/>
          <w:sz w:val="32"/>
          <w:szCs w:val="32"/>
          <w:rtl/>
        </w:rPr>
        <w:t xml:space="preserve">- وليد كنتور، وميليسا صبحي، </w:t>
      </w:r>
      <w:r>
        <w:rPr>
          <w:rFonts w:ascii="Calibri (MS)" w:hAnsi="Calibri (MS)" w:cs="Calibri (MS)" w:eastAsia="Calibri (MS)"/>
          <w:color w:val="000000"/>
          <w:sz w:val="32"/>
          <w:szCs w:val="32"/>
        </w:rPr>
        <w:t>2025</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تفاعل الشباب الجزائري مع التراث الثقافي من خلال فيديوهات تيك توك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اعتمدت الدراسه المنهج المسحي الوصفي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توصلت الدراسة إلى أن المحتوى التراثي على تيك توك يمكن أن يسهم في تعزيز الاهتمام الثقافي، مع اختلاف التفاعل بحسب نوع المحتوى المقدم.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تدعم هذه الدراسه جانب الاثار الإيجابية للمحتوى الرقمي في تشكيل الثقافة لدى الشباب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Bold" w:hAnsi="Calibri (MS) Bold" w:cs="Calibri (MS) Bold" w:eastAsia="Calibri (MS) Bold"/>
          <w:b/>
          <w:bCs/>
          <w:color w:val="000000"/>
          <w:sz w:val="20"/>
          <w:szCs w:val="20"/>
        </w:rPr>
        <w:t xml:space="preserve">
</w:t>
      </w:r>
    </w:p>
    <w:p>
      <w:pPr>
        <w:bidi/>
        <w:spacing w:after="120" w:before="120" w:line="336" w:lineRule="auto"/>
        <w:ind w:firstLine="0" w:start="0"/>
        <w:jc w:val="start"/>
      </w:pPr>
      <w:r>
        <w:rPr>
          <w:rFonts w:ascii="Calibri (MS)" w:hAnsi="Calibri (MS)" w:cs="Calibri (MS)" w:eastAsia="Calibri (MS)"/>
          <w:color w:val="000000"/>
          <w:sz w:val="32"/>
          <w:szCs w:val="32"/>
        </w:rPr>
        <w:t>١٠</w:t>
      </w:r>
      <w:r>
        <w:rPr>
          <w:rFonts w:ascii="Calibri (MS)" w:hAnsi="Calibri (MS)" w:cs="Calibri (MS)" w:eastAsia="Calibri (MS)"/>
          <w:color w:val="000000"/>
          <w:sz w:val="32"/>
          <w:szCs w:val="32"/>
          <w:rtl/>
        </w:rPr>
        <w:t xml:space="preserve">-رحمة أحمد القرني، </w:t>
      </w:r>
      <w:r>
        <w:rPr>
          <w:rFonts w:ascii="Calibri (MS)" w:hAnsi="Calibri (MS)" w:cs="Calibri (MS)" w:eastAsia="Calibri (MS)"/>
          <w:color w:val="000000"/>
          <w:sz w:val="32"/>
          <w:szCs w:val="32"/>
        </w:rPr>
        <w:t>2018</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تأثير مواقع التواصل الاجتماعي على أنماط التحصيل الثقافي عند الشباب السعودي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اعتمد الدراسة على منهج المسح الاعلامي استخدمت الاستبانة أداة لجمع البينات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أظهرت النتائج أن مواقع التواصل الاجتماعي أصبحت عاملًا مؤثرًا في تشكيل أنماط اكتساب المعرفة والثقافة لدى الشباب السعودي، وأن البيئة الرقمية تسهم في التأثير على أساليب التلقي الثقافي </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تفيد الدراسة الحالية في بناء الجانب النظري المتعلق بعلاقة المنصات الرقمية بالوعي والتحصيل الثقافي لدى الشباب السعودي، بينما تتميز دراسه المقدمة بالتركيز على خوارزميات تيك توك تحديدًا بوصفها عاملًا مؤثرًا في تشكيل الوعي الثقافي</w:t>
      </w:r>
      <w:r>
        <w:rPr>
          <w:rFonts w:ascii="Calibri (MS)" w:hAnsi="Calibri (MS)" w:cs="Calibri (MS)" w:eastAsia="Calibri (MS)"/>
          <w:color w:val="000000"/>
          <w:sz w:val="32"/>
          <w:szCs w:val="32"/>
          <w:rtl/>
        </w:rPr>
        <w:t xml:space="preserve">
</w:t>
      </w:r>
    </w:p>
    <w:sectPr>
      <w:pgSz w:w="11910" w:h="16845"/>
    </w:sectPr>
  </w:body>
</w:document>
</file>

<file path=word/fontTable.xml><?xml version="1.0" encoding="utf-8"?>
<w:fonts xmlns:w="http://schemas.openxmlformats.org/wordprocessingml/2006/main" xmlns:r="http://schemas.openxmlformats.org/officeDocument/2006/relationships">
  <w:font w:name="Arimo">
    <w:panose1 w:val="020B0604020202020204"/>
    <w:charset w:characterSet="1"/>
    <w:embedRegular r:id="rId1"/>
  </w:font>
  <w:font w:name="Arimo Italics">
    <w:panose1 w:val="020B0604020202090204"/>
    <w:charset w:characterSet="1"/>
    <w:embedItalic r:id="rId2"/>
  </w:font>
  <w:font w:name="Arimo Bold">
    <w:panose1 w:val="020B0704020202020204"/>
    <w:charset w:characterSet="1"/>
    <w:embedBold r:id="rId3"/>
  </w:font>
  <w:font w:name="Arimo Bold Italics">
    <w:panose1 w:val="020B0704020202090204"/>
    <w:charset w:characterSet="1"/>
    <w:embedBoldItalic r:id="rId4"/>
  </w:font>
  <w:font w:name="Calibri (MS)">
    <w:panose1 w:val="020F0502020204030204"/>
    <w:charset w:characterSet="1"/>
  </w:font>
  <w:font w:name="Calibri (MS) Bold">
    <w:panose1 w:val="020F0702030404030204"/>
    <w:charset w:characterSet="1"/>
  </w:font>
</w:fonts>
</file>

<file path=word/settings.xml><?xml version="1.0" encoding="utf-8"?>
<w:settings xmlns:w="http://schemas.openxmlformats.org/wordprocessingml/2006/main">
  <w:embedTrueTypeFonts/>
  <w:doNotShadeFormData/>
</w:setting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fontTable.xml" Type="http://schemas.openxmlformats.org/officeDocument/2006/relationships/fontTable"/><Relationship Id="rId3" Target="media/image1.jpeg" Type="http://schemas.openxmlformats.org/officeDocument/2006/relationships/image"/></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2026-06-23T20:25:10Z</dcterms:created>
  <dc:creator>Apache POI</dc:creator>
  <dc:title>بكالوريوس الإعلام الرقمي "13"</dc:title>
</cp:coreProperties>
</file>