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C1026CC" w:rsidR="009125CE" w:rsidRPr="00F41F4C" w:rsidRDefault="000A5E09" w:rsidP="000A5E0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41F4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744E51F">
            <wp:simplePos x="0" y="0"/>
            <wp:positionH relativeFrom="margin">
              <wp:posOffset>165735</wp:posOffset>
            </wp:positionH>
            <wp:positionV relativeFrom="margin">
              <wp:posOffset>-171450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F41F4C">
        <w:rPr>
          <w:rFonts w:ascii="Simplified Arabic" w:hAnsi="Simplified Arabic" w:cs="Simplified Arabic"/>
          <w:b/>
          <w:bCs/>
          <w:color w:val="000000" w:themeColor="text1"/>
          <w:sz w:val="32"/>
          <w:szCs w:val="32"/>
          <w:rtl/>
          <w:lang w:bidi="ar-EG"/>
        </w:rPr>
        <w:t xml:space="preserve">جامعة ميدأوشن </w:t>
      </w:r>
    </w:p>
    <w:p w14:paraId="1E957002" w14:textId="68B753A1" w:rsidR="00F546CE" w:rsidRPr="00F41F4C" w:rsidRDefault="009125CE" w:rsidP="000A5E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41F4C">
        <w:rPr>
          <w:rFonts w:ascii="Simplified Arabic" w:hAnsi="Simplified Arabic" w:cs="Simplified Arabic"/>
          <w:b/>
          <w:bCs/>
          <w:color w:val="000000" w:themeColor="text1"/>
          <w:sz w:val="32"/>
          <w:szCs w:val="32"/>
          <w:rtl/>
          <w:lang w:bidi="ar-EG"/>
        </w:rPr>
        <w:t xml:space="preserve">كلية </w:t>
      </w:r>
      <w:r w:rsidR="008C42C1" w:rsidRPr="00F41F4C">
        <w:rPr>
          <w:rFonts w:ascii="Simplified Arabic" w:hAnsi="Simplified Arabic" w:cs="Simplified Arabic"/>
          <w:b/>
          <w:bCs/>
          <w:color w:val="000000" w:themeColor="text1"/>
          <w:sz w:val="32"/>
          <w:szCs w:val="32"/>
          <w:rtl/>
          <w:lang w:bidi="ar-EG"/>
        </w:rPr>
        <w:t>الإدارة</w:t>
      </w:r>
      <w:r w:rsidRPr="00F41F4C">
        <w:rPr>
          <w:rFonts w:ascii="Simplified Arabic" w:hAnsi="Simplified Arabic" w:cs="Simplified Arabic"/>
          <w:b/>
          <w:bCs/>
          <w:color w:val="000000" w:themeColor="text1"/>
          <w:sz w:val="32"/>
          <w:szCs w:val="32"/>
          <w:rtl/>
          <w:lang w:bidi="ar-EG"/>
        </w:rPr>
        <w:t xml:space="preserve"> </w:t>
      </w:r>
    </w:p>
    <w:p w14:paraId="0A25F43C" w14:textId="7C013913" w:rsidR="008C7BB4" w:rsidRPr="00F41F4C" w:rsidRDefault="002E360D" w:rsidP="000A5E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41F4C">
        <w:rPr>
          <w:rFonts w:ascii="Simplified Arabic" w:hAnsi="Simplified Arabic" w:cs="Simplified Arabic"/>
          <w:b/>
          <w:bCs/>
          <w:color w:val="000000" w:themeColor="text1"/>
          <w:sz w:val="32"/>
          <w:szCs w:val="32"/>
          <w:rtl/>
          <w:lang w:bidi="ar-EG"/>
        </w:rPr>
        <w:t>ماجستير موارد بشرية</w:t>
      </w:r>
    </w:p>
    <w:p w14:paraId="5F6542BF" w14:textId="77777777" w:rsidR="009125CE" w:rsidRPr="00F41F4C" w:rsidRDefault="009125CE" w:rsidP="000A5E0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A479477" w14:textId="55F7990B" w:rsidR="00205810" w:rsidRPr="00F41F4C" w:rsidRDefault="00205810" w:rsidP="000A5E0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F41F4C">
        <w:rPr>
          <w:rFonts w:ascii="Simplified Arabic" w:hAnsi="Simplified Arabic" w:cs="Simplified Arabic"/>
          <w:b/>
          <w:bCs/>
          <w:color w:val="000000" w:themeColor="text1"/>
          <w:sz w:val="40"/>
          <w:szCs w:val="40"/>
          <w:rtl/>
        </w:rPr>
        <w:t>أثر التحول الرقمي على جودة الأداء المؤسسي في جامعة الملك سعود بن عبدالعزيز للعلوم الصحية بالرياض</w:t>
      </w:r>
    </w:p>
    <w:p w14:paraId="751A7E65" w14:textId="104A37B3" w:rsidR="009125CE" w:rsidRPr="00F41F4C" w:rsidRDefault="009125CE" w:rsidP="000A5E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1F4C">
        <w:rPr>
          <w:rFonts w:ascii="Simplified Arabic" w:hAnsi="Simplified Arabic" w:cs="Simplified Arabic"/>
          <w:b/>
          <w:bCs/>
          <w:color w:val="000000" w:themeColor="text1"/>
          <w:sz w:val="36"/>
          <w:szCs w:val="36"/>
          <w:rtl/>
          <w:lang w:bidi="ar-EG"/>
        </w:rPr>
        <w:t>إعداد الطالب/</w:t>
      </w:r>
    </w:p>
    <w:p w14:paraId="1488EAFE" w14:textId="77777777" w:rsidR="002E360D" w:rsidRPr="00F41F4C" w:rsidRDefault="002E360D" w:rsidP="000A5E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41F4C">
        <w:rPr>
          <w:rFonts w:ascii="Simplified Arabic" w:hAnsi="Simplified Arabic" w:cs="Simplified Arabic"/>
          <w:color w:val="000000" w:themeColor="text1"/>
          <w:sz w:val="36"/>
          <w:szCs w:val="36"/>
          <w:rtl/>
          <w:lang w:bidi="ar-EG"/>
        </w:rPr>
        <w:t>ناصر مفضي العنزي</w:t>
      </w:r>
    </w:p>
    <w:p w14:paraId="0C365B0A" w14:textId="507D8088" w:rsidR="008F63FA" w:rsidRPr="00F41F4C" w:rsidRDefault="002E360D" w:rsidP="000A5E09">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F41F4C">
        <w:rPr>
          <w:rFonts w:ascii="Simplified Arabic" w:hAnsi="Simplified Arabic" w:cs="Simplified Arabic"/>
          <w:color w:val="000000" w:themeColor="text1"/>
          <w:sz w:val="36"/>
          <w:szCs w:val="36"/>
          <w:rtl/>
          <w:lang w:bidi="ar-EG"/>
        </w:rPr>
        <w:t>253001510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A5E09" w:rsidRPr="00F41F4C" w14:paraId="7570FB4A" w14:textId="77777777" w:rsidTr="0053515B">
        <w:tc>
          <w:tcPr>
            <w:tcW w:w="4530" w:type="dxa"/>
          </w:tcPr>
          <w:p w14:paraId="77991901" w14:textId="77777777" w:rsidR="000A5E09" w:rsidRPr="00F41F4C" w:rsidRDefault="000A5E09" w:rsidP="0053515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1F4C">
              <w:rPr>
                <w:rFonts w:ascii="Simplified Arabic" w:hAnsi="Simplified Arabic" w:cs="Simplified Arabic" w:hint="cs"/>
                <w:b/>
                <w:bCs/>
                <w:color w:val="000000" w:themeColor="text1"/>
                <w:sz w:val="36"/>
                <w:szCs w:val="36"/>
                <w:rtl/>
                <w:lang w:bidi="ar-EG"/>
              </w:rPr>
              <w:t>المشرف الرئيسي/</w:t>
            </w:r>
          </w:p>
        </w:tc>
        <w:tc>
          <w:tcPr>
            <w:tcW w:w="4531" w:type="dxa"/>
          </w:tcPr>
          <w:p w14:paraId="4761290F" w14:textId="77777777" w:rsidR="000A5E09" w:rsidRPr="00F41F4C" w:rsidRDefault="000A5E09" w:rsidP="0053515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1F4C">
              <w:rPr>
                <w:rFonts w:ascii="Simplified Arabic" w:hAnsi="Simplified Arabic" w:cs="Simplified Arabic" w:hint="cs"/>
                <w:b/>
                <w:bCs/>
                <w:color w:val="000000" w:themeColor="text1"/>
                <w:sz w:val="36"/>
                <w:szCs w:val="36"/>
                <w:rtl/>
                <w:lang w:bidi="ar-EG"/>
              </w:rPr>
              <w:t>المشرف الثاني/</w:t>
            </w:r>
          </w:p>
        </w:tc>
      </w:tr>
      <w:tr w:rsidR="000A5E09" w:rsidRPr="00F41F4C" w14:paraId="73233AAC" w14:textId="77777777" w:rsidTr="0053515B">
        <w:tc>
          <w:tcPr>
            <w:tcW w:w="4530" w:type="dxa"/>
          </w:tcPr>
          <w:p w14:paraId="0A6533BB" w14:textId="77777777" w:rsidR="000A5E09" w:rsidRPr="00F41F4C" w:rsidRDefault="000A5E09" w:rsidP="0053515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1F4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77E4B7F" w14:textId="77777777" w:rsidR="000A5E09" w:rsidRPr="00F41F4C" w:rsidRDefault="000A5E09" w:rsidP="0053515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1F4C">
              <w:rPr>
                <w:rFonts w:ascii="Simplified Arabic" w:eastAsia="Calibri" w:hAnsi="Simplified Arabic" w:cs="Simplified Arabic"/>
                <w:color w:val="000000" w:themeColor="text1"/>
                <w:kern w:val="0"/>
                <w:sz w:val="36"/>
                <w:szCs w:val="36"/>
                <w:rtl/>
                <w:lang w:bidi="ar-EG"/>
                <w14:ligatures w14:val="none"/>
              </w:rPr>
              <w:t>د.فايز جراد</w:t>
            </w:r>
          </w:p>
        </w:tc>
      </w:tr>
    </w:tbl>
    <w:p w14:paraId="298EDC23" w14:textId="77777777" w:rsidR="000A5E09" w:rsidRPr="00F41F4C" w:rsidRDefault="000A5E09" w:rsidP="000A5E09">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F41F4C">
        <w:rPr>
          <w:rFonts w:ascii="Simplified Arabic" w:hAnsi="Simplified Arabic" w:cs="Simplified Arabic"/>
          <w:b/>
          <w:bCs/>
          <w:color w:val="000000" w:themeColor="text1"/>
          <w:sz w:val="36"/>
          <w:szCs w:val="36"/>
          <w:rtl/>
          <w:lang w:bidi="ar-EG"/>
        </w:rPr>
        <w:t>العام الدراسي:</w:t>
      </w:r>
    </w:p>
    <w:p w14:paraId="689FE3BC" w14:textId="77777777" w:rsidR="000A5E09" w:rsidRPr="00F41F4C" w:rsidRDefault="000A5E09" w:rsidP="000A5E09">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0A5E09" w:rsidRPr="00F41F4C" w:rsidSect="0053515B">
          <w:type w:val="continuous"/>
          <w:pgSz w:w="11906" w:h="16838" w:code="9"/>
          <w:pgMar w:top="1134" w:right="1701" w:bottom="1134" w:left="1134" w:header="720" w:footer="720" w:gutter="0"/>
          <w:pgNumType w:fmt="arabicAbjad" w:start="1"/>
          <w:cols w:space="708"/>
          <w:bidi/>
          <w:rtlGutter/>
          <w:docGrid w:linePitch="360"/>
        </w:sectPr>
      </w:pPr>
      <w:r w:rsidRPr="00F41F4C">
        <w:rPr>
          <w:rFonts w:ascii="Simplified Arabic" w:hAnsi="Simplified Arabic" w:cs="Simplified Arabic"/>
          <w:color w:val="000000" w:themeColor="text1"/>
          <w:sz w:val="36"/>
          <w:szCs w:val="36"/>
          <w:lang w:bidi="ar-EG"/>
        </w:rPr>
        <w:t>1448 – 2026</w:t>
      </w:r>
    </w:p>
    <w:p w14:paraId="5F25D8FE" w14:textId="77777777" w:rsidR="000A5E09" w:rsidRPr="00F41F4C" w:rsidRDefault="000A5E09" w:rsidP="000A5E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0A5E09" w:rsidRPr="00F41F4C" w:rsidSect="000A5E09">
          <w:footerReference w:type="default" r:id="rId9"/>
          <w:type w:val="continuous"/>
          <w:pgSz w:w="11906" w:h="16838" w:code="9"/>
          <w:pgMar w:top="1134" w:right="1701" w:bottom="1134" w:left="1134" w:header="720" w:footer="720" w:gutter="0"/>
          <w:cols w:space="708"/>
          <w:bidi/>
          <w:rtlGutter/>
          <w:docGrid w:linePitch="360"/>
        </w:sectPr>
      </w:pPr>
    </w:p>
    <w:p w14:paraId="68642EC8" w14:textId="7E49D276" w:rsidR="000A5E09" w:rsidRPr="00F41F4C" w:rsidRDefault="000A5E09" w:rsidP="000A5E09">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6089927"/>
      <w:r w:rsidRPr="00F41F4C">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711BF864" w14:textId="2EA99284" w:rsidR="000A5E09" w:rsidRPr="00F41F4C" w:rsidRDefault="000A5E09" w:rsidP="000A5E09">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6089928"/>
      <w:r w:rsidRPr="00F41F4C">
        <w:rPr>
          <w:rFonts w:ascii="Simplified Arabic" w:hAnsi="Simplified Arabic" w:cs="Simplified Arabic" w:hint="cs"/>
          <w:b/>
          <w:bCs/>
          <w:color w:val="000000" w:themeColor="text1"/>
          <w:sz w:val="36"/>
          <w:szCs w:val="36"/>
          <w:rtl/>
        </w:rPr>
        <w:t>1.1 المقدمة</w:t>
      </w:r>
      <w:bookmarkEnd w:id="3"/>
    </w:p>
    <w:p w14:paraId="723103E7" w14:textId="3E53D74A"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يشهد العالم المعاصر موجة غير مسبوقة من التحولات التقنية والرقمية التي أعادت رسم ملامح بيئة الأعمال والمؤسسات على اختلاف أنماطها وقطاعاتها، حيث أصبح التحول الرقمي التوجه الاستراتيجي الأبرز الذي تتبناه المنظمات لتعزيز قدرتها التنافسية وضمان استدامتها في ظل اقتصاد المعرفة والثورة الصناعية الرابعة. وقد امتد هذا التحول ليطال مختلف القطاعات بما فيها قطاع التعليم العالي الذي بات مطالباً أكثر من أي وقت مضى بمواكبة المستجدات الرقمية وتوظيفها في تطوير عملياته الأكاديمية والإدارية والبحثية، ولا سيما في المملكة العربية السعودية التي جعلت من التحول الرقمي ركيزة محورية ضمن رؤية 2030 لتحديث القطاعات الحيوية وعلى رأسها التعليم والصحة</w:t>
      </w:r>
      <w:r w:rsidRPr="00F41F4C">
        <w:rPr>
          <w:rFonts w:ascii="Simplified Arabic" w:hAnsi="Simplified Arabic" w:cs="Simplified Arabic"/>
          <w:color w:val="000000" w:themeColor="text1"/>
          <w:sz w:val="28"/>
          <w:szCs w:val="28"/>
        </w:rPr>
        <w:t xml:space="preserve"> (Egbeleo &amp; Sodokin, 2025).</w:t>
      </w:r>
    </w:p>
    <w:p w14:paraId="5D6F9DBE" w14:textId="26AC5742"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ويُعرف التحول الرقمي بأنه عملية استراتيجية شاملة تتضمن دمج التقنيات الرقمية في جميع جوانب المؤسسة بهدف إحداث تغيير جوهري في كيفية تشغيلها وتقديمها للقيمة لأصحاب المصلحة. ويرتكز التحول الرقمي على عدة أبعاد جوهرية تشمل البنية التحتية الرقمية التي تمثل القاعدة التقنية اللازمة لعمليات الرقمنة، والكفاءات والمهارات الرقمية التي تعكس قدرة الموارد البشرية على التعامل مع الأدوات والمنصات الرقمية، والقيادة الرقمية التي توجّه جهود التحول وتضمن التزام المستويات الإدارية المختلفة، فضلاً عن استراتيجية التحول الرقمي التي ترسم خارطة الطريق الواضحة لتنفيذ مبادرات الرقمنة بشكل منهجي ومتكامل</w:t>
      </w:r>
      <w:r w:rsidRPr="00F41F4C">
        <w:rPr>
          <w:rFonts w:ascii="Simplified Arabic" w:hAnsi="Simplified Arabic" w:cs="Simplified Arabic"/>
          <w:color w:val="000000" w:themeColor="text1"/>
          <w:sz w:val="28"/>
          <w:szCs w:val="28"/>
        </w:rPr>
        <w:t xml:space="preserve"> (Wang &amp; Shao, 2024). </w:t>
      </w:r>
    </w:p>
    <w:p w14:paraId="1E03605C" w14:textId="77777777"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 xml:space="preserve">ومن جانب آخر، يحتل مفهوم جودة الأداء المؤسسي مكانة محورية في الفكر الإداري المعاصر، إذ يعكس مدى قدرة المؤسسة على تحقيق أهدافها الاستراتيجية بكفاءة وفاعلية وتلبية توقعات أصحاب المصلحة بمستوى عالٍ من الإتقان والتميز. ويشمل الأداء المؤسسي الجيد جملة من المعايير التي تتعلق بجودة العمليات الداخلية وكفاءة استخدام الموارد ورضا المستفيدين والقدرة على التطوير والتعلم المستمر (أبو نصير وكناكرية، </w:t>
      </w:r>
      <w:r w:rsidRPr="00F41F4C">
        <w:rPr>
          <w:rFonts w:ascii="Simplified Arabic" w:hAnsi="Simplified Arabic" w:cs="Simplified Arabic"/>
          <w:color w:val="000000" w:themeColor="text1"/>
          <w:sz w:val="28"/>
          <w:szCs w:val="28"/>
        </w:rPr>
        <w:t xml:space="preserve">2024). </w:t>
      </w:r>
      <w:r w:rsidRPr="00F41F4C">
        <w:rPr>
          <w:rFonts w:ascii="Simplified Arabic" w:hAnsi="Simplified Arabic" w:cs="Simplified Arabic"/>
          <w:color w:val="000000" w:themeColor="text1"/>
          <w:sz w:val="28"/>
          <w:szCs w:val="28"/>
          <w:rtl/>
        </w:rPr>
        <w:t>وقد أصبحت مؤسسات التعليم العالي تحرص على تحقيق مستويات مرتفعة من جودة الأداء المؤسسي كشرط أساسي للحصول على الاعتماد الأكاديمي وتعزيز سمعتها وقدرتها التنافسية محلياً ودولياً</w:t>
      </w:r>
      <w:r w:rsidRPr="00F41F4C">
        <w:rPr>
          <w:rFonts w:ascii="Simplified Arabic" w:hAnsi="Simplified Arabic" w:cs="Simplified Arabic"/>
          <w:color w:val="000000" w:themeColor="text1"/>
          <w:sz w:val="28"/>
          <w:szCs w:val="28"/>
        </w:rPr>
        <w:t xml:space="preserve"> (Ramadania et al., 2024).</w:t>
      </w:r>
    </w:p>
    <w:p w14:paraId="02947734" w14:textId="404C4E41"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lastRenderedPageBreak/>
        <w:t>و تتجلى العلاقة الوثيقة بين التحول الرقمي وجودة الأداء المؤسسي، إذ يُعدّ التحول الرقمي مدخلاً استراتيجياً فاعلاً لتحسين جودة الأداء من خلال أتمتة العمليات وتسريع تدفق المعلومات ودعم اتخاذ القرارات المبنية على البيانات وتعزيز التواصل المؤسسي. وتزداد أهمية هذه العلاقة في بيئة الجامعات الصحية التي تجمع بين التعليم الأكاديمي والممارسة الصحية، مما يفرض متطلبات مضاعفة من الكفاءة الرقمية والجودة المؤسسية (المومني والشواورة، 2024)</w:t>
      </w:r>
      <w:r w:rsidRPr="00F41F4C">
        <w:rPr>
          <w:rFonts w:ascii="Simplified Arabic" w:hAnsi="Simplified Arabic" w:cs="Simplified Arabic"/>
          <w:color w:val="000000" w:themeColor="text1"/>
          <w:sz w:val="28"/>
          <w:szCs w:val="28"/>
        </w:rPr>
        <w:t>.</w:t>
      </w:r>
    </w:p>
    <w:p w14:paraId="14ADA7D6" w14:textId="51C8FAF7"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وتأتي هذه الدراسة لتسلط الضوء على أثر التحول الرقمي بأبعاده (البنية التحتية الرقمية، الكفاءات والمهارات الرقمية، القيادة الرقمية، استراتيجية التحول الرقمي) على جودة الأداء المؤسسي في جامعة الملك سعود بن عبدالعزيز للعلوم الصحية بالرياض.</w:t>
      </w:r>
    </w:p>
    <w:p w14:paraId="38C0CB90" w14:textId="60994C71" w:rsidR="000A5E09" w:rsidRPr="00F41F4C" w:rsidRDefault="000A5E09" w:rsidP="000A5E0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6089929"/>
      <w:bookmarkEnd w:id="0"/>
      <w:bookmarkEnd w:id="1"/>
      <w:r w:rsidRPr="00F41F4C">
        <w:rPr>
          <w:rFonts w:ascii="Simplified Arabic" w:hAnsi="Simplified Arabic" w:cs="Simplified Arabic"/>
          <w:b/>
          <w:bCs/>
          <w:color w:val="000000" w:themeColor="text1"/>
          <w:sz w:val="36"/>
          <w:szCs w:val="36"/>
          <w:rtl/>
        </w:rPr>
        <w:t>2.1 مشكلة الدراسة</w:t>
      </w:r>
      <w:bookmarkEnd w:id="5"/>
    </w:p>
    <w:p w14:paraId="16EA67B6" w14:textId="77777777"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يشهد العالم المعاصر تحولات رقمية متسارعة أعادت تشكيل ملامح المنظمات بمختلف أنماطها وقطاعاتها، حيث باتت التقنيات الرقمية تمثل الركيزة الأساسية التي تستند إليها المؤسسات في سعيها نحو تحقيق التميز والاستدامة في بيئة تنافسية بالغة التعقيد والديناميكية. وقد أفرز هذا التحول تغييرات جذرية في أساليب العمل وآليات تقديم الخدمات ونماذج الأعمال، مما فرض على المؤسسات ضرورة إعادة النظر في هياكلها التنظيمية وعملياتها الإدارية ومنظوماتها التشغيلية لمواكبة متطلبات العصر الرقمي وتحقيق مستويات أعلى من جودة الأداء المؤسسي</w:t>
      </w:r>
      <w:r w:rsidRPr="00F41F4C">
        <w:rPr>
          <w:rFonts w:ascii="Simplified Arabic" w:hAnsi="Simplified Arabic" w:cs="Simplified Arabic"/>
          <w:color w:val="000000" w:themeColor="text1"/>
          <w:sz w:val="28"/>
          <w:szCs w:val="28"/>
        </w:rPr>
        <w:t>.</w:t>
      </w:r>
    </w:p>
    <w:p w14:paraId="3999802B" w14:textId="6F8A170F"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 xml:space="preserve">وتحظى مؤسسات التعليم العالي باهتمام خاص في هذا السياق، إذ تواجه ضغوطاً متنامية لتبني التحول الرقمي كمدخل استراتيجي لتطوير أدائها المؤسسي وتعزيز قدرتها على تحقيق رسالتها الأكاديمية والبحثية والمجتمعية بكفاءة وفاعلية. وقد أكدت العديد من الدراسات كدراسة </w:t>
      </w:r>
      <w:r w:rsidRPr="00F41F4C">
        <w:rPr>
          <w:rFonts w:ascii="Simplified Arabic" w:hAnsi="Simplified Arabic" w:cs="Simplified Arabic"/>
          <w:color w:val="000000" w:themeColor="text1"/>
          <w:sz w:val="28"/>
          <w:szCs w:val="28"/>
        </w:rPr>
        <w:t xml:space="preserve">(Ramadania et al., 2024) </w:t>
      </w:r>
      <w:r w:rsidRPr="00F41F4C">
        <w:rPr>
          <w:rFonts w:ascii="Simplified Arabic" w:hAnsi="Simplified Arabic" w:cs="Simplified Arabic"/>
          <w:color w:val="000000" w:themeColor="text1"/>
          <w:sz w:val="28"/>
          <w:szCs w:val="28"/>
          <w:rtl/>
        </w:rPr>
        <w:t>أن التحول الرقمي في مؤسسات التعليم العالي أصبح محوراً بحثياً متنامياً يعكس أهمية هذا التوجه في تحسين الأداء المؤسسي</w:t>
      </w:r>
      <w:r w:rsidRPr="00F41F4C">
        <w:rPr>
          <w:rFonts w:ascii="Simplified Arabic" w:hAnsi="Simplified Arabic" w:cs="Simplified Arabic"/>
          <w:color w:val="000000" w:themeColor="text1"/>
          <w:sz w:val="28"/>
          <w:szCs w:val="28"/>
        </w:rPr>
        <w:t xml:space="preserve">. </w:t>
      </w:r>
      <w:r w:rsidRPr="00F41F4C">
        <w:rPr>
          <w:rFonts w:ascii="Simplified Arabic" w:hAnsi="Simplified Arabic" w:cs="Simplified Arabic"/>
          <w:color w:val="000000" w:themeColor="text1"/>
          <w:sz w:val="28"/>
          <w:szCs w:val="28"/>
          <w:rtl/>
        </w:rPr>
        <w:t>كما أشارت دراسة (أبو نصير وكناكرية، 2024) إلى أن التحول الرقمي يؤثر إيجابياً على تحسين الأداء المؤسسي في الجامعات وفقاً لبطاقة الأداء المتوازن. في حين كشفت دراسة (المومني والشواورة، 2024) ودراسة (شحاتة ورضوان، 2024) ودراسة (العريمي والحراحشة، 2024) عن وجود أثر إيجابي ذي دلالة إحصائية للتحول الرقمي بأبعاده المختلفة في تطوير الأداء المؤسسي وتحقيق تميزه في بيئات تنظيمية متعددة</w:t>
      </w:r>
      <w:r w:rsidRPr="00F41F4C">
        <w:rPr>
          <w:rFonts w:ascii="Simplified Arabic" w:hAnsi="Simplified Arabic" w:cs="Simplified Arabic"/>
          <w:color w:val="000000" w:themeColor="text1"/>
          <w:sz w:val="28"/>
          <w:szCs w:val="28"/>
        </w:rPr>
        <w:t>.</w:t>
      </w:r>
    </w:p>
    <w:p w14:paraId="50D6BD4C" w14:textId="015DBADA"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lastRenderedPageBreak/>
        <w:t>و تولي المملكة العربية السعودية اهتماماً استثنائياً بالتحول الرقمي ضمن رؤية 2030 التي جعلت من الرقمنة ركيزة محورية لتطوير القطاعات الحيوية، ولا سيما قطاعي التعليم العالي والصحة. وتأتي جامعة الملك سعود بن عبدالعزيز للعلوم الصحية بالرياض في طليعة المؤسسات الأكاديمية الصحية التي تسعى إلى تبني التحول الرقمي، نظراً لطبيعتها المزدوجة التي تجمع بين التعليم الأكاديمي والممارسة الصحية، مما يستوجب مستويات عالية من الكفاءة الرقمية والجودة المؤسسية</w:t>
      </w:r>
      <w:r w:rsidRPr="00F41F4C">
        <w:rPr>
          <w:rFonts w:ascii="Simplified Arabic" w:hAnsi="Simplified Arabic" w:cs="Simplified Arabic"/>
          <w:color w:val="000000" w:themeColor="text1"/>
          <w:sz w:val="28"/>
          <w:szCs w:val="28"/>
        </w:rPr>
        <w:t xml:space="preserve">. </w:t>
      </w:r>
      <w:r w:rsidRPr="00F41F4C">
        <w:rPr>
          <w:rFonts w:ascii="Simplified Arabic" w:hAnsi="Simplified Arabic" w:cs="Simplified Arabic"/>
          <w:color w:val="000000" w:themeColor="text1"/>
          <w:sz w:val="28"/>
          <w:szCs w:val="28"/>
          <w:rtl/>
        </w:rPr>
        <w:t>غير أن الملاحظة الميدانية والاستقراء الأولي يشيران إلى وجود تفاوت في مستويات تطبيق أبعاد التحول الرقمي المختلفة داخل الجامعة، وتباين في مدى انعكاس ذلك على جودة الأداء المؤسسي، فضلاً عن محدودية الدراسات العلمية التي تناولت هذه العلاقة في بيئة الجامعات الصحية السعودية تحديداً</w:t>
      </w:r>
      <w:r w:rsidRPr="00F41F4C">
        <w:rPr>
          <w:rFonts w:ascii="Simplified Arabic" w:hAnsi="Simplified Arabic" w:cs="Simplified Arabic"/>
          <w:color w:val="000000" w:themeColor="text1"/>
          <w:sz w:val="28"/>
          <w:szCs w:val="28"/>
        </w:rPr>
        <w:t>.</w:t>
      </w:r>
    </w:p>
    <w:p w14:paraId="5928F7FB" w14:textId="77777777" w:rsidR="00347ADE" w:rsidRPr="00F41F4C" w:rsidRDefault="00347ADE" w:rsidP="000A5E09">
      <w:pPr>
        <w:pStyle w:val="NormalWeb"/>
        <w:bidi/>
        <w:spacing w:line="276" w:lineRule="auto"/>
        <w:ind w:firstLine="424"/>
        <w:jc w:val="both"/>
        <w:rPr>
          <w:rFonts w:ascii="Simplified Arabic" w:hAnsi="Simplified Arabic" w:cs="Simplified Arabic"/>
          <w:color w:val="000000" w:themeColor="text1"/>
          <w:sz w:val="28"/>
          <w:szCs w:val="28"/>
        </w:rPr>
      </w:pPr>
      <w:r w:rsidRPr="00F41F4C">
        <w:rPr>
          <w:rFonts w:ascii="Simplified Arabic" w:hAnsi="Simplified Arabic" w:cs="Simplified Arabic"/>
          <w:color w:val="000000" w:themeColor="text1"/>
          <w:sz w:val="28"/>
          <w:szCs w:val="28"/>
          <w:rtl/>
        </w:rPr>
        <w:t>وعلى الرغم من تعدد الدراسات التي تناولت أثر التحول الرقمي على الأداء المؤسسي في قطاعات مختلفة كالبنوك والاتصالات والمنظمات الحكومية، كدراسة (جنيدي، 2024) ودراسة (الحبيشي وطواف، 2021) ودراسة (قرقط ولعشب، 2023) ودراسة</w:t>
      </w:r>
      <w:r w:rsidRPr="00F41F4C">
        <w:rPr>
          <w:rFonts w:ascii="Simplified Arabic" w:hAnsi="Simplified Arabic" w:cs="Simplified Arabic"/>
          <w:color w:val="000000" w:themeColor="text1"/>
          <w:sz w:val="28"/>
          <w:szCs w:val="28"/>
        </w:rPr>
        <w:t xml:space="preserve"> (Teng, Wu &amp; Yang, 2022)</w:t>
      </w:r>
      <w:r w:rsidRPr="00F41F4C">
        <w:rPr>
          <w:rFonts w:ascii="Simplified Arabic" w:hAnsi="Simplified Arabic" w:cs="Simplified Arabic"/>
          <w:color w:val="000000" w:themeColor="text1"/>
          <w:sz w:val="28"/>
          <w:szCs w:val="28"/>
          <w:rtl/>
        </w:rPr>
        <w:t>، إلا أنه لا تزال هناك فجوة بحثية واضحة في دراسة هذا الأثر في سياق مؤسسات التعليم العالي الصحي في المملكة العربية السعودية. كما أن أبعاد التحول الرقمي المؤثرة في جودة الأداء المؤسسي قد تختلف من بيئة تنظيمية إلى أخرى، مما يستدعي دراسة هذه العلاقة في السياق الخاص بالجامعات الصحية التي تتميز بمتطلبات مهنية وأكاديمية وتقنية فريدة</w:t>
      </w:r>
      <w:r w:rsidRPr="00F41F4C">
        <w:rPr>
          <w:rFonts w:ascii="Simplified Arabic" w:hAnsi="Simplified Arabic" w:cs="Simplified Arabic"/>
          <w:color w:val="000000" w:themeColor="text1"/>
          <w:sz w:val="28"/>
          <w:szCs w:val="28"/>
        </w:rPr>
        <w:t>.</w:t>
      </w:r>
    </w:p>
    <w:p w14:paraId="043E2E96" w14:textId="49B3183C" w:rsidR="00347ADE" w:rsidRPr="00F41F4C" w:rsidRDefault="00347ADE" w:rsidP="000A5E09">
      <w:pPr>
        <w:pStyle w:val="NormalWeb"/>
        <w:bidi/>
        <w:spacing w:line="276" w:lineRule="auto"/>
        <w:ind w:firstLine="424"/>
        <w:jc w:val="both"/>
        <w:rPr>
          <w:rFonts w:ascii="Simplified Arabic" w:hAnsi="Simplified Arabic" w:cs="Simplified Arabic"/>
          <w:b/>
          <w:bCs/>
          <w:color w:val="000000" w:themeColor="text1"/>
          <w:sz w:val="28"/>
          <w:szCs w:val="28"/>
        </w:rPr>
      </w:pPr>
      <w:r w:rsidRPr="00F41F4C">
        <w:rPr>
          <w:rFonts w:ascii="Simplified Arabic" w:hAnsi="Simplified Arabic" w:cs="Simplified Arabic"/>
          <w:b/>
          <w:bCs/>
          <w:color w:val="000000" w:themeColor="text1"/>
          <w:sz w:val="28"/>
          <w:szCs w:val="28"/>
          <w:rtl/>
        </w:rPr>
        <w:t xml:space="preserve">وتأسيساً على ما تقدم، تتبلور </w:t>
      </w:r>
      <w:r w:rsidRPr="00F41F4C">
        <w:rPr>
          <w:rStyle w:val="Strong"/>
          <w:rFonts w:ascii="Simplified Arabic" w:hAnsi="Simplified Arabic" w:cs="Simplified Arabic"/>
          <w:b w:val="0"/>
          <w:bCs w:val="0"/>
          <w:color w:val="000000" w:themeColor="text1"/>
          <w:sz w:val="28"/>
          <w:szCs w:val="28"/>
          <w:rtl/>
        </w:rPr>
        <w:t>مشكلة الدراسة</w:t>
      </w:r>
      <w:r w:rsidRPr="00F41F4C">
        <w:rPr>
          <w:rFonts w:ascii="Simplified Arabic" w:hAnsi="Simplified Arabic" w:cs="Simplified Arabic"/>
          <w:b/>
          <w:bCs/>
          <w:color w:val="000000" w:themeColor="text1"/>
          <w:sz w:val="28"/>
          <w:szCs w:val="28"/>
          <w:rtl/>
        </w:rPr>
        <w:t xml:space="preserve"> في التساؤل الرئيسي التالي</w:t>
      </w:r>
      <w:r w:rsidRPr="00F41F4C">
        <w:rPr>
          <w:rFonts w:ascii="Simplified Arabic" w:hAnsi="Simplified Arabic" w:cs="Simplified Arabic"/>
          <w:b/>
          <w:bCs/>
          <w:color w:val="000000" w:themeColor="text1"/>
          <w:sz w:val="28"/>
          <w:szCs w:val="28"/>
        </w:rPr>
        <w:t>:</w:t>
      </w:r>
      <w:r w:rsidR="000A5E09" w:rsidRPr="00F41F4C">
        <w:rPr>
          <w:rFonts w:ascii="Simplified Arabic" w:hAnsi="Simplified Arabic" w:cs="Simplified Arabic" w:hint="cs"/>
          <w:b/>
          <w:bCs/>
          <w:color w:val="000000" w:themeColor="text1"/>
          <w:sz w:val="28"/>
          <w:szCs w:val="28"/>
          <w:rtl/>
        </w:rPr>
        <w:t xml:space="preserve"> </w:t>
      </w:r>
      <w:r w:rsidRPr="00F41F4C">
        <w:rPr>
          <w:rStyle w:val="Strong"/>
          <w:rFonts w:ascii="Simplified Arabic" w:hAnsi="Simplified Arabic" w:cs="Simplified Arabic"/>
          <w:b w:val="0"/>
          <w:bCs w:val="0"/>
          <w:color w:val="000000" w:themeColor="text1"/>
          <w:sz w:val="28"/>
          <w:szCs w:val="28"/>
          <w:rtl/>
        </w:rPr>
        <w:t>ما أثر التحول الرقمي بأبعاده (البنية التحتية الرقمية، الكفاءات والمهارات الرقمية، القيادة الرقمية، استراتيجية التحول الرقمي) على جودة الأداء المؤسسي في جامعة الملك سعود بن عبدالعزيز للعلوم الصحية بالرياض؟</w:t>
      </w:r>
    </w:p>
    <w:p w14:paraId="79A1799D" w14:textId="77777777" w:rsidR="000A5E09"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223970177"/>
      <w:bookmarkStart w:id="7" w:name="_Toc236089930"/>
      <w:r w:rsidRPr="00F41F4C">
        <w:rPr>
          <w:rFonts w:ascii="Simplified Arabic" w:eastAsia="Times New Roman" w:hAnsi="Simplified Arabic" w:cs="Simplified Arabic" w:hint="cs"/>
          <w:b/>
          <w:bCs/>
          <w:color w:val="000000" w:themeColor="text1"/>
          <w:kern w:val="0"/>
          <w:sz w:val="36"/>
          <w:szCs w:val="36"/>
          <w:rtl/>
          <w14:ligatures w14:val="none"/>
        </w:rPr>
        <w:t>3.1 أهمية الدراسة</w:t>
      </w:r>
      <w:bookmarkEnd w:id="6"/>
      <w:bookmarkEnd w:id="7"/>
    </w:p>
    <w:p w14:paraId="4ED5C2DD" w14:textId="5DA762F9"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70178"/>
      <w:r w:rsidRPr="00F41F4C">
        <w:rPr>
          <w:rFonts w:ascii="Simplified Arabic" w:eastAsia="Times New Roman" w:hAnsi="Simplified Arabic" w:cs="Simplified Arabic" w:hint="cs"/>
          <w:b/>
          <w:bCs/>
          <w:color w:val="000000" w:themeColor="text1"/>
          <w:kern w:val="0"/>
          <w:sz w:val="32"/>
          <w:szCs w:val="32"/>
          <w:rtl/>
          <w14:ligatures w14:val="none"/>
        </w:rPr>
        <w:t>الأهمية العلمية (النظرية)</w:t>
      </w:r>
      <w:r w:rsidRPr="00F41F4C">
        <w:rPr>
          <w:rFonts w:ascii="Simplified Arabic" w:eastAsia="Times New Roman" w:hAnsi="Simplified Arabic" w:cs="Simplified Arabic" w:hint="cs"/>
          <w:b/>
          <w:bCs/>
          <w:color w:val="000000" w:themeColor="text1"/>
          <w:kern w:val="0"/>
          <w:sz w:val="32"/>
          <w:szCs w:val="32"/>
          <w14:ligatures w14:val="none"/>
        </w:rPr>
        <w:t>:</w:t>
      </w:r>
      <w:bookmarkEnd w:id="8"/>
    </w:p>
    <w:p w14:paraId="4F45B8CD" w14:textId="77777777" w:rsidR="00347ADE" w:rsidRPr="00F41F4C" w:rsidRDefault="00347ADE" w:rsidP="000A5E0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إثراء الأدب النظري المتعلق بالعلاقة بين التحول الرقمي وجودة الأداء المؤسسي في قطاع التعليم العالي الصحي، وهو مجال لا يزال يعاني من ندرة الدراسات العربية المتخصصة، مما يسهم في سد فجوة بحثية واضحة في الأدبيات الإدارية المعاصرة</w:t>
      </w:r>
      <w:r w:rsidRPr="00F41F4C">
        <w:rPr>
          <w:rFonts w:ascii="Simplified Arabic" w:eastAsia="Times New Roman" w:hAnsi="Simplified Arabic" w:cs="Simplified Arabic"/>
          <w:color w:val="000000" w:themeColor="text1"/>
          <w:kern w:val="0"/>
          <w:sz w:val="28"/>
          <w:szCs w:val="28"/>
          <w14:ligatures w14:val="none"/>
        </w:rPr>
        <w:t>.</w:t>
      </w:r>
    </w:p>
    <w:p w14:paraId="40CF685D" w14:textId="77777777" w:rsidR="00347ADE" w:rsidRPr="00F41F4C" w:rsidRDefault="00347ADE" w:rsidP="000A5E0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تقديم إطار نظري متكامل يربط بين أبعاد التحول الرقمي الأربعة (البنية التحتية الرقمية، الكفاءات والمهارات الرقمية، القيادة الرقمية، استراتيجية التحول الرقمي) وجودة الأداء المؤسسي، بما يُمكن الباحثين من اختبار هذا النموذج وتطويره في سياقات مختلفة</w:t>
      </w:r>
      <w:r w:rsidRPr="00F41F4C">
        <w:rPr>
          <w:rFonts w:ascii="Simplified Arabic" w:eastAsia="Times New Roman" w:hAnsi="Simplified Arabic" w:cs="Simplified Arabic"/>
          <w:color w:val="000000" w:themeColor="text1"/>
          <w:kern w:val="0"/>
          <w:sz w:val="28"/>
          <w:szCs w:val="28"/>
          <w14:ligatures w14:val="none"/>
        </w:rPr>
        <w:t>.</w:t>
      </w:r>
    </w:p>
    <w:p w14:paraId="6FE39418" w14:textId="77777777" w:rsidR="00347ADE" w:rsidRPr="00F41F4C" w:rsidRDefault="00347ADE" w:rsidP="000A5E0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إضافة بُعد تطبيقي جديد إلى نظريات التحول الرقمي من خلال تطبيقها على بيئة الجامعات الصحية ذات الطبيعة المزدوجة التي تجمع بين التعليم الأكاديمي والممارسة الصحية، مما يُعمّق الفهم النظري لخصوصية هذا القطاع</w:t>
      </w:r>
      <w:r w:rsidRPr="00F41F4C">
        <w:rPr>
          <w:rFonts w:ascii="Simplified Arabic" w:eastAsia="Times New Roman" w:hAnsi="Simplified Arabic" w:cs="Simplified Arabic"/>
          <w:color w:val="000000" w:themeColor="text1"/>
          <w:kern w:val="0"/>
          <w:sz w:val="28"/>
          <w:szCs w:val="28"/>
          <w14:ligatures w14:val="none"/>
        </w:rPr>
        <w:t>.</w:t>
      </w:r>
    </w:p>
    <w:p w14:paraId="2F78A9F8" w14:textId="77777777" w:rsidR="00347ADE" w:rsidRPr="00F41F4C" w:rsidRDefault="00347ADE" w:rsidP="000A5E0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المساهمة في بناء قاعدة معرفية تراكمية تدعم الجهود البحثية المستقبلية في مجال التحول الرقمي في المؤسسات الأكاديمية الصحية، وتفتح آفاقاً جديدة للبحث العلمي في هذا المضمار</w:t>
      </w:r>
      <w:r w:rsidRPr="00F41F4C">
        <w:rPr>
          <w:rFonts w:ascii="Simplified Arabic" w:eastAsia="Times New Roman" w:hAnsi="Simplified Arabic" w:cs="Simplified Arabic"/>
          <w:color w:val="000000" w:themeColor="text1"/>
          <w:kern w:val="0"/>
          <w:sz w:val="28"/>
          <w:szCs w:val="28"/>
          <w14:ligatures w14:val="none"/>
        </w:rPr>
        <w:t>.</w:t>
      </w:r>
    </w:p>
    <w:p w14:paraId="55B7BF64" w14:textId="3D874579" w:rsidR="00347ADE" w:rsidRPr="00F41F4C" w:rsidRDefault="00347ADE" w:rsidP="000A5E0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تعزيز الأدبيات العربية والسعودية المتعلقة بالتحول الرقمي في قطاع التعليم العالي الصحي، في ظل التوجه الوطني نحو رقمنة القطاعات المختلفة ضمن رؤية المملكة العربية السعودية </w:t>
      </w:r>
      <w:r w:rsidRPr="00F41F4C">
        <w:rPr>
          <w:rFonts w:ascii="Simplified Arabic" w:eastAsia="Times New Roman" w:hAnsi="Simplified Arabic" w:cs="Simplified Arabic"/>
          <w:color w:val="000000" w:themeColor="text1"/>
          <w:kern w:val="0"/>
          <w:sz w:val="28"/>
          <w:szCs w:val="28"/>
          <w14:ligatures w14:val="none"/>
        </w:rPr>
        <w:t>2030.</w:t>
      </w:r>
    </w:p>
    <w:p w14:paraId="05363640" w14:textId="77777777" w:rsidR="00347ADE" w:rsidRPr="00F41F4C" w:rsidRDefault="00347ADE" w:rsidP="000A5E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9" w:name="_Toc223970179"/>
      <w:bookmarkStart w:id="10" w:name="_Toc236089931"/>
      <w:r w:rsidRPr="00F41F4C">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F41F4C">
        <w:rPr>
          <w:rFonts w:ascii="Simplified Arabic" w:eastAsia="Times New Roman" w:hAnsi="Simplified Arabic" w:cs="Simplified Arabic"/>
          <w:b/>
          <w:bCs/>
          <w:color w:val="000000" w:themeColor="text1"/>
          <w:kern w:val="0"/>
          <w:sz w:val="32"/>
          <w:szCs w:val="32"/>
          <w14:ligatures w14:val="none"/>
        </w:rPr>
        <w:t>:</w:t>
      </w:r>
      <w:bookmarkEnd w:id="9"/>
      <w:bookmarkEnd w:id="10"/>
    </w:p>
    <w:p w14:paraId="0BCBDD57"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تزويد صنّاع القرار في جامعة الملك سعود بن عبدالعزيز للعلوم الصحية بنتائج وتوصيات عملية مبنية على أسس علمية تساعدهم في توجيه جهود التحول الرقمي وتحسين جودة 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26F70CE7"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تحديد أولويات الاستثمار في مشاريع التحول الرقمي من خلال الكشف عن الأبعاد الأكثر تأثيراً على جودة الأداء المؤسسي، مما يضمن الاستخدام الأمثل للموارد المالية والبشرية المتاحة</w:t>
      </w:r>
      <w:r w:rsidRPr="00F41F4C">
        <w:rPr>
          <w:rFonts w:ascii="Simplified Arabic" w:eastAsia="Times New Roman" w:hAnsi="Simplified Arabic" w:cs="Simplified Arabic"/>
          <w:color w:val="000000" w:themeColor="text1"/>
          <w:kern w:val="0"/>
          <w:sz w:val="28"/>
          <w:szCs w:val="28"/>
          <w14:ligatures w14:val="none"/>
        </w:rPr>
        <w:t>.</w:t>
      </w:r>
    </w:p>
    <w:p w14:paraId="6EB6B988"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دعم الجهود الوطنية لتحقيق رؤية 2030 في محورها المتعلق بالتحول الرقمي في قطاعي التعليم العالي والصحة، حيث تمثل الجامعة نموذجاً حيوياً يجمع بين القطاعين</w:t>
      </w:r>
      <w:r w:rsidRPr="00F41F4C">
        <w:rPr>
          <w:rFonts w:ascii="Simplified Arabic" w:eastAsia="Times New Roman" w:hAnsi="Simplified Arabic" w:cs="Simplified Arabic"/>
          <w:color w:val="000000" w:themeColor="text1"/>
          <w:kern w:val="0"/>
          <w:sz w:val="28"/>
          <w:szCs w:val="28"/>
          <w14:ligatures w14:val="none"/>
        </w:rPr>
        <w:t>.</w:t>
      </w:r>
    </w:p>
    <w:p w14:paraId="72F87869"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تقديم رؤية واضحة حول واقع التحول الرقمي ومستوى جودة الأداء المؤسسي في الجامعة، مما يمكّن الإدارة العليا من تشخيص نقاط القوة والضعف ووضع خطط تحسينية مستهدفة</w:t>
      </w:r>
      <w:r w:rsidRPr="00F41F4C">
        <w:rPr>
          <w:rFonts w:ascii="Simplified Arabic" w:eastAsia="Times New Roman" w:hAnsi="Simplified Arabic" w:cs="Simplified Arabic"/>
          <w:color w:val="000000" w:themeColor="text1"/>
          <w:kern w:val="0"/>
          <w:sz w:val="28"/>
          <w:szCs w:val="28"/>
          <w14:ligatures w14:val="none"/>
        </w:rPr>
        <w:t>.</w:t>
      </w:r>
    </w:p>
    <w:p w14:paraId="41304476"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المساهمة في رفع القدرة التنافسية للجامعة على المستويين المحلي والدولي من خلال تحسين ممارسات التحول الرقمي وانعكاسها على جودة المخرجات الأكاديمية والصحية</w:t>
      </w:r>
      <w:r w:rsidRPr="00F41F4C">
        <w:rPr>
          <w:rFonts w:ascii="Simplified Arabic" w:eastAsia="Times New Roman" w:hAnsi="Simplified Arabic" w:cs="Simplified Arabic"/>
          <w:color w:val="000000" w:themeColor="text1"/>
          <w:kern w:val="0"/>
          <w:sz w:val="28"/>
          <w:szCs w:val="28"/>
          <w14:ligatures w14:val="none"/>
        </w:rPr>
        <w:t>.</w:t>
      </w:r>
    </w:p>
    <w:p w14:paraId="73BF477E"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تقديم نموذج تطبيقي قابل للتعميم على الجامعات الصحية الأخرى في المملكة العربية السعودية والمنطقة العربية، بما يُسهم في تطوير منظومة التعليم الصحي رقمياً</w:t>
      </w:r>
      <w:r w:rsidRPr="00F41F4C">
        <w:rPr>
          <w:rFonts w:ascii="Simplified Arabic" w:eastAsia="Times New Roman" w:hAnsi="Simplified Arabic" w:cs="Simplified Arabic"/>
          <w:color w:val="000000" w:themeColor="text1"/>
          <w:kern w:val="0"/>
          <w:sz w:val="28"/>
          <w:szCs w:val="28"/>
          <w14:ligatures w14:val="none"/>
        </w:rPr>
        <w:t>.</w:t>
      </w:r>
    </w:p>
    <w:p w14:paraId="0C26AACE" w14:textId="77777777" w:rsidR="00347ADE" w:rsidRPr="00F41F4C" w:rsidRDefault="00347ADE" w:rsidP="000A5E0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إفادة المسؤولين عن التطوير المؤسسي وضمان الجودة في الجامعة بمعلومات دقيقة حول كيفية توظيف التحول الرقمي كمدخل استراتيجي لتحقيق معايير الاعتماد الأكاديمي والجودة المؤسسية</w:t>
      </w:r>
      <w:r w:rsidRPr="00F41F4C">
        <w:rPr>
          <w:rFonts w:ascii="Simplified Arabic" w:eastAsia="Times New Roman" w:hAnsi="Simplified Arabic" w:cs="Simplified Arabic"/>
          <w:color w:val="000000" w:themeColor="text1"/>
          <w:kern w:val="0"/>
          <w:sz w:val="28"/>
          <w:szCs w:val="28"/>
          <w14:ligatures w14:val="none"/>
        </w:rPr>
        <w:t>.</w:t>
      </w:r>
    </w:p>
    <w:p w14:paraId="07FFFC0F" w14:textId="77777777" w:rsidR="000A5E09" w:rsidRPr="00F41F4C" w:rsidRDefault="000A5E09" w:rsidP="000A5E0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6089932"/>
      <w:r w:rsidRPr="00F41F4C">
        <w:rPr>
          <w:rFonts w:ascii="Simplified Arabic" w:eastAsia="Times New Roman" w:hAnsi="Simplified Arabic" w:cs="Simplified Arabic"/>
          <w:b/>
          <w:bCs/>
          <w:color w:val="000000" w:themeColor="text1"/>
          <w:kern w:val="0"/>
          <w:sz w:val="36"/>
          <w:szCs w:val="36"/>
          <w:rtl/>
          <w14:ligatures w14:val="none"/>
        </w:rPr>
        <w:lastRenderedPageBreak/>
        <w:t>4.1 أهداف الدراسة</w:t>
      </w:r>
      <w:bookmarkEnd w:id="11"/>
    </w:p>
    <w:p w14:paraId="29C9C7DE" w14:textId="02758287"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1F4C">
        <w:rPr>
          <w:rFonts w:ascii="Simplified Arabic" w:eastAsia="Times New Roman" w:hAnsi="Simplified Arabic" w:cs="Simplified Arabic"/>
          <w:b/>
          <w:bCs/>
          <w:color w:val="000000" w:themeColor="text1"/>
          <w:kern w:val="0"/>
          <w:sz w:val="32"/>
          <w:szCs w:val="32"/>
          <w:rtl/>
          <w14:ligatures w14:val="none"/>
        </w:rPr>
        <w:t>الهدف الرئيسي:</w:t>
      </w:r>
    </w:p>
    <w:p w14:paraId="6E205780" w14:textId="00FFDE8F"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تهدف الدراسة إلى التعرف على أثر التحول الرقمي بأبعاده </w:t>
      </w:r>
      <w:r w:rsidRPr="00F41F4C">
        <w:rPr>
          <w:rFonts w:ascii="Simplified Arabic" w:eastAsia="Times New Roman" w:hAnsi="Simplified Arabic" w:cs="Simplified Arabic"/>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rtl/>
          <w14:ligatures w14:val="none"/>
        </w:rPr>
        <w:t>البنية التحتية الرقمية، الكفاءات والمهارات الرقمية، القيادة الرقمية، استراتيجية التحول الرقمي</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7D79CE11" w14:textId="77777777" w:rsidR="00347ADE" w:rsidRPr="00F41F4C" w:rsidRDefault="00347ADE"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F41F4C">
        <w:rPr>
          <w:rFonts w:ascii="Simplified Arabic" w:eastAsia="Times New Roman" w:hAnsi="Simplified Arabic" w:cs="Simplified Arabic"/>
          <w:b/>
          <w:bCs/>
          <w:color w:val="000000" w:themeColor="text1"/>
          <w:kern w:val="0"/>
          <w:sz w:val="28"/>
          <w:szCs w:val="28"/>
          <w14:ligatures w14:val="none"/>
        </w:rPr>
        <w:t>:</w:t>
      </w:r>
    </w:p>
    <w:p w14:paraId="44E34D53"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أثر البنية التحتية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5F1A3966"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أثر الكفاءات والمهارات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0C18EC81"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أثر القيادة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3335BA4D"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أثر استراتيجية التحول الرقمي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2F38E09C"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مستوى تطبيق التحول الرقمي بأبعاده المختلفة في جامعة الملك سعود بن عبدالعزيز للعلوم الصحية بالرياض من وجهة نظر العاملين</w:t>
      </w:r>
      <w:r w:rsidRPr="00F41F4C">
        <w:rPr>
          <w:rFonts w:ascii="Simplified Arabic" w:eastAsia="Times New Roman" w:hAnsi="Simplified Arabic" w:cs="Simplified Arabic"/>
          <w:color w:val="000000" w:themeColor="text1"/>
          <w:kern w:val="0"/>
          <w:sz w:val="28"/>
          <w:szCs w:val="28"/>
          <w14:ligatures w14:val="none"/>
        </w:rPr>
        <w:t>.</w:t>
      </w:r>
    </w:p>
    <w:p w14:paraId="340D82D6"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التعرف على مستوى جودة الأداء المؤسسي في جامعة الملك سعود بن عبدالعزيز للعلوم الصحية بالرياض من وجهة نظر العاملين</w:t>
      </w:r>
      <w:r w:rsidRPr="00F41F4C">
        <w:rPr>
          <w:rFonts w:ascii="Simplified Arabic" w:eastAsia="Times New Roman" w:hAnsi="Simplified Arabic" w:cs="Simplified Arabic"/>
          <w:color w:val="000000" w:themeColor="text1"/>
          <w:kern w:val="0"/>
          <w:sz w:val="28"/>
          <w:szCs w:val="28"/>
          <w14:ligatures w14:val="none"/>
        </w:rPr>
        <w:t>.</w:t>
      </w:r>
    </w:p>
    <w:p w14:paraId="7767DF47" w14:textId="77777777" w:rsidR="00347ADE" w:rsidRPr="00F41F4C" w:rsidRDefault="00347ADE" w:rsidP="000A5E0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تقديم توصيات ومقترحات عملية قائمة على نتائج الدراسة لتعزيز التحول الرقمي وتحسين جودة الأداء المؤسسي في الجامعة</w:t>
      </w:r>
      <w:r w:rsidRPr="00F41F4C">
        <w:rPr>
          <w:rFonts w:ascii="Simplified Arabic" w:eastAsia="Times New Roman" w:hAnsi="Simplified Arabic" w:cs="Simplified Arabic"/>
          <w:color w:val="000000" w:themeColor="text1"/>
          <w:kern w:val="0"/>
          <w:sz w:val="28"/>
          <w:szCs w:val="28"/>
          <w14:ligatures w14:val="none"/>
        </w:rPr>
        <w:t>.</w:t>
      </w:r>
    </w:p>
    <w:p w14:paraId="71B08A98" w14:textId="77777777" w:rsidR="000A5E09" w:rsidRPr="00F41F4C" w:rsidRDefault="000A5E09" w:rsidP="000A5E0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6089933"/>
      <w:r w:rsidRPr="00F41F4C">
        <w:rPr>
          <w:rFonts w:ascii="Simplified Arabic" w:eastAsia="Times New Roman" w:hAnsi="Simplified Arabic" w:cs="Simplified Arabic"/>
          <w:b/>
          <w:bCs/>
          <w:color w:val="000000" w:themeColor="text1"/>
          <w:kern w:val="0"/>
          <w:sz w:val="36"/>
          <w:szCs w:val="36"/>
          <w:rtl/>
          <w14:ligatures w14:val="none"/>
        </w:rPr>
        <w:t>5.1 أسئلة الدراسة</w:t>
      </w:r>
      <w:bookmarkEnd w:id="12"/>
    </w:p>
    <w:p w14:paraId="70BBB613" w14:textId="1CC1E06F"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1F4C">
        <w:rPr>
          <w:rFonts w:ascii="Simplified Arabic" w:eastAsia="Times New Roman" w:hAnsi="Simplified Arabic" w:cs="Simplified Arabic"/>
          <w:b/>
          <w:bCs/>
          <w:color w:val="000000" w:themeColor="text1"/>
          <w:kern w:val="0"/>
          <w:sz w:val="32"/>
          <w:szCs w:val="32"/>
          <w:rtl/>
          <w14:ligatures w14:val="none"/>
        </w:rPr>
        <w:t>السؤال الرئيسي:</w:t>
      </w:r>
    </w:p>
    <w:p w14:paraId="0B235E3C"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ما أثر التحول الرقمي بأبعاده (البنية التحتية الرقمية، الكفاءات والمهارات الرقمية، القيادة الرقمية، استراتيجية التحول الرقمي) على جودة الأداء المؤسسي في جامعة الملك سعود بن عبدالعزيز للعلوم الصحية بالرياض؟</w:t>
      </w:r>
    </w:p>
    <w:p w14:paraId="66E2D386" w14:textId="77777777" w:rsidR="00347ADE" w:rsidRPr="00F41F4C" w:rsidRDefault="00347ADE" w:rsidP="000A5E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3" w:name="_Toc223970184"/>
      <w:bookmarkStart w:id="14" w:name="_Toc236089934"/>
      <w:r w:rsidRPr="00F41F4C">
        <w:rPr>
          <w:rFonts w:ascii="Simplified Arabic" w:eastAsia="Times New Roman" w:hAnsi="Simplified Arabic" w:cs="Simplified Arabic"/>
          <w:b/>
          <w:bCs/>
          <w:color w:val="000000" w:themeColor="text1"/>
          <w:kern w:val="0"/>
          <w:sz w:val="32"/>
          <w:szCs w:val="32"/>
          <w:rtl/>
          <w14:ligatures w14:val="none"/>
        </w:rPr>
        <w:t>الأسئلة الفرعية</w:t>
      </w:r>
      <w:r w:rsidRPr="00F41F4C">
        <w:rPr>
          <w:rFonts w:ascii="Simplified Arabic" w:eastAsia="Times New Roman" w:hAnsi="Simplified Arabic" w:cs="Simplified Arabic"/>
          <w:b/>
          <w:bCs/>
          <w:color w:val="000000" w:themeColor="text1"/>
          <w:kern w:val="0"/>
          <w:sz w:val="32"/>
          <w:szCs w:val="32"/>
          <w14:ligatures w14:val="none"/>
        </w:rPr>
        <w:t>:</w:t>
      </w:r>
      <w:bookmarkEnd w:id="13"/>
      <w:bookmarkEnd w:id="14"/>
    </w:p>
    <w:p w14:paraId="26D9B092"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أثر البنية التحتية الرقمية على جودة الأداء المؤسسي في جامعة الملك سعود بن عبدالعزيز للعلوم الصحية بالرياض؟</w:t>
      </w:r>
    </w:p>
    <w:p w14:paraId="0857924E"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أثر الكفاءات والمهارات الرقمية على جودة الأداء المؤسسي في جامعة الملك سعود بن عبدالعزيز للعلوم الصحية بالرياض؟</w:t>
      </w:r>
    </w:p>
    <w:p w14:paraId="229475D5"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أثر القيادة الرقمية على جودة الأداء المؤسسي في جامعة الملك سعود بن عبدالعزيز للعلوم الصحية بالرياض؟</w:t>
      </w:r>
    </w:p>
    <w:p w14:paraId="34792866"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أثر استراتيجية التحول الرقمي على جودة الأداء المؤسسي في جامعة الملك سعود بن عبدالعزيز للعلوم الصحية بالرياض؟</w:t>
      </w:r>
    </w:p>
    <w:p w14:paraId="270F977D"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مستوى تطبيق التحول الرقمي بأبعاده المختلفة في جامعة الملك سعود بن عبدالعزيز للعلوم الصحية بالرياض من وجهة نظر العاملين؟</w:t>
      </w:r>
    </w:p>
    <w:p w14:paraId="1C33665C" w14:textId="77777777" w:rsidR="00347ADE" w:rsidRPr="00F41F4C" w:rsidRDefault="00347ADE" w:rsidP="000A5E0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ما مستوى جودة الأداء المؤسسي في جامعة الملك سعود بن عبدالعزيز للعلوم الصحية بالرياض من وجهة نظر العاملين؟</w:t>
      </w:r>
    </w:p>
    <w:p w14:paraId="090F0B91" w14:textId="77777777" w:rsidR="000A5E09" w:rsidRPr="00F41F4C" w:rsidRDefault="000A5E09" w:rsidP="000A5E0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6089935"/>
      <w:r w:rsidRPr="00F41F4C">
        <w:rPr>
          <w:rFonts w:ascii="Simplified Arabic" w:eastAsia="Times New Roman" w:hAnsi="Simplified Arabic" w:cs="Simplified Arabic"/>
          <w:b/>
          <w:bCs/>
          <w:color w:val="000000" w:themeColor="text1"/>
          <w:kern w:val="0"/>
          <w:sz w:val="36"/>
          <w:szCs w:val="36"/>
          <w:rtl/>
          <w14:ligatures w14:val="none"/>
        </w:rPr>
        <w:t>6.1 فروض الدراسة</w:t>
      </w:r>
      <w:bookmarkEnd w:id="15"/>
    </w:p>
    <w:p w14:paraId="7A8A68A0" w14:textId="213B5D92"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1F4C">
        <w:rPr>
          <w:rFonts w:ascii="Simplified Arabic" w:eastAsia="Times New Roman" w:hAnsi="Simplified Arabic" w:cs="Simplified Arabic"/>
          <w:b/>
          <w:bCs/>
          <w:color w:val="000000" w:themeColor="text1"/>
          <w:kern w:val="0"/>
          <w:sz w:val="32"/>
          <w:szCs w:val="32"/>
          <w:rtl/>
          <w14:ligatures w14:val="none"/>
        </w:rPr>
        <w:t>الفرضية الرئيسية:</w:t>
      </w:r>
    </w:p>
    <w:p w14:paraId="6475CA7E" w14:textId="77777777" w:rsidR="00347ADE" w:rsidRPr="00F41F4C" w:rsidRDefault="00347ADE" w:rsidP="000A5E0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14:ligatures w14:val="none"/>
        </w:rPr>
        <w:t xml:space="preserve">H0: </w:t>
      </w:r>
      <w:r w:rsidRPr="00F41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Cambria" w:eastAsia="Times New Roman" w:hAnsi="Cambria" w:cs="Cambria"/>
          <w:color w:val="000000" w:themeColor="text1"/>
          <w:kern w:val="0"/>
          <w:sz w:val="28"/>
          <w:szCs w:val="28"/>
          <w14:ligatures w14:val="none"/>
        </w:rPr>
        <w:t>α</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Times New Roman" w:eastAsia="Times New Roman" w:hAnsi="Times New Roman" w:cs="Times New Roman"/>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14:ligatures w14:val="none"/>
        </w:rPr>
        <w:t xml:space="preserve"> 0.05) </w:t>
      </w:r>
      <w:r w:rsidRPr="00F41F4C">
        <w:rPr>
          <w:rFonts w:ascii="Simplified Arabic" w:eastAsia="Times New Roman" w:hAnsi="Simplified Arabic" w:cs="Simplified Arabic"/>
          <w:color w:val="000000" w:themeColor="text1"/>
          <w:kern w:val="0"/>
          <w:sz w:val="28"/>
          <w:szCs w:val="28"/>
          <w:rtl/>
          <w14:ligatures w14:val="none"/>
        </w:rPr>
        <w:t>للتحول الرقمي بأبعاده (البنية التحتية الرقمية، الكفاءات والمهارات الرقمية، القيادة الرقمية، استراتيجية التحول الرقمي)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15E63A50" w14:textId="77777777" w:rsidR="00347ADE" w:rsidRPr="00F41F4C" w:rsidRDefault="00347ADE" w:rsidP="000A5E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23970187"/>
      <w:bookmarkStart w:id="17" w:name="_Toc236089936"/>
      <w:r w:rsidRPr="00F41F4C">
        <w:rPr>
          <w:rFonts w:ascii="Simplified Arabic" w:eastAsia="Times New Roman" w:hAnsi="Simplified Arabic" w:cs="Simplified Arabic"/>
          <w:b/>
          <w:bCs/>
          <w:color w:val="000000" w:themeColor="text1"/>
          <w:kern w:val="0"/>
          <w:sz w:val="32"/>
          <w:szCs w:val="32"/>
          <w:rtl/>
          <w14:ligatures w14:val="none"/>
        </w:rPr>
        <w:t>الفرضيات الفرعية</w:t>
      </w:r>
      <w:r w:rsidRPr="00F41F4C">
        <w:rPr>
          <w:rFonts w:ascii="Simplified Arabic" w:eastAsia="Times New Roman" w:hAnsi="Simplified Arabic" w:cs="Simplified Arabic"/>
          <w:b/>
          <w:bCs/>
          <w:color w:val="000000" w:themeColor="text1"/>
          <w:kern w:val="0"/>
          <w:sz w:val="32"/>
          <w:szCs w:val="32"/>
          <w14:ligatures w14:val="none"/>
        </w:rPr>
        <w:t>:</w:t>
      </w:r>
      <w:bookmarkEnd w:id="16"/>
      <w:bookmarkEnd w:id="17"/>
    </w:p>
    <w:p w14:paraId="3C57D02D" w14:textId="77777777" w:rsidR="00347ADE" w:rsidRPr="00F41F4C" w:rsidRDefault="00347ADE" w:rsidP="000A5E0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14:ligatures w14:val="none"/>
        </w:rPr>
        <w:lastRenderedPageBreak/>
        <w:t xml:space="preserve">H01: </w:t>
      </w:r>
      <w:r w:rsidRPr="00F41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Cambria" w:eastAsia="Times New Roman" w:hAnsi="Cambria" w:cs="Cambria"/>
          <w:color w:val="000000" w:themeColor="text1"/>
          <w:kern w:val="0"/>
          <w:sz w:val="28"/>
          <w:szCs w:val="28"/>
          <w14:ligatures w14:val="none"/>
        </w:rPr>
        <w:t>α</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Times New Roman" w:eastAsia="Times New Roman" w:hAnsi="Times New Roman" w:cs="Times New Roman"/>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14:ligatures w14:val="none"/>
        </w:rPr>
        <w:t xml:space="preserve"> 0.05) </w:t>
      </w:r>
      <w:r w:rsidRPr="00F41F4C">
        <w:rPr>
          <w:rFonts w:ascii="Simplified Arabic" w:eastAsia="Times New Roman" w:hAnsi="Simplified Arabic" w:cs="Simplified Arabic"/>
          <w:color w:val="000000" w:themeColor="text1"/>
          <w:kern w:val="0"/>
          <w:sz w:val="28"/>
          <w:szCs w:val="28"/>
          <w:rtl/>
          <w14:ligatures w14:val="none"/>
        </w:rPr>
        <w:t>للبنية التحتية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0FDA2245" w14:textId="77777777" w:rsidR="00347ADE" w:rsidRPr="00F41F4C" w:rsidRDefault="00347ADE" w:rsidP="000A5E0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14:ligatures w14:val="none"/>
        </w:rPr>
        <w:t xml:space="preserve">H02: </w:t>
      </w:r>
      <w:r w:rsidRPr="00F41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Cambria" w:eastAsia="Times New Roman" w:hAnsi="Cambria" w:cs="Cambria"/>
          <w:color w:val="000000" w:themeColor="text1"/>
          <w:kern w:val="0"/>
          <w:sz w:val="28"/>
          <w:szCs w:val="28"/>
          <w14:ligatures w14:val="none"/>
        </w:rPr>
        <w:t>α</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Times New Roman" w:eastAsia="Times New Roman" w:hAnsi="Times New Roman" w:cs="Times New Roman"/>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14:ligatures w14:val="none"/>
        </w:rPr>
        <w:t xml:space="preserve"> 0.05) </w:t>
      </w:r>
      <w:r w:rsidRPr="00F41F4C">
        <w:rPr>
          <w:rFonts w:ascii="Simplified Arabic" w:eastAsia="Times New Roman" w:hAnsi="Simplified Arabic" w:cs="Simplified Arabic"/>
          <w:color w:val="000000" w:themeColor="text1"/>
          <w:kern w:val="0"/>
          <w:sz w:val="28"/>
          <w:szCs w:val="28"/>
          <w:rtl/>
          <w14:ligatures w14:val="none"/>
        </w:rPr>
        <w:t>للكفاءات والمهارات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3E617554" w14:textId="77777777" w:rsidR="00347ADE" w:rsidRPr="00F41F4C" w:rsidRDefault="00347ADE" w:rsidP="000A5E0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14:ligatures w14:val="none"/>
        </w:rPr>
        <w:t xml:space="preserve">H03: </w:t>
      </w:r>
      <w:r w:rsidRPr="00F41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Cambria" w:eastAsia="Times New Roman" w:hAnsi="Cambria" w:cs="Cambria"/>
          <w:color w:val="000000" w:themeColor="text1"/>
          <w:kern w:val="0"/>
          <w:sz w:val="28"/>
          <w:szCs w:val="28"/>
          <w14:ligatures w14:val="none"/>
        </w:rPr>
        <w:t>α</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Times New Roman" w:eastAsia="Times New Roman" w:hAnsi="Times New Roman" w:cs="Times New Roman"/>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14:ligatures w14:val="none"/>
        </w:rPr>
        <w:t xml:space="preserve"> 0.05) </w:t>
      </w:r>
      <w:r w:rsidRPr="00F41F4C">
        <w:rPr>
          <w:rFonts w:ascii="Simplified Arabic" w:eastAsia="Times New Roman" w:hAnsi="Simplified Arabic" w:cs="Simplified Arabic"/>
          <w:color w:val="000000" w:themeColor="text1"/>
          <w:kern w:val="0"/>
          <w:sz w:val="28"/>
          <w:szCs w:val="28"/>
          <w:rtl/>
          <w14:ligatures w14:val="none"/>
        </w:rPr>
        <w:t>للقيادة الرقمية على جودة الأداء المؤسسي في جامعة الملك سعود بن عبدالعزيز للعلوم الصحية بالرياض</w:t>
      </w:r>
      <w:r w:rsidRPr="00F41F4C">
        <w:rPr>
          <w:rFonts w:ascii="Simplified Arabic" w:eastAsia="Times New Roman" w:hAnsi="Simplified Arabic" w:cs="Simplified Arabic"/>
          <w:color w:val="000000" w:themeColor="text1"/>
          <w:kern w:val="0"/>
          <w:sz w:val="28"/>
          <w:szCs w:val="28"/>
          <w14:ligatures w14:val="none"/>
        </w:rPr>
        <w:t>.</w:t>
      </w:r>
    </w:p>
    <w:p w14:paraId="3BDEDD33" w14:textId="77777777" w:rsidR="00347ADE" w:rsidRPr="00F41F4C" w:rsidRDefault="00347ADE" w:rsidP="000A5E0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14:ligatures w14:val="none"/>
        </w:rPr>
        <w:t xml:space="preserve">H04: </w:t>
      </w:r>
      <w:r w:rsidRPr="00F41F4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Cambria" w:eastAsia="Times New Roman" w:hAnsi="Cambria" w:cs="Cambria"/>
          <w:color w:val="000000" w:themeColor="text1"/>
          <w:kern w:val="0"/>
          <w:sz w:val="28"/>
          <w:szCs w:val="28"/>
          <w14:ligatures w14:val="none"/>
        </w:rPr>
        <w:t>α</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Times New Roman" w:eastAsia="Times New Roman" w:hAnsi="Times New Roman" w:cs="Times New Roman"/>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14:ligatures w14:val="none"/>
        </w:rPr>
        <w:t xml:space="preserve"> 0.05) </w:t>
      </w:r>
      <w:r w:rsidRPr="00F41F4C">
        <w:rPr>
          <w:rFonts w:ascii="Simplified Arabic" w:eastAsia="Times New Roman" w:hAnsi="Simplified Arabic" w:cs="Simplified Arabic"/>
          <w:color w:val="000000" w:themeColor="text1"/>
          <w:kern w:val="0"/>
          <w:sz w:val="28"/>
          <w:szCs w:val="28"/>
          <w:rtl/>
          <w14:ligatures w14:val="none"/>
        </w:rPr>
        <w:t>لاستراتيجية التحول الرقمي على جودة الأداء المؤسسي في جامعة الملك سعود بن عبدالعزيز للعلوم الصحية بالرياض</w:t>
      </w:r>
    </w:p>
    <w:p w14:paraId="745976C5" w14:textId="77777777" w:rsidR="000A5E09" w:rsidRPr="00F41F4C" w:rsidRDefault="000A5E09" w:rsidP="000A5E0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70243312"/>
      <w:bookmarkStart w:id="19" w:name="_Toc236089937"/>
      <w:bookmarkEnd w:id="4"/>
      <w:r w:rsidRPr="00F41F4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2F8A3C07" w14:textId="272E60D9"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1F4C">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(التحول الرقمي) وعلاقته بمتغيرات أخرى</w:t>
      </w:r>
    </w:p>
    <w:p w14:paraId="2F62ACF4"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(قرقط ولعشب، 2023)</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أداء الموارد البشرية في مؤسسة اتصالات الجزائر، والتعرف على واقع التحول الرقمي وربطه بمستوى أداء الموارد البشرية لدى هذه المؤسسة. واستخدمت الدراسة المنهج الوصفي التحليلي، وتكونت العينة من (54) عاملاً بمؤسسة اتصالات الجزائر تم اختيارهم بطريقة عشوائية، واعتمدت الاستبانة كأداة لجمع البيانات، واستُخدمت أساليب الإحصاء الوصفي (المتوسطات الحسابية والانحراف المعياري) وتحليل تباين الانحدار البسيط. وتوصلت نتائج الدراسة إلى أن مستوى التحول الرقمي السائد في مؤسسة اتصالات الجزائر مرتفع، وكذلك مستوى أداء مواردها البشرية، ووجود أثر ذي دلالة إحصائية للتحول الرقمي على أداء الموارد البشرية، حيث فسّر التحول الرقمي نسبة (61%) من الزيادة في أداء الموارد البشرية. وأوصت الدراسة بضرورة تعزيز الاستثمار في التقنيات الرقمية وتأهيل الموارد البشرية للتعامل مع متطلبات التحول الرقمي</w:t>
      </w:r>
      <w:r w:rsidRPr="00F41F4C">
        <w:rPr>
          <w:rFonts w:ascii="Simplified Arabic" w:eastAsia="Times New Roman" w:hAnsi="Simplified Arabic" w:cs="Simplified Arabic"/>
          <w:color w:val="000000" w:themeColor="text1"/>
          <w:kern w:val="0"/>
          <w:sz w:val="28"/>
          <w:szCs w:val="28"/>
          <w14:ligatures w14:val="none"/>
        </w:rPr>
        <w:t>.</w:t>
      </w:r>
    </w:p>
    <w:p w14:paraId="30E269C6"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(جنيدي،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(البُعد المادي، البُعد المؤسسي، البُعد الوظيفي) على الريادة المؤسسية في البنك الأهلي المصري بمنطقة الإسكندرية. واستخدمت الدراسة المنهج الوصفي التحليلي، وتكونت العينة من (350) مفردة تم اختيارها بالعينة العشوائية الطبقية من مختلف المستويات الإدارية بالبنك (إدارة عليا، إدارة وسطى، إدارة تنفيذية) من مجتمع دراسة </w:t>
      </w:r>
      <w:r w:rsidRPr="00F41F4C">
        <w:rPr>
          <w:rFonts w:ascii="Simplified Arabic" w:eastAsia="Times New Roman" w:hAnsi="Simplified Arabic" w:cs="Simplified Arabic"/>
          <w:color w:val="000000" w:themeColor="text1"/>
          <w:kern w:val="0"/>
          <w:sz w:val="28"/>
          <w:szCs w:val="28"/>
          <w:rtl/>
          <w14:ligatures w14:val="none"/>
        </w:rPr>
        <w:lastRenderedPageBreak/>
        <w:t>بلغ (3840) مفردة. وتوصلت نتائج الدراسة إلى قصور أبعاد التحول الرقمي بالبنك محل الدراسة مما أدى إلى ضعف الريادة المؤسسية، وذلك نتيجة ضعف البُعد المادي والبُعد المؤسسي والبُعد الوظيفي لتطبيق التحول الرقمي</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وأوصت الدراسة بضرورة تهيئة المناخ التنظيمي المناسب للبنك لتفعيل التحول الرقمي بهدف تحقيق الريادة المؤسسية</w:t>
      </w:r>
      <w:r w:rsidRPr="00F41F4C">
        <w:rPr>
          <w:rFonts w:ascii="Simplified Arabic" w:eastAsia="Times New Roman" w:hAnsi="Simplified Arabic" w:cs="Simplified Arabic"/>
          <w:color w:val="000000" w:themeColor="text1"/>
          <w:kern w:val="0"/>
          <w:sz w:val="28"/>
          <w:szCs w:val="28"/>
          <w14:ligatures w14:val="none"/>
        </w:rPr>
        <w:t>.</w:t>
      </w:r>
    </w:p>
    <w:p w14:paraId="284B28C2"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(الحبيشي وطواف، 2021)</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أداء شركات الهاتف النقال بالجمهورية اليمنية. واستخدمت الدراسة المنهج الوصفي التحليلي، واعتمدت على الاستبانة كأداة رئيسية لجمع البيانات من العاملين في شركات الهاتف النقال في اليمن. وتوصلت نتائج الدراسة إلى وجود أثر إيجابي ذي دلالة إحصائية للتحول الرقمي على أداء شركات الهاتف النقال بالجمهورية اليمنية. وأوصت الدراسة بتعزيز البنية التحتية الرقمية وتطوير قدرات العاملين في مجال التقنيات الرقمية</w:t>
      </w:r>
      <w:r w:rsidRPr="00F41F4C">
        <w:rPr>
          <w:rFonts w:ascii="Simplified Arabic" w:eastAsia="Times New Roman" w:hAnsi="Simplified Arabic" w:cs="Simplified Arabic"/>
          <w:color w:val="000000" w:themeColor="text1"/>
          <w:kern w:val="0"/>
          <w:sz w:val="28"/>
          <w:szCs w:val="28"/>
          <w14:ligatures w14:val="none"/>
        </w:rPr>
        <w:t>.</w:t>
      </w:r>
    </w:p>
    <w:p w14:paraId="2939A0DC"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(العمريين والربابعة، 2023)</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الأداء العالي للمنظمات في ظل التكيف الاستراتيجي كمتغير وسيط، وذلك بالتطبيق على المؤسسة العامة للضمان الاجتماعي الأردني. واستخدمت الدراسة المنهج الوصفي التحليلي، وتكونت العينة من العاملين في المؤسسة العامة للضمان الاجتماعي الأردني، واعتمدت الاستبانة كأداة لجمع البيانات. وتوصلت نتائج الدراسة إلى وجود أثر إيجابي ذي دلالة إحصائية للتحول الرقمي على الأداء العالي للمنظمات، كما أثبتت الدور الوسيط للتكيف الاستراتيجي في تعزيز العلاقة بين التحول الرقمي والأداء العالي. وأوصت الدراسة بتبني استراتيجيات تحول رقمي شاملة تراعي التكيف الاستراتيجي لتحقيق الأداء العالي</w:t>
      </w:r>
      <w:r w:rsidRPr="00F41F4C">
        <w:rPr>
          <w:rFonts w:ascii="Simplified Arabic" w:eastAsia="Times New Roman" w:hAnsi="Simplified Arabic" w:cs="Simplified Arabic"/>
          <w:color w:val="000000" w:themeColor="text1"/>
          <w:kern w:val="0"/>
          <w:sz w:val="28"/>
          <w:szCs w:val="28"/>
          <w14:ligatures w14:val="none"/>
        </w:rPr>
        <w:t>.</w:t>
      </w:r>
    </w:p>
    <w:p w14:paraId="0DF1FD05"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w:t>
      </w:r>
      <w:r w:rsidRPr="00F41F4C">
        <w:rPr>
          <w:rFonts w:ascii="Simplified Arabic" w:eastAsia="Times New Roman" w:hAnsi="Simplified Arabic" w:cs="Simplified Arabic"/>
          <w:color w:val="000000" w:themeColor="text1"/>
          <w:kern w:val="0"/>
          <w:sz w:val="28"/>
          <w:szCs w:val="28"/>
          <w14:ligatures w14:val="none"/>
        </w:rPr>
        <w:t xml:space="preserve"> (Zhai, Yang &amp; Chan, 2022):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أداء الشركات في الصين، مستفيدةً من التطورات الحديثة في تحليل النصوص لقياس مستوى التحول الرقمي. واستخدمت الدراسة المنهج الكمي التحليلي بالاعتماد على بيانات الشركات المدرجة في الأسواق المالية الصينية. وتوصلت نتائج الدراسة إلى أن التحول الرقمي يعزز أداء الشركات، حيث تنخفض التكاليف وتتحسن الكفاءة التشغيلية ويزداد مستوى الابتكار لدى الشركات التي تتبنى التحول الرقمي</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وأوصت الدراسة بتشجيع الشركات على تبني التحول الرقمي لتحقيق مزايا تنافسية مستدامة</w:t>
      </w:r>
      <w:r w:rsidRPr="00F41F4C">
        <w:rPr>
          <w:rFonts w:ascii="Simplified Arabic" w:eastAsia="Times New Roman" w:hAnsi="Simplified Arabic" w:cs="Simplified Arabic"/>
          <w:color w:val="000000" w:themeColor="text1"/>
          <w:kern w:val="0"/>
          <w:sz w:val="28"/>
          <w:szCs w:val="28"/>
          <w14:ligatures w14:val="none"/>
        </w:rPr>
        <w:t>.</w:t>
      </w:r>
    </w:p>
    <w:p w14:paraId="5BA72AE3" w14:textId="673FD60D"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على الكفاءة الإنتاجية للمنشآت الصناعية في الصين، مع تحليل الأثر العتبي المبني على المؤسسات (الرسمية وغير الرسمية). واستخدمت الدراسة المنهج الكمي التحليلي بالاعتماد على بيانات الشركات الصناعية المدرجة </w:t>
      </w:r>
      <w:r w:rsidRPr="00F41F4C">
        <w:rPr>
          <w:rFonts w:ascii="Simplified Arabic" w:eastAsia="Times New Roman" w:hAnsi="Simplified Arabic" w:cs="Simplified Arabic"/>
          <w:color w:val="000000" w:themeColor="text1"/>
          <w:kern w:val="0"/>
          <w:sz w:val="28"/>
          <w:szCs w:val="28"/>
          <w:rtl/>
          <w14:ligatures w14:val="none"/>
        </w:rPr>
        <w:lastRenderedPageBreak/>
        <w:t>في سوق الأسهم الصينية</w:t>
      </w:r>
      <w:r w:rsidRPr="00F41F4C">
        <w:rPr>
          <w:rFonts w:ascii="Simplified Arabic" w:eastAsia="Times New Roman" w:hAnsi="Simplified Arabic" w:cs="Simplified Arabic"/>
          <w:color w:val="000000" w:themeColor="text1"/>
          <w:kern w:val="0"/>
          <w:sz w:val="28"/>
          <w:szCs w:val="28"/>
          <w14:ligatures w14:val="none"/>
        </w:rPr>
        <w:t xml:space="preserve"> (A-share) </w:t>
      </w:r>
      <w:r w:rsidRPr="00F41F4C">
        <w:rPr>
          <w:rFonts w:ascii="Simplified Arabic" w:eastAsia="Times New Roman" w:hAnsi="Simplified Arabic" w:cs="Simplified Arabic"/>
          <w:color w:val="000000" w:themeColor="text1"/>
          <w:kern w:val="0"/>
          <w:sz w:val="28"/>
          <w:szCs w:val="28"/>
          <w:rtl/>
          <w14:ligatures w14:val="none"/>
        </w:rPr>
        <w:t>خلال الفترة من 2011 إلى 2021. وتوصلت نتائج الدراسة إلى أن التحول الرقمي يلعب دوراً مهماً في تعزيز الكفاءة الإنتاجية للمنشآت الصناعية، وأن أثر التعزيز يكون أوضح في المنشآت عالية التقنية والمنشآت غير الحكومية، كما أن التحول الرقمي يكون أكثر تأثيراً عندما تنتقل المؤسسات الرسمية وغير الرسمية من مستويات منخفضة إلى مستويات مرتفعة. وأوصت الدراسة بتسريع عملية التحول الرقمي للمنشآت الصناعية وتحسين البيئة المؤسسية الداعمة</w:t>
      </w:r>
      <w:r w:rsidRPr="00F41F4C">
        <w:rPr>
          <w:rFonts w:ascii="Simplified Arabic" w:eastAsia="Times New Roman" w:hAnsi="Simplified Arabic" w:cs="Simplified Arabic"/>
          <w:color w:val="000000" w:themeColor="text1"/>
          <w:kern w:val="0"/>
          <w:sz w:val="28"/>
          <w:szCs w:val="28"/>
          <w14:ligatures w14:val="none"/>
        </w:rPr>
        <w:t>.</w:t>
      </w:r>
    </w:p>
    <w:p w14:paraId="37252FAA"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w:t>
      </w:r>
      <w:r w:rsidRPr="00F41F4C">
        <w:rPr>
          <w:rFonts w:ascii="Simplified Arabic" w:eastAsia="Times New Roman" w:hAnsi="Simplified Arabic" w:cs="Simplified Arabic"/>
          <w:color w:val="000000" w:themeColor="text1"/>
          <w:kern w:val="0"/>
          <w:sz w:val="28"/>
          <w:szCs w:val="28"/>
          <w14:ligatures w14:val="none"/>
        </w:rPr>
        <w:t xml:space="preserve"> (Egbeleo &amp; Sodokin, 2025):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باعتباره تقنية متعددة الأغراض على إنتاجية العوامل الكلية في دول أفريقيا جنوب الصحراء الكبرى، مع تحليل دور الجودة المؤسسية كمتغير معدّل. واستخدمت الدراسة المنهج الكمي التحليلي بالاعتماد على بيانات بانل لمجموعة من دول أفريقيا جنوب الصحراء</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وتوصلت نتائج الدراسة إلى أن التحول الرقمي يؤثر إيجابياً على الإنتاجية، وأن الجودة المؤسسية تلعب دوراً محورياً في تعديل وتعزيز هذا الأثر. وأوصت الدراسة بضرورة تحسين البنية المؤسسية في الدول النامية لتعظيم العائد من التحول الرقمي</w:t>
      </w:r>
      <w:r w:rsidRPr="00F41F4C">
        <w:rPr>
          <w:rFonts w:ascii="Simplified Arabic" w:eastAsia="Times New Roman" w:hAnsi="Simplified Arabic" w:cs="Simplified Arabic"/>
          <w:color w:val="000000" w:themeColor="text1"/>
          <w:kern w:val="0"/>
          <w:sz w:val="28"/>
          <w:szCs w:val="28"/>
          <w14:ligatures w14:val="none"/>
        </w:rPr>
        <w:t>.</w:t>
      </w:r>
    </w:p>
    <w:p w14:paraId="79694BB3" w14:textId="77777777" w:rsidR="00347ADE" w:rsidRPr="00F41F4C" w:rsidRDefault="00347ADE"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970190"/>
      <w:r w:rsidRPr="00F41F4C">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(جودة الأداء المؤسسي) وعلاقته بمتغيرات أخرى</w:t>
      </w:r>
      <w:bookmarkEnd w:id="20"/>
    </w:p>
    <w:p w14:paraId="652F8718"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(المومني والشواورة،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في تطوير الأداء المؤسسي بالتطبيق على المنظمات الدولية في الأردن. واستخدمت الدراسة المنهج الوصفي التحليلي، واعتمدت الاستبانة كأداة لجمع البيانات من العاملين في المنظمات الدولية في الأردن. وتوصلت نتائج الدراسة إلى وجود أثر إيجابي ذي دلالة إحصائية للتحول الرقمي في تطوير الأداء المؤسسي للمنظمات الدولية في الأردن. وأوصت الدراسة بتعزيز البنية التحتية التكنولوجية وتطوير القدرات الرقمية للمنظمات لتحسين أدائها المؤسسي</w:t>
      </w:r>
      <w:r w:rsidRPr="00F41F4C">
        <w:rPr>
          <w:rFonts w:ascii="Simplified Arabic" w:eastAsia="Times New Roman" w:hAnsi="Simplified Arabic" w:cs="Simplified Arabic"/>
          <w:color w:val="000000" w:themeColor="text1"/>
          <w:kern w:val="0"/>
          <w:sz w:val="28"/>
          <w:szCs w:val="28"/>
          <w14:ligatures w14:val="none"/>
        </w:rPr>
        <w:t>.</w:t>
      </w:r>
    </w:p>
    <w:p w14:paraId="18CDAF52" w14:textId="284CE5C8"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(أبو بكر والسويطي،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القيادة الرقمية في تحسين الأداء المؤسسي من وجهة نظر العاملين في وزارة الاتصالات والاقتصاد الرقمي في فلسطين. واستخدمت الدراسة المنهج الوصفي الارتباطي، وتكونت العينة من</w:t>
      </w:r>
      <w:r w:rsidRPr="00F41F4C">
        <w:rPr>
          <w:rFonts w:ascii="Simplified Arabic" w:eastAsia="Times New Roman" w:hAnsi="Simplified Arabic" w:cs="Simplified Arabic"/>
          <w:color w:val="000000" w:themeColor="text1"/>
          <w:kern w:val="0"/>
          <w:sz w:val="28"/>
          <w:szCs w:val="28"/>
          <w14:ligatures w14:val="none"/>
        </w:rPr>
        <w:t xml:space="preserve"> (120) </w:t>
      </w:r>
      <w:r w:rsidRPr="00F41F4C">
        <w:rPr>
          <w:rFonts w:ascii="Simplified Arabic" w:eastAsia="Times New Roman" w:hAnsi="Simplified Arabic" w:cs="Simplified Arabic"/>
          <w:color w:val="000000" w:themeColor="text1"/>
          <w:kern w:val="0"/>
          <w:sz w:val="28"/>
          <w:szCs w:val="28"/>
          <w:rtl/>
          <w14:ligatures w14:val="none"/>
        </w:rPr>
        <w:t>استبانة صالحة للتحليل من أصل (160) موظفاً في المقر العام للوزارة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قوي لممارسات القيادة الرقمية على الأداء المؤسسي في الوزارة، كما تبيّن وجود فروق معنوية في آراء المبحوثين في محوري ممارسات القيادة الرقمية وتحسين الأداء المؤسسي تُعزى لمتغيرات الجنس والمؤهل العلمي والمسمى الوظيفي </w:t>
      </w:r>
      <w:r w:rsidRPr="00F41F4C">
        <w:rPr>
          <w:rFonts w:ascii="Simplified Arabic" w:eastAsia="Times New Roman" w:hAnsi="Simplified Arabic" w:cs="Simplified Arabic"/>
          <w:color w:val="000000" w:themeColor="text1"/>
          <w:kern w:val="0"/>
          <w:sz w:val="28"/>
          <w:szCs w:val="28"/>
          <w:rtl/>
          <w14:ligatures w14:val="none"/>
        </w:rPr>
        <w:lastRenderedPageBreak/>
        <w:t>وسنوات الخبرة. وأوصت الدراسة بضرورة تعزيز الجهود المبذولة لممارسات القيادة الرقمية الفاعلة في صياغة رؤية الوزارة ورسالتها وربطها بمؤشرات أداء محددة ودقيقة في عمليات التحول الرقمي</w:t>
      </w:r>
      <w:r w:rsidRPr="00F41F4C">
        <w:rPr>
          <w:rFonts w:ascii="Simplified Arabic" w:eastAsia="Times New Roman" w:hAnsi="Simplified Arabic" w:cs="Simplified Arabic"/>
          <w:color w:val="000000" w:themeColor="text1"/>
          <w:kern w:val="0"/>
          <w:sz w:val="28"/>
          <w:szCs w:val="28"/>
          <w14:ligatures w14:val="none"/>
        </w:rPr>
        <w:t>.</w:t>
      </w:r>
    </w:p>
    <w:p w14:paraId="25CBA147"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(أبو نصير وكناكرية،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تحسين الأداء المؤسسي في الجامعات الأردنية وفقاً لبطاقة الأداء المتوازن. واستخدمت الدراسة المنهج الوصفي التحليلي، واعتمدت الاستبانة كأداة لجمع البيانات من العاملين في الجامعات الأردنية. وتوصلت نتائج الدراسة إلى وجود أثر إيجابي ذي دلالة إحصائية للتحول الرقمي على تحسين الأداء المؤسسي وفقاً لأبعاد بطاقة الأداء المتوازن. وأوصت الدراسة بتعزيز تطبيقات التحول الرقمي في الجامعات الأردنية وتبني بطاقة الأداء المتوازن كأداة لقياس 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0B56EB73"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(شحاتة ورضوان،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في تطوير الأداء المؤسسي بالتطبيق على مصلحة الضرائب المصرية "القيمة المضافة". واستخدمت الدراسة المنهج الوصفي التحليلي، واعتمدت الاستبانة كأداة لجمع البيانات من العاملين في مصلحة الضرائب المصرية. وتوصلت نتائج الدراسة إلى وجود أثر إيجابي ذي دلالة إحصائية للتحول الرقمي في تطوير الأداء المؤسسي بمصلحة الضرائب المصرية. وأوصت الدراسة بتعزيز منظومة التحول الرقمي في المؤسسات الحكومية وتأهيل الموارد البشرية لمواكبة التطورات التقنية</w:t>
      </w:r>
      <w:r w:rsidRPr="00F41F4C">
        <w:rPr>
          <w:rFonts w:ascii="Simplified Arabic" w:eastAsia="Times New Roman" w:hAnsi="Simplified Arabic" w:cs="Simplified Arabic"/>
          <w:color w:val="000000" w:themeColor="text1"/>
          <w:kern w:val="0"/>
          <w:sz w:val="28"/>
          <w:szCs w:val="28"/>
          <w14:ligatures w14:val="none"/>
        </w:rPr>
        <w:t>.</w:t>
      </w:r>
    </w:p>
    <w:p w14:paraId="4DAF6AFA"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 (العريمي والحراحشة، 2024</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الرقمية، الموارد البشرية، الثقافة التنظيمية، استراتيجية التحول الرقمي</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 xml:space="preserve">على تميز الأداء المؤسسي بأبعاده (التميز الخدمي، التميز المعرفي، التميز البشري، الإبداع) في هيئة تنظيم قطاع الاتصالات في الأردن. واستخدمت الدراسة المنهج الوصفي التحليلي، وتكونت العينة من (174) موظفاً من الإدارة العليا والوسطى الحاصلين على درجة البكالوريوس فأعلى من مجتمع دراسة بلغ </w:t>
      </w:r>
      <w:r w:rsidRPr="00F41F4C">
        <w:rPr>
          <w:rFonts w:ascii="Simplified Arabic" w:eastAsia="Times New Roman" w:hAnsi="Simplified Arabic" w:cs="Simplified Arabic"/>
          <w:color w:val="000000" w:themeColor="text1"/>
          <w:kern w:val="0"/>
          <w:sz w:val="28"/>
          <w:szCs w:val="28"/>
          <w14:ligatures w14:val="none"/>
        </w:rPr>
        <w:t xml:space="preserve">(251) </w:t>
      </w:r>
      <w:r w:rsidRPr="00F41F4C">
        <w:rPr>
          <w:rFonts w:ascii="Simplified Arabic" w:eastAsia="Times New Roman" w:hAnsi="Simplified Arabic" w:cs="Simplified Arabic"/>
          <w:color w:val="000000" w:themeColor="text1"/>
          <w:kern w:val="0"/>
          <w:sz w:val="28"/>
          <w:szCs w:val="28"/>
          <w:rtl/>
          <w14:ligatures w14:val="none"/>
        </w:rPr>
        <w:t>موظفاً، واستُخدم اختبار الانحدار المتعدد وبرنامج</w:t>
      </w:r>
      <w:r w:rsidRPr="00F41F4C">
        <w:rPr>
          <w:rFonts w:ascii="Simplified Arabic" w:eastAsia="Times New Roman" w:hAnsi="Simplified Arabic" w:cs="Simplified Arabic"/>
          <w:color w:val="000000" w:themeColor="text1"/>
          <w:kern w:val="0"/>
          <w:sz w:val="28"/>
          <w:szCs w:val="28"/>
          <w14:ligatures w14:val="none"/>
        </w:rPr>
        <w:t xml:space="preserve"> (SPSS) </w:t>
      </w:r>
      <w:r w:rsidRPr="00F41F4C">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أثر إيجابي ذي دلالة إحصائية للتحول الرقمي بجميع أبعاده على تميز الأداء المؤسسي في هيئة تنظيم قطاع الاتصالات في الأردن. وأوصت الدراسة باستخدام التقنيات الحديثة مثل الحوسبة السحابية والذكاء الاصطناعي في العمليات، واستقطاب الأفراد الموهوبين والمتميزين في مجال العمليات الرقمية</w:t>
      </w:r>
      <w:r w:rsidRPr="00F41F4C">
        <w:rPr>
          <w:rFonts w:ascii="Simplified Arabic" w:eastAsia="Times New Roman" w:hAnsi="Simplified Arabic" w:cs="Simplified Arabic"/>
          <w:color w:val="000000" w:themeColor="text1"/>
          <w:kern w:val="0"/>
          <w:sz w:val="28"/>
          <w:szCs w:val="28"/>
          <w14:ligatures w14:val="none"/>
        </w:rPr>
        <w:t>.</w:t>
      </w:r>
    </w:p>
    <w:p w14:paraId="08A5C1F4"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w:t>
      </w:r>
      <w:r w:rsidRPr="00F41F4C">
        <w:rPr>
          <w:rFonts w:ascii="Simplified Arabic" w:eastAsia="Times New Roman" w:hAnsi="Simplified Arabic" w:cs="Simplified Arabic"/>
          <w:color w:val="000000" w:themeColor="text1"/>
          <w:kern w:val="0"/>
          <w:sz w:val="28"/>
          <w:szCs w:val="28"/>
          <w14:ligatures w14:val="none"/>
        </w:rPr>
        <w:t xml:space="preserve"> (Teng, Wu &amp; Yang, 2022): </w:t>
      </w:r>
      <w:r w:rsidRPr="00F41F4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التحول الرقمي وأداء المنشآت الصغيرة والمتوسطة، وتحديد العوامل المؤثرة في تحقيق التنمية المستدامة لهذه المنشآت. </w:t>
      </w:r>
      <w:r w:rsidRPr="00F41F4C">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الكمي التحليلي باستخدام نموذج المعادلات البنائية</w:t>
      </w:r>
      <w:r w:rsidRPr="00F41F4C">
        <w:rPr>
          <w:rFonts w:ascii="Simplified Arabic" w:eastAsia="Times New Roman" w:hAnsi="Simplified Arabic" w:cs="Simplified Arabic"/>
          <w:color w:val="000000" w:themeColor="text1"/>
          <w:kern w:val="0"/>
          <w:sz w:val="28"/>
          <w:szCs w:val="28"/>
          <w14:ligatures w14:val="none"/>
        </w:rPr>
        <w:t xml:space="preserve"> (SEM)</w:t>
      </w:r>
      <w:r w:rsidRPr="00F41F4C">
        <w:rPr>
          <w:rFonts w:ascii="Simplified Arabic" w:eastAsia="Times New Roman" w:hAnsi="Simplified Arabic" w:cs="Simplified Arabic"/>
          <w:color w:val="000000" w:themeColor="text1"/>
          <w:kern w:val="0"/>
          <w:sz w:val="28"/>
          <w:szCs w:val="28"/>
          <w:rtl/>
          <w14:ligatures w14:val="none"/>
        </w:rPr>
        <w:t>، وتكونت العينة من (335) استبانة صالحة تم جمعها من المديرين التنفيذيين للمنشآت الصغيرة والمتوسطة في الصين، وحُللت البيانات باستخدام أدوات</w:t>
      </w:r>
      <w:r w:rsidRPr="00F41F4C">
        <w:rPr>
          <w:rFonts w:ascii="Simplified Arabic" w:eastAsia="Times New Roman" w:hAnsi="Simplified Arabic" w:cs="Simplified Arabic"/>
          <w:color w:val="000000" w:themeColor="text1"/>
          <w:kern w:val="0"/>
          <w:sz w:val="28"/>
          <w:szCs w:val="28"/>
          <w14:ligatures w14:val="none"/>
        </w:rPr>
        <w:t xml:space="preserve"> SPSS </w:t>
      </w:r>
      <w:r w:rsidRPr="00F41F4C">
        <w:rPr>
          <w:rFonts w:ascii="Simplified Arabic" w:eastAsia="Times New Roman" w:hAnsi="Simplified Arabic" w:cs="Simplified Arabic"/>
          <w:color w:val="000000" w:themeColor="text1"/>
          <w:kern w:val="0"/>
          <w:sz w:val="28"/>
          <w:szCs w:val="28"/>
          <w:rtl/>
          <w14:ligatures w14:val="none"/>
        </w:rPr>
        <w:t>و</w:t>
      </w:r>
      <w:r w:rsidRPr="00F41F4C">
        <w:rPr>
          <w:rFonts w:ascii="Simplified Arabic" w:eastAsia="Times New Roman" w:hAnsi="Simplified Arabic" w:cs="Simplified Arabic"/>
          <w:color w:val="000000" w:themeColor="text1"/>
          <w:kern w:val="0"/>
          <w:sz w:val="28"/>
          <w:szCs w:val="28"/>
          <w14:ligatures w14:val="none"/>
        </w:rPr>
        <w:t xml:space="preserve">SPSSAU. </w:t>
      </w:r>
      <w:r w:rsidRPr="00F41F4C">
        <w:rPr>
          <w:rFonts w:ascii="Simplified Arabic" w:eastAsia="Times New Roman" w:hAnsi="Simplified Arabic" w:cs="Simplified Arabic"/>
          <w:color w:val="000000" w:themeColor="text1"/>
          <w:kern w:val="0"/>
          <w:sz w:val="28"/>
          <w:szCs w:val="28"/>
          <w:rtl/>
          <w14:ligatures w14:val="none"/>
        </w:rPr>
        <w:t>وتوصلت نتائج الدراسة إلى أن التحول الرقمي يؤثر إيجابياً على أداء المنشآت الصغيرة والمتوسطة، وأن الموارد الثلاث (التكنولوجيا الرقمية، المهارات الرقمية للموظفين، استراتيجية التحول الرقمي) ترتبط ارتباطاً إيجابياً بالتحول الرقمي، كما أن التحول الرقمي يعمل كمتغير وسيط في تأثير استراتيجية التحول الرقمي على الأداء المالي. وأوصت الدراسة بأهمية الاستثمار في التكنولوجيا الرقمية وتطوير المهارات الرقمية للعاملين ووضع استراتيجيات واضحة للتحول الرقمي لتحسين الأداء</w:t>
      </w:r>
      <w:r w:rsidRPr="00F41F4C">
        <w:rPr>
          <w:rFonts w:ascii="Simplified Arabic" w:eastAsia="Times New Roman" w:hAnsi="Simplified Arabic" w:cs="Simplified Arabic"/>
          <w:color w:val="000000" w:themeColor="text1"/>
          <w:kern w:val="0"/>
          <w:sz w:val="28"/>
          <w:szCs w:val="28"/>
          <w14:ligatures w14:val="none"/>
        </w:rPr>
        <w:t>.</w:t>
      </w:r>
    </w:p>
    <w:p w14:paraId="72CDA34B"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دراسة</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هدفت الدراسة إلى إجراء مراجعة منهجية شاملة للأدبيات المتعلقة بالتحول الرقمي والأداء المؤسسي في قطاع التعليم العالي. واستخدمت الدراسة منهج المراجعة المنهجية للأدبيات</w:t>
      </w:r>
      <w:r w:rsidRPr="00F41F4C">
        <w:rPr>
          <w:rFonts w:ascii="Simplified Arabic" w:eastAsia="Times New Roman" w:hAnsi="Simplified Arabic" w:cs="Simplified Arabic"/>
          <w:color w:val="000000" w:themeColor="text1"/>
          <w:kern w:val="0"/>
          <w:sz w:val="28"/>
          <w:szCs w:val="28"/>
          <w14:ligatures w14:val="none"/>
        </w:rPr>
        <w:t xml:space="preserve"> (SLR)</w:t>
      </w:r>
      <w:r w:rsidRPr="00F41F4C">
        <w:rPr>
          <w:rFonts w:ascii="Simplified Arabic" w:eastAsia="Times New Roman" w:hAnsi="Simplified Arabic" w:cs="Simplified Arabic"/>
          <w:color w:val="000000" w:themeColor="text1"/>
          <w:kern w:val="0"/>
          <w:sz w:val="28"/>
          <w:szCs w:val="28"/>
          <w:rtl/>
          <w14:ligatures w14:val="none"/>
        </w:rPr>
        <w:t>، حيث تم مراجعة (183) منشوراً من قاعدة بيانات</w:t>
      </w:r>
      <w:r w:rsidRPr="00F41F4C">
        <w:rPr>
          <w:rFonts w:ascii="Simplified Arabic" w:eastAsia="Times New Roman" w:hAnsi="Simplified Arabic" w:cs="Simplified Arabic"/>
          <w:color w:val="000000" w:themeColor="text1"/>
          <w:kern w:val="0"/>
          <w:sz w:val="28"/>
          <w:szCs w:val="28"/>
          <w14:ligatures w14:val="none"/>
        </w:rPr>
        <w:t xml:space="preserve"> Scopus </w:t>
      </w:r>
      <w:r w:rsidRPr="00F41F4C">
        <w:rPr>
          <w:rFonts w:ascii="Simplified Arabic" w:eastAsia="Times New Roman" w:hAnsi="Simplified Arabic" w:cs="Simplified Arabic"/>
          <w:color w:val="000000" w:themeColor="text1"/>
          <w:kern w:val="0"/>
          <w:sz w:val="28"/>
          <w:szCs w:val="28"/>
          <w:rtl/>
          <w14:ligatures w14:val="none"/>
        </w:rPr>
        <w:t>خلال الفترة من 2017 إلى 2023. وتوصلت نتائج الدراسة إلى وجود اتجاه متزايد في الأبحاث المتعلقة بالتحول الرقمي والأداء المؤسسي في التعليم العالي، وحددت مجالات التركيز الأساسية والمجلات الأكثر تأثيراً والباحثين الأكثر نشاطاً والتوزيع الجغرافي للأبحاث. وأوصت الدراسة بإجراء مزيد من الدراسات التجريبية والمقارنة بين الدول لفهم تأثير التحول الرقمي على الأداء المؤسسي في مؤسسات التعليم العالي</w:t>
      </w:r>
      <w:r w:rsidRPr="00F41F4C">
        <w:rPr>
          <w:rFonts w:ascii="Simplified Arabic" w:eastAsia="Times New Roman" w:hAnsi="Simplified Arabic" w:cs="Simplified Arabic"/>
          <w:color w:val="000000" w:themeColor="text1"/>
          <w:kern w:val="0"/>
          <w:sz w:val="28"/>
          <w:szCs w:val="28"/>
          <w14:ligatures w14:val="none"/>
        </w:rPr>
        <w:t>.</w:t>
      </w:r>
    </w:p>
    <w:p w14:paraId="0FB71267" w14:textId="7B3DF42F" w:rsidR="000A5E09" w:rsidRPr="00F41F4C" w:rsidRDefault="000A5E09" w:rsidP="000A5E0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1" w:name="_Toc169790501"/>
      <w:bookmarkStart w:id="22" w:name="_Toc236089938"/>
      <w:bookmarkEnd w:id="18"/>
      <w:r w:rsidRPr="00F41F4C">
        <w:rPr>
          <w:rFonts w:ascii="Simplified Arabic" w:hAnsi="Simplified Arabic" w:cs="Simplified Arabic"/>
          <w:b/>
          <w:bCs/>
          <w:color w:val="000000" w:themeColor="text1"/>
          <w:sz w:val="36"/>
          <w:szCs w:val="36"/>
          <w:rtl/>
        </w:rPr>
        <w:t>8.1 الفجوة البحثية:</w:t>
      </w:r>
      <w:bookmarkEnd w:id="22"/>
    </w:p>
    <w:p w14:paraId="0B187FE5" w14:textId="77777777" w:rsidR="00347ADE" w:rsidRPr="00F41F4C" w:rsidRDefault="00347ADE" w:rsidP="000A5E09">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41F4C">
        <w:rPr>
          <w:rFonts w:ascii="Simplified Arabic" w:hAnsi="Simplified Arabic" w:cs="Simplified Arabic"/>
          <w:color w:val="000000" w:themeColor="text1"/>
          <w:sz w:val="28"/>
          <w:szCs w:val="28"/>
          <w:rtl/>
        </w:rPr>
        <w:t>من خلال الاستعراض الشامل والمتعمق للأدبيات النظرية والدراسات السابقة العربية والأجنبية ذات الصلة بموضوع الدراسة، يتضح أن العلاقة بين التحول الرقمي والأداء المؤسسي قد حظيت باهتمام بحثي متزايد في السنوات الأخيرة، إلا أن هذا الاهتمام تركّز بشكل كبير في قطاعات بعينها كالقطاع المصرفي (جنيدي، 2024)، وقطاع الاتصالات (قرقط ولعشب، 2023؛ الحبيشي وطواف، 2021؛ العريمي والحراحشة، 2024)، والقطاع الحكومي والضريبي (شحاتة ورضوان، 2024</w:t>
      </w:r>
      <w:r w:rsidRPr="00F41F4C">
        <w:rPr>
          <w:rFonts w:ascii="Simplified Arabic" w:hAnsi="Simplified Arabic" w:cs="Simplified Arabic"/>
          <w:color w:val="000000" w:themeColor="text1"/>
          <w:sz w:val="28"/>
          <w:szCs w:val="28"/>
        </w:rPr>
        <w:t>)</w:t>
      </w:r>
      <w:r w:rsidRPr="00F41F4C">
        <w:rPr>
          <w:rFonts w:ascii="Simplified Arabic" w:hAnsi="Simplified Arabic" w:cs="Simplified Arabic"/>
          <w:color w:val="000000" w:themeColor="text1"/>
          <w:sz w:val="28"/>
          <w:szCs w:val="28"/>
          <w:rtl/>
        </w:rPr>
        <w:t>، والمنظمات الدولية (المومني والشواورة، 2024)، والمؤسسات الاجتماعية (العمريين والربابعة، 2023)، وقطاع الصناعة التحويلية</w:t>
      </w:r>
      <w:r w:rsidRPr="00F41F4C">
        <w:rPr>
          <w:rFonts w:ascii="Simplified Arabic" w:hAnsi="Simplified Arabic" w:cs="Simplified Arabic"/>
          <w:color w:val="000000" w:themeColor="text1"/>
          <w:sz w:val="28"/>
          <w:szCs w:val="28"/>
        </w:rPr>
        <w:t xml:space="preserve"> (Wang &amp; Shao, 2024; Zhai, Yang &amp; Chan, 2022)</w:t>
      </w:r>
      <w:r w:rsidRPr="00F41F4C">
        <w:rPr>
          <w:rFonts w:ascii="Simplified Arabic" w:hAnsi="Simplified Arabic" w:cs="Simplified Arabic"/>
          <w:color w:val="000000" w:themeColor="text1"/>
          <w:sz w:val="28"/>
          <w:szCs w:val="28"/>
          <w:rtl/>
        </w:rPr>
        <w:t>، والمنشآت الصغيرة والمتوسطة</w:t>
      </w:r>
      <w:r w:rsidRPr="00F41F4C">
        <w:rPr>
          <w:rFonts w:ascii="Simplified Arabic" w:hAnsi="Simplified Arabic" w:cs="Simplified Arabic"/>
          <w:color w:val="000000" w:themeColor="text1"/>
          <w:sz w:val="28"/>
          <w:szCs w:val="28"/>
        </w:rPr>
        <w:t xml:space="preserve"> (Teng, Wu &amp; Yang, 2022). </w:t>
      </w:r>
      <w:r w:rsidRPr="00F41F4C">
        <w:rPr>
          <w:rFonts w:ascii="Simplified Arabic" w:hAnsi="Simplified Arabic" w:cs="Simplified Arabic"/>
          <w:color w:val="000000" w:themeColor="text1"/>
          <w:sz w:val="28"/>
          <w:szCs w:val="28"/>
          <w:rtl/>
        </w:rPr>
        <w:t>وعلى صعيد التعليم العالي، فقد اقتصرت الدراسات المتاحة على بيئة الجامعات التقليدية كدراسة (أبو نصير وكناكرية، 2024) التي طُبقت على الجامعات الأردنية، ودراسة</w:t>
      </w:r>
      <w:r w:rsidRPr="00F41F4C">
        <w:rPr>
          <w:rFonts w:ascii="Simplified Arabic" w:hAnsi="Simplified Arabic" w:cs="Simplified Arabic"/>
          <w:color w:val="000000" w:themeColor="text1"/>
          <w:sz w:val="28"/>
          <w:szCs w:val="28"/>
        </w:rPr>
        <w:t xml:space="preserve"> </w:t>
      </w:r>
      <w:r w:rsidRPr="00F41F4C">
        <w:rPr>
          <w:rFonts w:ascii="Simplified Arabic" w:hAnsi="Simplified Arabic" w:cs="Simplified Arabic"/>
          <w:color w:val="000000" w:themeColor="text1"/>
          <w:sz w:val="28"/>
          <w:szCs w:val="28"/>
        </w:rPr>
        <w:lastRenderedPageBreak/>
        <w:t xml:space="preserve">(Ramadania et al., 2024) </w:t>
      </w:r>
      <w:r w:rsidRPr="00F41F4C">
        <w:rPr>
          <w:rFonts w:ascii="Simplified Arabic" w:hAnsi="Simplified Arabic" w:cs="Simplified Arabic"/>
          <w:color w:val="000000" w:themeColor="text1"/>
          <w:sz w:val="28"/>
          <w:szCs w:val="28"/>
          <w:rtl/>
        </w:rPr>
        <w:t xml:space="preserve">التي قدّمت مراجعة منهجية عامة دون التطبيق على بيئة محددة. وبناءً عليه، تتكشّف فجوة بحثية واضحة تتمثل في ندرة الدراسات العلمية </w:t>
      </w:r>
      <w:r w:rsidRPr="00F41F4C">
        <w:rPr>
          <w:rFonts w:ascii="Simplified Arabic" w:hAnsi="Simplified Arabic" w:cs="Simplified Arabic"/>
          <w:color w:val="000000" w:themeColor="text1"/>
          <w:sz w:val="28"/>
          <w:szCs w:val="28"/>
        </w:rPr>
        <w:t xml:space="preserve">— </w:t>
      </w:r>
      <w:r w:rsidRPr="00F41F4C">
        <w:rPr>
          <w:rFonts w:ascii="Simplified Arabic" w:hAnsi="Simplified Arabic" w:cs="Simplified Arabic"/>
          <w:color w:val="000000" w:themeColor="text1"/>
          <w:sz w:val="28"/>
          <w:szCs w:val="28"/>
          <w:rtl/>
        </w:rPr>
        <w:t xml:space="preserve">وفق حدود اطلاع الباحث — التي تناولت أثر التحول الرقمي بأبعاده مجتمعة (البنية التحتية الرقمية، الكفاءات والمهارات الرقمية، القيادة الرقمية، استراتيجية التحول الرقمي) على جودة الأداء المؤسسي في سياق الجامعات الصحية السعودية تحديداً، وهي بيئة تنظيمية ذات طبيعة فريدة تجمع بين متطلبات التعليم الأكاديمي والممارسة الصحية والبحث العلمي الطبي، مما يستوجب مستويات مضاعفة من الكفاءة الرقمية وجودة الأداء. كما أن معظم الدراسات السابقة لم تتناول القيادة الرقمية كبُعد مستقل ضمن أبعاد التحول الرقمي المؤثرة في الأداء المؤسسي، رغم الدور المحوري الذي أثبتته دراسة (أبو بكر والسويطي، </w:t>
      </w:r>
      <w:r w:rsidRPr="00F41F4C">
        <w:rPr>
          <w:rFonts w:ascii="Simplified Arabic" w:hAnsi="Simplified Arabic" w:cs="Simplified Arabic"/>
          <w:color w:val="000000" w:themeColor="text1"/>
          <w:sz w:val="28"/>
          <w:szCs w:val="28"/>
        </w:rPr>
        <w:t xml:space="preserve">2024) </w:t>
      </w:r>
      <w:r w:rsidRPr="00F41F4C">
        <w:rPr>
          <w:rFonts w:ascii="Simplified Arabic" w:hAnsi="Simplified Arabic" w:cs="Simplified Arabic"/>
          <w:color w:val="000000" w:themeColor="text1"/>
          <w:sz w:val="28"/>
          <w:szCs w:val="28"/>
          <w:rtl/>
        </w:rPr>
        <w:t>لممارسات القيادة الرقمية في تحسين الأداء. ومن هنا، تأتي الدراسة الحالية لسد هذه الفجوة البحثية من خلال دراسة هذه العلاقة في بيئة جامعة الملك سعود بن عبدالعزيز للعلوم الصحية بالرياض، مما يُسهم في إثراء الأدبيات العربية والسعودية في هذا المجال ويقدم نموذجاً تطبيقياً قابلاً للتعميم على المؤسسات الأكاديمية الصحية المماثلة</w:t>
      </w:r>
      <w:r w:rsidRPr="00F41F4C">
        <w:rPr>
          <w:rFonts w:ascii="Simplified Arabic" w:hAnsi="Simplified Arabic" w:cs="Simplified Arabic"/>
          <w:color w:val="000000" w:themeColor="text1"/>
          <w:sz w:val="28"/>
          <w:szCs w:val="28"/>
        </w:rPr>
        <w:t>.</w:t>
      </w:r>
    </w:p>
    <w:p w14:paraId="5C5038B4" w14:textId="77777777" w:rsidR="000A5E09" w:rsidRPr="00F41F4C" w:rsidRDefault="000A5E09" w:rsidP="000A5E0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2"/>
      <w:bookmarkStart w:id="24" w:name="_Toc236089939"/>
      <w:bookmarkEnd w:id="21"/>
      <w:r w:rsidRPr="00F41F4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4"/>
    </w:p>
    <w:p w14:paraId="0C9C34E6" w14:textId="77777777" w:rsidR="000A5E09" w:rsidRPr="00F41F4C" w:rsidRDefault="000A5E09" w:rsidP="000A5E09">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F41F4C">
        <w:rPr>
          <w:rFonts w:ascii="Simplified Arabic" w:eastAsia="Times New Roman" w:hAnsi="Simplified Arabic" w:cs="Simplified Arabic"/>
          <w:b/>
          <w:bCs/>
          <w:color w:val="000000" w:themeColor="text1"/>
          <w:kern w:val="0"/>
          <w:sz w:val="32"/>
          <w:szCs w:val="32"/>
          <w:rtl/>
          <w14:ligatures w14:val="none"/>
        </w:rPr>
        <w:t>أولاً: التحول الرقمي (</w:t>
      </w:r>
      <w:r w:rsidRPr="00F41F4C">
        <w:rPr>
          <w:rFonts w:ascii="Simplified Arabic" w:eastAsia="Times New Roman" w:hAnsi="Simplified Arabic" w:cs="Simplified Arabic"/>
          <w:b/>
          <w:bCs/>
          <w:color w:val="000000" w:themeColor="text1"/>
          <w:kern w:val="0"/>
          <w:sz w:val="32"/>
          <w:szCs w:val="32"/>
          <w14:ligatures w14:val="none"/>
        </w:rPr>
        <w:t>Digital Transformation</w:t>
      </w:r>
      <w:r w:rsidRPr="00F41F4C">
        <w:rPr>
          <w:rFonts w:ascii="Simplified Arabic" w:eastAsia="Times New Roman" w:hAnsi="Simplified Arabic" w:cs="Simplified Arabic"/>
          <w:b/>
          <w:bCs/>
          <w:color w:val="000000" w:themeColor="text1"/>
          <w:kern w:val="0"/>
          <w:sz w:val="32"/>
          <w:szCs w:val="32"/>
          <w:rtl/>
          <w14:ligatures w14:val="none"/>
        </w:rPr>
        <w:t>)</w:t>
      </w:r>
    </w:p>
    <w:p w14:paraId="0EFC40D8" w14:textId="5FA6176C" w:rsidR="000A5E09" w:rsidRPr="00F41F4C" w:rsidRDefault="000A5E09"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F41F4C">
        <w:rPr>
          <w:rFonts w:ascii="Simplified Arabic" w:eastAsia="Times New Roman" w:hAnsi="Simplified Arabic" w:cs="Simplified Arabic"/>
          <w:b/>
          <w:bCs/>
          <w:color w:val="000000" w:themeColor="text1"/>
          <w:kern w:val="0"/>
          <w:sz w:val="28"/>
          <w:szCs w:val="28"/>
          <w:rtl/>
          <w14:ligatures w14:val="none"/>
        </w:rPr>
        <w:t>مفهوم التحول الرقمي</w:t>
      </w:r>
    </w:p>
    <w:p w14:paraId="1989B24A"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شكّل مفهوم التحول الرقمي أحد أبرز المفاهيم الإدارية والتقنية المعاصرة التي استقطبت اهتمام الباحثين والممارسين على حدٍ سواء، وذلك بفعل التطورات المتسارعة في تقنيات المعلومات والاتصالات التي أحدثت تغييرات جوهرية في طبيعة عمل المؤسسات وأنماط تقديمها للخدمات</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ويُعرّف التحول الرقمي بأنه عملية استراتيجية شاملة تتضمن دمج التقنيات الرقمية الحديثة كالحوسبة السحابية والذكاء الاصطناعي وتحليلات البيانات الضخمة وإنترنت الأشياء في مختلف جوانب المؤسسة، بهدف إعادة هيكلة عملياتها وتطوير نماذج أعمالها وتحسين طرق تقديم القيمة لأصحاب المصلحة</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ولا يقتصر التحول الرقمي على مجرد إدخال التقنية إلى بيئة العمل، بل يمتد ليشمل تغييراً جذرياً في الثقافة التنظيمية وأساليب القيادة ومهارات العاملين والتوجهات الاستراتيجية للمؤسسة بأكملها</w:t>
      </w:r>
      <w:r w:rsidRPr="00F41F4C">
        <w:rPr>
          <w:rFonts w:ascii="Simplified Arabic" w:eastAsia="Times New Roman" w:hAnsi="Simplified Arabic" w:cs="Simplified Arabic"/>
          <w:color w:val="000000" w:themeColor="text1"/>
          <w:kern w:val="0"/>
          <w:sz w:val="28"/>
          <w:szCs w:val="28"/>
          <w14:ligatures w14:val="none"/>
        </w:rPr>
        <w:t xml:space="preserve"> (Zhai, Yang &amp; Chan, 2022).</w:t>
      </w:r>
    </w:p>
    <w:p w14:paraId="52898824"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وقد أشار</w:t>
      </w:r>
      <w:r w:rsidRPr="00F41F4C">
        <w:rPr>
          <w:rFonts w:ascii="Simplified Arabic" w:eastAsia="Times New Roman" w:hAnsi="Simplified Arabic" w:cs="Simplified Arabic"/>
          <w:color w:val="000000" w:themeColor="text1"/>
          <w:kern w:val="0"/>
          <w:sz w:val="28"/>
          <w:szCs w:val="28"/>
          <w14:ligatures w14:val="none"/>
        </w:rPr>
        <w:t xml:space="preserve"> (Teng, Wu &amp; Yang, 2022) </w:t>
      </w:r>
      <w:r w:rsidRPr="00F41F4C">
        <w:rPr>
          <w:rFonts w:ascii="Simplified Arabic" w:eastAsia="Times New Roman" w:hAnsi="Simplified Arabic" w:cs="Simplified Arabic"/>
          <w:color w:val="000000" w:themeColor="text1"/>
          <w:kern w:val="0"/>
          <w:sz w:val="28"/>
          <w:szCs w:val="28"/>
          <w:rtl/>
          <w14:ligatures w14:val="none"/>
        </w:rPr>
        <w:t xml:space="preserve">إلى أن التحول الرقمي يرتكز على توظيف التقنيات الرقمية المتقدمة لتمكين المؤسسات من تحقيق كفاءة تشغيلية أعلى واتخاذ قرارات مبنية على البيانات، مما </w:t>
      </w:r>
      <w:r w:rsidRPr="00F41F4C">
        <w:rPr>
          <w:rFonts w:ascii="Simplified Arabic" w:eastAsia="Times New Roman" w:hAnsi="Simplified Arabic" w:cs="Simplified Arabic"/>
          <w:color w:val="000000" w:themeColor="text1"/>
          <w:kern w:val="0"/>
          <w:sz w:val="28"/>
          <w:szCs w:val="28"/>
          <w:rtl/>
          <w14:ligatures w14:val="none"/>
        </w:rPr>
        <w:lastRenderedPageBreak/>
        <w:t xml:space="preserve">ينعكس إيجاباً على أدائها الكلي وقدرتها على المنافسة والاستدامة. كما أكد </w:t>
      </w:r>
      <w:r w:rsidRPr="00F41F4C">
        <w:rPr>
          <w:rFonts w:ascii="Simplified Arabic" w:eastAsia="Times New Roman" w:hAnsi="Simplified Arabic" w:cs="Simplified Arabic"/>
          <w:color w:val="000000" w:themeColor="text1"/>
          <w:kern w:val="0"/>
          <w:sz w:val="28"/>
          <w:szCs w:val="28"/>
          <w14:ligatures w14:val="none"/>
        </w:rPr>
        <w:t xml:space="preserve">(Egbeleo &amp; Sodokin, 2025) </w:t>
      </w:r>
      <w:r w:rsidRPr="00F41F4C">
        <w:rPr>
          <w:rFonts w:ascii="Simplified Arabic" w:eastAsia="Times New Roman" w:hAnsi="Simplified Arabic" w:cs="Simplified Arabic"/>
          <w:color w:val="000000" w:themeColor="text1"/>
          <w:kern w:val="0"/>
          <w:sz w:val="28"/>
          <w:szCs w:val="28"/>
          <w:rtl/>
          <w14:ligatures w14:val="none"/>
        </w:rPr>
        <w:t xml:space="preserve">أن التحول الرقمي يمثل تقنية متعددة الأغراض ذات أثر عابر للقطاعات، حيث يُسهم في رفع الإنتاجية وتحسين جودة المخرجات عندما يتوفر الإطار المؤسسي الداعم. وفي سياق مؤسسات التعليم العالي، أوضح </w:t>
      </w:r>
      <w:r w:rsidRPr="00F41F4C">
        <w:rPr>
          <w:rFonts w:ascii="Simplified Arabic" w:eastAsia="Times New Roman" w:hAnsi="Simplified Arabic" w:cs="Simplified Arabic"/>
          <w:color w:val="000000" w:themeColor="text1"/>
          <w:kern w:val="0"/>
          <w:sz w:val="28"/>
          <w:szCs w:val="28"/>
          <w14:ligatures w14:val="none"/>
        </w:rPr>
        <w:t xml:space="preserve">(Ramadania et al., 2024) </w:t>
      </w:r>
      <w:r w:rsidRPr="00F41F4C">
        <w:rPr>
          <w:rFonts w:ascii="Simplified Arabic" w:eastAsia="Times New Roman" w:hAnsi="Simplified Arabic" w:cs="Simplified Arabic"/>
          <w:color w:val="000000" w:themeColor="text1"/>
          <w:kern w:val="0"/>
          <w:sz w:val="28"/>
          <w:szCs w:val="28"/>
          <w:rtl/>
          <w14:ligatures w14:val="none"/>
        </w:rPr>
        <w:t>أن التحول الرقمي أصبح ضرورة حتمية تتجاوز كونه خياراً تقنياً، إذ يؤثر في مختلف أبعاد الأداء المؤسسي بدءاً من العمليات الإدارية والأكاديمية وصولاً إلى تجربة الطلاب وجودة البحث العلمي</w:t>
      </w:r>
      <w:r w:rsidRPr="00F41F4C">
        <w:rPr>
          <w:rFonts w:ascii="Simplified Arabic" w:eastAsia="Times New Roman" w:hAnsi="Simplified Arabic" w:cs="Simplified Arabic"/>
          <w:color w:val="000000" w:themeColor="text1"/>
          <w:kern w:val="0"/>
          <w:sz w:val="28"/>
          <w:szCs w:val="28"/>
          <w14:ligatures w14:val="none"/>
        </w:rPr>
        <w:t>.</w:t>
      </w:r>
    </w:p>
    <w:p w14:paraId="01389CF5" w14:textId="77777777" w:rsidR="00347ADE" w:rsidRPr="00F41F4C" w:rsidRDefault="00347ADE" w:rsidP="000A5E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25" w:name="_Toc223970195"/>
      <w:bookmarkStart w:id="26" w:name="_Toc236089940"/>
      <w:r w:rsidRPr="00F41F4C">
        <w:rPr>
          <w:rFonts w:ascii="Simplified Arabic" w:eastAsia="Times New Roman" w:hAnsi="Simplified Arabic" w:cs="Simplified Arabic"/>
          <w:b/>
          <w:bCs/>
          <w:color w:val="000000" w:themeColor="text1"/>
          <w:kern w:val="0"/>
          <w:sz w:val="28"/>
          <w:szCs w:val="28"/>
          <w:rtl/>
          <w14:ligatures w14:val="none"/>
        </w:rPr>
        <w:t>أبعاد التحول الرقمي المعتمدة في الدراسة</w:t>
      </w:r>
      <w:bookmarkEnd w:id="25"/>
      <w:bookmarkEnd w:id="26"/>
    </w:p>
    <w:p w14:paraId="73EA083E"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تتبنى الدراسة الحالية أربعة أبعاد رئيسية للتحول الرقمي، وذلك استناداً إلى مراجعة الأدبيات والدراسات السابقة ذات الصلة</w:t>
      </w:r>
      <w:r w:rsidRPr="00F41F4C">
        <w:rPr>
          <w:rFonts w:ascii="Simplified Arabic" w:eastAsia="Times New Roman" w:hAnsi="Simplified Arabic" w:cs="Simplified Arabic"/>
          <w:color w:val="000000" w:themeColor="text1"/>
          <w:kern w:val="0"/>
          <w:sz w:val="28"/>
          <w:szCs w:val="28"/>
          <w14:ligatures w14:val="none"/>
        </w:rPr>
        <w:t>:</w:t>
      </w:r>
    </w:p>
    <w:p w14:paraId="744B16ED" w14:textId="77777777" w:rsidR="00347ADE" w:rsidRPr="00F41F4C" w:rsidRDefault="00347ADE" w:rsidP="000A5E0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البُعد الأول: البنية التحتية الرقمية</w:t>
      </w:r>
      <w:r w:rsidRPr="00F41F4C">
        <w:rPr>
          <w:rFonts w:ascii="Simplified Arabic" w:eastAsia="Times New Roman" w:hAnsi="Simplified Arabic" w:cs="Simplified Arabic"/>
          <w:color w:val="000000" w:themeColor="text1"/>
          <w:kern w:val="0"/>
          <w:sz w:val="28"/>
          <w:szCs w:val="28"/>
          <w14:ligatures w14:val="none"/>
        </w:rPr>
        <w:t xml:space="preserve"> (Digital Infrastructure) </w:t>
      </w:r>
      <w:r w:rsidRPr="00F41F4C">
        <w:rPr>
          <w:rFonts w:ascii="Simplified Arabic" w:eastAsia="Times New Roman" w:hAnsi="Simplified Arabic" w:cs="Simplified Arabic"/>
          <w:color w:val="000000" w:themeColor="text1"/>
          <w:kern w:val="0"/>
          <w:sz w:val="28"/>
          <w:szCs w:val="28"/>
          <w:rtl/>
          <w14:ligatures w14:val="none"/>
        </w:rPr>
        <w:t>تُشير البنية التحتية الرقمية إلى مجموعة الأصول التقنية والمادية التي تمثل الأساس الذي تُبنى عليه عمليات التحول الرقمي في المؤسسة، وتشمل الشبكات والخوادم وأنظمة الحوسبة السحابية وقواعد البيانات والمنصات الرقمية وأنظمة الأمن السيبراني والبرمجيات التشغيلية. وتُعدّ البنية التحتية الرقمية القاعدة الصلبة التي بدونها لا يمكن تحقيق أي مستوى من التحول الرقمي الفعّال، حيث إن جاهزيتها وكفاءتها تحددان مدى قدرة المؤسسة على تبني التقنيات الحديثة وتوظيفها في عملياتها المختلفة (العريمي والحراحشة، 2024</w:t>
      </w:r>
      <w:r w:rsidRPr="00F41F4C">
        <w:rPr>
          <w:rFonts w:ascii="Simplified Arabic" w:eastAsia="Times New Roman" w:hAnsi="Simplified Arabic" w:cs="Simplified Arabic"/>
          <w:color w:val="000000" w:themeColor="text1"/>
          <w:kern w:val="0"/>
          <w:sz w:val="28"/>
          <w:szCs w:val="28"/>
          <w14:ligatures w14:val="none"/>
        </w:rPr>
        <w:t>).</w:t>
      </w:r>
    </w:p>
    <w:p w14:paraId="7FBB76C2" w14:textId="77777777" w:rsidR="00347ADE" w:rsidRPr="00F41F4C" w:rsidRDefault="00347ADE" w:rsidP="000A5E0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البُعد الثاني: الكفاءات والمهارات الرقمية</w:t>
      </w:r>
      <w:r w:rsidRPr="00F41F4C">
        <w:rPr>
          <w:rFonts w:ascii="Simplified Arabic" w:eastAsia="Times New Roman" w:hAnsi="Simplified Arabic" w:cs="Simplified Arabic"/>
          <w:color w:val="000000" w:themeColor="text1"/>
          <w:kern w:val="0"/>
          <w:sz w:val="28"/>
          <w:szCs w:val="28"/>
          <w14:ligatures w14:val="none"/>
        </w:rPr>
        <w:t xml:space="preserve"> (Digital Competencies and Skills) </w:t>
      </w:r>
      <w:r w:rsidRPr="00F41F4C">
        <w:rPr>
          <w:rFonts w:ascii="Simplified Arabic" w:eastAsia="Times New Roman" w:hAnsi="Simplified Arabic" w:cs="Simplified Arabic"/>
          <w:color w:val="000000" w:themeColor="text1"/>
          <w:kern w:val="0"/>
          <w:sz w:val="28"/>
          <w:szCs w:val="28"/>
          <w:rtl/>
          <w14:ligatures w14:val="none"/>
        </w:rPr>
        <w:t>يُقصد بالكفاءات والمهارات الرقمية مجموعة المعارف والقدرات والمهارات التقنية والمعرفية التي يمتلكها العاملون في المؤسسة والتي تُمكّنهم من استخدام الأدوات والمنصات والتطبيقات الرقمية بكفاءة وفاعلية في أداء مهامهم الوظيفية. وتشمل هذه الكفاءات القدرة على التعامل مع الأنظمة الإلكترونية وتحليل البيانات واستخدام أدوات التواصل الرقمي والتكيف مع التقنيات المستحدثة. وقد أكد</w:t>
      </w:r>
      <w:r w:rsidRPr="00F41F4C">
        <w:rPr>
          <w:rFonts w:ascii="Simplified Arabic" w:eastAsia="Times New Roman" w:hAnsi="Simplified Arabic" w:cs="Simplified Arabic"/>
          <w:color w:val="000000" w:themeColor="text1"/>
          <w:kern w:val="0"/>
          <w:sz w:val="28"/>
          <w:szCs w:val="28"/>
          <w14:ligatures w14:val="none"/>
        </w:rPr>
        <w:t xml:space="preserve"> (Teng, Wu &amp; Yang, 2022) </w:t>
      </w:r>
      <w:r w:rsidRPr="00F41F4C">
        <w:rPr>
          <w:rFonts w:ascii="Simplified Arabic" w:eastAsia="Times New Roman" w:hAnsi="Simplified Arabic" w:cs="Simplified Arabic"/>
          <w:color w:val="000000" w:themeColor="text1"/>
          <w:kern w:val="0"/>
          <w:sz w:val="28"/>
          <w:szCs w:val="28"/>
          <w:rtl/>
          <w14:ligatures w14:val="none"/>
        </w:rPr>
        <w:t xml:space="preserve">أن المهارات الرقمية للموظفين تُعد من العوامل الحاسمة في نجاح التحول الرقمي وانعكاسه على الأداء المؤسسي، إذ إن التقنية وحدها لا تحقق القيمة المرجوة ما لم يكن العنصر البشري مؤهلاً وقادراً على توظيفها بالشكل الأمثل (قرقط ولعشب، </w:t>
      </w:r>
      <w:r w:rsidRPr="00F41F4C">
        <w:rPr>
          <w:rFonts w:ascii="Simplified Arabic" w:eastAsia="Times New Roman" w:hAnsi="Simplified Arabic" w:cs="Simplified Arabic"/>
          <w:color w:val="000000" w:themeColor="text1"/>
          <w:kern w:val="0"/>
          <w:sz w:val="28"/>
          <w:szCs w:val="28"/>
          <w14:ligatures w14:val="none"/>
        </w:rPr>
        <w:t>2023).</w:t>
      </w:r>
    </w:p>
    <w:p w14:paraId="55C7E9A2" w14:textId="77777777" w:rsidR="00347ADE" w:rsidRPr="00F41F4C" w:rsidRDefault="00347ADE" w:rsidP="000A5E0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البُعد الثالث: القيادة الرقمية</w:t>
      </w:r>
      <w:r w:rsidRPr="00F41F4C">
        <w:rPr>
          <w:rFonts w:ascii="Simplified Arabic" w:eastAsia="Times New Roman" w:hAnsi="Simplified Arabic" w:cs="Simplified Arabic"/>
          <w:color w:val="000000" w:themeColor="text1"/>
          <w:kern w:val="0"/>
          <w:sz w:val="28"/>
          <w:szCs w:val="28"/>
          <w14:ligatures w14:val="none"/>
        </w:rPr>
        <w:t xml:space="preserve"> (Digital Leadership) </w:t>
      </w:r>
      <w:r w:rsidRPr="00F41F4C">
        <w:rPr>
          <w:rFonts w:ascii="Simplified Arabic" w:eastAsia="Times New Roman" w:hAnsi="Simplified Arabic" w:cs="Simplified Arabic"/>
          <w:color w:val="000000" w:themeColor="text1"/>
          <w:kern w:val="0"/>
          <w:sz w:val="28"/>
          <w:szCs w:val="28"/>
          <w:rtl/>
          <w14:ligatures w14:val="none"/>
        </w:rPr>
        <w:t xml:space="preserve">تُعرّف القيادة الرقمية بأنها قدرة القيادات الإدارية على توجيه المؤسسة نحو تبني التحول الرقمي ودعمه من خلال صياغة رؤية رقمية واضحة وتوفير </w:t>
      </w:r>
      <w:r w:rsidRPr="00F41F4C">
        <w:rPr>
          <w:rFonts w:ascii="Simplified Arabic" w:eastAsia="Times New Roman" w:hAnsi="Simplified Arabic" w:cs="Simplified Arabic"/>
          <w:color w:val="000000" w:themeColor="text1"/>
          <w:kern w:val="0"/>
          <w:sz w:val="28"/>
          <w:szCs w:val="28"/>
          <w:rtl/>
          <w14:ligatures w14:val="none"/>
        </w:rPr>
        <w:lastRenderedPageBreak/>
        <w:t>الموارد اللازمة وتحفيز العاملين وتهيئة المناخ التنظيمي الملائم لعمليات التغيير والابتكار الرقمي. وتلعب القيادة الرقمية دوراً جوهرياً في ضمان التزام المستويات الإدارية المختلفة بمبادرات التحول وتجاوز مقاومة التغيير وتحقيق التكامل بين الأبعاد التقنية والبشرية والاستراتيجية. وقد أثبتت دراسة (أبو بكر والسويطي، 2024) أن ممارسات القيادة الرقمية تؤثر تأثيراً قوياً ومباشراً على تحسين 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715AE11D" w14:textId="77777777" w:rsidR="00347ADE" w:rsidRPr="00F41F4C" w:rsidRDefault="00347ADE" w:rsidP="000A5E0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البُعد الرابع: استراتيجية التحول الرقمي</w:t>
      </w:r>
      <w:r w:rsidRPr="00F41F4C">
        <w:rPr>
          <w:rFonts w:ascii="Simplified Arabic" w:eastAsia="Times New Roman" w:hAnsi="Simplified Arabic" w:cs="Simplified Arabic"/>
          <w:color w:val="000000" w:themeColor="text1"/>
          <w:kern w:val="0"/>
          <w:sz w:val="28"/>
          <w:szCs w:val="28"/>
          <w14:ligatures w14:val="none"/>
        </w:rPr>
        <w:t xml:space="preserve"> (Digital Transformation Strategy) </w:t>
      </w:r>
      <w:r w:rsidRPr="00F41F4C">
        <w:rPr>
          <w:rFonts w:ascii="Simplified Arabic" w:eastAsia="Times New Roman" w:hAnsi="Simplified Arabic" w:cs="Simplified Arabic"/>
          <w:color w:val="000000" w:themeColor="text1"/>
          <w:kern w:val="0"/>
          <w:sz w:val="28"/>
          <w:szCs w:val="28"/>
          <w:rtl/>
          <w14:ligatures w14:val="none"/>
        </w:rPr>
        <w:t>تُشير استراتيجية التحول الرقمي إلى الخطة الشاملة والمنهجية التي تتبناها المؤسسة لتوجيه مسار تحولها الرقمي، وتتضمن تحديد الأهداف والأولويات الرقمية ورسم خارطة طريق واضحة المعالم وتحديد الموارد المطلوبة ومؤشرات الأداء ومراحل التنفيذ وآليات المتابعة والتقييم. وتُعدّ الاستراتيجية الرقمية بمثابة البوصلة التي توجّه جهود التحول وتضمن اتساقها مع الأهداف العامة للمؤسسة. وقد أشارت دراسة (العمريين والربابعة، 2023) إلى أهمية التوجه الاستراتيجي في تعزيز أثر التحول الرقمي على الأداء العالي للمنظمات</w:t>
      </w:r>
      <w:r w:rsidRPr="00F41F4C">
        <w:rPr>
          <w:rFonts w:ascii="Simplified Arabic" w:eastAsia="Times New Roman" w:hAnsi="Simplified Arabic" w:cs="Simplified Arabic"/>
          <w:color w:val="000000" w:themeColor="text1"/>
          <w:kern w:val="0"/>
          <w:sz w:val="28"/>
          <w:szCs w:val="28"/>
          <w14:ligatures w14:val="none"/>
        </w:rPr>
        <w:t>.</w:t>
      </w:r>
    </w:p>
    <w:p w14:paraId="76C7D5D4" w14:textId="77777777" w:rsidR="00347ADE" w:rsidRPr="00F41F4C" w:rsidRDefault="00347ADE"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7" w:name="_Toc223970196"/>
      <w:bookmarkStart w:id="28" w:name="_Toc236089941"/>
      <w:r w:rsidRPr="00F41F4C">
        <w:rPr>
          <w:rFonts w:ascii="Simplified Arabic" w:eastAsia="Times New Roman" w:hAnsi="Simplified Arabic" w:cs="Simplified Arabic"/>
          <w:b/>
          <w:bCs/>
          <w:color w:val="000000" w:themeColor="text1"/>
          <w:kern w:val="0"/>
          <w:sz w:val="32"/>
          <w:szCs w:val="32"/>
          <w:rtl/>
          <w14:ligatures w14:val="none"/>
        </w:rPr>
        <w:t>ثانياً: جودة الأداء المؤسسي</w:t>
      </w:r>
      <w:r w:rsidRPr="00F41F4C">
        <w:rPr>
          <w:rFonts w:ascii="Simplified Arabic" w:eastAsia="Times New Roman" w:hAnsi="Simplified Arabic" w:cs="Simplified Arabic"/>
          <w:b/>
          <w:bCs/>
          <w:color w:val="000000" w:themeColor="text1"/>
          <w:kern w:val="0"/>
          <w:sz w:val="32"/>
          <w:szCs w:val="32"/>
          <w14:ligatures w14:val="none"/>
        </w:rPr>
        <w:t xml:space="preserve"> (Quality of Institutional Performance)</w:t>
      </w:r>
      <w:bookmarkEnd w:id="27"/>
      <w:bookmarkEnd w:id="28"/>
    </w:p>
    <w:p w14:paraId="6B630A44" w14:textId="77777777" w:rsidR="00347ADE" w:rsidRPr="00F41F4C" w:rsidRDefault="00347ADE" w:rsidP="000A5E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29" w:name="_Toc223970197"/>
      <w:bookmarkStart w:id="30" w:name="_Toc236089942"/>
      <w:r w:rsidRPr="00F41F4C">
        <w:rPr>
          <w:rFonts w:ascii="Simplified Arabic" w:eastAsia="Times New Roman" w:hAnsi="Simplified Arabic" w:cs="Simplified Arabic"/>
          <w:b/>
          <w:bCs/>
          <w:color w:val="000000" w:themeColor="text1"/>
          <w:kern w:val="0"/>
          <w:sz w:val="28"/>
          <w:szCs w:val="28"/>
          <w:rtl/>
          <w14:ligatures w14:val="none"/>
        </w:rPr>
        <w:t>مفهوم جودة الأداء المؤسسي</w:t>
      </w:r>
      <w:bookmarkEnd w:id="29"/>
      <w:bookmarkEnd w:id="30"/>
    </w:p>
    <w:p w14:paraId="518DD467"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يُعدّ مفهوم جودة الأداء المؤسسي من المفاهيم الإدارية الجوهرية التي تعكس مدى نجاح المؤسسة في تحقيق أهدافها الاستراتيجية والتشغيلية بكفاءة وفاعلية، مع الالتزام بمعايير الجودة والتميز في جميع عملياتها ومخرجاتها. ويُعرّف جودة الأداء المؤسسي بأنه قدرة المؤسسة على تنفيذ أنشطتها وعملياتها الداخلية والخارجية وفق مستويات عالية من الإتقان والدقة والاستجابة، بما يُحقق رضا أصحاب المصلحة ويُعزز القدرة التنافسية ويضمن التحسين المستمر (المومني والشواورة، 2024). ويتضمن هذا المفهوم عدة أبعاد تتكامل فيما بينها لتشكّل صورة شاملة عن مستوى أداء المؤسسة، من بينها جودة العمليات الإدارية والأكاديمية، وكفاءة استخدام الموارد المتاحة، ومستوى رضا المستفيدين، والقدرة على الابتكار والتطوير المستمر، فضلاً عن مدى تحقيق الأهداف الاستراتيجية المنشودة (شحاتة ورضوان، </w:t>
      </w:r>
      <w:r w:rsidRPr="00F41F4C">
        <w:rPr>
          <w:rFonts w:ascii="Simplified Arabic" w:eastAsia="Times New Roman" w:hAnsi="Simplified Arabic" w:cs="Simplified Arabic"/>
          <w:color w:val="000000" w:themeColor="text1"/>
          <w:kern w:val="0"/>
          <w:sz w:val="28"/>
          <w:szCs w:val="28"/>
          <w14:ligatures w14:val="none"/>
        </w:rPr>
        <w:t>2024).</w:t>
      </w:r>
    </w:p>
    <w:p w14:paraId="491A5D71"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وفي سياق مؤسسات التعليم العالي، يكتسب مفهوم جودة الأداء المؤسسي أهمية مضاعفة، نظراً لتعدد أصحاب المصلحة وتنوع المخرجات المطلوبة التي تشمل التعليم والبحث العلمي وخدمة المجتمع. وقد أكدت دراسة (أبو نصير وكناكرية، 2024) أن تحسين الأداء المؤسسي في الجامعات يتطلب نظرة شمولية تراعي </w:t>
      </w:r>
      <w:r w:rsidRPr="00F41F4C">
        <w:rPr>
          <w:rFonts w:ascii="Simplified Arabic" w:eastAsia="Times New Roman" w:hAnsi="Simplified Arabic" w:cs="Simplified Arabic"/>
          <w:color w:val="000000" w:themeColor="text1"/>
          <w:kern w:val="0"/>
          <w:sz w:val="28"/>
          <w:szCs w:val="28"/>
          <w:rtl/>
          <w14:ligatures w14:val="none"/>
        </w:rPr>
        <w:lastRenderedPageBreak/>
        <w:t>الأبعاد المالية وغير المالية معاً. كما أشارت دراسة (الحبيشي وطواف، 2021) إلى أن الأداء المؤسسي المتميز يرتبط ارتباطاً وثيقاً بمدى تبني المؤسسة للتقنيات الحديثة وقدرتها على توظيفها في تحسين عملياتها وخدماتها. ويُقاس جودة الأداء المؤسسي في هذه الدراسة من خلال محور شامل يتضمن مؤشرات تتعلق بكفاءة العمليات الإدارية، وجودة الخدمات المقدمة، ورضا المستفيدين، والقدرة على تحقيق الأهداف الاستراتيجية، ومستوى التحسين والتطوير المستمر (جنيدي، 2024)</w:t>
      </w:r>
      <w:r w:rsidRPr="00F41F4C">
        <w:rPr>
          <w:rFonts w:ascii="Simplified Arabic" w:eastAsia="Times New Roman" w:hAnsi="Simplified Arabic" w:cs="Simplified Arabic"/>
          <w:color w:val="000000" w:themeColor="text1"/>
          <w:kern w:val="0"/>
          <w:sz w:val="28"/>
          <w:szCs w:val="28"/>
          <w14:ligatures w14:val="none"/>
        </w:rPr>
        <w:t>.</w:t>
      </w:r>
    </w:p>
    <w:p w14:paraId="1716FB6F" w14:textId="29CA8EF4" w:rsidR="000A5E09"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1" w:name="_Toc169790506"/>
      <w:bookmarkStart w:id="32" w:name="_Toc236089943"/>
      <w:bookmarkEnd w:id="23"/>
      <w:r w:rsidRPr="00F41F4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2"/>
    </w:p>
    <w:p w14:paraId="31625288"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باعتباره المنهج الأكثر ملاءمة لطبيعة الدراسة وأهدافها، حيث يُمكّن من وصف الظاهرة محل الدراسة وصفاً دقيقاً وتحليلها كمياً من خلال جمع البيانات والمعلومات من أفراد عينة الدراسة وتحليلها إحصائياً للوصول إلى نتائج علمية قابلة للتعميم. وسيتيح هذا المنهج التعرف على واقع التحول الرقمي بأبعاده المختلفة ومستوى جودة الأداء المؤسسي في جامعة الملك سعود بن عبدالعزيز للعلوم الصحية بالرياض، فضلاً عن تحديد طبيعة العلاقة الأثرية بين المتغيرات</w:t>
      </w:r>
      <w:r w:rsidRPr="00F41F4C">
        <w:rPr>
          <w:rFonts w:ascii="Simplified Arabic" w:eastAsia="Times New Roman" w:hAnsi="Simplified Arabic" w:cs="Simplified Arabic"/>
          <w:color w:val="000000" w:themeColor="text1"/>
          <w:kern w:val="0"/>
          <w:sz w:val="28"/>
          <w:szCs w:val="28"/>
          <w14:ligatures w14:val="none"/>
        </w:rPr>
        <w:t>.</w:t>
      </w:r>
    </w:p>
    <w:p w14:paraId="24050326"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وسيتم توظيف هذا المنهج في شقّين</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الشق النظري الذي سيعتمد على مراجعة الأدبيات والدراسات السابقة العربية والأجنبية ذات العلاقة بمتغيرات الدراسة لبناء الإطار النظري والمفاهيمي، والشق الميداني الذي سيعتمد على تصميم استبانة محكّمة كأداة رئيسية لجمع البيانات الأولية من أفراد عينة الدراسة، ومن ثم تحليلها باستخدام الأساليب الإحصائية المناسبة لاختبار فرضيات الدراسة والإجابة عن أسئلتها وصولاً إلى النتائج والتوصيات</w:t>
      </w:r>
      <w:r w:rsidRPr="00F41F4C">
        <w:rPr>
          <w:rFonts w:ascii="Simplified Arabic" w:eastAsia="Times New Roman" w:hAnsi="Simplified Arabic" w:cs="Simplified Arabic"/>
          <w:color w:val="000000" w:themeColor="text1"/>
          <w:kern w:val="0"/>
          <w:sz w:val="28"/>
          <w:szCs w:val="28"/>
          <w14:ligatures w14:val="none"/>
        </w:rPr>
        <w:t>.</w:t>
      </w:r>
    </w:p>
    <w:p w14:paraId="5427D9A7" w14:textId="18BDF8E7" w:rsidR="000A5E09"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3" w:name="_Toc236089944"/>
      <w:r w:rsidRPr="00F41F4C">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33"/>
    </w:p>
    <w:p w14:paraId="60F3C83A"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الإداريين والأكاديميين في جامعة الملك سعود بن عبدالعزيز للعلوم الصحية بالرياض من مختلف المستويات الإدارية (الإدارة العليا، الإدارة الوسطى، الإدارة التنفيذية)، والبالغ عددهم الإجمالي ما يقارب </w:t>
      </w:r>
      <w:r w:rsidRPr="00F41F4C">
        <w:rPr>
          <w:rFonts w:ascii="Simplified Arabic" w:eastAsia="Times New Roman" w:hAnsi="Simplified Arabic" w:cs="Simplified Arabic"/>
          <w:color w:val="000000" w:themeColor="text1"/>
          <w:kern w:val="0"/>
          <w:sz w:val="28"/>
          <w:szCs w:val="28"/>
          <w14:ligatures w14:val="none"/>
        </w:rPr>
        <w:t xml:space="preserve">(3000) </w:t>
      </w:r>
      <w:r w:rsidRPr="00F41F4C">
        <w:rPr>
          <w:rFonts w:ascii="Simplified Arabic" w:eastAsia="Times New Roman" w:hAnsi="Simplified Arabic" w:cs="Simplified Arabic"/>
          <w:color w:val="000000" w:themeColor="text1"/>
          <w:kern w:val="0"/>
          <w:sz w:val="28"/>
          <w:szCs w:val="28"/>
          <w:rtl/>
          <w14:ligatures w14:val="none"/>
        </w:rPr>
        <w:t>موظف وموظفة وفقاً لأحدث الإحصائيات المتاحة من إدارة الموارد البشرية بالجامعة. ويشمل هذا المجتمع العاملين في الكليات الأكاديمية والعمادات المساندة والإدارات الإدارية والتقنية الذين لديهم تفاعل مباشر أو غير مباشر مع عمليات التحول الرقمي والأداء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035541AD"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وسيتم اختيار عينة الدراسة باستخدام أسلوب العينة العشوائية الطبقية لضمان تمثيل جميع المستويات الإدارية والوحدات التنظيمية في الجامعة تمثيلاً متوازناً. وبناءً على جداول تحديد حجم العينة (جدول</w:t>
      </w:r>
      <w:r w:rsidRPr="00F41F4C">
        <w:rPr>
          <w:rFonts w:ascii="Simplified Arabic" w:eastAsia="Times New Roman" w:hAnsi="Simplified Arabic" w:cs="Simplified Arabic"/>
          <w:color w:val="000000" w:themeColor="text1"/>
          <w:kern w:val="0"/>
          <w:sz w:val="28"/>
          <w:szCs w:val="28"/>
          <w14:ligatures w14:val="none"/>
        </w:rPr>
        <w:t xml:space="preserve"> Krejcie &amp; Morgan, 1970)</w:t>
      </w:r>
      <w:r w:rsidRPr="00F41F4C">
        <w:rPr>
          <w:rFonts w:ascii="Simplified Arabic" w:eastAsia="Times New Roman" w:hAnsi="Simplified Arabic" w:cs="Simplified Arabic"/>
          <w:color w:val="000000" w:themeColor="text1"/>
          <w:kern w:val="0"/>
          <w:sz w:val="28"/>
          <w:szCs w:val="28"/>
          <w:rtl/>
          <w14:ligatures w14:val="none"/>
        </w:rPr>
        <w:t xml:space="preserve">، ونظراً لأن مجتمع الدراسة يبلغ ما يقارب (3000) موظف، فسيتم توزيع عدد </w:t>
      </w:r>
      <w:r w:rsidRPr="00F41F4C">
        <w:rPr>
          <w:rFonts w:ascii="Simplified Arabic" w:eastAsia="Times New Roman" w:hAnsi="Simplified Arabic" w:cs="Simplified Arabic"/>
          <w:color w:val="000000" w:themeColor="text1"/>
          <w:kern w:val="0"/>
          <w:sz w:val="28"/>
          <w:szCs w:val="28"/>
          <w14:ligatures w14:val="none"/>
        </w:rPr>
        <w:t xml:space="preserve">(350) </w:t>
      </w:r>
      <w:r w:rsidRPr="00F41F4C">
        <w:rPr>
          <w:rFonts w:ascii="Simplified Arabic" w:eastAsia="Times New Roman" w:hAnsi="Simplified Arabic" w:cs="Simplified Arabic"/>
          <w:color w:val="000000" w:themeColor="text1"/>
          <w:kern w:val="0"/>
          <w:sz w:val="28"/>
          <w:szCs w:val="28"/>
          <w:rtl/>
          <w14:ligatures w14:val="none"/>
        </w:rPr>
        <w:t xml:space="preserve">استبانة على أفراد العينة، آخذين في الاعتبار نسبة الفاقد المتوقعة في الاسترداد، بهدف الحصول على عدد كافٍ من الاستبانات الصالحة للتحليل الإحصائي يُقدّر بحد أدنى </w:t>
      </w:r>
      <w:r w:rsidRPr="00F41F4C">
        <w:rPr>
          <w:rFonts w:ascii="Simplified Arabic" w:eastAsia="Times New Roman" w:hAnsi="Simplified Arabic" w:cs="Simplified Arabic"/>
          <w:color w:val="000000" w:themeColor="text1"/>
          <w:kern w:val="0"/>
          <w:sz w:val="28"/>
          <w:szCs w:val="28"/>
          <w14:ligatures w14:val="none"/>
        </w:rPr>
        <w:t xml:space="preserve">(300) </w:t>
      </w:r>
      <w:r w:rsidRPr="00F41F4C">
        <w:rPr>
          <w:rFonts w:ascii="Simplified Arabic" w:eastAsia="Times New Roman" w:hAnsi="Simplified Arabic" w:cs="Simplified Arabic"/>
          <w:color w:val="000000" w:themeColor="text1"/>
          <w:kern w:val="0"/>
          <w:sz w:val="28"/>
          <w:szCs w:val="28"/>
          <w:rtl/>
          <w14:ligatures w14:val="none"/>
        </w:rPr>
        <w:t>استبانة، مما يُحقق مستوى ثقة (95%) وهامش خطأ لا يتجاوز</w:t>
      </w:r>
      <w:r w:rsidRPr="00F41F4C">
        <w:rPr>
          <w:rFonts w:ascii="Simplified Arabic" w:eastAsia="Times New Roman" w:hAnsi="Simplified Arabic" w:cs="Simplified Arabic"/>
          <w:color w:val="000000" w:themeColor="text1"/>
          <w:kern w:val="0"/>
          <w:sz w:val="28"/>
          <w:szCs w:val="28"/>
          <w14:ligatures w14:val="none"/>
        </w:rPr>
        <w:t xml:space="preserve"> (5%).</w:t>
      </w:r>
    </w:p>
    <w:p w14:paraId="09E77119" w14:textId="320EC3E7" w:rsidR="000A5E09"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4" w:name="_Toc236089945"/>
      <w:r w:rsidRPr="00F41F4C">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34"/>
    </w:p>
    <w:p w14:paraId="6262112C" w14:textId="77777777" w:rsidR="00347ADE" w:rsidRPr="00F41F4C" w:rsidRDefault="00347ADE"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F41F4C">
        <w:rPr>
          <w:rFonts w:ascii="Simplified Arabic" w:eastAsia="Times New Roman" w:hAnsi="Simplified Arabic" w:cs="Simplified Arabic"/>
          <w:b/>
          <w:bCs/>
          <w:color w:val="000000" w:themeColor="text1"/>
          <w:kern w:val="0"/>
          <w:sz w:val="28"/>
          <w:szCs w:val="28"/>
          <w14:ligatures w14:val="none"/>
        </w:rPr>
        <w:t>:</w:t>
      </w:r>
    </w:p>
    <w:p w14:paraId="6739B1C7" w14:textId="77777777" w:rsidR="00347ADE" w:rsidRPr="00F41F4C" w:rsidRDefault="00347ADE" w:rsidP="000A5E0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المصادر الثانوية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ستشمل الكتب والمراجع العلمية، والدوريات والمجلات المحكّمة، والرسائل الجامعية (ماجستير ودكتوراه)، والتقارير الرسمية، وقواعد البيانات الإلكترونية العربية والأجنبية مثل</w:t>
      </w:r>
      <w:r w:rsidRPr="00F41F4C">
        <w:rPr>
          <w:rFonts w:ascii="Simplified Arabic" w:eastAsia="Times New Roman" w:hAnsi="Simplified Arabic" w:cs="Simplified Arabic"/>
          <w:color w:val="000000" w:themeColor="text1"/>
          <w:kern w:val="0"/>
          <w:sz w:val="28"/>
          <w:szCs w:val="28"/>
          <w14:ligatures w14:val="none"/>
        </w:rPr>
        <w:t xml:space="preserve"> (Scopus</w:t>
      </w:r>
      <w:r w:rsidRPr="00F41F4C">
        <w:rPr>
          <w:rFonts w:ascii="Simplified Arabic" w:eastAsia="Times New Roman" w:hAnsi="Simplified Arabic" w:cs="Simplified Arabic"/>
          <w:color w:val="000000" w:themeColor="text1"/>
          <w:kern w:val="0"/>
          <w:sz w:val="28"/>
          <w:szCs w:val="28"/>
          <w:rtl/>
          <w14:ligatures w14:val="none"/>
        </w:rPr>
        <w:t xml:space="preserve">، </w:t>
      </w:r>
      <w:r w:rsidRPr="00F41F4C">
        <w:rPr>
          <w:rFonts w:ascii="Simplified Arabic" w:eastAsia="Times New Roman" w:hAnsi="Simplified Arabic" w:cs="Simplified Arabic"/>
          <w:color w:val="000000" w:themeColor="text1"/>
          <w:kern w:val="0"/>
          <w:sz w:val="28"/>
          <w:szCs w:val="28"/>
          <w14:ligatures w14:val="none"/>
        </w:rPr>
        <w:t>Web of Science</w:t>
      </w:r>
      <w:r w:rsidRPr="00F41F4C">
        <w:rPr>
          <w:rFonts w:ascii="Simplified Arabic" w:eastAsia="Times New Roman" w:hAnsi="Simplified Arabic" w:cs="Simplified Arabic"/>
          <w:color w:val="000000" w:themeColor="text1"/>
          <w:kern w:val="0"/>
          <w:sz w:val="28"/>
          <w:szCs w:val="28"/>
          <w:rtl/>
          <w14:ligatures w14:val="none"/>
        </w:rPr>
        <w:t>، المنظومة، المعرفة</w:t>
      </w:r>
      <w:r w:rsidRPr="00F41F4C">
        <w:rPr>
          <w:rFonts w:ascii="Simplified Arabic" w:eastAsia="Times New Roman" w:hAnsi="Simplified Arabic" w:cs="Simplified Arabic"/>
          <w:color w:val="000000" w:themeColor="text1"/>
          <w:kern w:val="0"/>
          <w:sz w:val="28"/>
          <w:szCs w:val="28"/>
          <w14:ligatures w14:val="none"/>
        </w:rPr>
        <w:t>)</w:t>
      </w:r>
      <w:r w:rsidRPr="00F41F4C">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الدراسات السابقة</w:t>
      </w:r>
      <w:r w:rsidRPr="00F41F4C">
        <w:rPr>
          <w:rFonts w:ascii="Simplified Arabic" w:eastAsia="Times New Roman" w:hAnsi="Simplified Arabic" w:cs="Simplified Arabic"/>
          <w:color w:val="000000" w:themeColor="text1"/>
          <w:kern w:val="0"/>
          <w:sz w:val="28"/>
          <w:szCs w:val="28"/>
          <w14:ligatures w14:val="none"/>
        </w:rPr>
        <w:t>.</w:t>
      </w:r>
    </w:p>
    <w:p w14:paraId="2B66159B" w14:textId="77777777" w:rsidR="00347ADE" w:rsidRPr="00F41F4C" w:rsidRDefault="00347ADE" w:rsidP="000A5E0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المصادر الأولية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ستشمل البيانات التي سيتم جمعها ميدانياً من أفراد عينة الدراسة من خلال الاستبانة المصممة خصيصاً لأغراض هذه الدراسة</w:t>
      </w:r>
      <w:r w:rsidRPr="00F41F4C">
        <w:rPr>
          <w:rFonts w:ascii="Simplified Arabic" w:eastAsia="Times New Roman" w:hAnsi="Simplified Arabic" w:cs="Simplified Arabic"/>
          <w:color w:val="000000" w:themeColor="text1"/>
          <w:kern w:val="0"/>
          <w:sz w:val="28"/>
          <w:szCs w:val="28"/>
          <w14:ligatures w14:val="none"/>
        </w:rPr>
        <w:t>.</w:t>
      </w:r>
    </w:p>
    <w:p w14:paraId="0657ADE2" w14:textId="7F658D80" w:rsidR="00347ADE"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5" w:name="_Toc236089946"/>
      <w:r w:rsidRPr="00F41F4C">
        <w:rPr>
          <w:rFonts w:ascii="Simplified Arabic" w:eastAsia="Times New Roman" w:hAnsi="Simplified Arabic" w:cs="Simplified Arabic"/>
          <w:b/>
          <w:bCs/>
          <w:color w:val="000000" w:themeColor="text1"/>
          <w:kern w:val="0"/>
          <w:sz w:val="36"/>
          <w:szCs w:val="36"/>
          <w:rtl/>
          <w14:ligatures w14:val="none"/>
        </w:rPr>
        <w:t>13.1 أداة الدراسة (الاستبانة)</w:t>
      </w:r>
      <w:bookmarkEnd w:id="35"/>
    </w:p>
    <w:p w14:paraId="2E1AB651"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وستتكوّن من ثلاثة أقسام رئيسية على النحو التالي</w:t>
      </w:r>
      <w:r w:rsidRPr="00F41F4C">
        <w:rPr>
          <w:rFonts w:ascii="Simplified Arabic" w:eastAsia="Times New Roman" w:hAnsi="Simplified Arabic" w:cs="Simplified Arabic"/>
          <w:color w:val="000000" w:themeColor="text1"/>
          <w:kern w:val="0"/>
          <w:sz w:val="28"/>
          <w:szCs w:val="28"/>
          <w14:ligatures w14:val="none"/>
        </w:rPr>
        <w:t>:</w:t>
      </w:r>
    </w:p>
    <w:p w14:paraId="5C9FE1ED" w14:textId="6435B4B1" w:rsidR="00347ADE" w:rsidRPr="00F41F4C" w:rsidRDefault="00347ADE" w:rsidP="000A5E09">
      <w:pPr>
        <w:pStyle w:val="ListParagraph"/>
        <w:numPr>
          <w:ilvl w:val="0"/>
          <w:numId w:val="23"/>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6" w:name="_Toc223970202"/>
      <w:bookmarkStart w:id="37" w:name="_Toc236089947"/>
      <w:r w:rsidRPr="00F41F4C">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6"/>
      <w:r w:rsidR="000A5E09" w:rsidRPr="00F41F4C">
        <w:rPr>
          <w:rFonts w:ascii="Simplified Arabic" w:eastAsia="Times New Roman" w:hAnsi="Simplified Arabic" w:cs="Simplified Arabic" w:hint="cs"/>
          <w:b/>
          <w:bCs/>
          <w:color w:val="000000" w:themeColor="text1"/>
          <w:kern w:val="0"/>
          <w:sz w:val="28"/>
          <w:szCs w:val="28"/>
          <w:rtl/>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سيتضمن المعلومات الشخصية والوظيفية لأفراد العينة، وتشمل: (الجنس، المؤهل العلمي، سنوات الخبرة، المستوى الإداري)</w:t>
      </w:r>
      <w:r w:rsidRPr="00F41F4C">
        <w:rPr>
          <w:rFonts w:ascii="Simplified Arabic" w:eastAsia="Times New Roman" w:hAnsi="Simplified Arabic" w:cs="Simplified Arabic"/>
          <w:color w:val="000000" w:themeColor="text1"/>
          <w:kern w:val="0"/>
          <w:sz w:val="28"/>
          <w:szCs w:val="28"/>
          <w14:ligatures w14:val="none"/>
        </w:rPr>
        <w:t>.</w:t>
      </w:r>
      <w:bookmarkEnd w:id="37"/>
    </w:p>
    <w:p w14:paraId="4F73C9F9" w14:textId="72ED50E2" w:rsidR="00347ADE" w:rsidRPr="00F41F4C" w:rsidRDefault="00347ADE" w:rsidP="000A5E09">
      <w:pPr>
        <w:pStyle w:val="ListParagraph"/>
        <w:numPr>
          <w:ilvl w:val="0"/>
          <w:numId w:val="23"/>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8" w:name="_Toc223970203"/>
      <w:bookmarkStart w:id="39" w:name="_Toc236089948"/>
      <w:r w:rsidRPr="00F41F4C">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(التحول الرقمي)</w:t>
      </w:r>
      <w:bookmarkEnd w:id="38"/>
      <w:r w:rsidR="000A5E09" w:rsidRPr="00F41F4C">
        <w:rPr>
          <w:rFonts w:ascii="Simplified Arabic" w:eastAsia="Times New Roman" w:hAnsi="Simplified Arabic" w:cs="Simplified Arabic" w:hint="cs"/>
          <w:b/>
          <w:bCs/>
          <w:color w:val="000000" w:themeColor="text1"/>
          <w:kern w:val="0"/>
          <w:sz w:val="28"/>
          <w:szCs w:val="28"/>
          <w:rtl/>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 xml:space="preserve">سيقاس من خلال أربعة أبعاد، يتضمن كل بُعد </w:t>
      </w:r>
      <w:r w:rsidRPr="00F41F4C">
        <w:rPr>
          <w:rFonts w:ascii="Simplified Arabic" w:eastAsia="Times New Roman" w:hAnsi="Simplified Arabic" w:cs="Simplified Arabic"/>
          <w:color w:val="000000" w:themeColor="text1"/>
          <w:kern w:val="0"/>
          <w:sz w:val="28"/>
          <w:szCs w:val="28"/>
          <w14:ligatures w14:val="none"/>
        </w:rPr>
        <w:t xml:space="preserve">(4) </w:t>
      </w:r>
      <w:r w:rsidRPr="00F41F4C">
        <w:rPr>
          <w:rFonts w:ascii="Simplified Arabic" w:eastAsia="Times New Roman" w:hAnsi="Simplified Arabic" w:cs="Simplified Arabic"/>
          <w:color w:val="000000" w:themeColor="text1"/>
          <w:kern w:val="0"/>
          <w:sz w:val="28"/>
          <w:szCs w:val="28"/>
          <w:rtl/>
          <w14:ligatures w14:val="none"/>
        </w:rPr>
        <w:t>فقرات، وذلك على النحو التالي</w:t>
      </w:r>
      <w:r w:rsidRPr="00F41F4C">
        <w:rPr>
          <w:rFonts w:ascii="Simplified Arabic" w:eastAsia="Times New Roman" w:hAnsi="Simplified Arabic" w:cs="Simplified Arabic"/>
          <w:color w:val="000000" w:themeColor="text1"/>
          <w:kern w:val="0"/>
          <w:sz w:val="28"/>
          <w:szCs w:val="28"/>
          <w14:ligatures w14:val="none"/>
        </w:rPr>
        <w:t>:</w:t>
      </w:r>
      <w:bookmarkEnd w:id="39"/>
    </w:p>
    <w:tbl>
      <w:tblPr>
        <w:tblStyle w:val="GridTable6Colorful"/>
        <w:bidiVisual/>
        <w:tblW w:w="0" w:type="auto"/>
        <w:jc w:val="center"/>
        <w:tblLook w:val="04A0" w:firstRow="1" w:lastRow="0" w:firstColumn="1" w:lastColumn="0" w:noHBand="0" w:noVBand="1"/>
      </w:tblPr>
      <w:tblGrid>
        <w:gridCol w:w="2927"/>
        <w:gridCol w:w="1843"/>
      </w:tblGrid>
      <w:tr w:rsidR="00347ADE" w:rsidRPr="00F41F4C" w14:paraId="5F59DE1D" w14:textId="77777777" w:rsidTr="000A5E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28183DFC"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البُعد</w:t>
            </w:r>
          </w:p>
        </w:tc>
        <w:tc>
          <w:tcPr>
            <w:tcW w:w="1843" w:type="dxa"/>
            <w:vAlign w:val="center"/>
            <w:hideMark/>
          </w:tcPr>
          <w:p w14:paraId="450EAEEF" w14:textId="77777777" w:rsidR="00347ADE" w:rsidRPr="00F41F4C" w:rsidRDefault="00347ADE" w:rsidP="000A5E0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عدد الفقرات</w:t>
            </w:r>
          </w:p>
        </w:tc>
      </w:tr>
      <w:tr w:rsidR="00347ADE" w:rsidRPr="00F41F4C" w14:paraId="1E6EC807" w14:textId="77777777" w:rsidTr="000A5E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15AAEFD4"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البنية التحتية الرقمية</w:t>
            </w:r>
          </w:p>
        </w:tc>
        <w:tc>
          <w:tcPr>
            <w:tcW w:w="1843" w:type="dxa"/>
            <w:vAlign w:val="center"/>
            <w:hideMark/>
          </w:tcPr>
          <w:p w14:paraId="59BF6411" w14:textId="77777777" w:rsidR="00347ADE" w:rsidRPr="00F41F4C" w:rsidRDefault="00347ADE" w:rsidP="000A5E0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F41F4C">
              <w:rPr>
                <w:rFonts w:ascii="Simplified Arabic" w:eastAsia="Times New Roman" w:hAnsi="Simplified Arabic" w:cs="Simplified Arabic"/>
                <w:kern w:val="0"/>
                <w:sz w:val="28"/>
                <w:szCs w:val="28"/>
                <w14:ligatures w14:val="none"/>
              </w:rPr>
              <w:t xml:space="preserve">4 </w:t>
            </w:r>
            <w:r w:rsidRPr="00F41F4C">
              <w:rPr>
                <w:rFonts w:ascii="Simplified Arabic" w:eastAsia="Times New Roman" w:hAnsi="Simplified Arabic" w:cs="Simplified Arabic"/>
                <w:kern w:val="0"/>
                <w:sz w:val="28"/>
                <w:szCs w:val="28"/>
                <w:rtl/>
                <w14:ligatures w14:val="none"/>
              </w:rPr>
              <w:t>فقرات</w:t>
            </w:r>
          </w:p>
        </w:tc>
      </w:tr>
      <w:tr w:rsidR="00347ADE" w:rsidRPr="00F41F4C" w14:paraId="59B49398" w14:textId="77777777" w:rsidTr="000A5E09">
        <w:trPr>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1AFC84F2"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lastRenderedPageBreak/>
              <w:t>الكفاءات والمهارات الرقمية</w:t>
            </w:r>
          </w:p>
        </w:tc>
        <w:tc>
          <w:tcPr>
            <w:tcW w:w="1843" w:type="dxa"/>
            <w:vAlign w:val="center"/>
            <w:hideMark/>
          </w:tcPr>
          <w:p w14:paraId="6484E791" w14:textId="77777777" w:rsidR="00347ADE" w:rsidRPr="00F41F4C" w:rsidRDefault="00347ADE" w:rsidP="000A5E0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F41F4C">
              <w:rPr>
                <w:rFonts w:ascii="Simplified Arabic" w:eastAsia="Times New Roman" w:hAnsi="Simplified Arabic" w:cs="Simplified Arabic"/>
                <w:kern w:val="0"/>
                <w:sz w:val="28"/>
                <w:szCs w:val="28"/>
                <w14:ligatures w14:val="none"/>
              </w:rPr>
              <w:t xml:space="preserve">4 </w:t>
            </w:r>
            <w:r w:rsidRPr="00F41F4C">
              <w:rPr>
                <w:rFonts w:ascii="Simplified Arabic" w:eastAsia="Times New Roman" w:hAnsi="Simplified Arabic" w:cs="Simplified Arabic"/>
                <w:kern w:val="0"/>
                <w:sz w:val="28"/>
                <w:szCs w:val="28"/>
                <w:rtl/>
                <w14:ligatures w14:val="none"/>
              </w:rPr>
              <w:t>فقرات</w:t>
            </w:r>
          </w:p>
        </w:tc>
      </w:tr>
      <w:tr w:rsidR="00347ADE" w:rsidRPr="00F41F4C" w14:paraId="5802CF98" w14:textId="77777777" w:rsidTr="000A5E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7F8F19F6"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القيادة الرقمية</w:t>
            </w:r>
          </w:p>
        </w:tc>
        <w:tc>
          <w:tcPr>
            <w:tcW w:w="1843" w:type="dxa"/>
            <w:vAlign w:val="center"/>
            <w:hideMark/>
          </w:tcPr>
          <w:p w14:paraId="2FE3FA37" w14:textId="77777777" w:rsidR="00347ADE" w:rsidRPr="00F41F4C" w:rsidRDefault="00347ADE" w:rsidP="000A5E0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F41F4C">
              <w:rPr>
                <w:rFonts w:ascii="Simplified Arabic" w:eastAsia="Times New Roman" w:hAnsi="Simplified Arabic" w:cs="Simplified Arabic"/>
                <w:kern w:val="0"/>
                <w:sz w:val="28"/>
                <w:szCs w:val="28"/>
                <w14:ligatures w14:val="none"/>
              </w:rPr>
              <w:t xml:space="preserve">4 </w:t>
            </w:r>
            <w:r w:rsidRPr="00F41F4C">
              <w:rPr>
                <w:rFonts w:ascii="Simplified Arabic" w:eastAsia="Times New Roman" w:hAnsi="Simplified Arabic" w:cs="Simplified Arabic"/>
                <w:kern w:val="0"/>
                <w:sz w:val="28"/>
                <w:szCs w:val="28"/>
                <w:rtl/>
                <w14:ligatures w14:val="none"/>
              </w:rPr>
              <w:t>فقرات</w:t>
            </w:r>
          </w:p>
        </w:tc>
      </w:tr>
      <w:tr w:rsidR="00347ADE" w:rsidRPr="00F41F4C" w14:paraId="62A835CE" w14:textId="77777777" w:rsidTr="000A5E09">
        <w:trPr>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7EE2DC39"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استراتيجية التحول الرقمي</w:t>
            </w:r>
          </w:p>
        </w:tc>
        <w:tc>
          <w:tcPr>
            <w:tcW w:w="1843" w:type="dxa"/>
            <w:vAlign w:val="center"/>
            <w:hideMark/>
          </w:tcPr>
          <w:p w14:paraId="60276706" w14:textId="77777777" w:rsidR="00347ADE" w:rsidRPr="00F41F4C" w:rsidRDefault="00347ADE" w:rsidP="000A5E0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F41F4C">
              <w:rPr>
                <w:rFonts w:ascii="Simplified Arabic" w:eastAsia="Times New Roman" w:hAnsi="Simplified Arabic" w:cs="Simplified Arabic"/>
                <w:kern w:val="0"/>
                <w:sz w:val="28"/>
                <w:szCs w:val="28"/>
                <w14:ligatures w14:val="none"/>
              </w:rPr>
              <w:t xml:space="preserve">4 </w:t>
            </w:r>
            <w:r w:rsidRPr="00F41F4C">
              <w:rPr>
                <w:rFonts w:ascii="Simplified Arabic" w:eastAsia="Times New Roman" w:hAnsi="Simplified Arabic" w:cs="Simplified Arabic"/>
                <w:kern w:val="0"/>
                <w:sz w:val="28"/>
                <w:szCs w:val="28"/>
                <w:rtl/>
                <w14:ligatures w14:val="none"/>
              </w:rPr>
              <w:t>فقرات</w:t>
            </w:r>
          </w:p>
        </w:tc>
      </w:tr>
      <w:tr w:rsidR="00347ADE" w:rsidRPr="00F41F4C" w14:paraId="311E17E6" w14:textId="77777777" w:rsidTr="000A5E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27" w:type="dxa"/>
            <w:vAlign w:val="center"/>
            <w:hideMark/>
          </w:tcPr>
          <w:p w14:paraId="6A251DDD" w14:textId="77777777" w:rsidR="00347ADE" w:rsidRPr="00F41F4C" w:rsidRDefault="00347ADE" w:rsidP="000A5E09">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F41F4C">
              <w:rPr>
                <w:rFonts w:ascii="Simplified Arabic" w:eastAsia="Times New Roman" w:hAnsi="Simplified Arabic" w:cs="Simplified Arabic"/>
                <w:b w:val="0"/>
                <w:bCs w:val="0"/>
                <w:kern w:val="0"/>
                <w:sz w:val="28"/>
                <w:szCs w:val="28"/>
                <w:rtl/>
                <w14:ligatures w14:val="none"/>
              </w:rPr>
              <w:t>إجمالي فقرات المتغير المستقل</w:t>
            </w:r>
          </w:p>
        </w:tc>
        <w:tc>
          <w:tcPr>
            <w:tcW w:w="1843" w:type="dxa"/>
            <w:vAlign w:val="center"/>
            <w:hideMark/>
          </w:tcPr>
          <w:p w14:paraId="2CF7950E" w14:textId="77777777" w:rsidR="00347ADE" w:rsidRPr="00F41F4C" w:rsidRDefault="00347ADE" w:rsidP="000A5E0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F41F4C">
              <w:rPr>
                <w:rFonts w:ascii="Simplified Arabic" w:eastAsia="Times New Roman" w:hAnsi="Simplified Arabic" w:cs="Simplified Arabic"/>
                <w:kern w:val="0"/>
                <w:sz w:val="28"/>
                <w:szCs w:val="28"/>
                <w14:ligatures w14:val="none"/>
              </w:rPr>
              <w:t xml:space="preserve">16 </w:t>
            </w:r>
            <w:r w:rsidRPr="00F41F4C">
              <w:rPr>
                <w:rFonts w:ascii="Simplified Arabic" w:eastAsia="Times New Roman" w:hAnsi="Simplified Arabic" w:cs="Simplified Arabic"/>
                <w:kern w:val="0"/>
                <w:sz w:val="28"/>
                <w:szCs w:val="28"/>
                <w:rtl/>
                <w14:ligatures w14:val="none"/>
              </w:rPr>
              <w:t>فقرة</w:t>
            </w:r>
          </w:p>
        </w:tc>
      </w:tr>
    </w:tbl>
    <w:p w14:paraId="6E8F1729" w14:textId="0B645341" w:rsidR="00347ADE" w:rsidRPr="00F41F4C" w:rsidRDefault="00347ADE" w:rsidP="000A5E09">
      <w:pPr>
        <w:pStyle w:val="ListParagraph"/>
        <w:numPr>
          <w:ilvl w:val="0"/>
          <w:numId w:val="23"/>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40" w:name="_Toc223970204"/>
      <w:bookmarkStart w:id="41" w:name="_Toc236089949"/>
      <w:r w:rsidRPr="00F41F4C">
        <w:rPr>
          <w:rFonts w:ascii="Simplified Arabic" w:eastAsia="Times New Roman" w:hAnsi="Simplified Arabic" w:cs="Simplified Arabic"/>
          <w:b/>
          <w:bCs/>
          <w:color w:val="000000" w:themeColor="text1"/>
          <w:kern w:val="0"/>
          <w:sz w:val="28"/>
          <w:szCs w:val="28"/>
          <w:rtl/>
          <w14:ligatures w14:val="none"/>
        </w:rPr>
        <w:t>القسم الثالث: المتغير التابع (جودة الأداء المؤسسي)</w:t>
      </w:r>
      <w:bookmarkEnd w:id="40"/>
      <w:r w:rsidR="000A5E09" w:rsidRPr="00F41F4C">
        <w:rPr>
          <w:rFonts w:ascii="Simplified Arabic" w:eastAsia="Times New Roman" w:hAnsi="Simplified Arabic" w:cs="Simplified Arabic" w:hint="cs"/>
          <w:b/>
          <w:bCs/>
          <w:color w:val="000000" w:themeColor="text1"/>
          <w:kern w:val="0"/>
          <w:sz w:val="28"/>
          <w:szCs w:val="28"/>
          <w:rtl/>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 xml:space="preserve">سيُقاس من خلال محور واحد يتضمن </w:t>
      </w:r>
      <w:r w:rsidRPr="00F41F4C">
        <w:rPr>
          <w:rFonts w:ascii="Simplified Arabic" w:eastAsia="Times New Roman" w:hAnsi="Simplified Arabic" w:cs="Simplified Arabic"/>
          <w:color w:val="000000" w:themeColor="text1"/>
          <w:kern w:val="0"/>
          <w:sz w:val="28"/>
          <w:szCs w:val="28"/>
          <w14:ligatures w14:val="none"/>
        </w:rPr>
        <w:t xml:space="preserve">(10) </w:t>
      </w:r>
      <w:r w:rsidRPr="00F41F4C">
        <w:rPr>
          <w:rFonts w:ascii="Simplified Arabic" w:eastAsia="Times New Roman" w:hAnsi="Simplified Arabic" w:cs="Simplified Arabic"/>
          <w:color w:val="000000" w:themeColor="text1"/>
          <w:kern w:val="0"/>
          <w:sz w:val="28"/>
          <w:szCs w:val="28"/>
          <w:rtl/>
          <w14:ligatures w14:val="none"/>
        </w:rPr>
        <w:t>فقرات تقيس مستوى جودة الأداء المؤسسي بشكل شامل</w:t>
      </w:r>
      <w:r w:rsidRPr="00F41F4C">
        <w:rPr>
          <w:rFonts w:ascii="Simplified Arabic" w:eastAsia="Times New Roman" w:hAnsi="Simplified Arabic" w:cs="Simplified Arabic"/>
          <w:color w:val="000000" w:themeColor="text1"/>
          <w:kern w:val="0"/>
          <w:sz w:val="28"/>
          <w:szCs w:val="28"/>
          <w14:ligatures w14:val="none"/>
        </w:rPr>
        <w:t>.</w:t>
      </w:r>
      <w:bookmarkEnd w:id="41"/>
    </w:p>
    <w:p w14:paraId="000F1485"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وسيتم استخدام مقياس ليكرت الخماسي لقياس استجابات أفراد العينة، والمتدرج من (1 = غير موافق بشدة) إلى (5 = موافق بشدة)</w:t>
      </w:r>
      <w:r w:rsidRPr="00F41F4C">
        <w:rPr>
          <w:rFonts w:ascii="Simplified Arabic" w:eastAsia="Times New Roman" w:hAnsi="Simplified Arabic" w:cs="Simplified Arabic"/>
          <w:color w:val="000000" w:themeColor="text1"/>
          <w:kern w:val="0"/>
          <w:sz w:val="28"/>
          <w:szCs w:val="28"/>
          <w14:ligatures w14:val="none"/>
        </w:rPr>
        <w:t>.</w:t>
      </w:r>
    </w:p>
    <w:p w14:paraId="071FA2B5" w14:textId="04D723F3" w:rsidR="000A5E09" w:rsidRPr="00F41F4C" w:rsidRDefault="000A5E09" w:rsidP="000A5E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2" w:name="_Toc236089950"/>
      <w:r w:rsidRPr="00F41F4C">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42"/>
    </w:p>
    <w:p w14:paraId="4CF24B29" w14:textId="77777777" w:rsidR="00347ADE" w:rsidRPr="00F41F4C" w:rsidRDefault="00347ADE" w:rsidP="000A5E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سيتم تحليل البيانات باستخدام برنامج الحزمة الإحصائية للعلوم الاجتماعية </w:t>
      </w:r>
      <w:r w:rsidRPr="00F41F4C">
        <w:rPr>
          <w:rFonts w:ascii="Simplified Arabic" w:eastAsia="Times New Roman" w:hAnsi="Simplified Arabic" w:cs="Simplified Arabic"/>
          <w:color w:val="000000" w:themeColor="text1"/>
          <w:kern w:val="0"/>
          <w:sz w:val="28"/>
          <w:szCs w:val="28"/>
          <w14:ligatures w14:val="none"/>
        </w:rPr>
        <w:t>(SPSS)</w:t>
      </w:r>
      <w:r w:rsidRPr="00F41F4C">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F41F4C">
        <w:rPr>
          <w:rFonts w:ascii="Simplified Arabic" w:eastAsia="Times New Roman" w:hAnsi="Simplified Arabic" w:cs="Simplified Arabic"/>
          <w:color w:val="000000" w:themeColor="text1"/>
          <w:kern w:val="0"/>
          <w:sz w:val="28"/>
          <w:szCs w:val="28"/>
          <w14:ligatures w14:val="none"/>
        </w:rPr>
        <w:t>:</w:t>
      </w:r>
    </w:p>
    <w:p w14:paraId="063A3426"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معامل ألفا كرونباخ</w:t>
      </w:r>
      <w:r w:rsidRPr="00F41F4C">
        <w:rPr>
          <w:rFonts w:ascii="Simplified Arabic" w:eastAsia="Times New Roman" w:hAnsi="Simplified Arabic" w:cs="Simplified Arabic"/>
          <w:color w:val="000000" w:themeColor="text1"/>
          <w:kern w:val="0"/>
          <w:sz w:val="28"/>
          <w:szCs w:val="28"/>
          <w14:ligatures w14:val="none"/>
        </w:rPr>
        <w:t xml:space="preserve"> (Cronbach's Alpha): </w:t>
      </w:r>
      <w:r w:rsidRPr="00F41F4C">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F41F4C">
        <w:rPr>
          <w:rFonts w:ascii="Simplified Arabic" w:eastAsia="Times New Roman" w:hAnsi="Simplified Arabic" w:cs="Simplified Arabic"/>
          <w:color w:val="000000" w:themeColor="text1"/>
          <w:kern w:val="0"/>
          <w:sz w:val="28"/>
          <w:szCs w:val="28"/>
          <w14:ligatures w14:val="none"/>
        </w:rPr>
        <w:t>.</w:t>
      </w:r>
    </w:p>
    <w:p w14:paraId="01EF3787"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F41F4C">
        <w:rPr>
          <w:rFonts w:ascii="Simplified Arabic" w:eastAsia="Times New Roman" w:hAnsi="Simplified Arabic" w:cs="Simplified Arabic"/>
          <w:color w:val="000000" w:themeColor="text1"/>
          <w:kern w:val="0"/>
          <w:sz w:val="28"/>
          <w:szCs w:val="28"/>
          <w14:ligatures w14:val="none"/>
        </w:rPr>
        <w:t>.</w:t>
      </w:r>
    </w:p>
    <w:p w14:paraId="5131DF7A"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تجاه محاور الدراسة وفقراتها وترتيبها حسب الأهمية النسبية</w:t>
      </w:r>
      <w:r w:rsidRPr="00F41F4C">
        <w:rPr>
          <w:rFonts w:ascii="Simplified Arabic" w:eastAsia="Times New Roman" w:hAnsi="Simplified Arabic" w:cs="Simplified Arabic"/>
          <w:color w:val="000000" w:themeColor="text1"/>
          <w:kern w:val="0"/>
          <w:sz w:val="28"/>
          <w:szCs w:val="28"/>
          <w14:ligatures w14:val="none"/>
        </w:rPr>
        <w:t>.</w:t>
      </w:r>
    </w:p>
    <w:p w14:paraId="01573653"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معامل ارتباط بيرسون</w:t>
      </w:r>
      <w:r w:rsidRPr="00F41F4C">
        <w:rPr>
          <w:rFonts w:ascii="Simplified Arabic" w:eastAsia="Times New Roman" w:hAnsi="Simplified Arabic" w:cs="Simplified Arabic"/>
          <w:color w:val="000000" w:themeColor="text1"/>
          <w:kern w:val="0"/>
          <w:sz w:val="28"/>
          <w:szCs w:val="28"/>
          <w14:ligatures w14:val="none"/>
        </w:rPr>
        <w:t xml:space="preserve"> (Pearson Correlation): </w:t>
      </w:r>
      <w:r w:rsidRPr="00F41F4C">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 المستقل والمتغير التابع</w:t>
      </w:r>
      <w:r w:rsidRPr="00F41F4C">
        <w:rPr>
          <w:rFonts w:ascii="Simplified Arabic" w:eastAsia="Times New Roman" w:hAnsi="Simplified Arabic" w:cs="Simplified Arabic"/>
          <w:color w:val="000000" w:themeColor="text1"/>
          <w:kern w:val="0"/>
          <w:sz w:val="28"/>
          <w:szCs w:val="28"/>
          <w14:ligatures w14:val="none"/>
        </w:rPr>
        <w:t>.</w:t>
      </w:r>
    </w:p>
    <w:p w14:paraId="09CBC0F5"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تحليل الانحدار المتعدد</w:t>
      </w:r>
      <w:r w:rsidRPr="00F41F4C">
        <w:rPr>
          <w:rFonts w:ascii="Simplified Arabic" w:eastAsia="Times New Roman" w:hAnsi="Simplified Arabic" w:cs="Simplified Arabic"/>
          <w:color w:val="000000" w:themeColor="text1"/>
          <w:kern w:val="0"/>
          <w:sz w:val="28"/>
          <w:szCs w:val="28"/>
          <w14:ligatures w14:val="none"/>
        </w:rPr>
        <w:t xml:space="preserve"> (Multiple Regression Analysis): </w:t>
      </w:r>
      <w:r w:rsidRPr="00F41F4C">
        <w:rPr>
          <w:rFonts w:ascii="Simplified Arabic" w:eastAsia="Times New Roman" w:hAnsi="Simplified Arabic" w:cs="Simplified Arabic"/>
          <w:color w:val="000000" w:themeColor="text1"/>
          <w:kern w:val="0"/>
          <w:sz w:val="28"/>
          <w:szCs w:val="28"/>
          <w:rtl/>
          <w14:ligatures w14:val="none"/>
        </w:rPr>
        <w:t>لاختبار أثر أبعاد التحول الرقمي مجتمعة ومنفردة على جودة الأداء المؤسسي واختبار الفرضيات الرئيسية والفرعية</w:t>
      </w:r>
      <w:r w:rsidRPr="00F41F4C">
        <w:rPr>
          <w:rFonts w:ascii="Simplified Arabic" w:eastAsia="Times New Roman" w:hAnsi="Simplified Arabic" w:cs="Simplified Arabic"/>
          <w:color w:val="000000" w:themeColor="text1"/>
          <w:kern w:val="0"/>
          <w:sz w:val="28"/>
          <w:szCs w:val="28"/>
          <w14:ligatures w14:val="none"/>
        </w:rPr>
        <w:t>.</w:t>
      </w:r>
    </w:p>
    <w:p w14:paraId="68B63053"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اختبار</w:t>
      </w:r>
      <w:r w:rsidRPr="00F41F4C">
        <w:rPr>
          <w:rFonts w:ascii="Simplified Arabic" w:eastAsia="Times New Roman" w:hAnsi="Simplified Arabic" w:cs="Simplified Arabic"/>
          <w:color w:val="000000" w:themeColor="text1"/>
          <w:kern w:val="0"/>
          <w:sz w:val="28"/>
          <w:szCs w:val="28"/>
          <w14:ligatures w14:val="none"/>
        </w:rPr>
        <w:t xml:space="preserve"> (T-Test) </w:t>
      </w:r>
      <w:r w:rsidRPr="00F41F4C">
        <w:rPr>
          <w:rFonts w:ascii="Simplified Arabic" w:eastAsia="Times New Roman" w:hAnsi="Simplified Arabic" w:cs="Simplified Arabic"/>
          <w:color w:val="000000" w:themeColor="text1"/>
          <w:kern w:val="0"/>
          <w:sz w:val="28"/>
          <w:szCs w:val="28"/>
          <w:rtl/>
          <w14:ligatures w14:val="none"/>
        </w:rPr>
        <w:t>للعينات المستقلة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لمتغير الجنس</w:t>
      </w:r>
      <w:r w:rsidRPr="00F41F4C">
        <w:rPr>
          <w:rFonts w:ascii="Simplified Arabic" w:eastAsia="Times New Roman" w:hAnsi="Simplified Arabic" w:cs="Simplified Arabic"/>
          <w:color w:val="000000" w:themeColor="text1"/>
          <w:kern w:val="0"/>
          <w:sz w:val="28"/>
          <w:szCs w:val="28"/>
          <w14:ligatures w14:val="none"/>
        </w:rPr>
        <w:t>.</w:t>
      </w:r>
    </w:p>
    <w:p w14:paraId="3068C3C5"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تحليل التباين الأحادي</w:t>
      </w:r>
      <w:r w:rsidRPr="00F41F4C">
        <w:rPr>
          <w:rFonts w:ascii="Simplified Arabic" w:eastAsia="Times New Roman" w:hAnsi="Simplified Arabic" w:cs="Simplified Arabic"/>
          <w:color w:val="000000" w:themeColor="text1"/>
          <w:kern w:val="0"/>
          <w:sz w:val="28"/>
          <w:szCs w:val="28"/>
          <w14:ligatures w14:val="none"/>
        </w:rPr>
        <w:t xml:space="preserve"> (One-Way ANOVA): </w:t>
      </w:r>
      <w:r w:rsidRPr="00F41F4C">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ذات الفئات المتعددة (المؤهل العلمي، سنوات الخبرة، المستوى الإداري</w:t>
      </w:r>
      <w:r w:rsidRPr="00F41F4C">
        <w:rPr>
          <w:rFonts w:ascii="Simplified Arabic" w:eastAsia="Times New Roman" w:hAnsi="Simplified Arabic" w:cs="Simplified Arabic"/>
          <w:color w:val="000000" w:themeColor="text1"/>
          <w:kern w:val="0"/>
          <w:sz w:val="28"/>
          <w:szCs w:val="28"/>
          <w14:ligatures w14:val="none"/>
        </w:rPr>
        <w:t>).</w:t>
      </w:r>
    </w:p>
    <w:p w14:paraId="3E2B3608"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معامل تضخم التباين</w:t>
      </w:r>
      <w:r w:rsidRPr="00F41F4C">
        <w:rPr>
          <w:rFonts w:ascii="Simplified Arabic" w:eastAsia="Times New Roman" w:hAnsi="Simplified Arabic" w:cs="Simplified Arabic"/>
          <w:color w:val="000000" w:themeColor="text1"/>
          <w:kern w:val="0"/>
          <w:sz w:val="28"/>
          <w:szCs w:val="28"/>
          <w14:ligatures w14:val="none"/>
        </w:rPr>
        <w:t xml:space="preserve"> (VIF) </w:t>
      </w:r>
      <w:r w:rsidRPr="00F41F4C">
        <w:rPr>
          <w:rFonts w:ascii="Simplified Arabic" w:eastAsia="Times New Roman" w:hAnsi="Simplified Arabic" w:cs="Simplified Arabic"/>
          <w:color w:val="000000" w:themeColor="text1"/>
          <w:kern w:val="0"/>
          <w:sz w:val="28"/>
          <w:szCs w:val="28"/>
          <w:rtl/>
          <w14:ligatures w14:val="none"/>
        </w:rPr>
        <w:t>واختبار التحمّل</w:t>
      </w:r>
      <w:r w:rsidRPr="00F41F4C">
        <w:rPr>
          <w:rFonts w:ascii="Simplified Arabic" w:eastAsia="Times New Roman" w:hAnsi="Simplified Arabic" w:cs="Simplified Arabic"/>
          <w:color w:val="000000" w:themeColor="text1"/>
          <w:kern w:val="0"/>
          <w:sz w:val="28"/>
          <w:szCs w:val="28"/>
          <w14:ligatures w14:val="none"/>
        </w:rPr>
        <w:t xml:space="preserve"> (Tolerance): </w:t>
      </w:r>
      <w:r w:rsidRPr="00F41F4C">
        <w:rPr>
          <w:rFonts w:ascii="Simplified Arabic" w:eastAsia="Times New Roman" w:hAnsi="Simplified Arabic" w:cs="Simplified Arabic"/>
          <w:color w:val="000000" w:themeColor="text1"/>
          <w:kern w:val="0"/>
          <w:sz w:val="28"/>
          <w:szCs w:val="28"/>
          <w:rtl/>
          <w14:ligatures w14:val="none"/>
        </w:rPr>
        <w:t>للتحقق من عدم وجود مشكلة الازدواج الخطي بين المتغيرات المستقلة</w:t>
      </w:r>
      <w:r w:rsidRPr="00F41F4C">
        <w:rPr>
          <w:rFonts w:ascii="Simplified Arabic" w:eastAsia="Times New Roman" w:hAnsi="Simplified Arabic" w:cs="Simplified Arabic"/>
          <w:color w:val="000000" w:themeColor="text1"/>
          <w:kern w:val="0"/>
          <w:sz w:val="28"/>
          <w:szCs w:val="28"/>
          <w14:ligatures w14:val="none"/>
        </w:rPr>
        <w:t>.</w:t>
      </w:r>
    </w:p>
    <w:p w14:paraId="0B38B18C" w14:textId="78A246B7" w:rsidR="000A5E09" w:rsidRPr="00F41F4C" w:rsidRDefault="000A5E09" w:rsidP="000A5E09">
      <w:pPr>
        <w:spacing w:before="100" w:beforeAutospacing="1" w:after="100" w:afterAutospacing="1" w:line="276" w:lineRule="auto"/>
        <w:ind w:left="62"/>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36089951"/>
      <w:r w:rsidRPr="00F41F4C">
        <w:rPr>
          <w:rFonts w:ascii="Simplified Arabic" w:eastAsia="Times New Roman" w:hAnsi="Simplified Arabic" w:cs="Simplified Arabic"/>
          <w:b/>
          <w:bCs/>
          <w:color w:val="000000" w:themeColor="text1"/>
          <w:kern w:val="0"/>
          <w:sz w:val="36"/>
          <w:szCs w:val="36"/>
          <w:rtl/>
          <w14:ligatures w14:val="none"/>
        </w:rPr>
        <w:t>15.1 حدود الدراسة</w:t>
      </w:r>
      <w:bookmarkEnd w:id="43"/>
    </w:p>
    <w:p w14:paraId="76C0FA9D"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الحدود الموضوعية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الرقمي بأبعاده الأربعة (البنية التحتية الرقمية، الكفاءات والمهارات الرقمية، القيادة الرقمية، استراتيجية التحول الرقمي) على جودة 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645B5CC2" w14:textId="77777777"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الحدود المكانية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جامعة الملك سعود بن عبدالعزيز للعلوم الصحية بالرياض، المملكة العربية السعودية</w:t>
      </w:r>
      <w:r w:rsidRPr="00F41F4C">
        <w:rPr>
          <w:rFonts w:ascii="Simplified Arabic" w:eastAsia="Times New Roman" w:hAnsi="Simplified Arabic" w:cs="Simplified Arabic"/>
          <w:color w:val="000000" w:themeColor="text1"/>
          <w:kern w:val="0"/>
          <w:sz w:val="28"/>
          <w:szCs w:val="28"/>
          <w14:ligatures w14:val="none"/>
        </w:rPr>
        <w:t>.</w:t>
      </w:r>
    </w:p>
    <w:p w14:paraId="200264E8" w14:textId="24A1AFB9"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الحدود الزمانية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سيتم تطبيق الدراسة الميدانية خلال العام الجامعي2026م</w:t>
      </w:r>
      <w:r w:rsidRPr="00F41F4C">
        <w:rPr>
          <w:rFonts w:ascii="Simplified Arabic" w:eastAsia="Times New Roman" w:hAnsi="Simplified Arabic" w:cs="Simplified Arabic"/>
          <w:color w:val="000000" w:themeColor="text1"/>
          <w:kern w:val="0"/>
          <w:sz w:val="28"/>
          <w:szCs w:val="28"/>
          <w14:ligatures w14:val="none"/>
        </w:rPr>
        <w:t>.</w:t>
      </w:r>
    </w:p>
    <w:p w14:paraId="16E5D760" w14:textId="0036F15E" w:rsidR="00347ADE" w:rsidRPr="00F41F4C" w:rsidRDefault="00347ADE" w:rsidP="000A5E09">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الحدود البشرية</w:t>
      </w:r>
      <w:r w:rsidRPr="00F41F4C">
        <w:rPr>
          <w:rFonts w:ascii="Simplified Arabic" w:eastAsia="Times New Roman" w:hAnsi="Simplified Arabic" w:cs="Simplified Arabic"/>
          <w:color w:val="000000" w:themeColor="text1"/>
          <w:kern w:val="0"/>
          <w:sz w:val="28"/>
          <w:szCs w:val="28"/>
          <w14:ligatures w14:val="none"/>
        </w:rPr>
        <w:t xml:space="preserve">: </w:t>
      </w:r>
      <w:r w:rsidRPr="00F41F4C">
        <w:rPr>
          <w:rFonts w:ascii="Simplified Arabic" w:eastAsia="Times New Roman" w:hAnsi="Simplified Arabic" w:cs="Simplified Arabic"/>
          <w:color w:val="000000" w:themeColor="text1"/>
          <w:kern w:val="0"/>
          <w:sz w:val="28"/>
          <w:szCs w:val="28"/>
          <w:rtl/>
          <w14:ligatures w14:val="none"/>
        </w:rPr>
        <w:t>العاملون الإداريون والأكاديميون في جامعة الملك سعود بن عبدالعزيز للعلوم الصحية بالرياض من مختلف المستويات الإدارية (الإدارة العليا، الإدارة الوسطى، الإدارة التنفيذية.</w:t>
      </w:r>
    </w:p>
    <w:p w14:paraId="281793D9" w14:textId="4257A6AB" w:rsidR="00A252BA" w:rsidRPr="00F41F4C" w:rsidRDefault="000A5E09" w:rsidP="009F321C">
      <w:pPr>
        <w:jc w:val="center"/>
        <w:outlineLvl w:val="0"/>
        <w:rPr>
          <w:rFonts w:ascii="Simplified Arabic" w:eastAsia="Times New Roman" w:hAnsi="Simplified Arabic" w:cs="Simplified Arabic"/>
          <w:b/>
          <w:bCs/>
          <w:color w:val="000000" w:themeColor="text1"/>
          <w:kern w:val="0"/>
          <w:sz w:val="40"/>
          <w:szCs w:val="40"/>
          <w14:ligatures w14:val="none"/>
        </w:rPr>
      </w:pPr>
      <w:r w:rsidRPr="00F41F4C">
        <w:rPr>
          <w:rFonts w:ascii="Simplified Arabic" w:eastAsia="Times New Roman" w:hAnsi="Simplified Arabic" w:cs="Simplified Arabic"/>
          <w:b/>
          <w:bCs/>
          <w:color w:val="000000" w:themeColor="text1"/>
          <w:kern w:val="0"/>
          <w:sz w:val="40"/>
          <w:szCs w:val="40"/>
          <w:rtl/>
          <w14:ligatures w14:val="none"/>
        </w:rPr>
        <w:br w:type="page"/>
      </w:r>
      <w:bookmarkStart w:id="44" w:name="_Toc236089952"/>
      <w:r w:rsidR="00A252BA" w:rsidRPr="00F41F4C">
        <w:rPr>
          <w:rFonts w:ascii="Simplified Arabic" w:eastAsia="Times New Roman" w:hAnsi="Simplified Arabic" w:cs="Simplified Arabic"/>
          <w:b/>
          <w:bCs/>
          <w:color w:val="000000" w:themeColor="text1"/>
          <w:kern w:val="0"/>
          <w:sz w:val="40"/>
          <w:szCs w:val="40"/>
          <w:rtl/>
          <w14:ligatures w14:val="none"/>
        </w:rPr>
        <w:lastRenderedPageBreak/>
        <w:t>الفصل الثاني: الإطار النظري للدراسة</w:t>
      </w:r>
      <w:bookmarkEnd w:id="44"/>
    </w:p>
    <w:p w14:paraId="2B8FA681" w14:textId="7EF8108F" w:rsidR="00A252BA" w:rsidRPr="00F41F4C" w:rsidRDefault="00A252BA" w:rsidP="009F321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5" w:name="_Toc236089953"/>
      <w:r w:rsidRPr="00F41F4C">
        <w:rPr>
          <w:rFonts w:ascii="Simplified Arabic" w:eastAsia="Times New Roman" w:hAnsi="Simplified Arabic" w:cs="Simplified Arabic"/>
          <w:b/>
          <w:bCs/>
          <w:color w:val="000000" w:themeColor="text1"/>
          <w:kern w:val="0"/>
          <w:sz w:val="36"/>
          <w:szCs w:val="36"/>
          <w:rtl/>
          <w14:ligatures w14:val="none"/>
        </w:rPr>
        <w:t>المبحث الأول: التحول الرقمي</w:t>
      </w:r>
      <w:bookmarkEnd w:id="45"/>
    </w:p>
    <w:p w14:paraId="40F35EF5" w14:textId="516C2BA7"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6089954"/>
      <w:r w:rsidRPr="00F41F4C">
        <w:rPr>
          <w:rFonts w:ascii="Simplified Arabic" w:eastAsia="Times New Roman" w:hAnsi="Simplified Arabic" w:cs="Simplified Arabic" w:hint="cs"/>
          <w:b/>
          <w:bCs/>
          <w:color w:val="000000" w:themeColor="text1"/>
          <w:kern w:val="0"/>
          <w:sz w:val="32"/>
          <w:szCs w:val="32"/>
          <w:rtl/>
          <w14:ligatures w14:val="none"/>
        </w:rPr>
        <w:t xml:space="preserve">1.1.2 </w:t>
      </w:r>
      <w:r w:rsidR="00A252BA" w:rsidRPr="00F41F4C">
        <w:rPr>
          <w:rFonts w:ascii="Simplified Arabic" w:eastAsia="Times New Roman" w:hAnsi="Simplified Arabic" w:cs="Simplified Arabic"/>
          <w:b/>
          <w:bCs/>
          <w:color w:val="000000" w:themeColor="text1"/>
          <w:kern w:val="0"/>
          <w:sz w:val="32"/>
          <w:szCs w:val="32"/>
          <w:rtl/>
          <w14:ligatures w14:val="none"/>
        </w:rPr>
        <w:t>تمهيد</w:t>
      </w:r>
      <w:bookmarkEnd w:id="46"/>
    </w:p>
    <w:p w14:paraId="538EAA67"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يشهد الفضاء الإداري المعاصر تحولات متسارعة أعادت رسم ملامح المنظمات وأنماط عملها وطرائق تفاعلها مع بيئاتها الداخلية والخارجية، إذ لم تعد التقنية الرقمية مجرد أداة مساندة للعمليات التقليدية، بل غدت ركيزة استراتيجية تُعيد تشكيل نماذج الأعمال ومنظومات القيمة والعلاقات مع المستفيدين. وفي خضم هذه التحولات، برز مفهوم “التحول الرقمي” بوصفه استجابة نوعية للتحديات التي تفرضها الثورة الصناعية الرابعة، وبوصفه كذلك مساراً حتمياً لكل منظمة تسعى إلى الاستدامة والريادة في ظل بيئة تتسم بالتقلب وعدم اليقين وتصاعد حدة المنافسة</w:t>
      </w:r>
      <w:r w:rsidRPr="00F41F4C">
        <w:rPr>
          <w:rFonts w:ascii="Simplified Arabic" w:eastAsia="Times New Roman" w:hAnsi="Simplified Arabic" w:cs="Simplified Arabic"/>
          <w:color w:val="000000" w:themeColor="text1"/>
          <w:kern w:val="0"/>
          <w:sz w:val="28"/>
          <w:szCs w:val="28"/>
          <w14:ligatures w14:val="none"/>
        </w:rPr>
        <w:t>.</w:t>
      </w:r>
    </w:p>
    <w:p w14:paraId="232C239C"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ولم يعد التحول الرقمي حكراً على منظمات الأعمال الربحية، بل امتد ليطال المؤسسات العامة والخدمية والتعليمية والصحية، إذ أدركت هذه المنظمات أن جودة الخدمات المقدمة للمستفيدين، وسرعة الاستجابة، وكفاءة الأداء المؤسسي، باتت مرتبطة ارتباطاً وثيقاً بمستوى النضج الرقمي لديها. وفي هذا السياق تتجه المؤسسات الأكاديمية والصحية على وجه الخصوص إلى إعادة هيكلة عملياتها الجوهرية عبر توظيف التقنيات الرقمية الحديثة، سعياً إلى تحقيق التكامل بين وظائفها المختلفة ورفع مستوى أدائها المؤسسي</w:t>
      </w:r>
      <w:r w:rsidRPr="00F41F4C">
        <w:rPr>
          <w:rFonts w:ascii="Simplified Arabic" w:eastAsia="Times New Roman" w:hAnsi="Simplified Arabic" w:cs="Simplified Arabic"/>
          <w:color w:val="000000" w:themeColor="text1"/>
          <w:kern w:val="0"/>
          <w:sz w:val="28"/>
          <w:szCs w:val="28"/>
          <w14:ligatures w14:val="none"/>
        </w:rPr>
        <w:t>.</w:t>
      </w:r>
    </w:p>
    <w:p w14:paraId="6F5EEA9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مركّبة للتحول الرقمي بوصفه المتغير المستقل للدراسة، من خلال استعراض مفهومه ومداخل تعريفه لدى الباحثين، ثم بيان أهميته وأهدافه، وأبعاده التي ستُوظَّف قياسياً في هذه الدراسة، وصولاً إلى استعراض أبرز الاستراتيجيات المُتبعة في تطبيقه، ثم تسليط الضوء على أبرز المعالجات النظرية والتطبيقية التي تناولت هذا المفهوم في الأدبيات الحديثة، بما يُشكّل مرجعية علمية متماسكة يستند إليها الجانب الميداني من الدراسة</w:t>
      </w:r>
      <w:r w:rsidRPr="00F41F4C">
        <w:rPr>
          <w:rFonts w:ascii="Simplified Arabic" w:eastAsia="Times New Roman" w:hAnsi="Simplified Arabic" w:cs="Simplified Arabic"/>
          <w:color w:val="000000" w:themeColor="text1"/>
          <w:kern w:val="0"/>
          <w:sz w:val="28"/>
          <w:szCs w:val="28"/>
          <w14:ligatures w14:val="none"/>
        </w:rPr>
        <w:t>.</w:t>
      </w:r>
    </w:p>
    <w:p w14:paraId="275B8C29" w14:textId="025D1F0E"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6089955"/>
      <w:r w:rsidRPr="00F41F4C">
        <w:rPr>
          <w:rFonts w:ascii="Simplified Arabic" w:eastAsia="Times New Roman" w:hAnsi="Simplified Arabic" w:cs="Simplified Arabic" w:hint="cs"/>
          <w:b/>
          <w:bCs/>
          <w:color w:val="000000" w:themeColor="text1"/>
          <w:kern w:val="0"/>
          <w:sz w:val="32"/>
          <w:szCs w:val="32"/>
          <w:rtl/>
          <w14:ligatures w14:val="none"/>
        </w:rPr>
        <w:t>2.1.2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مفهوم التحول الرقمي</w:t>
      </w:r>
      <w:bookmarkEnd w:id="47"/>
    </w:p>
    <w:p w14:paraId="7E1CD5E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انطلق الاهتمام الأكاديمي والمهني بمفهوم التحول الرقمي من رحم التحولات الكبرى التي أحدثتها تقنيات المعلومات والاتصالات في بيئة الأعمال، غير أن هذا المفهوم لم يستقر عند تعريف موحّد، بل </w:t>
      </w:r>
      <w:r w:rsidRPr="00F41F4C">
        <w:rPr>
          <w:rFonts w:ascii="Simplified Arabic" w:eastAsia="Times New Roman" w:hAnsi="Simplified Arabic" w:cs="Simplified Arabic"/>
          <w:color w:val="000000" w:themeColor="text1"/>
          <w:kern w:val="0"/>
          <w:sz w:val="28"/>
          <w:szCs w:val="28"/>
          <w:rtl/>
          <w14:ligatures w14:val="none"/>
        </w:rPr>
        <w:lastRenderedPageBreak/>
        <w:t>تنوعت مقارباته تبعاً لتنوع المدارس الفكرية والحقول المعرفية التي تناولته، فمنهم من نظر إليه من زاوية تقنية بحتة، ومنهم من قاربه من منظور استراتيجي، ومنهم من ركّز على أبعاده الثقافية والتنظيمية، ومنهم من جمع بين هذه المقاربات في تعريف مركّب</w:t>
      </w:r>
      <w:r w:rsidRPr="00F41F4C">
        <w:rPr>
          <w:rFonts w:ascii="Simplified Arabic" w:eastAsia="Times New Roman" w:hAnsi="Simplified Arabic" w:cs="Simplified Arabic"/>
          <w:color w:val="000000" w:themeColor="text1"/>
          <w:kern w:val="0"/>
          <w:sz w:val="28"/>
          <w:szCs w:val="28"/>
          <w14:ligatures w14:val="none"/>
        </w:rPr>
        <w:t>.</w:t>
      </w:r>
    </w:p>
    <w:p w14:paraId="3348383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ففي المدرسة ذات التوجه التقني، يُعرَّف التحول الرقمي بوصفه عملية توظيف التقنيات الرقمية الحديثة كالحوسبة السحابية والذكاء الاصطناعي وتحليلات البيانات الضخمة وإنترنت الأشياء في العمليات المؤسسية بهدف أتمتة الأنشطة وتحسين مستوى الكفاءة التشغيلية</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ويقف هذا التعريف عند الجانب الأداتي من المفهوم، إذ يُقدّم التحول الرقمي بوصفه استبدالاً منهجياً للأدوات التقليدية بأدوات رقمية أكثر ذكاءً وقدرةً على المعالجة</w:t>
      </w:r>
      <w:r w:rsidRPr="00F41F4C">
        <w:rPr>
          <w:rFonts w:ascii="Simplified Arabic" w:eastAsia="Times New Roman" w:hAnsi="Simplified Arabic" w:cs="Simplified Arabic"/>
          <w:color w:val="000000" w:themeColor="text1"/>
          <w:kern w:val="0"/>
          <w:sz w:val="28"/>
          <w:szCs w:val="28"/>
          <w14:ligatures w14:val="none"/>
        </w:rPr>
        <w:t>.</w:t>
      </w:r>
    </w:p>
    <w:p w14:paraId="74A29DA1"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مقابل هذه المقاربة، تبرز مدرسة أخرى ترى أن التحول الرقمي أعمق بكثير من مجرد إدخال التقنية، إذ يُعدّ تحولاً استراتيجياً شاملاً يمس نماذج الأعمال وسلاسل القيمة والعلاقات مع المستفيدين. ومن هذا المنظور يُعرَّف التحول الرقمي بأنه إعادة تصميم شاملة لنموذج عمل المنظمة وعملياتها الجوهرية بالاستفادة من الإمكانات التي تتيحها التقنيات الرقمية، بما يُفضي إلى خلق قيمة مضافة جديدة</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ويُلاحظ في هذا التعريف انتقال المفهوم من مستوى الأداة إلى مستوى الاستراتيجية، حيث يصبح التحول الرقمي مساراً لإعادة اختراع المنظمة لذاتها</w:t>
      </w:r>
      <w:r w:rsidRPr="00F41F4C">
        <w:rPr>
          <w:rFonts w:ascii="Simplified Arabic" w:eastAsia="Times New Roman" w:hAnsi="Simplified Arabic" w:cs="Simplified Arabic"/>
          <w:color w:val="000000" w:themeColor="text1"/>
          <w:kern w:val="0"/>
          <w:sz w:val="28"/>
          <w:szCs w:val="28"/>
          <w14:ligatures w14:val="none"/>
        </w:rPr>
        <w:t>.</w:t>
      </w:r>
    </w:p>
    <w:p w14:paraId="1D86140A"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خط ثالث من التعريفات، يُنظَر إلى التحول الرقمي بوصفه ظاهرة متعددة الأبعاد تتضمن جوانب تقنية وتنظيمية وبشرية وثقافية في آنٍ واحد. وقد أشار</w:t>
      </w:r>
      <w:r w:rsidRPr="00F41F4C">
        <w:rPr>
          <w:rFonts w:ascii="Simplified Arabic" w:eastAsia="Times New Roman" w:hAnsi="Simplified Arabic" w:cs="Simplified Arabic"/>
          <w:color w:val="000000" w:themeColor="text1"/>
          <w:kern w:val="0"/>
          <w:sz w:val="28"/>
          <w:szCs w:val="28"/>
          <w14:ligatures w14:val="none"/>
        </w:rPr>
        <w:t xml:space="preserve"> (Teng et al., 2022) </w:t>
      </w:r>
      <w:r w:rsidRPr="00F41F4C">
        <w:rPr>
          <w:rFonts w:ascii="Simplified Arabic" w:eastAsia="Times New Roman" w:hAnsi="Simplified Arabic" w:cs="Simplified Arabic"/>
          <w:color w:val="000000" w:themeColor="text1"/>
          <w:kern w:val="0"/>
          <w:sz w:val="28"/>
          <w:szCs w:val="28"/>
          <w:rtl/>
          <w14:ligatures w14:val="none"/>
        </w:rPr>
        <w:t>إلى أن التحول الرقمي يمثّل عملية تكاملية تدمج بين التقنيات الرقمية والقدرات التنظيمية والموارد البشرية بغية تعزيز قدرة المنظمة على الابتكار والاستجابة لتغيرات السوق. ويكشف هذا التعريف عن الطابع النسقي للمفهوم، إذ لا يمكن اختزاله في بُعد واحد دون الإخلال بمعناه الكلي</w:t>
      </w:r>
      <w:r w:rsidRPr="00F41F4C">
        <w:rPr>
          <w:rFonts w:ascii="Simplified Arabic" w:eastAsia="Times New Roman" w:hAnsi="Simplified Arabic" w:cs="Simplified Arabic"/>
          <w:color w:val="000000" w:themeColor="text1"/>
          <w:kern w:val="0"/>
          <w:sz w:val="28"/>
          <w:szCs w:val="28"/>
          <w14:ligatures w14:val="none"/>
        </w:rPr>
        <w:t>.</w:t>
      </w:r>
    </w:p>
    <w:p w14:paraId="3BBB8280"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زاوية القطاع العام والمؤسسات الحكومية، عرّف</w:t>
      </w:r>
      <w:r w:rsidRPr="00F41F4C">
        <w:rPr>
          <w:rFonts w:ascii="Simplified Arabic" w:eastAsia="Times New Roman" w:hAnsi="Simplified Arabic" w:cs="Simplified Arabic"/>
          <w:color w:val="000000" w:themeColor="text1"/>
          <w:kern w:val="0"/>
          <w:sz w:val="28"/>
          <w:szCs w:val="28"/>
          <w14:ligatures w14:val="none"/>
        </w:rPr>
        <w:t xml:space="preserve"> (Egbeleo &amp; Sodokin, 2025) </w:t>
      </w:r>
      <w:r w:rsidRPr="00F41F4C">
        <w:rPr>
          <w:rFonts w:ascii="Simplified Arabic" w:eastAsia="Times New Roman" w:hAnsi="Simplified Arabic" w:cs="Simplified Arabic"/>
          <w:color w:val="000000" w:themeColor="text1"/>
          <w:kern w:val="0"/>
          <w:sz w:val="28"/>
          <w:szCs w:val="28"/>
          <w:rtl/>
          <w14:ligatures w14:val="none"/>
        </w:rPr>
        <w:t>التحول الرقمي بوصفه مساراً لإصلاح جودة المؤسسات ورفع إنتاجيتها من خلال توظيف التقنيات الرقمية في العمليات الحوكمية والإدارية، بما يُسهم في تحسين البيئة المؤسسية بشكل عام. ويُميز هذا التعريف نفسه بربطه بين التحول الرقمي والجودة المؤسسية، مما يُضفي على المفهوم بُعداً تنموياً يتجاوز الفعالية التشغيلية</w:t>
      </w:r>
      <w:r w:rsidRPr="00F41F4C">
        <w:rPr>
          <w:rFonts w:ascii="Simplified Arabic" w:eastAsia="Times New Roman" w:hAnsi="Simplified Arabic" w:cs="Simplified Arabic"/>
          <w:color w:val="000000" w:themeColor="text1"/>
          <w:kern w:val="0"/>
          <w:sz w:val="28"/>
          <w:szCs w:val="28"/>
          <w14:ligatures w14:val="none"/>
        </w:rPr>
        <w:t>.</w:t>
      </w:r>
    </w:p>
    <w:p w14:paraId="238A2B30"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ومن الأدبيات العربية، يُعرّف (المومني والشواورة، ٢٠٢٤) التحول الرقمي بأنه عملية إحلال منهجية للتقنيات الرقمية في الأنشطة والوظائف المؤسسية بما يُعيد صياغة أساليب العمل ويُطوّر مخرجات الأداء المؤسسي. ويلتقي هذا التعريف مع المقاربات الاستراتيجية في التأكيد على الطابع الشمولي للتحول، غير أنه يُضيف بُعداً تطبيقياً يربطه بمخرجات الأداء</w:t>
      </w:r>
      <w:r w:rsidRPr="00F41F4C">
        <w:rPr>
          <w:rFonts w:ascii="Simplified Arabic" w:eastAsia="Times New Roman" w:hAnsi="Simplified Arabic" w:cs="Simplified Arabic"/>
          <w:color w:val="000000" w:themeColor="text1"/>
          <w:kern w:val="0"/>
          <w:sz w:val="28"/>
          <w:szCs w:val="28"/>
          <w14:ligatures w14:val="none"/>
        </w:rPr>
        <w:t>.</w:t>
      </w:r>
    </w:p>
    <w:p w14:paraId="06A79D3E"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السياق ذاته، ينظر (العمريين والربابعة، ٢٠٢٣) إلى التحول الرقمي بوصفه توجهاً استراتيجياً تتبناه المنظمات لتحقيق التكيف مع متغيرات البيئة الخارجية عبر إعادة تصميم عملياتها ومواردها الرقمية. ويكشف هذا التعريف عن الرابطة العضوية بين التحول الرقمي والتكيف الاستراتيجي، إذ يُعدّ التحول الرقمي أحد أدوات المنظمة في مواجهة عدم اليقين البيئي</w:t>
      </w:r>
      <w:r w:rsidRPr="00F41F4C">
        <w:rPr>
          <w:rFonts w:ascii="Simplified Arabic" w:eastAsia="Times New Roman" w:hAnsi="Simplified Arabic" w:cs="Simplified Arabic"/>
          <w:color w:val="000000" w:themeColor="text1"/>
          <w:kern w:val="0"/>
          <w:sz w:val="28"/>
          <w:szCs w:val="28"/>
          <w14:ligatures w14:val="none"/>
        </w:rPr>
        <w:t>.</w:t>
      </w:r>
    </w:p>
    <w:p w14:paraId="67480DF7"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تطبيقي مغاير، يُقدّم (قرقط ولعشب، ٢٠٢٣) التحول الرقمي بوصفه انتقالاً من الأنماط التقليدية في إدارة الموارد البشرية والعمليات إلى أنماط رقمية أكثر مرونة وسرعة، بما يستلزم تغييراً في الثقافة التنظيمية والمهارات المطلوبة من العاملين. ويُلاحظ هنا أن التعريف قد جمع بين البُعد التقني والبُعد الثقافي، مؤكداً أن التحول الرقمي لا يكتمل بمعزل عن تطوير رأس المال البشري</w:t>
      </w:r>
      <w:r w:rsidRPr="00F41F4C">
        <w:rPr>
          <w:rFonts w:ascii="Simplified Arabic" w:eastAsia="Times New Roman" w:hAnsi="Simplified Arabic" w:cs="Simplified Arabic"/>
          <w:color w:val="000000" w:themeColor="text1"/>
          <w:kern w:val="0"/>
          <w:sz w:val="28"/>
          <w:szCs w:val="28"/>
          <w14:ligatures w14:val="none"/>
        </w:rPr>
        <w:t>.</w:t>
      </w:r>
    </w:p>
    <w:p w14:paraId="524CB0A5"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جانب آخر، يرى (جنيدي، ٢٠٢٤) أن التحول الرقمي يمثل استجابة استراتيجية للمنظمات في مواجهة تحديات الاقتصاد الرقمي، وذلك عبر توظيف التقنيات الحديثة في تعزيز الريادة المؤسسية وابتكار خدمات ومنتجات تلبي احتياجات المستفيدين. وينسجم هذا التعريف مع التوجه المعاصر الذي يربط التحول الرقمي بمخرجات ريادية وابتكارية، لا بمجرد تحسينات تشغيلية</w:t>
      </w:r>
      <w:r w:rsidRPr="00F41F4C">
        <w:rPr>
          <w:rFonts w:ascii="Simplified Arabic" w:eastAsia="Times New Roman" w:hAnsi="Simplified Arabic" w:cs="Simplified Arabic"/>
          <w:color w:val="000000" w:themeColor="text1"/>
          <w:kern w:val="0"/>
          <w:sz w:val="28"/>
          <w:szCs w:val="28"/>
          <w14:ligatures w14:val="none"/>
        </w:rPr>
        <w:t>.</w:t>
      </w:r>
    </w:p>
    <w:p w14:paraId="632183B4"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وقد قدّم (رشق، ٢٠٢٥) تعريفاً أكثر شمولاً حين وصف التحول الرقمي بأنه منظومة متكاملة من التغييرات التقنية والتنظيمية والثقافية والإدارية التي تتبناها المنظمة بغرض تعزيز قدرتها على تقديم خدمات ومنتجات ذات جودة عالية، تتناسب مع تطلعات المستفيدين وتُواكب متغيرات البيئة الرقمية</w:t>
      </w:r>
      <w:r w:rsidRPr="00F41F4C">
        <w:rPr>
          <w:rFonts w:ascii="Simplified Arabic" w:eastAsia="Times New Roman" w:hAnsi="Simplified Arabic" w:cs="Simplified Arabic"/>
          <w:color w:val="000000" w:themeColor="text1"/>
          <w:kern w:val="0"/>
          <w:sz w:val="28"/>
          <w:szCs w:val="28"/>
          <w14:ligatures w14:val="none"/>
        </w:rPr>
        <w:t>.</w:t>
      </w:r>
    </w:p>
    <w:p w14:paraId="17C68176"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معالجة لافتة، ينظر (الجطلاوي وعمر، ٢٠٢٥) إلى التحول الرقمي بوصفه عملية بناء جاهزية مؤسسية شاملة، تتضمن تهيئة البنية التحتية والكفاءات البشرية والإطار التشريعي والثقافي، بما يجعل المنظمة قادرة على استيعاب التقنيات الرقمية وتوظيفها بكفاءة. ويُبرز هذا التعريف مفهوم “الجاهزية” بوصفه شرطاً مسبقاً للتحول الرقمي الفاعل، وهو ما يُضفي على المفهوم طابعاً تراكمياً ومرحلياً</w:t>
      </w:r>
      <w:r w:rsidRPr="00F41F4C">
        <w:rPr>
          <w:rFonts w:ascii="Simplified Arabic" w:eastAsia="Times New Roman" w:hAnsi="Simplified Arabic" w:cs="Simplified Arabic"/>
          <w:color w:val="000000" w:themeColor="text1"/>
          <w:kern w:val="0"/>
          <w:sz w:val="28"/>
          <w:szCs w:val="28"/>
          <w14:ligatures w14:val="none"/>
        </w:rPr>
        <w:t>.</w:t>
      </w:r>
    </w:p>
    <w:p w14:paraId="35614304"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ومن خلال المعالجة السابقة لتعريفات الباحثين، يتبين للباحث أن التحول الرقمي مفهوم مركّب متعدد الأبعاد، لا يمكن اختزاله في مقاربة واحدة، سواء أكانت تقنية أم استراتيجية أم ثقافية. ويرى الباحث في ضوء ما سبق أن التحول الرقمي هو: “عملية استراتيجية متكاملة تتبناها المنظمة لإعادة تشكيل بنيتها التحتية وعملياتها الجوهرية وكفاءاتها البشرية وثقافتها التنظيمية عبر التوظيف الذكي للتقنيات الرقمية الحديثة، بما يُفضي إلى تحسين جودة أدائها المؤسسي وتعزيز قدرتها على خلق قيمة مضافة للمستفيدين، والاستجابة الفاعلة لمتغيرات بيئتها الداخلية والخارجية”. ويتميز هذا التعريف بكونه يجمع بين المستويات الأربعة للتحول: المستوى التقني الممثل بالبنية التحتية، والمستوى البشري الممثل بالكفاءات، والمستوى القيادي الممثل بأساليب إدارة التحول، والمستوى الاستراتيجي الممثل بالتوجه الكلي للمنظمة، وهي المستويات ذاتها التي ستُوظَّف لاحقاً بوصفها أبعاداً قياسية للمتغير المستقل في هذه الدراسة</w:t>
      </w:r>
      <w:r w:rsidRPr="00F41F4C">
        <w:rPr>
          <w:rFonts w:ascii="Simplified Arabic" w:eastAsia="Times New Roman" w:hAnsi="Simplified Arabic" w:cs="Simplified Arabic"/>
          <w:color w:val="000000" w:themeColor="text1"/>
          <w:kern w:val="0"/>
          <w:sz w:val="28"/>
          <w:szCs w:val="28"/>
          <w14:ligatures w14:val="none"/>
        </w:rPr>
        <w:t>.</w:t>
      </w:r>
    </w:p>
    <w:p w14:paraId="6F54BE4D" w14:textId="29D90ABB"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6089956"/>
      <w:r w:rsidRPr="00F41F4C">
        <w:rPr>
          <w:rFonts w:ascii="Simplified Arabic" w:eastAsia="Times New Roman" w:hAnsi="Simplified Arabic" w:cs="Simplified Arabic" w:hint="cs"/>
          <w:b/>
          <w:bCs/>
          <w:color w:val="000000" w:themeColor="text1"/>
          <w:kern w:val="0"/>
          <w:sz w:val="32"/>
          <w:szCs w:val="32"/>
          <w:rtl/>
          <w14:ligatures w14:val="none"/>
        </w:rPr>
        <w:t>3.1.2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أهمية التحول الرقمي</w:t>
      </w:r>
      <w:bookmarkEnd w:id="48"/>
    </w:p>
    <w:p w14:paraId="2115859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تتجلى أهمية التحول الرقمي في كونه لم يعد خياراً ترفياً تتبناه المنظمات وفق مزاجها التنظيمي، بل غدا ضرورة استراتيجية تفرضها متغيرات البيئة المعاصرة على اختلاف مستوياتها، بدءاً من ضغوط السوق ومتطلبات المستفيدين، مروراً بتصاعد حدة المنافسة العالمية، وانتهاءً بضرورات الاستدامة والمرونة التنظيمية. وقد تعددت زوايا النظر إلى هذه الأهمية في الأدبيات، إذ نظر كل باحث إليها من زاوية تنسجم مع بيئة دراسته ومجال تطبيقه</w:t>
      </w:r>
      <w:r w:rsidRPr="00F41F4C">
        <w:rPr>
          <w:rFonts w:ascii="Simplified Arabic" w:eastAsia="Times New Roman" w:hAnsi="Simplified Arabic" w:cs="Simplified Arabic"/>
          <w:color w:val="000000" w:themeColor="text1"/>
          <w:kern w:val="0"/>
          <w:sz w:val="28"/>
          <w:szCs w:val="28"/>
          <w14:ligatures w14:val="none"/>
        </w:rPr>
        <w:t>.</w:t>
      </w:r>
    </w:p>
    <w:p w14:paraId="51B39267"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ويُشير (الحبيشي وطواف، ٢٠٢١) إلى أن أهمية التحول الرقمي في المنظمات المعاصرة تتجسد في جملة من المحاور، أولها أن التحول الرقمي يُمثّل أداة رئيسية لتحسين كفاءة العمليات الداخلية وخفض تكلفتها، إذ تُتيح التقنيات الرقمية أتمتة الأنشطة المتكررة وتقليل الأخطاء البشرية وتسريع دورة العمل. وثانيها أن التحول الرقمي يُسهم في تعزيز قدرة المنظمة على اتخاذ القرار المستند إلى البيانات، من خلال ما تُوفره أدوات التحليل من رؤى دقيقة حول أنماط الأداء وسلوك المستفيدين. وثالثها أن التحول الرقمي يُتيح للمنظمة الوصول إلى شرائح أوسع من المستفيدين عبر القنوات الرقمية، مما يُعيد رسم علاقتها بالسوق والبيئة الخارجية. ورابعها أنه يُعزّز المرونة التنظيمية والقدرة على الاستجابة للتغيرات المفاجئة، وهو ما ظهر بوضوح في الأزمات الكبرى التي فرضت على المنظمات الانتقال السريع إلى بيئات العمل الرقمية</w:t>
      </w:r>
      <w:r w:rsidRPr="00F41F4C">
        <w:rPr>
          <w:rFonts w:ascii="Simplified Arabic" w:eastAsia="Times New Roman" w:hAnsi="Simplified Arabic" w:cs="Simplified Arabic"/>
          <w:color w:val="000000" w:themeColor="text1"/>
          <w:kern w:val="0"/>
          <w:sz w:val="28"/>
          <w:szCs w:val="28"/>
          <w14:ligatures w14:val="none"/>
        </w:rPr>
        <w:t>.</w:t>
      </w:r>
    </w:p>
    <w:p w14:paraId="7104665C"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ويرى (أبو بكر والسويطي، ٢٠٢٤) أن أهمية التحول الرقمي تنبع من كونه أداة استراتيجية لتحسين الأداء المؤسسي وتعزيز قدرة المنظمة على تحقيق أهدافها بكفاءة وفاعلية، إذ يُسهم في تطوير المنظومة </w:t>
      </w:r>
      <w:r w:rsidRPr="00F41F4C">
        <w:rPr>
          <w:rFonts w:ascii="Simplified Arabic" w:eastAsia="Times New Roman" w:hAnsi="Simplified Arabic" w:cs="Simplified Arabic"/>
          <w:color w:val="000000" w:themeColor="text1"/>
          <w:kern w:val="0"/>
          <w:sz w:val="28"/>
          <w:szCs w:val="28"/>
          <w:rtl/>
          <w14:ligatures w14:val="none"/>
        </w:rPr>
        <w:lastRenderedPageBreak/>
        <w:t>القيادية عبر ما يُعرف بـ"القيادة الرقمية" التي تعتمد على البيانات والمؤشرات الفورية في توجيه القرارات، وفي بناء ثقافة تنظيمية داعمة للابتكار والتغيير، ورفع مستوى الشفافية والمساءلة المؤسسية من خلال منصات المتابعة والتقييم الإلكترونية. كما يُبرز الباحثان أن التحول الرقمي يُوفر منصة لإعادة تصميم علاقات المنظمة مع مختلف أصحاب المصلحة على نحوٍ أكثر تفاعلية وتشاركية</w:t>
      </w:r>
      <w:r w:rsidRPr="00F41F4C">
        <w:rPr>
          <w:rFonts w:ascii="Simplified Arabic" w:eastAsia="Times New Roman" w:hAnsi="Simplified Arabic" w:cs="Simplified Arabic"/>
          <w:color w:val="000000" w:themeColor="text1"/>
          <w:kern w:val="0"/>
          <w:sz w:val="28"/>
          <w:szCs w:val="28"/>
          <w14:ligatures w14:val="none"/>
        </w:rPr>
        <w:t>.</w:t>
      </w:r>
    </w:p>
    <w:p w14:paraId="50D7DBAB"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ويُضيف (أبو نصير وكناكرية، ٢٠٢٤) في معالجتهما لأهمية التحول الرقمي في البيئة الجامعية، أن هذه الأهمية تتضاعف في المؤسسات الأكاديمية بشكل خاص، لأن هذه المؤسسات تتعامل مع منظومة معقدة من العمليات الأكاديمية والإدارية والبحثية، وتتطلب مستوى عالياً من التكامل بين وظائفها. ومن هنا يبرز التحول الرقمي بوصفه أداة لتحقيق التميز المؤسسي عبر بطاقة الأداء المتوازن، إذ يُتيح قياس الأداء من منظور مالي وعملياتي وأكاديمي ومنظور المستفيدين في آنٍ واحد. كما تنبع أهميته من كونه يُسهم في تحسين تجربة الطالب والباحث والموظف على حدٍّ سواء، ويُعزّز مكانة الجامعة في التصنيفات الأكاديمية العالمية التي باتت تعتمد بشكل متزايد على مؤشرات النضج الرقمي</w:t>
      </w:r>
      <w:r w:rsidRPr="00F41F4C">
        <w:rPr>
          <w:rFonts w:ascii="Simplified Arabic" w:eastAsia="Times New Roman" w:hAnsi="Simplified Arabic" w:cs="Simplified Arabic"/>
          <w:color w:val="000000" w:themeColor="text1"/>
          <w:kern w:val="0"/>
          <w:sz w:val="28"/>
          <w:szCs w:val="28"/>
          <w14:ligatures w14:val="none"/>
        </w:rPr>
        <w:t>.</w:t>
      </w:r>
    </w:p>
    <w:p w14:paraId="04131FE4"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ويُشير</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إلى أن أهمية التحول الرقمي على المستوى الاقتصادي الكلي تتمثل في إسهامه في تعزيز أداء الشركات وقيمتها السوقية عبر تحسين قدراتها الإنتاجية والابتكارية، وفي إعادة رسم خريطة الميزة التنافسية بين المنظمات، إذ لم تعد الميزة تُقاس بحجم الأصول المادية بقدر ما تُقاس بحجم الأصول الرقمية والمعرفية ومستوى توظيفها. كما يُبرز الباحثون أن التحول الرقمي يُسهم في خلق فرص جديدة للنمو من خلال منتجات وخدمات رقمية لم تكن ممكنة في الأنماط التقليدية</w:t>
      </w:r>
      <w:r w:rsidRPr="00F41F4C">
        <w:rPr>
          <w:rFonts w:ascii="Simplified Arabic" w:eastAsia="Times New Roman" w:hAnsi="Simplified Arabic" w:cs="Simplified Arabic"/>
          <w:color w:val="000000" w:themeColor="text1"/>
          <w:kern w:val="0"/>
          <w:sz w:val="28"/>
          <w:szCs w:val="28"/>
          <w14:ligatures w14:val="none"/>
        </w:rPr>
        <w:t>.</w:t>
      </w:r>
    </w:p>
    <w:p w14:paraId="6CBB2F77"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ويُبين</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أن أهمية التحول الرقمي تكمن في دوره المحوري في تعزيز الأداء الابتكاري للمنظمات، إذ يُوفّر منصةً لتوليد الأفكار وتجريبها وتسويقها بسرعة أكبر وتكلفة أقل، ويُتيح استقطاب المواهب الرقمية وتوظيف قدراتها في تطوير حلول مبتكرة. ويُضيف الباحثون أن التحول الرقمي يُعزّز قدرة المنظمة على إدارة المعرفة وتوظيفها بشكل تنافسي، وهو ما يُمثّل مصدراً رئيسياً للقيمة المضافة في اقتصاد المعرفة المعاصر</w:t>
      </w:r>
      <w:r w:rsidRPr="00F41F4C">
        <w:rPr>
          <w:rFonts w:ascii="Simplified Arabic" w:eastAsia="Times New Roman" w:hAnsi="Simplified Arabic" w:cs="Simplified Arabic"/>
          <w:color w:val="000000" w:themeColor="text1"/>
          <w:kern w:val="0"/>
          <w:sz w:val="28"/>
          <w:szCs w:val="28"/>
          <w14:ligatures w14:val="none"/>
        </w:rPr>
        <w:t>.</w:t>
      </w:r>
    </w:p>
    <w:p w14:paraId="6418C690"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ومن منظور القطاع العام، يذهب (شحاتة ورضوان، ٢٠٢٤) إلى أن أهمية التحول الرقمي تتجلى في المؤسسات الحكومية والخدمية بشكل مضاعف، إذ يُسهم في تحسين جودة الخدمات المقدمة للمواطنين، وتقليل الفساد الإداري عبر أتمتة الإجراءات ورفع مستوى الشفافية، وتخفيف العبء البيروقراطي، وتحسين </w:t>
      </w:r>
      <w:r w:rsidRPr="00F41F4C">
        <w:rPr>
          <w:rFonts w:ascii="Simplified Arabic" w:eastAsia="Times New Roman" w:hAnsi="Simplified Arabic" w:cs="Simplified Arabic"/>
          <w:color w:val="000000" w:themeColor="text1"/>
          <w:kern w:val="0"/>
          <w:sz w:val="28"/>
          <w:szCs w:val="28"/>
          <w:rtl/>
          <w14:ligatures w14:val="none"/>
        </w:rPr>
        <w:lastRenderedPageBreak/>
        <w:t>إدارة الموارد العامة. كما يُتيح التحول الرقمي للجهات الحكومية بناء قواعد بيانات تكاملية تُسهم في التخطيط الاستراتيجي ورسم السياسات المستندة إلى الأدلة</w:t>
      </w:r>
      <w:r w:rsidRPr="00F41F4C">
        <w:rPr>
          <w:rFonts w:ascii="Simplified Arabic" w:eastAsia="Times New Roman" w:hAnsi="Simplified Arabic" w:cs="Simplified Arabic"/>
          <w:color w:val="000000" w:themeColor="text1"/>
          <w:kern w:val="0"/>
          <w:sz w:val="28"/>
          <w:szCs w:val="28"/>
          <w14:ligatures w14:val="none"/>
        </w:rPr>
        <w:t>.</w:t>
      </w:r>
    </w:p>
    <w:p w14:paraId="25867687"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ويُلاحظ (العريمي والحراحشة، ٢٠٢٤) أن أهمية التحول الرقمي تنعكس على تميز الأداء المؤسسي عبر جملة من الجوانب، تبدأ بتعزيز القدرة على قياس الأداء بدقة وموضوعية عبر مؤشرات رقمية آنية، وتمتد إلى تحسين جودة الاتصالات الداخلية والخارجية، وتطوير منظومة الحوكمة المؤسسية، وبناء ثقافة تعتمد على البيانات في اتخاذ القرارات. ويرى الباحثان أن هذه الأهمية تتعاظم في القطاعات الحيوية كقطاع الاتصالات الذي يُمثّل ركيزة للاقتصاد الرقمي بأكمله</w:t>
      </w:r>
      <w:r w:rsidRPr="00F41F4C">
        <w:rPr>
          <w:rFonts w:ascii="Simplified Arabic" w:eastAsia="Times New Roman" w:hAnsi="Simplified Arabic" w:cs="Simplified Arabic"/>
          <w:color w:val="000000" w:themeColor="text1"/>
          <w:kern w:val="0"/>
          <w:sz w:val="28"/>
          <w:szCs w:val="28"/>
          <w14:ligatures w14:val="none"/>
        </w:rPr>
        <w:t>.</w:t>
      </w:r>
    </w:p>
    <w:p w14:paraId="327DE851"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المؤسسات الأكاديمية، يُبين (ابن حليم وأندير والمجراب، ٢٠٢٤) أن أهمية التحول الرقمي في الجامعات تتجاوز الجانب الإداري لتشمل الجوانب الأكاديمية والبحثية، إذ يُتيح إعادة تصميم المناهج وأساليب التدريس والتقييم، ويُسهم في تعزيز التعاون البحثي بين الباحثين على المستويين المحلي والدولي، ويُطوّر البنية المعلوماتية للبحث العلمي عبر قواعد البيانات والمكتبات الرقمية</w:t>
      </w:r>
      <w:r w:rsidRPr="00F41F4C">
        <w:rPr>
          <w:rFonts w:ascii="Simplified Arabic" w:eastAsia="Times New Roman" w:hAnsi="Simplified Arabic" w:cs="Simplified Arabic"/>
          <w:color w:val="000000" w:themeColor="text1"/>
          <w:kern w:val="0"/>
          <w:sz w:val="28"/>
          <w:szCs w:val="28"/>
          <w14:ligatures w14:val="none"/>
        </w:rPr>
        <w:t>.</w:t>
      </w:r>
    </w:p>
    <w:p w14:paraId="23464C03"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ويُبرز (الدبوبي والصرايرة، ٢٠٢٣) أهمية أخرى للتحول الرقمي تتصل بمجال قياس الأداء المؤسسي، إذ يُتيح توظيف التقنيات الرقمية في تصميم بطاقات أداء متوازنة أكثر دقة وشمولاً، تُوفّر لصانع القرار رؤية ثلاثية الأبعاد حول الأداء المالي والتشغيلي والبشري في آنٍ واحد، وهو ما يُعدّ أهمية استثنائية في القطاعات التي تعتمد على الدقة والالتزام كقطاع التأمين والقطاع الصحي</w:t>
      </w:r>
      <w:r w:rsidRPr="00F41F4C">
        <w:rPr>
          <w:rFonts w:ascii="Simplified Arabic" w:eastAsia="Times New Roman" w:hAnsi="Simplified Arabic" w:cs="Simplified Arabic"/>
          <w:color w:val="000000" w:themeColor="text1"/>
          <w:kern w:val="0"/>
          <w:sz w:val="28"/>
          <w:szCs w:val="28"/>
          <w14:ligatures w14:val="none"/>
        </w:rPr>
        <w:t>.</w:t>
      </w:r>
    </w:p>
    <w:p w14:paraId="5ADEC7BC"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الباحث في ضوء ما تقدم أن أهمية التحول الرقمي تتوزع على مستويات متعددة تتراوح بين المستوى التشغيلي المتمثل في تحسين الكفاءة، والمستوى الاستراتيجي المتمثل في تعزيز الميزة التنافسية، والمستوى المؤسسي المتمثل في تطوير جودة الأداء، والمستوى المجتمعي المتمثل في تحسين جودة الخدمات المقدمة للمستفيدين. وتتضاعف هذه الأهمية في المؤسسات الأكاديمية والصحية باعتبارها مؤسسات معرفية وخدمية في آنٍ واحد، وهو ما يُبرّر توجه هذه الدراسة نحو تناول التحول الرقمي في جامعة الملك سعود بن عبدالعزيز للعلوم الصحية</w:t>
      </w:r>
      <w:r w:rsidRPr="00F41F4C">
        <w:rPr>
          <w:rFonts w:ascii="Simplified Arabic" w:eastAsia="Times New Roman" w:hAnsi="Simplified Arabic" w:cs="Simplified Arabic"/>
          <w:color w:val="000000" w:themeColor="text1"/>
          <w:kern w:val="0"/>
          <w:sz w:val="28"/>
          <w:szCs w:val="28"/>
          <w14:ligatures w14:val="none"/>
        </w:rPr>
        <w:t>.</w:t>
      </w:r>
    </w:p>
    <w:p w14:paraId="2FA15D6D" w14:textId="1897AA67"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6089957"/>
      <w:r w:rsidRPr="00F41F4C">
        <w:rPr>
          <w:rFonts w:ascii="Simplified Arabic" w:eastAsia="Times New Roman" w:hAnsi="Simplified Arabic" w:cs="Simplified Arabic" w:hint="cs"/>
          <w:b/>
          <w:bCs/>
          <w:color w:val="000000" w:themeColor="text1"/>
          <w:kern w:val="0"/>
          <w:sz w:val="32"/>
          <w:szCs w:val="32"/>
          <w:rtl/>
          <w14:ligatures w14:val="none"/>
        </w:rPr>
        <w:t>4.1.2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أهداف التحول الرقمي</w:t>
      </w:r>
      <w:bookmarkEnd w:id="49"/>
    </w:p>
    <w:p w14:paraId="5C89E82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تتنوع الأهداف التي تسعى المنظمات إلى تحقيقها من خلال تبنيها لمسار التحول الرقمي، وتتفاوت هذه الأهداف بحسب طبيعة المنظمة وقطاعها ومستوى نضجها الرقمي وسياقها البيئي. غير أن ثمة أهدافاً كبرى تتقاطع فيها الأدبيات، ويمكن استعراضها من خلال آراء الباحثين على النحو التالي</w:t>
      </w:r>
      <w:r w:rsidRPr="00F41F4C">
        <w:rPr>
          <w:rFonts w:ascii="Simplified Arabic" w:eastAsia="Times New Roman" w:hAnsi="Simplified Arabic" w:cs="Simplified Arabic"/>
          <w:color w:val="000000" w:themeColor="text1"/>
          <w:kern w:val="0"/>
          <w:sz w:val="28"/>
          <w:szCs w:val="28"/>
          <w14:ligatures w14:val="none"/>
        </w:rPr>
        <w:t>:</w:t>
      </w:r>
    </w:p>
    <w:p w14:paraId="319CEE6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يُشير (المومني والشواورة، ٢٠٢٤) إلى أن التحول الرقمي يسعى إلى تحقيق جملة من الأهداف الاستراتيجية، أبرزها: أولاً، تطوير الأداء المؤسسي عبر تحسين مخرجات العمليات ورفع جودتها. ثانياً، تعزيز قدرة المنظمة على التكيف مع متغيرات البيئة الرقمية المتسارعة. ثالثاً، تحسين تجربة المستفيد من الخدمات المؤسسية عبر قنوات تفاعلية متعددة. رابعاً، بناء منظومة معلوماتية تكاملية تدعم اتخاذ القرار. خامساً، ترشيد استخدام الموارد وتقليل الهدر التشغيلي</w:t>
      </w:r>
      <w:r w:rsidRPr="00F41F4C">
        <w:rPr>
          <w:rFonts w:ascii="Simplified Arabic" w:eastAsia="Times New Roman" w:hAnsi="Simplified Arabic" w:cs="Simplified Arabic"/>
          <w:color w:val="000000" w:themeColor="text1"/>
          <w:kern w:val="0"/>
          <w:sz w:val="28"/>
          <w:szCs w:val="28"/>
          <w14:ligatures w14:val="none"/>
        </w:rPr>
        <w:t>.</w:t>
      </w:r>
    </w:p>
    <w:p w14:paraId="6C738A89"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w:t>
      </w:r>
      <w:r w:rsidRPr="00F41F4C">
        <w:rPr>
          <w:rFonts w:ascii="Simplified Arabic" w:eastAsia="Times New Roman" w:hAnsi="Simplified Arabic" w:cs="Simplified Arabic"/>
          <w:color w:val="000000" w:themeColor="text1"/>
          <w:kern w:val="0"/>
          <w:sz w:val="28"/>
          <w:szCs w:val="28"/>
          <w14:ligatures w14:val="none"/>
        </w:rPr>
        <w:t xml:space="preserve"> (Teng et al., 2022) </w:t>
      </w:r>
      <w:r w:rsidRPr="00F41F4C">
        <w:rPr>
          <w:rFonts w:ascii="Simplified Arabic" w:eastAsia="Times New Roman" w:hAnsi="Simplified Arabic" w:cs="Simplified Arabic"/>
          <w:color w:val="000000" w:themeColor="text1"/>
          <w:kern w:val="0"/>
          <w:sz w:val="28"/>
          <w:szCs w:val="28"/>
          <w:rtl/>
          <w14:ligatures w14:val="none"/>
        </w:rPr>
        <w:t>أن أهداف التحول الرقمي في الشركات الصغيرة والمتوسطة تتمحور حول: تعزيز الاستدامة المؤسسية عبر بناء قدرات رقمية طويلة المدى، وتحسين المرونة التشغيلية بما يُمكّن المنظمة من الاستجابة السريعة لتقلبات السوق، وتطوير نماذج أعمال جديدة تعتمد على المنصات الرقمية، وتوسيع نطاق الوصول إلى الأسواق الجديدة، وبناء علاقات أكثر عمقاً وتفاعلية مع العملاء عبر أدوات إدارة علاقات العملاء الرقمية</w:t>
      </w:r>
      <w:r w:rsidRPr="00F41F4C">
        <w:rPr>
          <w:rFonts w:ascii="Simplified Arabic" w:eastAsia="Times New Roman" w:hAnsi="Simplified Arabic" w:cs="Simplified Arabic"/>
          <w:color w:val="000000" w:themeColor="text1"/>
          <w:kern w:val="0"/>
          <w:sz w:val="28"/>
          <w:szCs w:val="28"/>
          <w14:ligatures w14:val="none"/>
        </w:rPr>
        <w:t>.</w:t>
      </w:r>
    </w:p>
    <w:p w14:paraId="279699CA"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ويُوضّح (علي وعبدالستار، ٢٠٢٥) في معالجته لنظم المعلومات الإدارية بوصفها إحدى ركائز التحول الرقمي، أن الأهداف الجوهرية لهذا التحول تتضمن: تعزيز كفاءة تدفق المعلومات داخل المنظمة، ودعم عمليات التخطيط والرقابة، ورفع مستوى دقة البيانات الإدارية والمالية، وتقليل زمن اتخاذ القرار، وتحسين التنسيق بين الوحدات التنظيمية المختلفة، وبناء ذاكرة مؤسسية رقمية تحفظ المعرفة التنظيمية وتُتيح استرجاعها والاستفادة منها</w:t>
      </w:r>
      <w:r w:rsidRPr="00F41F4C">
        <w:rPr>
          <w:rFonts w:ascii="Simplified Arabic" w:eastAsia="Times New Roman" w:hAnsi="Simplified Arabic" w:cs="Simplified Arabic"/>
          <w:color w:val="000000" w:themeColor="text1"/>
          <w:kern w:val="0"/>
          <w:sz w:val="28"/>
          <w:szCs w:val="28"/>
          <w14:ligatures w14:val="none"/>
        </w:rPr>
        <w:t>.</w:t>
      </w:r>
    </w:p>
    <w:p w14:paraId="5796A323"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الأداء العالي للمنظمات، يُبرز</w:t>
      </w:r>
      <w:r w:rsidRPr="00F41F4C">
        <w:rPr>
          <w:rFonts w:ascii="Simplified Arabic" w:eastAsia="Times New Roman" w:hAnsi="Simplified Arabic" w:cs="Simplified Arabic"/>
          <w:color w:val="000000" w:themeColor="text1"/>
          <w:kern w:val="0"/>
          <w:sz w:val="28"/>
          <w:szCs w:val="28"/>
          <w14:ligatures w14:val="none"/>
        </w:rPr>
        <w:t xml:space="preserve"> (Meng et al., 2022) </w:t>
      </w:r>
      <w:r w:rsidRPr="00F41F4C">
        <w:rPr>
          <w:rFonts w:ascii="Simplified Arabic" w:eastAsia="Times New Roman" w:hAnsi="Simplified Arabic" w:cs="Simplified Arabic"/>
          <w:color w:val="000000" w:themeColor="text1"/>
          <w:kern w:val="0"/>
          <w:sz w:val="28"/>
          <w:szCs w:val="28"/>
          <w:rtl/>
          <w14:ligatures w14:val="none"/>
        </w:rPr>
        <w:t>أن التحول الرقمي يستهدف تعزيز الأداء الاجتماعي للشركات إلى جانب أدائها الاقتصادي، من خلال تحسين الحوكمة المؤسسية، ورفع مستوى المسؤولية الاجتماعية للشركات، وتعزيز الشفافية أمام أصحاب المصلحة، وبناء بيئة عمل أكثر شمولاً وعدالة، وتمكين مجالس الإدارة من ممارسة أدوارها الرقابية بشكل أكثر فاعلية عبر أدوات المتابعة الرقمية</w:t>
      </w:r>
      <w:r w:rsidRPr="00F41F4C">
        <w:rPr>
          <w:rFonts w:ascii="Simplified Arabic" w:eastAsia="Times New Roman" w:hAnsi="Simplified Arabic" w:cs="Simplified Arabic"/>
          <w:color w:val="000000" w:themeColor="text1"/>
          <w:kern w:val="0"/>
          <w:sz w:val="28"/>
          <w:szCs w:val="28"/>
          <w14:ligatures w14:val="none"/>
        </w:rPr>
        <w:t>.</w:t>
      </w:r>
    </w:p>
    <w:p w14:paraId="48FD5DD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ويذهب</w:t>
      </w:r>
      <w:r w:rsidRPr="00F41F4C">
        <w:rPr>
          <w:rFonts w:ascii="Simplified Arabic" w:eastAsia="Times New Roman" w:hAnsi="Simplified Arabic" w:cs="Simplified Arabic"/>
          <w:color w:val="000000" w:themeColor="text1"/>
          <w:kern w:val="0"/>
          <w:sz w:val="28"/>
          <w:szCs w:val="28"/>
          <w14:ligatures w14:val="none"/>
        </w:rPr>
        <w:t xml:space="preserve"> (Chen &amp; Hao, 2022) </w:t>
      </w:r>
      <w:r w:rsidRPr="00F41F4C">
        <w:rPr>
          <w:rFonts w:ascii="Simplified Arabic" w:eastAsia="Times New Roman" w:hAnsi="Simplified Arabic" w:cs="Simplified Arabic"/>
          <w:color w:val="000000" w:themeColor="text1"/>
          <w:kern w:val="0"/>
          <w:sz w:val="28"/>
          <w:szCs w:val="28"/>
          <w:rtl/>
          <w14:ligatures w14:val="none"/>
        </w:rPr>
        <w:t>إلى أن التحول الرقمي يسعى كذلك إلى تحقيق أهداف بيئية واستدامية، إذ يُسهم في تحسين الأداء البيئي للمنظمات عبر ترشيد استهلاك الطاقة، وتقليل البصمة الكربونية للعمليات، ودعم توجهات الاقتصاد الدائري، وتطوير حلول رقمية تُقلّل من الاعتماد على الموارد المادية. وتُعدّ هذه الأهداف البيئية من الأهداف الحديثة نسبياً التي أُضيفت إلى منظومة أهداف التحول الرقمي في العقد الأخير</w:t>
      </w:r>
      <w:r w:rsidRPr="00F41F4C">
        <w:rPr>
          <w:rFonts w:ascii="Simplified Arabic" w:eastAsia="Times New Roman" w:hAnsi="Simplified Arabic" w:cs="Simplified Arabic"/>
          <w:color w:val="000000" w:themeColor="text1"/>
          <w:kern w:val="0"/>
          <w:sz w:val="28"/>
          <w:szCs w:val="28"/>
          <w14:ligatures w14:val="none"/>
        </w:rPr>
        <w:t>.</w:t>
      </w:r>
    </w:p>
    <w:p w14:paraId="3B06D38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ويُلخّص (رشق، ٢٠٢٥) أهداف التحول الرقمي في القطاعين العام والخاص في محاور عدة: بناء بيئة عمل رقمية متكاملة، وتحسين جودة الخدمات المقدمة، ورفع كفاءة العمليات الإدارية والفنية، وتطوير مهارات العاملين وتأهيلهم رقمياً، وتعزيز التكامل بين الوحدات التنظيمية، وبناء قدرات المنظمة على الابتكار المستمر. ويرى الباحث أن هذه المحاور تُشكّل خارطة طريق شاملة يمكن اعتمادها إطاراً مرجعياً في تقييم مدى تحقق أهداف التحول الرقمي في أي منظمة</w:t>
      </w:r>
      <w:r w:rsidRPr="00F41F4C">
        <w:rPr>
          <w:rFonts w:ascii="Simplified Arabic" w:eastAsia="Times New Roman" w:hAnsi="Simplified Arabic" w:cs="Simplified Arabic"/>
          <w:color w:val="000000" w:themeColor="text1"/>
          <w:kern w:val="0"/>
          <w:sz w:val="28"/>
          <w:szCs w:val="28"/>
          <w14:ligatures w14:val="none"/>
        </w:rPr>
        <w:t>.</w:t>
      </w:r>
    </w:p>
    <w:p w14:paraId="0FEEDA7C"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ويُضيف</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في دراستهم المنهجية للتحول الرقمي في التعليم العالي أن الأهداف الخاصة بالمؤسسات الأكاديمية تشمل: تحسين جودة العملية التعليمية، وتطوير البنية البحثية، ورفع كفاءة الإدارة الأكاديمية، وتعزيز التكامل بين الجامعة ومحيطها المجتمعي، وبناء منظومة تعليم مرن تستوعب أنماط التعلم المتنوعة، ورفع مستوى تنافسية الجامعة في التصنيفات العالمية</w:t>
      </w:r>
      <w:r w:rsidRPr="00F41F4C">
        <w:rPr>
          <w:rFonts w:ascii="Simplified Arabic" w:eastAsia="Times New Roman" w:hAnsi="Simplified Arabic" w:cs="Simplified Arabic"/>
          <w:color w:val="000000" w:themeColor="text1"/>
          <w:kern w:val="0"/>
          <w:sz w:val="28"/>
          <w:szCs w:val="28"/>
          <w14:ligatures w14:val="none"/>
        </w:rPr>
        <w:t>.</w:t>
      </w:r>
    </w:p>
    <w:p w14:paraId="5940901A"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ويستنتج الباحث في ضوء ما تقدم أن أهداف التحول الرقمي في المؤسسات الأكاديمية والصحية، وهي البيئة التطبيقية لهذه الدراسة، تتوزع على أربعة محاور رئيسية: محور تطوير البنية التحتية الرقمية بوصفها ركيزة الأداء، ومحور تنمية الكفاءات الرقمية للعاملين، ومحور تعزيز القيادة الرقمية بوصفها موجهاً للتحول، ومحور بناء استراتيجية رقمية متكاملة توجّه المسار العام. وتتقاطع هذه المحاور بشكل واضح مع أبعاد المتغير المستقل في هذه الدراسة، مما يُشير إلى انسجام الأهداف مع البنية القياسية المعتمدة</w:t>
      </w:r>
      <w:r w:rsidRPr="00F41F4C">
        <w:rPr>
          <w:rFonts w:ascii="Simplified Arabic" w:eastAsia="Times New Roman" w:hAnsi="Simplified Arabic" w:cs="Simplified Arabic"/>
          <w:color w:val="000000" w:themeColor="text1"/>
          <w:kern w:val="0"/>
          <w:sz w:val="28"/>
          <w:szCs w:val="28"/>
          <w14:ligatures w14:val="none"/>
        </w:rPr>
        <w:t>.</w:t>
      </w:r>
    </w:p>
    <w:p w14:paraId="1CE5131C" w14:textId="747872CF"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6089958"/>
      <w:r w:rsidRPr="00F41F4C">
        <w:rPr>
          <w:rFonts w:ascii="Simplified Arabic" w:eastAsia="Times New Roman" w:hAnsi="Simplified Arabic" w:cs="Simplified Arabic" w:hint="cs"/>
          <w:b/>
          <w:bCs/>
          <w:color w:val="000000" w:themeColor="text1"/>
          <w:kern w:val="0"/>
          <w:sz w:val="32"/>
          <w:szCs w:val="32"/>
          <w:rtl/>
          <w14:ligatures w14:val="none"/>
        </w:rPr>
        <w:t>5.1.2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أبعاد التحول الرقمي</w:t>
      </w:r>
      <w:bookmarkEnd w:id="50"/>
    </w:p>
    <w:p w14:paraId="1B1ACE99"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تم تحديد أبعاد التحول الرقمي في هذه الدراسة بناءً على المعالجة النظرية والتطبيقية التي تناولت المفهوم في عدد من الدراسات الحديثة، وفي مقدمتها دراسة (العريمي والحراحشة، ٢٠٢٤) التي تناولت أبعاد التحول الرقمي في هيئة تنظيم قطاع الاتصالات، ودراسة (أبو نصير وكناكرية، ٢٠٢٤) التي عالجت أبعاده في البيئة الجامعية، ودراسة (شحاتة ورضوان، ٢٠٢٤) التي تناولته في القطاع الحكومي، فضلاً عن </w:t>
      </w:r>
      <w:r w:rsidRPr="00F41F4C">
        <w:rPr>
          <w:rFonts w:ascii="Simplified Arabic" w:eastAsia="Times New Roman" w:hAnsi="Simplified Arabic" w:cs="Simplified Arabic"/>
          <w:color w:val="000000" w:themeColor="text1"/>
          <w:kern w:val="0"/>
          <w:sz w:val="28"/>
          <w:szCs w:val="28"/>
          <w:rtl/>
          <w14:ligatures w14:val="none"/>
        </w:rPr>
        <w:lastRenderedPageBreak/>
        <w:t>دراسة</w:t>
      </w:r>
      <w:r w:rsidRPr="00F41F4C">
        <w:rPr>
          <w:rFonts w:ascii="Simplified Arabic" w:eastAsia="Times New Roman" w:hAnsi="Simplified Arabic" w:cs="Simplified Arabic"/>
          <w:color w:val="000000" w:themeColor="text1"/>
          <w:kern w:val="0"/>
          <w:sz w:val="28"/>
          <w:szCs w:val="28"/>
          <w14:ligatures w14:val="none"/>
        </w:rPr>
        <w:t xml:space="preserve"> (Al Masadeh et al., 2024) </w:t>
      </w:r>
      <w:r w:rsidRPr="00F41F4C">
        <w:rPr>
          <w:rFonts w:ascii="Simplified Arabic" w:eastAsia="Times New Roman" w:hAnsi="Simplified Arabic" w:cs="Simplified Arabic"/>
          <w:color w:val="000000" w:themeColor="text1"/>
          <w:kern w:val="0"/>
          <w:sz w:val="28"/>
          <w:szCs w:val="28"/>
          <w:rtl/>
          <w14:ligatures w14:val="none"/>
        </w:rPr>
        <w:t>التي أطّرت أبعاده في الجامعات الأردنية الخاصة. وقد استقر الباحث في ضوء هذه المعالجات على أربعة أبعاد رئيسية تُشكّل البنية القياسية للمتغير المستقل: البنية التحتية الرقمية، والكفاءات والمهارات الرقمية، والقيادة الرقمية، واستراتيجية التحول الرقمي، ويأتي شرحها على النحو التالي</w:t>
      </w:r>
      <w:r w:rsidRPr="00F41F4C">
        <w:rPr>
          <w:rFonts w:ascii="Simplified Arabic" w:eastAsia="Times New Roman" w:hAnsi="Simplified Arabic" w:cs="Simplified Arabic"/>
          <w:color w:val="000000" w:themeColor="text1"/>
          <w:kern w:val="0"/>
          <w:sz w:val="28"/>
          <w:szCs w:val="28"/>
          <w14:ligatures w14:val="none"/>
        </w:rPr>
        <w:t>:</w:t>
      </w:r>
    </w:p>
    <w:p w14:paraId="6E748A9D"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الأول: البنية التحتية الرقمية</w:t>
      </w:r>
    </w:p>
    <w:p w14:paraId="07F68A5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تُمثّل البنية التحتية الرقمية القاعدة المادية والتقنية التي يقوم عليها أي مسار للتحول الرقمي، وتشمل مجموعة الأصول التقنية والأنظمة والشبكات وقواعد البيانات ومنصات الحوسبة السحابية التي تُتيح للمنظمة تنفيذ عملياتها الرقمية بكفاءة وموثوقية. ويرى</w:t>
      </w:r>
      <w:r w:rsidRPr="00F41F4C">
        <w:rPr>
          <w:rFonts w:ascii="Simplified Arabic" w:eastAsia="Times New Roman" w:hAnsi="Simplified Arabic" w:cs="Simplified Arabic"/>
          <w:color w:val="000000" w:themeColor="text1"/>
          <w:kern w:val="0"/>
          <w:sz w:val="28"/>
          <w:szCs w:val="28"/>
          <w14:ligatures w14:val="none"/>
        </w:rPr>
        <w:t xml:space="preserve"> (Al Masadeh et al., 2024) </w:t>
      </w:r>
      <w:r w:rsidRPr="00F41F4C">
        <w:rPr>
          <w:rFonts w:ascii="Simplified Arabic" w:eastAsia="Times New Roman" w:hAnsi="Simplified Arabic" w:cs="Simplified Arabic"/>
          <w:color w:val="000000" w:themeColor="text1"/>
          <w:kern w:val="0"/>
          <w:sz w:val="28"/>
          <w:szCs w:val="28"/>
          <w:rtl/>
          <w14:ligatures w14:val="none"/>
        </w:rPr>
        <w:t>أن البنية التحتية الرقمية في الجامعات تتضمن الأجهزة والبرمجيات وأنظمة إدارة التعلم وشبكات الاتصال الداخلية والخارجية، وهي عناصر يتوقف عليها نجاح أي مبادرة رقمية لاحقة. ويُبرز الباحثان أن جودة هذه البنية تتحدد ليس فقط بحداثة مكوناتها التقنية، بل بمستوى تكامل هذه المكونات وقدرتها على التوسع والاستجابة لمتطلبات المستفيدين المتنامية</w:t>
      </w:r>
      <w:r w:rsidRPr="00F41F4C">
        <w:rPr>
          <w:rFonts w:ascii="Simplified Arabic" w:eastAsia="Times New Roman" w:hAnsi="Simplified Arabic" w:cs="Simplified Arabic"/>
          <w:color w:val="000000" w:themeColor="text1"/>
          <w:kern w:val="0"/>
          <w:sz w:val="28"/>
          <w:szCs w:val="28"/>
          <w14:ligatures w14:val="none"/>
        </w:rPr>
        <w:t>.</w:t>
      </w:r>
    </w:p>
    <w:p w14:paraId="18271031"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وتتضمن البنية التحتية الرقمية جملة من العناصر الفرعية التي تتضافر لتُشكّل منظومة متكاملة؛ فمن جهة نجد المكونات المادية كالخوادم وأجهزة الشبكات ومراكز البيانات، ومن جهة أخرى تبرز المكونات البرمجية كأنظمة التشغيل وقواعد البيانات والتطبيقات المؤسسية، وتنضم إليها منصات الاتصال وأدوات التعاون الرقمي التي أصبحت ركيزة أساسية في بيئات العمل الحديثة. ويُشير</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في معالجته لأثر التحول الرقمي على الإنتاجية إلى أن البنية التحتية الرقمية تُمثّل الشرط المؤسسي المسبق الذي يُتيح للمنظمة تجاوز عتبة معينة من النضج الرقمي، بعدها تبدأ العوائد الإيجابية للتحول الرقمي في الظهور بشكل ملموس</w:t>
      </w:r>
      <w:r w:rsidRPr="00F41F4C">
        <w:rPr>
          <w:rFonts w:ascii="Simplified Arabic" w:eastAsia="Times New Roman" w:hAnsi="Simplified Arabic" w:cs="Simplified Arabic"/>
          <w:color w:val="000000" w:themeColor="text1"/>
          <w:kern w:val="0"/>
          <w:sz w:val="28"/>
          <w:szCs w:val="28"/>
          <w14:ligatures w14:val="none"/>
        </w:rPr>
        <w:t>.</w:t>
      </w:r>
    </w:p>
    <w:p w14:paraId="2DA4EBB0"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كما تشمل البنية التحتية الرقمية أنظمة الأمن السيبراني وحماية البيانات، التي باتت تُعدّ عنصراً حاسماً في تقييم جاهزية أي منظمة رقمياً، لا سيما في المؤسسات الأكاديمية والصحية التي تتعامل مع بيانات حساسة تتصل بالمستفيدين والأبحاث والسجلات. وأضاف (الجطلاوي وعمر، ٢٠٢٥) في معالجته لجاهزية البلديات الرقمية أن تقييم البنية التحتية الرقمية لا يقتصر على وجود المكونات، بل يمتد إلى قياس مستوى الاستفادة الفعلية منها، ومدى تكاملها مع المنظومة التنظيمية الكلية، وقابليتها للتحديث المستمر</w:t>
      </w:r>
      <w:r w:rsidRPr="00F41F4C">
        <w:rPr>
          <w:rFonts w:ascii="Simplified Arabic" w:eastAsia="Times New Roman" w:hAnsi="Simplified Arabic" w:cs="Simplified Arabic"/>
          <w:color w:val="000000" w:themeColor="text1"/>
          <w:kern w:val="0"/>
          <w:sz w:val="28"/>
          <w:szCs w:val="28"/>
          <w14:ligatures w14:val="none"/>
        </w:rPr>
        <w:t>.</w:t>
      </w:r>
    </w:p>
    <w:p w14:paraId="2AF28825"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lastRenderedPageBreak/>
        <w:t>البُعد الثاني: الكفاءات والمهارات الرقمية</w:t>
      </w:r>
    </w:p>
    <w:p w14:paraId="355DB8A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يُشكّل هذا البُعد الركيزة البشرية للتحول الرقمي، إذ لا تكفي أحدث التقنيات وأكثرها تطوراً إن لم يتوفر الكادر البشري القادر على توظيفها بكفاءة. وتُعرَّف الكفاءات الرقمية بوصفها مجموعة المعارف والمهارات والقدرات التي تُمكّن العاملين من استخدام التقنيات الرقمية في أداء مهامهم، والتفاعل مع الأدوات الرقمية بمستوى عالٍ من الاحتراف. ويُبرز (قرقط ولعشب، ٢٠٢٣) في معالجته لأثر التحول الرقمي على أداء الموارد البشرية أن الكفاءات الرقمية لم تعد ترفاً وظيفياً بل شرطاً أساسياً للبقاء المهني في بيئات العمل الحديثة، وأنها تتراوح بين كفاءات أساسية يجب توفرها لدى جميع العاملين، وكفاءات متقدمة تخص فئات وظيفية محددة</w:t>
      </w:r>
      <w:r w:rsidRPr="00F41F4C">
        <w:rPr>
          <w:rFonts w:ascii="Simplified Arabic" w:eastAsia="Times New Roman" w:hAnsi="Simplified Arabic" w:cs="Simplified Arabic"/>
          <w:color w:val="000000" w:themeColor="text1"/>
          <w:kern w:val="0"/>
          <w:sz w:val="28"/>
          <w:szCs w:val="28"/>
          <w14:ligatures w14:val="none"/>
        </w:rPr>
        <w:t>.</w:t>
      </w:r>
    </w:p>
    <w:p w14:paraId="67829864"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وتتضمن الكفاءات الرقمية عدة أبعاد فرعية، منها البُعد المعرفي المتمثل في الإلمام بالتقنيات الحديثة ومفاهيمها، والبُعد المهاري المتمثل في القدرة على استخدام الأدوات والتطبيقات، والبُعد السلوكي المتمثل في الاستعداد للتعلم المستمر والتكيف مع التغيير التقني. ويُضيف (الحبيشي وطواف، ٢٠٢١) في معالجته لأداء شركات الاتصالات أن الكفاءات الرقمية تتطلب استثماراً منظماً في التدريب والتأهيل، إذ إن التقنيات الرقمية تتطور بمعدلات متسارعة تجعل من التدريب المستمر ضرورة مؤسسية</w:t>
      </w:r>
      <w:r w:rsidRPr="00F41F4C">
        <w:rPr>
          <w:rFonts w:ascii="Simplified Arabic" w:eastAsia="Times New Roman" w:hAnsi="Simplified Arabic" w:cs="Simplified Arabic"/>
          <w:color w:val="000000" w:themeColor="text1"/>
          <w:kern w:val="0"/>
          <w:sz w:val="28"/>
          <w:szCs w:val="28"/>
          <w14:ligatures w14:val="none"/>
        </w:rPr>
        <w:t>.</w:t>
      </w:r>
    </w:p>
    <w:p w14:paraId="181D227A"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ويُبرز</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أن الكفاءات الرقمية تُمثّل حلقة الوصل بين الاستثمار في التقنية والابتكار المؤسسي، إذ إن العاملين الذين يمتلكون مهارات رقمية عالية يستطيعون توظيف التقنيات المتاحة في إنتاج حلول مبتكرة وتحسينات نوعية على العمليات. ويُلفت الباحثون إلى أن بناء الكفاءات الرقمية يتطلب استراتيجية متكاملة تشمل الاستقطاب والتدريب والتحفيز والاحتفاظ بالمواهب الرقمية، إذ تواجه المنظمات منافسة حادة على هذه الفئة من الكوادر</w:t>
      </w:r>
      <w:r w:rsidRPr="00F41F4C">
        <w:rPr>
          <w:rFonts w:ascii="Simplified Arabic" w:eastAsia="Times New Roman" w:hAnsi="Simplified Arabic" w:cs="Simplified Arabic"/>
          <w:color w:val="000000" w:themeColor="text1"/>
          <w:kern w:val="0"/>
          <w:sz w:val="28"/>
          <w:szCs w:val="28"/>
          <w14:ligatures w14:val="none"/>
        </w:rPr>
        <w:t>.</w:t>
      </w:r>
    </w:p>
    <w:p w14:paraId="30C0563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ويُشير (ابن حليم وأندير والمجراب، ٢٠٢٤) إلى أن الكفاءات الرقمية في البيئة الجامعية تكتسب طابعاً مزدوجاً، إذ تشمل كفاءات إدارية تتصل بالعمل المؤسسي، وكفاءات أكاديمية تتصل بالتدريس والبحث العلمي، وهو ما يُشكّل تحدياً خاصاً للإدارة الجامعية في تصميم برامج تطوير الكفاءات. ويرى الباحث أن هذا الطابع المزدوج يتوفر بدرجة أكبر في الجامعات الصحية التي تجمع بين البُعد الأكاديمي والبُعد الخدمي الصحي</w:t>
      </w:r>
      <w:r w:rsidRPr="00F41F4C">
        <w:rPr>
          <w:rFonts w:ascii="Simplified Arabic" w:eastAsia="Times New Roman" w:hAnsi="Simplified Arabic" w:cs="Simplified Arabic"/>
          <w:color w:val="000000" w:themeColor="text1"/>
          <w:kern w:val="0"/>
          <w:sz w:val="28"/>
          <w:szCs w:val="28"/>
          <w14:ligatures w14:val="none"/>
        </w:rPr>
        <w:t>.</w:t>
      </w:r>
    </w:p>
    <w:p w14:paraId="5DB98401"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الثالث: القيادة الرقمية</w:t>
      </w:r>
    </w:p>
    <w:p w14:paraId="310A0164"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تُعدّ القيادة الرقمية من أحدث المفاهيم القيادية التي برزت في أدبيات الإدارة، وتُعرَّف بوصفها نمطاً قيادياً يجمع بين الكفاءات القيادية التقليدية والقدرات الرقمية المتقدمة، ويتميز بقدرته على قيادة التحول الرقمي في المنظمة بشكل رؤيوي واستراتيجي. ويُقدّم (أبو بكر والسويطي، ٢٠٢٤) معالجة موسعة للقيادة الرقمية، مبرزاً أنها ترتكز على جملة من الممارسات الأساسية، تبدأ بامتلاك القائد رؤية رقمية واضحة يستطيع إيصالها لفريقه، وتمتد إلى قدرته على اتخاذ القرارات المستندة إلى البيانات، وبناء ثقافة تنظيمية داعمة للتغيير الرقمي، وتمكين العاملين من ممارسة أدوارهم الرقمية بحرية وابتكار</w:t>
      </w:r>
      <w:r w:rsidRPr="00F41F4C">
        <w:rPr>
          <w:rFonts w:ascii="Simplified Arabic" w:eastAsia="Times New Roman" w:hAnsi="Simplified Arabic" w:cs="Simplified Arabic"/>
          <w:color w:val="000000" w:themeColor="text1"/>
          <w:kern w:val="0"/>
          <w:sz w:val="28"/>
          <w:szCs w:val="28"/>
          <w14:ligatures w14:val="none"/>
        </w:rPr>
        <w:t>.</w:t>
      </w:r>
    </w:p>
    <w:p w14:paraId="67E429CD"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وتتميز القيادة الرقمية بجملة من الخصائص التي تُميزها عن الأنماط القيادية التقليدية، فهي قيادة تشاركية تعتمد على تفويض الصلاحيات، وقيادة مرنة تتكيف مع التغيرات المتسارعة، وقيادة مبنية على التعلم المستمر والانفتاح على التقنيات الحديثة. ويُبرز</w:t>
      </w:r>
      <w:r w:rsidRPr="00F41F4C">
        <w:rPr>
          <w:rFonts w:ascii="Simplified Arabic" w:eastAsia="Times New Roman" w:hAnsi="Simplified Arabic" w:cs="Simplified Arabic"/>
          <w:color w:val="000000" w:themeColor="text1"/>
          <w:kern w:val="0"/>
          <w:sz w:val="28"/>
          <w:szCs w:val="28"/>
          <w14:ligatures w14:val="none"/>
        </w:rPr>
        <w:t xml:space="preserve"> (Meng et al., 2022) </w:t>
      </w:r>
      <w:r w:rsidRPr="00F41F4C">
        <w:rPr>
          <w:rFonts w:ascii="Simplified Arabic" w:eastAsia="Times New Roman" w:hAnsi="Simplified Arabic" w:cs="Simplified Arabic"/>
          <w:color w:val="000000" w:themeColor="text1"/>
          <w:kern w:val="0"/>
          <w:sz w:val="28"/>
          <w:szCs w:val="28"/>
          <w:rtl/>
          <w14:ligatures w14:val="none"/>
        </w:rPr>
        <w:t>أن القيادة الرقمية تُسهم في تعزيز الحوكمة المؤسسية عبر رفع مستوى الشفافية وتحسين قدرة مجالس الإدارة على الرقابة، وهو ما ينعكس إيجاباً على الأداء الاجتماعي للمنظمة</w:t>
      </w:r>
      <w:r w:rsidRPr="00F41F4C">
        <w:rPr>
          <w:rFonts w:ascii="Simplified Arabic" w:eastAsia="Times New Roman" w:hAnsi="Simplified Arabic" w:cs="Simplified Arabic"/>
          <w:color w:val="000000" w:themeColor="text1"/>
          <w:kern w:val="0"/>
          <w:sz w:val="28"/>
          <w:szCs w:val="28"/>
          <w14:ligatures w14:val="none"/>
        </w:rPr>
        <w:t>.</w:t>
      </w:r>
    </w:p>
    <w:p w14:paraId="37247A76"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كما تُميز القيادة الرقمية نفسها بقدرتها على إدارة الفرق الافتراضية والموزعة جغرافياً، وقيادة عمليات التحول عبر الأقسام والوحدات المختلفة، وبناء شبكات التعاون مع الشركاء الخارجيين. ويُشير</w:t>
      </w:r>
      <w:r w:rsidRPr="00F41F4C">
        <w:rPr>
          <w:rFonts w:ascii="Simplified Arabic" w:eastAsia="Times New Roman" w:hAnsi="Simplified Arabic" w:cs="Simplified Arabic"/>
          <w:color w:val="000000" w:themeColor="text1"/>
          <w:kern w:val="0"/>
          <w:sz w:val="28"/>
          <w:szCs w:val="28"/>
          <w14:ligatures w14:val="none"/>
        </w:rPr>
        <w:t xml:space="preserve"> (Chen &amp; Hao, 2022) </w:t>
      </w:r>
      <w:r w:rsidRPr="00F41F4C">
        <w:rPr>
          <w:rFonts w:ascii="Simplified Arabic" w:eastAsia="Times New Roman" w:hAnsi="Simplified Arabic" w:cs="Simplified Arabic"/>
          <w:color w:val="000000" w:themeColor="text1"/>
          <w:kern w:val="0"/>
          <w:sz w:val="28"/>
          <w:szCs w:val="28"/>
          <w:rtl/>
          <w14:ligatures w14:val="none"/>
        </w:rPr>
        <w:t>في معالجته لخصائص مجالس الإدارة إلى أن التركيبة القيادية للمنظمة تلعب دوراً وسيطاً في تحديد فاعلية التحول الرقمي، إذ إن مجالس الإدارة ذات التركيبة المتنوعة والتكوين المعرفي المناسب تستطيع دعم مسارات التحول بشكل أفضل</w:t>
      </w:r>
      <w:r w:rsidRPr="00F41F4C">
        <w:rPr>
          <w:rFonts w:ascii="Simplified Arabic" w:eastAsia="Times New Roman" w:hAnsi="Simplified Arabic" w:cs="Simplified Arabic"/>
          <w:color w:val="000000" w:themeColor="text1"/>
          <w:kern w:val="0"/>
          <w:sz w:val="28"/>
          <w:szCs w:val="28"/>
          <w14:ligatures w14:val="none"/>
        </w:rPr>
        <w:t>.</w:t>
      </w:r>
    </w:p>
    <w:p w14:paraId="0D7AC44E"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ويُضيف (جنيدي، ٢٠٢٤) في معالجته للريادة المؤسسية أن القيادة الرقمية تُمثّل حلقة الوصل بين استراتيجية التحول والريادة، إذ إن القائد الرقمي يمتلك القدرة على استشراف الفرص الرقمية وتحويلها إلى مشاريع ريادية تُضيف قيمة للمنظمة والمستفيدين. وهو ما يُبرز الطابع الاستراتيجي والابتكاري لهذا النمط القيادي</w:t>
      </w:r>
      <w:r w:rsidRPr="00F41F4C">
        <w:rPr>
          <w:rFonts w:ascii="Simplified Arabic" w:eastAsia="Times New Roman" w:hAnsi="Simplified Arabic" w:cs="Simplified Arabic"/>
          <w:color w:val="000000" w:themeColor="text1"/>
          <w:kern w:val="0"/>
          <w:sz w:val="28"/>
          <w:szCs w:val="28"/>
          <w14:ligatures w14:val="none"/>
        </w:rPr>
        <w:t>.</w:t>
      </w:r>
    </w:p>
    <w:p w14:paraId="39C9AA18"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الرابع: استراتيجية التحول الرقمي</w:t>
      </w:r>
    </w:p>
    <w:p w14:paraId="088F38A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 xml:space="preserve">يُمثّل هذا البُعد الإطار الشمولي الذي يوجّه جميع جهود التحول الرقمي في المنظمة، ويُعرَّف بأنه الخطة طويلة المدى التي تُحدّد الرؤية الرقمية للمنظمة وأهدافها ومساراتها ومواردها اللازمة لتحقيق التحول. ويُشير (العمريين والربابعة، ٢٠٢٣) إلى أن استراتيجية التحول الرقمي ترتبط ارتباطاً عضوياً بالاستراتيجية </w:t>
      </w:r>
      <w:r w:rsidRPr="00F41F4C">
        <w:rPr>
          <w:rFonts w:ascii="Simplified Arabic" w:eastAsia="Times New Roman" w:hAnsi="Simplified Arabic" w:cs="Simplified Arabic"/>
          <w:color w:val="000000" w:themeColor="text1"/>
          <w:kern w:val="0"/>
          <w:sz w:val="28"/>
          <w:szCs w:val="28"/>
          <w:rtl/>
          <w14:ligatures w14:val="none"/>
        </w:rPr>
        <w:lastRenderedPageBreak/>
        <w:t>الكلية للمنظمة، ولا يمكن أن تُصاغ بمعزل عنها، إذ إن التحول الرقمي ليس هدفاً في ذاته بل وسيلة لتحقيق الأهداف الاستراتيجية الكبرى</w:t>
      </w:r>
      <w:r w:rsidRPr="00F41F4C">
        <w:rPr>
          <w:rFonts w:ascii="Simplified Arabic" w:eastAsia="Times New Roman" w:hAnsi="Simplified Arabic" w:cs="Simplified Arabic"/>
          <w:color w:val="000000" w:themeColor="text1"/>
          <w:kern w:val="0"/>
          <w:sz w:val="28"/>
          <w:szCs w:val="28"/>
          <w14:ligatures w14:val="none"/>
        </w:rPr>
        <w:t>.</w:t>
      </w:r>
    </w:p>
    <w:p w14:paraId="797E3C81"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وتتضمن استراتيجية التحول الرقمي جملة من العناصر المتكاملة، تبدأ بالرؤية الرقمية التي تُحدّد ما تريد المنظمة أن تكون عليه رقمياً، وتمتد إلى تحديد الأهداف الرقمية القابلة للقياس، ورسم خارطة الطريق التي تُحدّد المراحل والأولويات، وتوزيع الأدوار والمسؤوليات، وتحديد الموارد المطلوبة، وتصميم مؤشرات الأداء التي تُتيح متابعة التقدم. ويُلاحظ</w:t>
      </w:r>
      <w:r w:rsidRPr="00F41F4C">
        <w:rPr>
          <w:rFonts w:ascii="Simplified Arabic" w:eastAsia="Times New Roman" w:hAnsi="Simplified Arabic" w:cs="Simplified Arabic"/>
          <w:color w:val="000000" w:themeColor="text1"/>
          <w:kern w:val="0"/>
          <w:sz w:val="28"/>
          <w:szCs w:val="28"/>
          <w14:ligatures w14:val="none"/>
        </w:rPr>
        <w:t xml:space="preserve"> (Egbeleo &amp; Sodokin, 2025) </w:t>
      </w:r>
      <w:r w:rsidRPr="00F41F4C">
        <w:rPr>
          <w:rFonts w:ascii="Simplified Arabic" w:eastAsia="Times New Roman" w:hAnsi="Simplified Arabic" w:cs="Simplified Arabic"/>
          <w:color w:val="000000" w:themeColor="text1"/>
          <w:kern w:val="0"/>
          <w:sz w:val="28"/>
          <w:szCs w:val="28"/>
          <w:rtl/>
          <w14:ligatures w14:val="none"/>
        </w:rPr>
        <w:t>أن الاستراتيجية الرقمية الفاعلة ترتبط بجودة المؤسسات، إذ إن المنظمات التي تمتلك جودة مؤسسية عالية تستطيع صياغة استراتيجيات رقمية أكثر واقعية وقابلية للتنفيذ</w:t>
      </w:r>
      <w:r w:rsidRPr="00F41F4C">
        <w:rPr>
          <w:rFonts w:ascii="Simplified Arabic" w:eastAsia="Times New Roman" w:hAnsi="Simplified Arabic" w:cs="Simplified Arabic"/>
          <w:color w:val="000000" w:themeColor="text1"/>
          <w:kern w:val="0"/>
          <w:sz w:val="28"/>
          <w:szCs w:val="28"/>
          <w14:ligatures w14:val="none"/>
        </w:rPr>
        <w:t>.</w:t>
      </w:r>
    </w:p>
    <w:p w14:paraId="7AE42422"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ويُبرز</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أن استراتيجية التحول الرقمي في مؤسسات التعليم العالي تكتسب طابعاً خاصاً، إذ تحتاج إلى التوفيق بين متطلبات الجودة الأكاديمية، وضغوط الرقمنة، وتوقعات الطلاب والمجتمع. ويُشير الباحثون إلى أن استراتيجية التحول الرقمي الجامعية يجب أن تكون شاملة بحيث تستوعب الأبعاد الأكاديمية والإدارية والبحثية والخدمية في آنٍ واحد</w:t>
      </w:r>
      <w:r w:rsidRPr="00F41F4C">
        <w:rPr>
          <w:rFonts w:ascii="Simplified Arabic" w:eastAsia="Times New Roman" w:hAnsi="Simplified Arabic" w:cs="Simplified Arabic"/>
          <w:color w:val="000000" w:themeColor="text1"/>
          <w:kern w:val="0"/>
          <w:sz w:val="28"/>
          <w:szCs w:val="28"/>
          <w14:ligatures w14:val="none"/>
        </w:rPr>
        <w:t>.</w:t>
      </w:r>
    </w:p>
    <w:p w14:paraId="1D4B358C"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جانب آخر، يذهب (رشق، ٢٠٢٥) إلى أن استراتيجية التحول الرقمي تحتاج إلى مرونة عالية تُمكّنها من التكيف مع المستجدات التقنية والبيئية، مع الحفاظ على استقرار التوجه العام. ويرى الباحث أن هذا التوازن بين الاستقرار والمرونة يُعدّ من أكبر التحديات التي تواجه صانعي القرار في المنظمات المتوجهة نحو التحول الرقمي</w:t>
      </w:r>
      <w:r w:rsidRPr="00F41F4C">
        <w:rPr>
          <w:rFonts w:ascii="Simplified Arabic" w:eastAsia="Times New Roman" w:hAnsi="Simplified Arabic" w:cs="Simplified Arabic"/>
          <w:color w:val="000000" w:themeColor="text1"/>
          <w:kern w:val="0"/>
          <w:sz w:val="28"/>
          <w:szCs w:val="28"/>
          <w14:ligatures w14:val="none"/>
        </w:rPr>
        <w:t>.</w:t>
      </w:r>
    </w:p>
    <w:p w14:paraId="695205D0" w14:textId="6ACB27C4" w:rsidR="00A252BA" w:rsidRPr="00F41F4C" w:rsidRDefault="009F321C" w:rsidP="009F321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6089959"/>
      <w:r w:rsidRPr="00F41F4C">
        <w:rPr>
          <w:rFonts w:ascii="Simplified Arabic" w:eastAsia="Times New Roman" w:hAnsi="Simplified Arabic" w:cs="Simplified Arabic" w:hint="cs"/>
          <w:b/>
          <w:bCs/>
          <w:color w:val="000000" w:themeColor="text1"/>
          <w:kern w:val="0"/>
          <w:sz w:val="32"/>
          <w:szCs w:val="32"/>
          <w:rtl/>
          <w14:ligatures w14:val="none"/>
        </w:rPr>
        <w:t>6.1.2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التحول الرقمي</w:t>
      </w:r>
      <w:bookmarkEnd w:id="51"/>
    </w:p>
    <w:p w14:paraId="0AB5E11F" w14:textId="77777777" w:rsidR="00A252BA" w:rsidRPr="00F41F4C" w:rsidRDefault="00A252BA" w:rsidP="009F321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تتنوع الاستراتيجيات التي تنتهجها المنظمات في تطبيق التحول الرقمي، وتتفاوت هذه الاستراتيجيات بحسب مستوى نضج المنظمة الرقمي وطبيعة قطاعها وأولوياتها الاستراتيجية. ويمكن تصنيف هذه الاستراتيجيات في عدة أنماط رئيسية</w:t>
      </w:r>
      <w:r w:rsidRPr="00F41F4C">
        <w:rPr>
          <w:rFonts w:ascii="Simplified Arabic" w:eastAsia="Times New Roman" w:hAnsi="Simplified Arabic" w:cs="Simplified Arabic"/>
          <w:color w:val="000000" w:themeColor="text1"/>
          <w:kern w:val="0"/>
          <w:sz w:val="28"/>
          <w:szCs w:val="28"/>
          <w14:ligatures w14:val="none"/>
        </w:rPr>
        <w:t>:</w:t>
      </w:r>
    </w:p>
    <w:p w14:paraId="7E8A0C98" w14:textId="77777777" w:rsidR="00A252BA" w:rsidRPr="00F41F4C" w:rsidRDefault="00A252BA" w:rsidP="009F321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النمط الأول هو الاستراتيجية التدريجية التي تعتمد على التحول المرحلي المتسلسل، بدءاً من رقمنة العمليات الأساسية وصولاً إلى إعادة هيكلة نموذج العمل بالكامل. ويرى</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تُناسب المنظمات الكبيرة ذات الهياكل المعقدة التي لا تحتمل تحولات مفاجئة، إذ تُتيح لها استيعاب التغيير بشكل تدريجي وتقليل مقاومته من قبل العاملين</w:t>
      </w:r>
      <w:r w:rsidRPr="00F41F4C">
        <w:rPr>
          <w:rFonts w:ascii="Simplified Arabic" w:eastAsia="Times New Roman" w:hAnsi="Simplified Arabic" w:cs="Simplified Arabic"/>
          <w:color w:val="000000" w:themeColor="text1"/>
          <w:kern w:val="0"/>
          <w:sz w:val="28"/>
          <w:szCs w:val="28"/>
          <w14:ligatures w14:val="none"/>
        </w:rPr>
        <w:t>.</w:t>
      </w:r>
    </w:p>
    <w:p w14:paraId="1112151D" w14:textId="77777777" w:rsidR="00A252BA" w:rsidRPr="00F41F4C" w:rsidRDefault="00A252BA" w:rsidP="009F321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النمط الثاني هو الاستراتيجية التحويلية الشاملة التي تعتمد على إحداث تغيير جذري وسريع في المنظمة، وتُناسب المنظمات الصغيرة والمتوسطة والشركات الناشئة التي تتمتع بمرونة تنظيمية عالية. ويُشير</w:t>
      </w:r>
      <w:r w:rsidRPr="00F41F4C">
        <w:rPr>
          <w:rFonts w:ascii="Simplified Arabic" w:eastAsia="Times New Roman" w:hAnsi="Simplified Arabic" w:cs="Simplified Arabic"/>
          <w:color w:val="000000" w:themeColor="text1"/>
          <w:kern w:val="0"/>
          <w:sz w:val="28"/>
          <w:szCs w:val="28"/>
          <w14:ligatures w14:val="none"/>
        </w:rPr>
        <w:t xml:space="preserve"> (Teng et al., 2022) </w:t>
      </w:r>
      <w:r w:rsidRPr="00F41F4C">
        <w:rPr>
          <w:rFonts w:ascii="Simplified Arabic" w:eastAsia="Times New Roman" w:hAnsi="Simplified Arabic" w:cs="Simplified Arabic"/>
          <w:color w:val="000000" w:themeColor="text1"/>
          <w:kern w:val="0"/>
          <w:sz w:val="28"/>
          <w:szCs w:val="28"/>
          <w:rtl/>
          <w14:ligatures w14:val="none"/>
        </w:rPr>
        <w:t>إلى أن هذه الاستراتيجية تنطوي على مخاطر أعلى ولكنها تُتيح تحقيق قفزات نوعية في زمن قصير</w:t>
      </w:r>
      <w:r w:rsidRPr="00F41F4C">
        <w:rPr>
          <w:rFonts w:ascii="Simplified Arabic" w:eastAsia="Times New Roman" w:hAnsi="Simplified Arabic" w:cs="Simplified Arabic"/>
          <w:color w:val="000000" w:themeColor="text1"/>
          <w:kern w:val="0"/>
          <w:sz w:val="28"/>
          <w:szCs w:val="28"/>
          <w14:ligatures w14:val="none"/>
        </w:rPr>
        <w:t>.</w:t>
      </w:r>
    </w:p>
    <w:p w14:paraId="7DC0B09B" w14:textId="77777777" w:rsidR="00A252BA" w:rsidRPr="00F41F4C" w:rsidRDefault="00A252BA" w:rsidP="009F321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النمط الثالث هو الاستراتيجية الهجينة التي تجمع بين التدرج في بعض العمليات والتحول السريع في عمليات أخرى، وذلك بحسب أولويات المنظمة وطبيعة كل عملية. ويرى (شحاتة ورضوان، ٢٠٢٤) أن هذه الاستراتيجية تكتسب أهمية خاصة في المؤسسات الحكومية التي تحتاج إلى الموازنة بين متطلبات التحديث ومقتضيات الاستقرار المؤسسي</w:t>
      </w:r>
      <w:r w:rsidRPr="00F41F4C">
        <w:rPr>
          <w:rFonts w:ascii="Simplified Arabic" w:eastAsia="Times New Roman" w:hAnsi="Simplified Arabic" w:cs="Simplified Arabic"/>
          <w:color w:val="000000" w:themeColor="text1"/>
          <w:kern w:val="0"/>
          <w:sz w:val="28"/>
          <w:szCs w:val="28"/>
          <w14:ligatures w14:val="none"/>
        </w:rPr>
        <w:t>.</w:t>
      </w:r>
    </w:p>
    <w:p w14:paraId="6444178D" w14:textId="77777777" w:rsidR="00A252BA" w:rsidRPr="00F41F4C" w:rsidRDefault="00A252BA" w:rsidP="009F321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النمط الرابع هو الاستراتيجية القائمة على البيانات، التي تُركّز على بناء منظومة معلوماتية متكاملة أولاً، ثم توظيف البيانات المتاحة في توجيه جميع مسارات التحول اللاحقة. ويُبرز</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تحقق كفاءة عالية عبر تجاوز عتبة النضج المؤسسي المطلوبة</w:t>
      </w:r>
      <w:r w:rsidRPr="00F41F4C">
        <w:rPr>
          <w:rFonts w:ascii="Simplified Arabic" w:eastAsia="Times New Roman" w:hAnsi="Simplified Arabic" w:cs="Simplified Arabic"/>
          <w:color w:val="000000" w:themeColor="text1"/>
          <w:kern w:val="0"/>
          <w:sz w:val="28"/>
          <w:szCs w:val="28"/>
          <w14:ligatures w14:val="none"/>
        </w:rPr>
        <w:t>.</w:t>
      </w:r>
    </w:p>
    <w:p w14:paraId="23487622" w14:textId="77777777" w:rsidR="00A252BA" w:rsidRPr="00F41F4C" w:rsidRDefault="00A252BA" w:rsidP="009F321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41F4C">
        <w:rPr>
          <w:rFonts w:ascii="Simplified Arabic" w:eastAsia="Times New Roman" w:hAnsi="Simplified Arabic" w:cs="Simplified Arabic"/>
          <w:color w:val="000000" w:themeColor="text1"/>
          <w:kern w:val="0"/>
          <w:sz w:val="28"/>
          <w:szCs w:val="28"/>
          <w:rtl/>
          <w14:ligatures w14:val="none"/>
        </w:rPr>
        <w:t>النمط الخامس هو الاستراتيجية القائمة على الابتكار، التي تُركّز على استثمار التحول الرقمي في تطوير منتجات وخدمات جديدة وبناء نماذج أعمال مبتكرة. ويرى</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تُناسب المنظمات التي تعمل في بيئات تنافسية عالية وتحتاج إلى التميز عبر الابتكار المستمر</w:t>
      </w:r>
      <w:r w:rsidRPr="00F41F4C">
        <w:rPr>
          <w:rFonts w:ascii="Simplified Arabic" w:eastAsia="Times New Roman" w:hAnsi="Simplified Arabic" w:cs="Simplified Arabic"/>
          <w:color w:val="000000" w:themeColor="text1"/>
          <w:kern w:val="0"/>
          <w:sz w:val="28"/>
          <w:szCs w:val="28"/>
          <w14:ligatures w14:val="none"/>
        </w:rPr>
        <w:t>.</w:t>
      </w:r>
    </w:p>
    <w:p w14:paraId="56FDE0A3" w14:textId="081A3684" w:rsidR="00A252BA" w:rsidRPr="00F41F4C" w:rsidRDefault="009F321C" w:rsidP="0053515B">
      <w:pPr>
        <w:jc w:val="center"/>
        <w:outlineLvl w:val="1"/>
        <w:rPr>
          <w:rFonts w:ascii="Simplified Arabic" w:eastAsia="Times New Roman" w:hAnsi="Simplified Arabic" w:cs="Simplified Arabic"/>
          <w:b/>
          <w:bCs/>
          <w:color w:val="000000" w:themeColor="text1"/>
          <w:kern w:val="0"/>
          <w:sz w:val="36"/>
          <w:szCs w:val="36"/>
          <w14:ligatures w14:val="none"/>
        </w:rPr>
      </w:pPr>
      <w:r w:rsidRPr="00F41F4C">
        <w:rPr>
          <w:rFonts w:ascii="Simplified Arabic" w:eastAsia="Times New Roman" w:hAnsi="Simplified Arabic" w:cs="Simplified Arabic"/>
          <w:b/>
          <w:bCs/>
          <w:color w:val="000000" w:themeColor="text1"/>
          <w:kern w:val="0"/>
          <w:sz w:val="36"/>
          <w:szCs w:val="36"/>
          <w:rtl/>
          <w14:ligatures w14:val="none"/>
        </w:rPr>
        <w:br w:type="page"/>
      </w:r>
      <w:bookmarkStart w:id="52" w:name="_Toc236089960"/>
      <w:r w:rsidR="00A252BA" w:rsidRPr="00F41F4C">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الأداء المؤسسي (المتغير التابع)</w:t>
      </w:r>
      <w:bookmarkEnd w:id="52"/>
    </w:p>
    <w:p w14:paraId="649FAAA6" w14:textId="479786B3"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6089961"/>
      <w:r w:rsidRPr="00F41F4C">
        <w:rPr>
          <w:rFonts w:ascii="Simplified Arabic" w:eastAsia="Times New Roman" w:hAnsi="Simplified Arabic" w:cs="Simplified Arabic" w:hint="cs"/>
          <w:b/>
          <w:bCs/>
          <w:color w:val="000000" w:themeColor="text1"/>
          <w:kern w:val="0"/>
          <w:sz w:val="32"/>
          <w:szCs w:val="32"/>
          <w:rtl/>
          <w14:ligatures w14:val="none"/>
        </w:rPr>
        <w:t xml:space="preserve">1.2.2 </w:t>
      </w:r>
      <w:r w:rsidR="00A252BA" w:rsidRPr="00F41F4C">
        <w:rPr>
          <w:rFonts w:ascii="Simplified Arabic" w:eastAsia="Times New Roman" w:hAnsi="Simplified Arabic" w:cs="Simplified Arabic"/>
          <w:b/>
          <w:bCs/>
          <w:color w:val="000000" w:themeColor="text1"/>
          <w:kern w:val="0"/>
          <w:sz w:val="32"/>
          <w:szCs w:val="32"/>
          <w:rtl/>
          <w14:ligatures w14:val="none"/>
        </w:rPr>
        <w:t>تمهيد</w:t>
      </w:r>
      <w:bookmarkEnd w:id="53"/>
    </w:p>
    <w:p w14:paraId="5C628F8C"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يُمثّل الأداء المؤسسي المرآة التي تنعكس عليها كفاءة المنظمة وفاعليتها في تحقيق أهدافها، والمحك الذي تُقاس به قدرتها على البقاء والنمو في بيئة تتسم بالتقلب وتصاعد التنافس. وقد ظل مفهوم الأداء المؤسسي محوراً مركزياً في أدبيات الإدارة على مدى عقود، غير أن التحولات المتسارعة التي شهدتها بيئة الأعمال في العقدين الأخيرين دفعت الباحثين والممارسين إلى إعادة النظر في هذا المفهوم، والانتقال من مقاربات الأداء الكمي البحت إلى مقاربات أكثر شمولاً وعمقاً تُبرز البُعد النوعي للأداء، وهو ما تجلى في بروز مفهوم “جودة الأداء المؤسسي” بوصفه امتداداً نوعياً لمفهوم الأداء التقليدي</w:t>
      </w:r>
      <w:r w:rsidRPr="00F41F4C">
        <w:rPr>
          <w:rFonts w:ascii="Simplified Arabic" w:eastAsia="Times New Roman" w:hAnsi="Simplified Arabic" w:cs="Simplified Arabic"/>
          <w:color w:val="000000" w:themeColor="text1"/>
          <w:kern w:val="0"/>
          <w:sz w:val="28"/>
          <w:szCs w:val="28"/>
          <w14:ligatures w14:val="none"/>
        </w:rPr>
        <w:t>.</w:t>
      </w:r>
    </w:p>
    <w:p w14:paraId="4C29E79E"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ولم تعد المنظمات المعاصرة تكتفي بقياس ما تُنجزه من أعمال، بل باتت تُعنى بكيفية هذا الإنجاز، ومدى استدامته، ومستوى انسجامه مع تطلعات المستفيدين، ومدى إسهامه في تحقيق الأهداف الاستراتيجية بعيدة المدى. ومن هنا برزت جودة الأداء المؤسسي بوصفها معياراً متقدماً يُوازن بين الكفاءة والفاعلية، ويجمع بين الكمّ والنوع، ويستوعب أبعاداً متعددة تشمل المالي والتشغيلي والبشري وأبعاد المستفيدين والتعلم والابتكار</w:t>
      </w:r>
      <w:r w:rsidRPr="00F41F4C">
        <w:rPr>
          <w:rFonts w:ascii="Simplified Arabic" w:eastAsia="Times New Roman" w:hAnsi="Simplified Arabic" w:cs="Simplified Arabic"/>
          <w:color w:val="000000" w:themeColor="text1"/>
          <w:kern w:val="0"/>
          <w:sz w:val="28"/>
          <w:szCs w:val="28"/>
          <w14:ligatures w14:val="none"/>
        </w:rPr>
        <w:t>.</w:t>
      </w:r>
    </w:p>
    <w:p w14:paraId="7EA7789A"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وتكتسب جودة الأداء المؤسسي أهمية مضاعفة في المؤسسات الأكاديمية والصحية باعتبارها مؤسسات تُقدّم خدمات ذات طابع معرفي وإنساني حساس، وتحتاج إلى منظومة قياس دقيقة تستوعب تعقيد مخرجاتها وتعدد أبعادها. ومن هنا يأتي هذا المبحث لتقديم معالجة نظرية متكاملة لجودة الأداء المؤسسي بوصفها المتغير التابع في هذه الدراسة، من خلال استعراض مفهومها ومداخل تعريفها، وأهميتها، وأهدافها، وأبعادها، والاستراتيجيات المتبعة في تحقيقها، ثم تسليط الضوء على أبرز المعالجات النظرية والتطبيقية التي تناولتها في الأدبيات الحديثة</w:t>
      </w:r>
      <w:r w:rsidRPr="00F41F4C">
        <w:rPr>
          <w:rFonts w:ascii="Simplified Arabic" w:eastAsia="Times New Roman" w:hAnsi="Simplified Arabic" w:cs="Simplified Arabic"/>
          <w:color w:val="000000" w:themeColor="text1"/>
          <w:kern w:val="0"/>
          <w:sz w:val="28"/>
          <w:szCs w:val="28"/>
          <w14:ligatures w14:val="none"/>
        </w:rPr>
        <w:t>.</w:t>
      </w:r>
    </w:p>
    <w:p w14:paraId="79CAB4D6" w14:textId="09207087"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6089962"/>
      <w:r w:rsidRPr="00F41F4C">
        <w:rPr>
          <w:rFonts w:ascii="Simplified Arabic" w:eastAsia="Times New Roman" w:hAnsi="Simplified Arabic" w:cs="Simplified Arabic" w:hint="cs"/>
          <w:b/>
          <w:bCs/>
          <w:color w:val="000000" w:themeColor="text1"/>
          <w:kern w:val="0"/>
          <w:sz w:val="32"/>
          <w:szCs w:val="32"/>
          <w:rtl/>
          <w14:ligatures w14:val="none"/>
        </w:rPr>
        <w:t>2.2.2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مفهوم جودة الأداء المؤسسي</w:t>
      </w:r>
      <w:bookmarkEnd w:id="54"/>
    </w:p>
    <w:p w14:paraId="7088708C"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تنوعت المقاربات الفكرية التي تناولت مفهوم جودة الأداء المؤسسي، وتفاوتت زوايا النظر إليه بحسب المدرسة الفكرية والحقل التطبيقي الذي انطلق منه الباحث. وقد أفرز هذا التنوع جملة من التعريفات التي تُثري المفهوم وتُبرز أبعاده المتعددة، دون أن تختزله في زاوية واحدة</w:t>
      </w:r>
      <w:r w:rsidRPr="00F41F4C">
        <w:rPr>
          <w:rFonts w:ascii="Simplified Arabic" w:eastAsia="Times New Roman" w:hAnsi="Simplified Arabic" w:cs="Simplified Arabic"/>
          <w:color w:val="000000" w:themeColor="text1"/>
          <w:kern w:val="0"/>
          <w:sz w:val="28"/>
          <w:szCs w:val="28"/>
          <w14:ligatures w14:val="none"/>
        </w:rPr>
        <w:t>.</w:t>
      </w:r>
    </w:p>
    <w:p w14:paraId="3D529FF9"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في المدرسة ذات التوجه الكمي، يُنظر إلى الأداء المؤسسي بوصفه محصلة لمخرجات المنظمة قياساً بمدخلاتها ومواردها المستخدمة، مع التركيز على مؤشرات الإنتاجية والكفاءة التشغيلية. وقد قدّم</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في هذا السياق معالجة للأداء بوصفه ناتجاً للكفاءة الإنتاجية التي تُقاس بمقدار المخرجات النوعية والكمية التي تُحققها المنظمة في ضوء مواردها المتاحة. ويُميز هذا المنظور نفسه بكونه يُقدّم مقياساً موضوعياً قابلاً للمقارنة والتتبع، غير أنه يُواجَه بنقد يتمثل في اقتصاره على البعد الكمي وإغفاله للأبعاد النوعية والسلوكية</w:t>
      </w:r>
      <w:r w:rsidRPr="00F41F4C">
        <w:rPr>
          <w:rFonts w:ascii="Simplified Arabic" w:eastAsia="Times New Roman" w:hAnsi="Simplified Arabic" w:cs="Simplified Arabic"/>
          <w:color w:val="000000" w:themeColor="text1"/>
          <w:kern w:val="0"/>
          <w:sz w:val="28"/>
          <w:szCs w:val="28"/>
          <w14:ligatures w14:val="none"/>
        </w:rPr>
        <w:t>.</w:t>
      </w:r>
    </w:p>
    <w:p w14:paraId="25CFE9B4"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مقاربة أكثر شمولاً، يُعرَّف الأداء المؤسسي بوصفه محصلة تفاعل مجموعة من العوامل التنظيمية والبشرية والتقنية التي تُنتج في نهاية المطاف قيمة مضافة تُقدّمها المنظمة لأصحاب المصلحة. وقد أشار</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إلى أن أداء المنظمة يُقاس بمدى قدرتها على تحويل مواردها إلى قيمة اقتصادية واجتماعية، وأن جودة هذا التحويل تعكس مستوى النضج المؤسسي للمنظمة. ويتميز هذا التعريف بربطه بين الأداء والقيمة، وهو ربط يُضفي على المفهوم طابعاً استراتيجياً يتجاوز حدود الكفاءة التشغيلية</w:t>
      </w:r>
      <w:r w:rsidRPr="00F41F4C">
        <w:rPr>
          <w:rFonts w:ascii="Simplified Arabic" w:eastAsia="Times New Roman" w:hAnsi="Simplified Arabic" w:cs="Simplified Arabic"/>
          <w:color w:val="000000" w:themeColor="text1"/>
          <w:kern w:val="0"/>
          <w:sz w:val="28"/>
          <w:szCs w:val="28"/>
          <w14:ligatures w14:val="none"/>
        </w:rPr>
        <w:t>.</w:t>
      </w:r>
    </w:p>
    <w:p w14:paraId="3445547D"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شامل، يُعرِّف (المومني والشواورة، ٢٠٢٤) الأداء المؤسسي بوصفه المستوى الذي تبلغه المنظمة في تحقيق أهدافها المرسومة بكفاءة وفاعلية، مع الحفاظ على جودة المخرجات ورضا المستفيدين. ويُلاحَظ أن هذا التعريف قد أدمج مفهوم الجودة في صلب الأداء، مؤكداً أن الأداء لا يكتمل معناه إلا حين يقترن بمعيار الجودة. وهو ما ينسجم مع التحول المفاهيمي من “الأداء المؤسسي” إلى “جودة الأداء المؤسسي</w:t>
      </w:r>
      <w:r w:rsidRPr="00F41F4C">
        <w:rPr>
          <w:rFonts w:ascii="Simplified Arabic" w:eastAsia="Times New Roman" w:hAnsi="Simplified Arabic" w:cs="Simplified Arabic"/>
          <w:color w:val="000000" w:themeColor="text1"/>
          <w:kern w:val="0"/>
          <w:sz w:val="28"/>
          <w:szCs w:val="28"/>
          <w14:ligatures w14:val="none"/>
        </w:rPr>
        <w:t>”.</w:t>
      </w:r>
    </w:p>
    <w:p w14:paraId="62C71ECB"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وفي تعريف يُبرز البُعد التنافسي، يذهب (جنيدي، ٢٠٢٤) إلى أن الأداء المؤسسي يُمثّل قدرة المنظمة على تحقيق مركز تنافسي متميز في السوق عبر إنتاج مخرجات ذات قيمة تتجاوز ما يُقدّمه المنافسون. ويُدخل هذا التعريف مفهوم الميزة التنافسية بوصفها مؤشراً على الأداء العالي، وهو ما يُوسّع منظور المفهوم ليشمل البيئة الخارجية للمنظمة لا داخلها فقط</w:t>
      </w:r>
      <w:r w:rsidRPr="00F41F4C">
        <w:rPr>
          <w:rFonts w:ascii="Simplified Arabic" w:eastAsia="Times New Roman" w:hAnsi="Simplified Arabic" w:cs="Simplified Arabic"/>
          <w:color w:val="000000" w:themeColor="text1"/>
          <w:kern w:val="0"/>
          <w:sz w:val="28"/>
          <w:szCs w:val="28"/>
          <w14:ligatures w14:val="none"/>
        </w:rPr>
        <w:t>.</w:t>
      </w:r>
    </w:p>
    <w:p w14:paraId="0BF5345B"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زاوية بطاقة الأداء المتوازن، يُقدّم (أبو نصير وكناكرية، ٢٠٢٤) تعريفاً للأداء المؤسسي بوصفه منظومة متعددة الأبعاد تشمل الأداء المالي وأداء العمليات الداخلية وأداء التعلم والنمو وأداء المستفيدين. ويتميز هذا التعريف بإبرازه للطابع النسقي للأداء، وبرفضه اختزال الأداء في مؤشر واحد أو بُعد واحد، وهو ما ينسجم مع التوجه المعاصر نحو القياس متعدد الأبعاد للأداء</w:t>
      </w:r>
      <w:r w:rsidRPr="00F41F4C">
        <w:rPr>
          <w:rFonts w:ascii="Simplified Arabic" w:eastAsia="Times New Roman" w:hAnsi="Simplified Arabic" w:cs="Simplified Arabic"/>
          <w:color w:val="000000" w:themeColor="text1"/>
          <w:kern w:val="0"/>
          <w:sz w:val="28"/>
          <w:szCs w:val="28"/>
          <w14:ligatures w14:val="none"/>
        </w:rPr>
        <w:t>.</w:t>
      </w:r>
    </w:p>
    <w:p w14:paraId="58E63C08"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وفي معالجة أخرى، يذهب (شحاتة ورضوان، ٢٠٢٤) إلى تعريف الأداء المؤسسي بأنه القدرة الكلية للمنظمة على استثمار مواردها المتاحة بأفضل السبل الممكنة لتحقيق النتائج المستهدفة، مع الحرص على استدامة هذه النتائج على المدى البعيد. ويُلاحَظ إدخال بُعد “الاستدامة” في هذا التعريف، وهو ما يعكس تطور المفهوم واستيعابه لتحديات العصر المتصلة بالاستدامة البيئية والاجتماعية والاقتصادية</w:t>
      </w:r>
      <w:r w:rsidRPr="00F41F4C">
        <w:rPr>
          <w:rFonts w:ascii="Simplified Arabic" w:eastAsia="Times New Roman" w:hAnsi="Simplified Arabic" w:cs="Simplified Arabic"/>
          <w:color w:val="000000" w:themeColor="text1"/>
          <w:kern w:val="0"/>
          <w:sz w:val="28"/>
          <w:szCs w:val="28"/>
          <w14:ligatures w14:val="none"/>
        </w:rPr>
        <w:t>.</w:t>
      </w:r>
    </w:p>
    <w:p w14:paraId="1399E8DC"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مغاير، يُعرِّف (العمريين والربابعة، ٢٠٢٣) الأداء العالي للمنظمات بوصفه الحالة التي تبلغها المنظمة حين تُحقق تفوقاً مستداماً على منافسيها من خلال مزيج فريد من الكفاءات التنظيمية والاستراتيجية. ويُقدّم هذا التعريف رؤية دينامية للأداء، إذ لا يُعدّ الأداء العالي إنجازاً لحظياً بل حالة مستمرة تحتاج إلى تجديد دائم للقدرات والاستراتيجيات</w:t>
      </w:r>
      <w:r w:rsidRPr="00F41F4C">
        <w:rPr>
          <w:rFonts w:ascii="Simplified Arabic" w:eastAsia="Times New Roman" w:hAnsi="Simplified Arabic" w:cs="Simplified Arabic"/>
          <w:color w:val="000000" w:themeColor="text1"/>
          <w:kern w:val="0"/>
          <w:sz w:val="28"/>
          <w:szCs w:val="28"/>
          <w14:ligatures w14:val="none"/>
        </w:rPr>
        <w:t>.</w:t>
      </w:r>
    </w:p>
    <w:p w14:paraId="1286ED42"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مؤسسات القطاع العام، يُعرِّف (أبو بكر والسويطي، ٢٠٢٤) الأداء المؤسسي في المؤسسات الحكومية بوصفه المستوى الذي تُقدّم به هذه المؤسسات خدماتها للجمهور المستفيد بجودة عالية وسرعة استجابة وشفافية إجرائية، بما يُحقق رضا المستفيدين ويُعزّز الثقة العامة في المؤسسة. ويُبرز هذا التعريف الخصوصية التي يكتسبها الأداء في المؤسسات الحكومية، إذ يرتبط أساساً بجودة الخدمة العامة والقيمة المقدَّمة للمجتمع لا بالربحية</w:t>
      </w:r>
      <w:r w:rsidRPr="00F41F4C">
        <w:rPr>
          <w:rFonts w:ascii="Simplified Arabic" w:eastAsia="Times New Roman" w:hAnsi="Simplified Arabic" w:cs="Simplified Arabic"/>
          <w:color w:val="000000" w:themeColor="text1"/>
          <w:kern w:val="0"/>
          <w:sz w:val="28"/>
          <w:szCs w:val="28"/>
          <w14:ligatures w14:val="none"/>
        </w:rPr>
        <w:t>.</w:t>
      </w:r>
    </w:p>
    <w:p w14:paraId="5D48AC54"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الأدبيات المتصلة بجاهزية القطاع البلدي، يُقدّم (الجطلاوي وعمر، ٢٠٢٥) تعريفاً للأداء المؤسسي بأنه محصلة تفاعل الجاهزية التقنية والبشرية والتنظيمية للمنظمة، ومدى قدرتها على توظيف هذه الجاهزيات في تقديم خدمات نوعية ترتقي إلى تطلعات المستفيدين. ويُضيف هذا التعريف مفهوم “الجاهزية” بوصفه شرطاً مسبقاً للأداء الجيد، وهو ما يُثري المفهوم ببُعد استعدادي مسبق</w:t>
      </w:r>
      <w:r w:rsidRPr="00F41F4C">
        <w:rPr>
          <w:rFonts w:ascii="Simplified Arabic" w:eastAsia="Times New Roman" w:hAnsi="Simplified Arabic" w:cs="Simplified Arabic"/>
          <w:color w:val="000000" w:themeColor="text1"/>
          <w:kern w:val="0"/>
          <w:sz w:val="28"/>
          <w:szCs w:val="28"/>
          <w14:ligatures w14:val="none"/>
        </w:rPr>
        <w:t>.</w:t>
      </w:r>
    </w:p>
    <w:p w14:paraId="48080AED"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تقييم الأداء، يذهب (الدبوبي والصرايرة، ٢٠٢٣) إلى أن جودة الأداء المؤسسي تُمثّل الحالة المتقدمة من الأداء التي تتحقق حين تستطيع المنظمة قياس أبعاد أدائها المختلفة بدقة وموضوعية، وتوظيف نتائج هذا القياس في تحسين مستمر لمخرجاتها. ويربط هذا التعريف بين الجودة والقياس، مبرزاً أن الأداء لا يُمكن تحسينه إن لم يُمكن قياسه</w:t>
      </w:r>
      <w:r w:rsidRPr="00F41F4C">
        <w:rPr>
          <w:rFonts w:ascii="Simplified Arabic" w:eastAsia="Times New Roman" w:hAnsi="Simplified Arabic" w:cs="Simplified Arabic"/>
          <w:color w:val="000000" w:themeColor="text1"/>
          <w:kern w:val="0"/>
          <w:sz w:val="28"/>
          <w:szCs w:val="28"/>
          <w14:ligatures w14:val="none"/>
        </w:rPr>
        <w:t>.</w:t>
      </w:r>
    </w:p>
    <w:p w14:paraId="7797FBF6"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جانب آخر، يُعرِّف</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 xml:space="preserve">الأداء التنظيمي في المؤسسات الأكاديمية بوصفه المستوى الذي تبلغه المؤسسة في تحقيق رسالتها الأكاديمية والبحثية والخدمية، مع الحفاظ على </w:t>
      </w:r>
      <w:r w:rsidRPr="00F41F4C">
        <w:rPr>
          <w:rFonts w:ascii="Simplified Arabic" w:eastAsia="Times New Roman" w:hAnsi="Simplified Arabic" w:cs="Simplified Arabic"/>
          <w:color w:val="000000" w:themeColor="text1"/>
          <w:kern w:val="0"/>
          <w:sz w:val="28"/>
          <w:szCs w:val="28"/>
          <w:rtl/>
          <w14:ligatures w14:val="none"/>
        </w:rPr>
        <w:lastRenderedPageBreak/>
        <w:t>معايير الجودة والاعتماد الأكاديمي، وتحقيق التوازن بين المتطلبات المتعددة لأصحاب المصلحة. ويُبرز هذا التعريف الطابع الخاص للأداء في المؤسسات الأكاديمية باعتبارها مؤسسات ذات رسالة مركّبة</w:t>
      </w:r>
      <w:r w:rsidRPr="00F41F4C">
        <w:rPr>
          <w:rFonts w:ascii="Simplified Arabic" w:eastAsia="Times New Roman" w:hAnsi="Simplified Arabic" w:cs="Simplified Arabic"/>
          <w:color w:val="000000" w:themeColor="text1"/>
          <w:kern w:val="0"/>
          <w:sz w:val="28"/>
          <w:szCs w:val="28"/>
          <w14:ligatures w14:val="none"/>
        </w:rPr>
        <w:t>.</w:t>
      </w:r>
    </w:p>
    <w:p w14:paraId="1CAA12B7"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منظور الأداء الابتكاري، يُقدّم</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تعريفاً للأداء بوصفه محصلة قدرة المنظمة على توليد الابتكارات وتحويلها إلى قيمة اقتصادية، وأن جودة الأداء تُقاس بمدى تكرارية هذا التوليد واستدامته. ويُضيف هذا التعريف بُعداً ابتكارياً حديثاً لمفهوم الأداء، ينسجم مع تحولات اقتصاد المعرفة</w:t>
      </w:r>
      <w:r w:rsidRPr="00F41F4C">
        <w:rPr>
          <w:rFonts w:ascii="Simplified Arabic" w:eastAsia="Times New Roman" w:hAnsi="Simplified Arabic" w:cs="Simplified Arabic"/>
          <w:color w:val="000000" w:themeColor="text1"/>
          <w:kern w:val="0"/>
          <w:sz w:val="28"/>
          <w:szCs w:val="28"/>
          <w14:ligatures w14:val="none"/>
        </w:rPr>
        <w:t>.</w:t>
      </w:r>
    </w:p>
    <w:p w14:paraId="439CC42E"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ويستنتج الباحث من مجمل التعريفات السابقة أن جودة الأداء المؤسسي مفهوم مركّب متعدد الأبعاد، يتجاوز في دلالته مفهوم الأداء التقليدي، ويجمع بين الكفاءة والفاعلية والجودة والاستدامة. ويرى الباحث في ضوء ما تقدم أن جودة الأداء المؤسسي هي: “المستوى المتقدم من الأداء الذي تبلغه المنظمة حين تستطيع تحقيق أهدافها الاستراتيجية بكفاءة وفاعلية عاليتين، مع التميز النوعي في مخرجاتها، والاستجابة الفاعلة لتطلعات مختلف أصحاب المصلحة، والاستدامة في تحقيق هذا التميز عبر الزمن، وذلك بتوظيف مواردها المادية والبشرية والمعرفية توظيفاً أمثل، ضمن منظومة قياس متعددة الأبعاد تشمل الجوانب المالية والتشغيلية والبشرية وأبعاد المستفيدين”. ويتميز هذا التعريف بجمعه بين المقاربات الكمية والنوعية، وبين المنظور الداخلي والخارجي للمنظمة، وبين النتائج الحالية والاستدامة المستقبلية</w:t>
      </w:r>
      <w:r w:rsidRPr="00F41F4C">
        <w:rPr>
          <w:rFonts w:ascii="Simplified Arabic" w:eastAsia="Times New Roman" w:hAnsi="Simplified Arabic" w:cs="Simplified Arabic"/>
          <w:color w:val="000000" w:themeColor="text1"/>
          <w:kern w:val="0"/>
          <w:sz w:val="28"/>
          <w:szCs w:val="28"/>
          <w14:ligatures w14:val="none"/>
        </w:rPr>
        <w:t>.</w:t>
      </w:r>
    </w:p>
    <w:p w14:paraId="701F0069" w14:textId="35CD76E9"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6089963"/>
      <w:r w:rsidRPr="00F41F4C">
        <w:rPr>
          <w:rFonts w:ascii="Simplified Arabic" w:eastAsia="Times New Roman" w:hAnsi="Simplified Arabic" w:cs="Simplified Arabic" w:hint="cs"/>
          <w:b/>
          <w:bCs/>
          <w:color w:val="000000" w:themeColor="text1"/>
          <w:kern w:val="0"/>
          <w:sz w:val="32"/>
          <w:szCs w:val="32"/>
          <w:rtl/>
          <w14:ligatures w14:val="none"/>
        </w:rPr>
        <w:t>3.2.2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أهمية جودة الأداء المؤسسي</w:t>
      </w:r>
      <w:bookmarkEnd w:id="55"/>
    </w:p>
    <w:p w14:paraId="705FA4F7"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تنبع أهمية جودة الأداء المؤسسي من كونها المعيار الجوهري الذي يُحدّد قدرة المنظمة على البقاء والنمو والتميز في بيئة تتسم بالتقلب وتصاعد المنافسة. وقد تعددت الزوايا التي نظر منها الباحثون إلى هذه الأهمية، بحسب اختلاف مجالات دراستهم وبيئات تطبيقها</w:t>
      </w:r>
      <w:r w:rsidRPr="00F41F4C">
        <w:rPr>
          <w:rFonts w:ascii="Simplified Arabic" w:eastAsia="Times New Roman" w:hAnsi="Simplified Arabic" w:cs="Simplified Arabic"/>
          <w:color w:val="000000" w:themeColor="text1"/>
          <w:kern w:val="0"/>
          <w:sz w:val="28"/>
          <w:szCs w:val="28"/>
          <w14:ligatures w14:val="none"/>
        </w:rPr>
        <w:t>.</w:t>
      </w:r>
    </w:p>
    <w:p w14:paraId="20489C6E"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ويُشير (المومني والشواورة، ٢٠٢٤) إلى أن أهمية جودة الأداء المؤسسي في المنظمات الدولية تتجسد في جملة من المحاور: أولاً، أنها تُمثّل المؤشر الرئيسي على مدى قدرة المنظمة على تحقيق رسالتها ورؤيتها الاستراتيجية. ثانياً، أنها تُوفّر أساساً موضوعياً للمقارنة بين المنظمات المتشابهة، بما يُتيح لكل منظمة معرفة موقعها النسبي. ثالثاً، أنها تُشكّل مرجعاً لصانعي القرار في تحديد الأولويات وتوزيع الموارد. رابعاً، أنها تُسهم في تعزيز الثقة بين المنظمة وأصحاب المصلحة عبر تقديم دليل موضوعي على كفاءتها. خامساً، أنها تُتيح للمنظمة رصد اختلالاتها ومعالجتها في الوقت المناسب</w:t>
      </w:r>
      <w:r w:rsidRPr="00F41F4C">
        <w:rPr>
          <w:rFonts w:ascii="Simplified Arabic" w:eastAsia="Times New Roman" w:hAnsi="Simplified Arabic" w:cs="Simplified Arabic"/>
          <w:color w:val="000000" w:themeColor="text1"/>
          <w:kern w:val="0"/>
          <w:sz w:val="28"/>
          <w:szCs w:val="28"/>
          <w14:ligatures w14:val="none"/>
        </w:rPr>
        <w:t>.</w:t>
      </w:r>
    </w:p>
    <w:p w14:paraId="1CA5F5D0"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ويرى (العريمي والحراحشة، ٢٠٢٤) أن جودة الأداء المؤسسي تكتسب أهمية متعاظمة في القطاعات الخدمية والتنظيمية، إذ تُمثّل المدخل الجوهري لتحقيق التميز المؤسسي، وترتبط ارتباطاً وثيقاً بجودة الحوكمة داخل المنظمة. ويُبرز الباحثان أن جودة الأداء تنعكس على قدرة المنظمة في تحقيق الرضا الوظيفي للعاملين، وفي بناء علاقات مستقرة مع المستفيدين والشركاء، وفي تعزيز مكانتها التنظيمية على المدى البعيد. كما تُسهم جودة الأداء في تقليل الهدر التشغيلي وتحسين استغلال الموارد، وتوفير بيئة عمل محفزة على الابتكار والإبداع</w:t>
      </w:r>
      <w:r w:rsidRPr="00F41F4C">
        <w:rPr>
          <w:rFonts w:ascii="Simplified Arabic" w:eastAsia="Times New Roman" w:hAnsi="Simplified Arabic" w:cs="Simplified Arabic"/>
          <w:color w:val="000000" w:themeColor="text1"/>
          <w:kern w:val="0"/>
          <w:sz w:val="28"/>
          <w:szCs w:val="28"/>
          <w14:ligatures w14:val="none"/>
        </w:rPr>
        <w:t>.</w:t>
      </w:r>
    </w:p>
    <w:p w14:paraId="25D3FBD7"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ويُوضّح (شحاتة ورضوان، ٢٠٢٤) أن جودة الأداء المؤسسي تحمل أهمية مضاعفة في المؤسسات الحكومية والخدمية، إذ تُمثّل معياراً لجودة الخدمات العامة المقدَّمة للمواطنين. وتتمثل هذه الأهمية في: تعزيز الثقة العامة في المؤسسات الحكومية، ورفع مستوى الشفافية والمساءلة، وتحسين تجربة المستفيد من الخدمة العامة، وتقليل زمن إنجاز المعاملات، وترشيد الإنفاق العام، ورفع كفاءة استخدام المال العام. ويُبرز الباحثان أن هذه الأهمية تتجسد بوضوح في القطاعات التي تُقدّم خدمات مباشرة للجمهور كقطاع الضرائب والصحة والتعليم</w:t>
      </w:r>
      <w:r w:rsidRPr="00F41F4C">
        <w:rPr>
          <w:rFonts w:ascii="Simplified Arabic" w:eastAsia="Times New Roman" w:hAnsi="Simplified Arabic" w:cs="Simplified Arabic"/>
          <w:color w:val="000000" w:themeColor="text1"/>
          <w:kern w:val="0"/>
          <w:sz w:val="28"/>
          <w:szCs w:val="28"/>
          <w14:ligatures w14:val="none"/>
        </w:rPr>
        <w:t>.</w:t>
      </w:r>
    </w:p>
    <w:p w14:paraId="50712153"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ويُبيّن</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أن أهمية جودة الأداء تتجلى على المستوى الاقتصادي الكلي في كونها المحرك الرئيسي للنمو الاقتصادي، إذ إن المنظمات ذات الأداء العالي تُسهم في رفع الإنتاجية الوطنية وتحسين المؤشرات الاقتصادية العامة. كما تتجلى هذه الأهمية على مستوى المنظمة في تعزيز قيمتها السوقية وقدرتها على استقطاب الاستثمارات وتوسيع نطاق أعمالها. ويُضيف الباحثون أن جودة الأداء تُشكّل ركيزة أساسية لتحقيق الميزة التنافسية المستدامة، وهي ميزة أصبحت أكثر تعقيداً وصعوبة في تحقيقها بفعل تسارع وتيرة التغيير في بيئة الأعمال</w:t>
      </w:r>
      <w:r w:rsidRPr="00F41F4C">
        <w:rPr>
          <w:rFonts w:ascii="Simplified Arabic" w:eastAsia="Times New Roman" w:hAnsi="Simplified Arabic" w:cs="Simplified Arabic"/>
          <w:color w:val="000000" w:themeColor="text1"/>
          <w:kern w:val="0"/>
          <w:sz w:val="28"/>
          <w:szCs w:val="28"/>
          <w14:ligatures w14:val="none"/>
        </w:rPr>
        <w:t>.</w:t>
      </w:r>
    </w:p>
    <w:p w14:paraId="1F184C2A"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(أبو نصير وكناكرية، ٢٠٢٤) أن أهمية جودة الأداء المؤسسي في البيئة الجامعية تتضاعف لعدة اعتبارات، منها أن الجامعات مؤسسات معرفية تُنتج رأس المال البشري الذي يقود التنمية في المجتمع، مما يجعل جودة أدائها انعكاساً مباشراً على جودة المخرجات المجتمعية. ومنها أن الجامعات تعمل في بيئة تنافسية عالية على المستويين المحلي والدولي، وتحتاج إلى الحفاظ على مكانتها في التصنيفات العالمية. ومنها أن الجامعات تتعامل مع منظومة معقدة من أصحاب المصلحة تشمل الطلاب والأكاديميين والموظفين والمجتمع، وتحتاج إلى تحقيق التوازن بين تطلعاتهم المتعددة</w:t>
      </w:r>
      <w:r w:rsidRPr="00F41F4C">
        <w:rPr>
          <w:rFonts w:ascii="Simplified Arabic" w:eastAsia="Times New Roman" w:hAnsi="Simplified Arabic" w:cs="Simplified Arabic"/>
          <w:color w:val="000000" w:themeColor="text1"/>
          <w:kern w:val="0"/>
          <w:sz w:val="28"/>
          <w:szCs w:val="28"/>
          <w14:ligatures w14:val="none"/>
        </w:rPr>
        <w:t>.</w:t>
      </w:r>
    </w:p>
    <w:p w14:paraId="022EA707"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ويُشير</w:t>
      </w:r>
      <w:r w:rsidRPr="00F41F4C">
        <w:rPr>
          <w:rFonts w:ascii="Simplified Arabic" w:eastAsia="Times New Roman" w:hAnsi="Simplified Arabic" w:cs="Simplified Arabic"/>
          <w:color w:val="000000" w:themeColor="text1"/>
          <w:kern w:val="0"/>
          <w:sz w:val="28"/>
          <w:szCs w:val="28"/>
          <w14:ligatures w14:val="none"/>
        </w:rPr>
        <w:t xml:space="preserve"> (Al Masadeh et al., 2024) </w:t>
      </w:r>
      <w:r w:rsidRPr="00F41F4C">
        <w:rPr>
          <w:rFonts w:ascii="Simplified Arabic" w:eastAsia="Times New Roman" w:hAnsi="Simplified Arabic" w:cs="Simplified Arabic"/>
          <w:color w:val="000000" w:themeColor="text1"/>
          <w:kern w:val="0"/>
          <w:sz w:val="28"/>
          <w:szCs w:val="28"/>
          <w:rtl/>
          <w14:ligatures w14:val="none"/>
        </w:rPr>
        <w:t>إلى أن جودة الأداء المؤسسي في الجامعات الخاصة تحمل أهمية استثنائية، إذ ترتبط ارتباطاً مباشراً بجذب الطلاب والمحافظة عليهم، وبتحقيق الاستقرار المالي للمؤسسة، وببناء سمعة أكاديمية تُتيح التميز في سوق التعليم العالي. وتتمثل أهمية جودة الأداء أيضاً في تعزيز قدرة الجامعة على الحصول على الاعتمادات الأكاديمية والاعتراف الدولي، وهو ما يُشكّل ميزة تنافسية أساسية</w:t>
      </w:r>
      <w:r w:rsidRPr="00F41F4C">
        <w:rPr>
          <w:rFonts w:ascii="Simplified Arabic" w:eastAsia="Times New Roman" w:hAnsi="Simplified Arabic" w:cs="Simplified Arabic"/>
          <w:color w:val="000000" w:themeColor="text1"/>
          <w:kern w:val="0"/>
          <w:sz w:val="28"/>
          <w:szCs w:val="28"/>
          <w14:ligatures w14:val="none"/>
        </w:rPr>
        <w:t>.</w:t>
      </w:r>
    </w:p>
    <w:p w14:paraId="52CA5AC2"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(الحبيشي وطواف، ٢٠٢١) أن أهمية جودة الأداء تتمثل في كونها الوسيلة الأساسية التي تُتيح للمنظمة قياس تقدمها نحو أهدافها، ورصد الفجوات بين ما هو مخطط وما هو محقق، واتخاذ الإجراءات التصحيحية اللازمة. كما تُوفّر جودة الأداء المؤسسي منظومة تحفيز للعاملين عبر ربط مستوى أدائهم بالحوافز والترقيات، وتُسهم في بناء ثقافة تنظيمية قائمة على التميز والمساءلة</w:t>
      </w:r>
      <w:r w:rsidRPr="00F41F4C">
        <w:rPr>
          <w:rFonts w:ascii="Simplified Arabic" w:eastAsia="Times New Roman" w:hAnsi="Simplified Arabic" w:cs="Simplified Arabic"/>
          <w:color w:val="000000" w:themeColor="text1"/>
          <w:kern w:val="0"/>
          <w:sz w:val="28"/>
          <w:szCs w:val="28"/>
          <w14:ligatures w14:val="none"/>
        </w:rPr>
        <w:t>.</w:t>
      </w:r>
    </w:p>
    <w:p w14:paraId="3808AC8E"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ويُبرز</w:t>
      </w:r>
      <w:r w:rsidRPr="00F41F4C">
        <w:rPr>
          <w:rFonts w:ascii="Simplified Arabic" w:eastAsia="Times New Roman" w:hAnsi="Simplified Arabic" w:cs="Simplified Arabic"/>
          <w:color w:val="000000" w:themeColor="text1"/>
          <w:kern w:val="0"/>
          <w:sz w:val="28"/>
          <w:szCs w:val="28"/>
          <w14:ligatures w14:val="none"/>
        </w:rPr>
        <w:t xml:space="preserve"> (Egbeleo &amp; Sodokin, 2025) </w:t>
      </w:r>
      <w:r w:rsidRPr="00F41F4C">
        <w:rPr>
          <w:rFonts w:ascii="Simplified Arabic" w:eastAsia="Times New Roman" w:hAnsi="Simplified Arabic" w:cs="Simplified Arabic"/>
          <w:color w:val="000000" w:themeColor="text1"/>
          <w:kern w:val="0"/>
          <w:sz w:val="28"/>
          <w:szCs w:val="28"/>
          <w:rtl/>
          <w14:ligatures w14:val="none"/>
        </w:rPr>
        <w:t>على المستوى الكلي أن جودة أداء المؤسسات تُمثّل ركيزة أساسية للتنمية الاقتصادية والاجتماعية للدول، إذ إن المؤسسات ذات الجودة العالية تُسهم في تحسين البيئة الاستثمارية، وتعزيز الحوكمة الرشيدة، ورفع مستوى الإنتاجية الوطنية. ويرى الباحثان أن العلاقة بين جودة المؤسسات والإنتاجية علاقة تبادلية، إذ يُعزّز كل منهما الآخر في دورة تنموية إيجابية</w:t>
      </w:r>
      <w:r w:rsidRPr="00F41F4C">
        <w:rPr>
          <w:rFonts w:ascii="Simplified Arabic" w:eastAsia="Times New Roman" w:hAnsi="Simplified Arabic" w:cs="Simplified Arabic"/>
          <w:color w:val="000000" w:themeColor="text1"/>
          <w:kern w:val="0"/>
          <w:sz w:val="28"/>
          <w:szCs w:val="28"/>
          <w14:ligatures w14:val="none"/>
        </w:rPr>
        <w:t>.</w:t>
      </w:r>
    </w:p>
    <w:p w14:paraId="3FD09987"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ومن جانب مغاير، يُشير</w:t>
      </w:r>
      <w:r w:rsidRPr="00F41F4C">
        <w:rPr>
          <w:rFonts w:ascii="Simplified Arabic" w:eastAsia="Times New Roman" w:hAnsi="Simplified Arabic" w:cs="Simplified Arabic"/>
          <w:color w:val="000000" w:themeColor="text1"/>
          <w:kern w:val="0"/>
          <w:sz w:val="28"/>
          <w:szCs w:val="28"/>
          <w14:ligatures w14:val="none"/>
        </w:rPr>
        <w:t xml:space="preserve"> (Meng et al., 2022) </w:t>
      </w:r>
      <w:r w:rsidRPr="00F41F4C">
        <w:rPr>
          <w:rFonts w:ascii="Simplified Arabic" w:eastAsia="Times New Roman" w:hAnsi="Simplified Arabic" w:cs="Simplified Arabic"/>
          <w:color w:val="000000" w:themeColor="text1"/>
          <w:kern w:val="0"/>
          <w:sz w:val="28"/>
          <w:szCs w:val="28"/>
          <w:rtl/>
          <w14:ligatures w14:val="none"/>
        </w:rPr>
        <w:t>إلى أن أهمية جودة الأداء تتوسع لتشمل الأداء الاجتماعي للمنظمة، إذ لم يعد يُنظر إلى المنظمات المتميزة بوصفها تلك التي تُحقق أرباحاً عالية فقط، بل تلك التي تُوازن بين النجاح الاقتصادي والمسؤولية الاجتماعية والأثر البيئي. ويُوسّع هذا المنظور من نطاق أهمية جودة الأداء ليشمل أبعاداً غير تقليدية أصبحت جزءاً لا يتجزأ من التقييم المعاصر للمنظمات</w:t>
      </w:r>
      <w:r w:rsidRPr="00F41F4C">
        <w:rPr>
          <w:rFonts w:ascii="Simplified Arabic" w:eastAsia="Times New Roman" w:hAnsi="Simplified Arabic" w:cs="Simplified Arabic"/>
          <w:color w:val="000000" w:themeColor="text1"/>
          <w:kern w:val="0"/>
          <w:sz w:val="28"/>
          <w:szCs w:val="28"/>
          <w14:ligatures w14:val="none"/>
        </w:rPr>
        <w:t>.</w:t>
      </w:r>
    </w:p>
    <w:p w14:paraId="409EB6FF"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الباحث في ضوء ما تقدم أن أهمية جودة الأداء المؤسسي تتوزع على عدة مستويات مترابطة: مستوى المنظمة ذاتها من حيث بقاؤها وتطورها ومكانتها التنافسية، ومستوى العاملين من حيث الرضا الوظيفي والتحفيز والانتماء، ومستوى المستفيدين من حيث جودة الخدمات المقدمة ورضاهم عنها، ومستوى المجتمع من حيث القيمة المضافة التي تُقدّمها المنظمة، ومستوى الاقتصاد الكلي من حيث الإسهام في التنمية والنمو. وتتضاعف هذه الأهمية في المؤسسات الأكاديمية الصحية التي تُقدّم خدمات معرفية وصحية بالغة الحساسية، وتحتاج إلى منظومة أداء عالية الجودة لضمان مخرجات ترتقي إلى مستوى المسؤولية المنوطة بها</w:t>
      </w:r>
      <w:r w:rsidRPr="00F41F4C">
        <w:rPr>
          <w:rFonts w:ascii="Simplified Arabic" w:eastAsia="Times New Roman" w:hAnsi="Simplified Arabic" w:cs="Simplified Arabic"/>
          <w:color w:val="000000" w:themeColor="text1"/>
          <w:kern w:val="0"/>
          <w:sz w:val="28"/>
          <w:szCs w:val="28"/>
          <w14:ligatures w14:val="none"/>
        </w:rPr>
        <w:t>.</w:t>
      </w:r>
    </w:p>
    <w:p w14:paraId="23DF1E25" w14:textId="4807E604"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6089964"/>
      <w:r w:rsidRPr="00F41F4C">
        <w:rPr>
          <w:rFonts w:ascii="Simplified Arabic" w:eastAsia="Times New Roman" w:hAnsi="Simplified Arabic" w:cs="Simplified Arabic" w:hint="cs"/>
          <w:b/>
          <w:bCs/>
          <w:color w:val="000000" w:themeColor="text1"/>
          <w:kern w:val="0"/>
          <w:sz w:val="32"/>
          <w:szCs w:val="32"/>
          <w:rtl/>
          <w14:ligatures w14:val="none"/>
        </w:rPr>
        <w:lastRenderedPageBreak/>
        <w:t>4.2.2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أهداف قياس جودة الأداء المؤسسي وتحقيقها</w:t>
      </w:r>
      <w:bookmarkEnd w:id="56"/>
    </w:p>
    <w:p w14:paraId="41942C2F"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تسعى المنظمات المعاصرة إلى تحقيق جملة من الأهداف من خلال قياس جودة أدائها المؤسسي والعمل على تحسينه بشكل مستمر. وتتنوع هذه الأهداف بتنوع الزوايا التي يتناولها الباحثون في معالجتهم للموضوع</w:t>
      </w:r>
      <w:r w:rsidRPr="00F41F4C">
        <w:rPr>
          <w:rFonts w:ascii="Simplified Arabic" w:eastAsia="Times New Roman" w:hAnsi="Simplified Arabic" w:cs="Simplified Arabic"/>
          <w:color w:val="000000" w:themeColor="text1"/>
          <w:kern w:val="0"/>
          <w:sz w:val="28"/>
          <w:szCs w:val="28"/>
          <w14:ligatures w14:val="none"/>
        </w:rPr>
        <w:t>.</w:t>
      </w:r>
    </w:p>
    <w:p w14:paraId="6C6FF07F"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(شحاتة ورضوان، ٢٠٢٤) أن أهداف تحسين جودة الأداء المؤسسي تتمحور حول: أولاً، ضمان تحقيق الأهداف الاستراتيجية للمنظمة على المدى البعيد. ثانياً، رفع مستوى رضا المستفيدين عن الخدمات المقدمة. ثالثاً، تحسين استغلال الموارد المتاحة وتقليل الهدر. رابعاً، تعزيز قدرة المنظمة على التكيف مع متغيرات البيئة الخارجية. خامساً، بناء منظومة حوكمة رشيدة تدعم الشفافية والمساءلة. سادساً، توفير أساس موضوعي لقرارات التطوير والتحسين المستمر</w:t>
      </w:r>
      <w:r w:rsidRPr="00F41F4C">
        <w:rPr>
          <w:rFonts w:ascii="Simplified Arabic" w:eastAsia="Times New Roman" w:hAnsi="Simplified Arabic" w:cs="Simplified Arabic"/>
          <w:color w:val="000000" w:themeColor="text1"/>
          <w:kern w:val="0"/>
          <w:sz w:val="28"/>
          <w:szCs w:val="28"/>
          <w14:ligatures w14:val="none"/>
        </w:rPr>
        <w:t>.</w:t>
      </w:r>
    </w:p>
    <w:p w14:paraId="1D6A27C8"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ويُوضّح (أبو نصير وكناكرية، ٢٠٢٤) أن أهداف قياس الأداء وفق بطاقة الأداء المتوازن في المؤسسات الأكاديمية تشمل: تحقيق التوازن بين الأبعاد المالية والتشغيلية والبشرية وأبعاد المستفيدين، وضمان الانسجام بين الأداء اليومي والأهداف الاستراتيجية، وتوفير رؤية شاملة لصانع القرار حول أداء المؤسسة، ورصد المؤشرات المؤدية إلى النتائج (المؤشرات المتقدمة) وليس فقط المؤشرات النتائجية (المؤشرات المتأخرة). ويُبرز الباحثان أن هذه الأهداف تُتيح للجامعات إدارة أدائها بشكل استباقي لا رد فعلي</w:t>
      </w:r>
      <w:r w:rsidRPr="00F41F4C">
        <w:rPr>
          <w:rFonts w:ascii="Simplified Arabic" w:eastAsia="Times New Roman" w:hAnsi="Simplified Arabic" w:cs="Simplified Arabic"/>
          <w:color w:val="000000" w:themeColor="text1"/>
          <w:kern w:val="0"/>
          <w:sz w:val="28"/>
          <w:szCs w:val="28"/>
          <w14:ligatures w14:val="none"/>
        </w:rPr>
        <w:t>.</w:t>
      </w:r>
    </w:p>
    <w:p w14:paraId="0C84F003"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ويُبيّن (العريمي والحراحشة، ٢٠٢٤) أن أهداف تحقيق تميز الأداء المؤسسي تتضمن: بناء ثقافة مؤسسية تُقدّس التميز وتُحفّز عليه، وترسيخ مبدأ التحسين المستمر في جميع العمليات، وتعزيز رضا العاملين وانتمائهم للمنظمة، وبناء علاقات مستدامة مع المستفيدين، ورفع مستوى القدرة التنافسية للمنظمة، وتحقيق الاستدامة المؤسسية على المدى البعيد</w:t>
      </w:r>
      <w:r w:rsidRPr="00F41F4C">
        <w:rPr>
          <w:rFonts w:ascii="Simplified Arabic" w:eastAsia="Times New Roman" w:hAnsi="Simplified Arabic" w:cs="Simplified Arabic"/>
          <w:color w:val="000000" w:themeColor="text1"/>
          <w:kern w:val="0"/>
          <w:sz w:val="28"/>
          <w:szCs w:val="28"/>
          <w14:ligatures w14:val="none"/>
        </w:rPr>
        <w:t>.</w:t>
      </w:r>
    </w:p>
    <w:p w14:paraId="62F85A16"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ويرى (علي وعبدالستار، ٢٠٢٥) في معالجته لدور نظم المعلومات في الأداء المؤسسي أن أهداف تحسين الأداء تشمل كذلك: رفع كفاءة تدفق المعلومات، وتحسين دقة القرارات الإدارية، وتقليل زمن الاستجابة للمستجدات، وبناء ذاكرة مؤسسية تحتفظ بالمعرفة التنظيمية، وتعزيز التنسيق بين الوحدات المختلفة. ويُبرز الباحث أن هذه الأهداف تُشكّل شبكة متكاملة تتضافر لتحقيق جودة عالية للأداء الكلي للمنظمة</w:t>
      </w:r>
      <w:r w:rsidRPr="00F41F4C">
        <w:rPr>
          <w:rFonts w:ascii="Simplified Arabic" w:eastAsia="Times New Roman" w:hAnsi="Simplified Arabic" w:cs="Simplified Arabic"/>
          <w:color w:val="000000" w:themeColor="text1"/>
          <w:kern w:val="0"/>
          <w:sz w:val="28"/>
          <w:szCs w:val="28"/>
          <w14:ligatures w14:val="none"/>
        </w:rPr>
        <w:t>.</w:t>
      </w:r>
    </w:p>
    <w:p w14:paraId="6CA4E444"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ويُضيف</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أن أهداف تحقيق الأداء المتميز في مؤسسات التعليم العالي تتصل بتحقيق التميز في الأبعاد الأكاديمية والبحثية والإدارية والخدمية، وبناء بيئة تعليمية محفزة، ورفع مستوى الإنتاج البحثي وجودته، وتعزيز مكانة الجامعة في التصنيفات العالمية، وبناء شراكات فاعلة مع القطاعات المستفيدة. ويرى الباحثون أن هذه الأهداف تتحقق عبر منظومة متكاملة من السياسات والإجراءات والممارسات</w:t>
      </w:r>
      <w:r w:rsidRPr="00F41F4C">
        <w:rPr>
          <w:rFonts w:ascii="Simplified Arabic" w:eastAsia="Times New Roman" w:hAnsi="Simplified Arabic" w:cs="Simplified Arabic"/>
          <w:color w:val="000000" w:themeColor="text1"/>
          <w:kern w:val="0"/>
          <w:sz w:val="28"/>
          <w:szCs w:val="28"/>
          <w14:ligatures w14:val="none"/>
        </w:rPr>
        <w:t>.</w:t>
      </w:r>
    </w:p>
    <w:p w14:paraId="0CD60296"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ويستنتج الباحث في ضوء آراء الباحثين أن أهداف قياس جودة الأداء المؤسسي وتحقيقها في البيئة الأكاديمية الصحية تتوزع على محاور متعددة تبدأ بضمان جودة الخدمات المقدمة للطلاب والمستفيدين، وتمتد إلى تحقيق التميز الأكاديمي والبحثي، وتحسين كفاءة العمليات الإدارية والتشغيلية، وتعزيز رضا العاملين والانتماء المؤسسي، وبناء سمعة مؤسسية متميزة في السوق الأكاديمي المحلي والإقليمي والدولي. وتتقاطع هذه الأهداف مع أبعاد المتغير التابع المعتمد في هذه الدراسة، مما يُشير إلى انسجام الأهداف مع البنية القياسية المستخدمة</w:t>
      </w:r>
      <w:r w:rsidRPr="00F41F4C">
        <w:rPr>
          <w:rFonts w:ascii="Simplified Arabic" w:eastAsia="Times New Roman" w:hAnsi="Simplified Arabic" w:cs="Simplified Arabic"/>
          <w:color w:val="000000" w:themeColor="text1"/>
          <w:kern w:val="0"/>
          <w:sz w:val="28"/>
          <w:szCs w:val="28"/>
          <w14:ligatures w14:val="none"/>
        </w:rPr>
        <w:t>.</w:t>
      </w:r>
    </w:p>
    <w:p w14:paraId="092DEDF7" w14:textId="34D2C57F"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6089965"/>
      <w:r w:rsidRPr="00F41F4C">
        <w:rPr>
          <w:rFonts w:ascii="Simplified Arabic" w:eastAsia="Times New Roman" w:hAnsi="Simplified Arabic" w:cs="Simplified Arabic" w:hint="cs"/>
          <w:b/>
          <w:bCs/>
          <w:color w:val="000000" w:themeColor="text1"/>
          <w:kern w:val="0"/>
          <w:sz w:val="32"/>
          <w:szCs w:val="32"/>
          <w:rtl/>
          <w14:ligatures w14:val="none"/>
        </w:rPr>
        <w:t>5.2.2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أبعاد جودة الأداء المؤسسي</w:t>
      </w:r>
      <w:bookmarkEnd w:id="57"/>
    </w:p>
    <w:p w14:paraId="420EDC6B"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تم تحديد أبعاد جودة الأداء المؤسسي في هذه الدراسة بناءً على المعالجة الشاملة التي قدمتها عدة دراسات بارزة، وفي مقدمتها دراسة (الدبوبي والصرايرة، ٢٠٢٣) التي عالجت قياس الأداء المؤسسي عبر بطاقة الأداء المتوازن في شركات التأمين، ودراسة (أبو نصير وكناكرية، ٢٠٢٤) التي طبّقت الإطار نفسه في الجامعات الأردنية، ودراسة</w:t>
      </w:r>
      <w:r w:rsidRPr="00F41F4C">
        <w:rPr>
          <w:rFonts w:ascii="Simplified Arabic" w:eastAsia="Times New Roman" w:hAnsi="Simplified Arabic" w:cs="Simplified Arabic"/>
          <w:color w:val="000000" w:themeColor="text1"/>
          <w:kern w:val="0"/>
          <w:sz w:val="28"/>
          <w:szCs w:val="28"/>
          <w14:ligatures w14:val="none"/>
        </w:rPr>
        <w:t xml:space="preserve"> (Al Masadeh et al., 2024) </w:t>
      </w:r>
      <w:r w:rsidRPr="00F41F4C">
        <w:rPr>
          <w:rFonts w:ascii="Simplified Arabic" w:eastAsia="Times New Roman" w:hAnsi="Simplified Arabic" w:cs="Simplified Arabic"/>
          <w:color w:val="000000" w:themeColor="text1"/>
          <w:kern w:val="0"/>
          <w:sz w:val="28"/>
          <w:szCs w:val="28"/>
          <w:rtl/>
          <w14:ligatures w14:val="none"/>
        </w:rPr>
        <w:t>التي تناولت التميز المؤسسي في الجامعات الأردنية الخاصة، إضافةً إلى دراسة</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التي قدمت مراجعة منهجية للأداء التنظيمي في التعليم العالي</w:t>
      </w:r>
      <w:r w:rsidRPr="00F41F4C">
        <w:rPr>
          <w:rFonts w:ascii="Simplified Arabic" w:eastAsia="Times New Roman" w:hAnsi="Simplified Arabic" w:cs="Simplified Arabic"/>
          <w:color w:val="000000" w:themeColor="text1"/>
          <w:kern w:val="0"/>
          <w:sz w:val="28"/>
          <w:szCs w:val="28"/>
          <w14:ligatures w14:val="none"/>
        </w:rPr>
        <w:t>.</w:t>
      </w:r>
    </w:p>
    <w:p w14:paraId="4F2ADDD8"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وقد تبنّت هذه الدراسة معالجة تدمج بين المنظور الشمولي لبطاقة الأداء المتوازن ومنظور التميز المؤسسي، بما يجعل جودة الأداء المؤسسي تُقاس عبر محور واحد يستوعب مجموعة من الأبعاد المتكاملة يمكن استعراضها بتفصيل على النحو التالي</w:t>
      </w:r>
      <w:r w:rsidRPr="00F41F4C">
        <w:rPr>
          <w:rFonts w:ascii="Simplified Arabic" w:eastAsia="Times New Roman" w:hAnsi="Simplified Arabic" w:cs="Simplified Arabic"/>
          <w:color w:val="000000" w:themeColor="text1"/>
          <w:kern w:val="0"/>
          <w:sz w:val="28"/>
          <w:szCs w:val="28"/>
          <w14:ligatures w14:val="none"/>
        </w:rPr>
        <w:t>:</w:t>
      </w:r>
    </w:p>
    <w:p w14:paraId="3A8D93AA"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الأول: البُعد المالي والاقتصادي للأداء</w:t>
      </w:r>
    </w:p>
    <w:p w14:paraId="6466C5AF"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يُمثّل هذا البُعد الجانب التقليدي في قياس الأداء، ويُعنى بتقييم المخرجات الاقتصادية والمالية للمنظمة، من حيث كفاءة استخدام الموارد المالية، وترشيد الإنفاق، وتحقيق العوائد المستهدفة. ويرى</w:t>
      </w:r>
      <w:r w:rsidRPr="00F41F4C">
        <w:rPr>
          <w:rFonts w:ascii="Simplified Arabic" w:eastAsia="Times New Roman" w:hAnsi="Simplified Arabic" w:cs="Simplified Arabic"/>
          <w:color w:val="000000" w:themeColor="text1"/>
          <w:kern w:val="0"/>
          <w:sz w:val="28"/>
          <w:szCs w:val="28"/>
          <w14:ligatures w14:val="none"/>
        </w:rPr>
        <w:t xml:space="preserve"> (Zhai et al., </w:t>
      </w:r>
      <w:r w:rsidRPr="00F41F4C">
        <w:rPr>
          <w:rFonts w:ascii="Simplified Arabic" w:eastAsia="Times New Roman" w:hAnsi="Simplified Arabic" w:cs="Simplified Arabic"/>
          <w:color w:val="000000" w:themeColor="text1"/>
          <w:kern w:val="0"/>
          <w:sz w:val="28"/>
          <w:szCs w:val="28"/>
          <w14:ligatures w14:val="none"/>
        </w:rPr>
        <w:lastRenderedPageBreak/>
        <w:t xml:space="preserve">2022) </w:t>
      </w:r>
      <w:r w:rsidRPr="00F41F4C">
        <w:rPr>
          <w:rFonts w:ascii="Simplified Arabic" w:eastAsia="Times New Roman" w:hAnsi="Simplified Arabic" w:cs="Simplified Arabic"/>
          <w:color w:val="000000" w:themeColor="text1"/>
          <w:kern w:val="0"/>
          <w:sz w:val="28"/>
          <w:szCs w:val="28"/>
          <w:rtl/>
          <w14:ligatures w14:val="none"/>
        </w:rPr>
        <w:t>أن الأداء المالي للمنظمة يُمثّل الحصيلة النهائية لكل الجهود التنظيمية والتشغيلية، وأن جودة هذا الأداء تُقاس بقدرة المنظمة على تحقيق نمو مالي مستدام دون الإخلال بالجوانب الأخرى للأداء. وفي المؤسسات غير الربحية والحكومية، يتحول هذا البُعد إلى تقييم مدى كفاءة استخدام الميزانيات وترشيد النفقات وتحقيق أعلى قيمة مقابل المال المستثمر، وهو ما يُشير إليه (شحاتة ورضوان، ٢٠٢٤) بوصفه أحد أهم مؤشرات جودة الأداء في المؤسسات الحكومية</w:t>
      </w:r>
      <w:r w:rsidRPr="00F41F4C">
        <w:rPr>
          <w:rFonts w:ascii="Simplified Arabic" w:eastAsia="Times New Roman" w:hAnsi="Simplified Arabic" w:cs="Simplified Arabic"/>
          <w:color w:val="000000" w:themeColor="text1"/>
          <w:kern w:val="0"/>
          <w:sz w:val="28"/>
          <w:szCs w:val="28"/>
          <w14:ligatures w14:val="none"/>
        </w:rPr>
        <w:t>.</w:t>
      </w:r>
    </w:p>
    <w:p w14:paraId="55BABE1D"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الثاني: بُعد كفاءة العمليات الداخلية</w:t>
      </w:r>
    </w:p>
    <w:p w14:paraId="781C3BD1"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يُعنى هذا البُعد بتقييم مستوى الكفاءة التشغيلية للمنظمة، من حيث سرعة إنجاز الأعمال، ودقة التنفيذ، وسلاسة تدفق العمليات، ومستوى التنسيق بين الوحدات المختلفة. ويُبرز</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أن كفاءة العمليات الداخلية تُمثّل المؤشر الأدق على مستوى النضج المؤسسي، إذ تعكس قدرة المنظمة على تحويل مدخلاتها إلى مخرجات بأقل هدر ممكن للموارد والوقت والجهد. وتتضمن مؤشرات هذا البُعد: زمن دورة العمل، ومعدل الأخطاء، ومستوى إعادة العمل، ودرجة أتمتة العمليات، ومستوى التكامل بين الأنظمة والوحدات</w:t>
      </w:r>
      <w:r w:rsidRPr="00F41F4C">
        <w:rPr>
          <w:rFonts w:ascii="Simplified Arabic" w:eastAsia="Times New Roman" w:hAnsi="Simplified Arabic" w:cs="Simplified Arabic"/>
          <w:color w:val="000000" w:themeColor="text1"/>
          <w:kern w:val="0"/>
          <w:sz w:val="28"/>
          <w:szCs w:val="28"/>
          <w14:ligatures w14:val="none"/>
        </w:rPr>
        <w:t>.</w:t>
      </w:r>
    </w:p>
    <w:p w14:paraId="6E2FC698"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ويُضيف (علي وعبدالستار، ٢٠٢٥) في معالجته لدور نظم المعلومات أن كفاءة العمليات الداخلية ترتبط ارتباطاً وثيقاً بمستوى تدفق المعلومات داخل المنظمة، إذ إن المعلومات الدقيقة والمتاحة في الوقت المناسب تُسهم في اتخاذ قرارات أفضل وتنفيذ عمليات أكثر كفاءة. ويرى الباحث أن هذا البُعد يكتسب أهمية استثنائية في المؤسسات الأكاديمية الصحية التي تتعامل مع تدفقات معقدة من العمليات الأكاديمية والصحية والإدارية</w:t>
      </w:r>
      <w:r w:rsidRPr="00F41F4C">
        <w:rPr>
          <w:rFonts w:ascii="Simplified Arabic" w:eastAsia="Times New Roman" w:hAnsi="Simplified Arabic" w:cs="Simplified Arabic"/>
          <w:color w:val="000000" w:themeColor="text1"/>
          <w:kern w:val="0"/>
          <w:sz w:val="28"/>
          <w:szCs w:val="28"/>
          <w14:ligatures w14:val="none"/>
        </w:rPr>
        <w:t>.</w:t>
      </w:r>
    </w:p>
    <w:p w14:paraId="39E2B738"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الثالث: بُعد رضا المستفيدين وجودة الخدمة</w:t>
      </w:r>
    </w:p>
    <w:p w14:paraId="499BBEE1"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يُشكّل هذا البُعد أحد أهم أبعاد جودة الأداء المؤسسي المعاصرة، إذ لم يعد يُنظر إلى الأداء بمعزل عن انطباعات المستفيدين ومستوى رضاهم. ويُبرز (أبو بكر والسويطي، ٢٠٢٤) أن رضا المستفيدين يُمثّل المرآة التي تنعكس عليها جودة الأداء الفعلي للمنظمة، وأن قياس هذا الرضا يُوفّر تغذية راجعة قيمة لصانع القرار حول ما يحتاج إلى تحسين. وتتضمن مؤشرات هذا البُعد: مستوى رضا المستفيدين عن الخدمات، ودرجة ولائهم للمنظمة، ومعدل الشكاوى وسرعة معالجتها، وجودة تجربة المستفيد</w:t>
      </w:r>
      <w:r w:rsidRPr="00F41F4C">
        <w:rPr>
          <w:rFonts w:ascii="Simplified Arabic" w:eastAsia="Times New Roman" w:hAnsi="Simplified Arabic" w:cs="Simplified Arabic"/>
          <w:color w:val="000000" w:themeColor="text1"/>
          <w:kern w:val="0"/>
          <w:sz w:val="28"/>
          <w:szCs w:val="28"/>
          <w14:ligatures w14:val="none"/>
        </w:rPr>
        <w:t>.</w:t>
      </w:r>
    </w:p>
    <w:p w14:paraId="76F687EA"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وفي البيئة الجامعية، يكتسب هذا البُعد طابعاً خاصاً، إذ يشمل رضا الطلاب عن الخدمات الأكاديمية والإدارية، ورضا أعضاء هيئة التدريس عن البيئة البحثية والأكاديمية، ورضا الموظفين عن بيئة العمل، ورضا الشركاء الخارجيين عن التعاون مع الجامعة. ويُشير</w:t>
      </w:r>
      <w:r w:rsidRPr="00F41F4C">
        <w:rPr>
          <w:rFonts w:ascii="Simplified Arabic" w:eastAsia="Times New Roman" w:hAnsi="Simplified Arabic" w:cs="Simplified Arabic"/>
          <w:color w:val="000000" w:themeColor="text1"/>
          <w:kern w:val="0"/>
          <w:sz w:val="28"/>
          <w:szCs w:val="28"/>
          <w14:ligatures w14:val="none"/>
        </w:rPr>
        <w:t xml:space="preserve"> (Ramadania et al., 2024) </w:t>
      </w:r>
      <w:r w:rsidRPr="00F41F4C">
        <w:rPr>
          <w:rFonts w:ascii="Simplified Arabic" w:eastAsia="Times New Roman" w:hAnsi="Simplified Arabic" w:cs="Simplified Arabic"/>
          <w:color w:val="000000" w:themeColor="text1"/>
          <w:kern w:val="0"/>
          <w:sz w:val="28"/>
          <w:szCs w:val="28"/>
          <w:rtl/>
          <w14:ligatures w14:val="none"/>
        </w:rPr>
        <w:t>إلى أن هذا التنوع في المستفيدين يجعل قياس هذا البُعد في المؤسسات الأكاديمية أكثر تعقيداً وتطلباً للحساسية</w:t>
      </w:r>
      <w:r w:rsidRPr="00F41F4C">
        <w:rPr>
          <w:rFonts w:ascii="Simplified Arabic" w:eastAsia="Times New Roman" w:hAnsi="Simplified Arabic" w:cs="Simplified Arabic"/>
          <w:color w:val="000000" w:themeColor="text1"/>
          <w:kern w:val="0"/>
          <w:sz w:val="28"/>
          <w:szCs w:val="28"/>
          <w14:ligatures w14:val="none"/>
        </w:rPr>
        <w:t>.</w:t>
      </w:r>
    </w:p>
    <w:p w14:paraId="6AC91577"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الرابع: بُعد التعلم والنمو والابتكار</w:t>
      </w:r>
    </w:p>
    <w:p w14:paraId="3F496101"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يُعنى هذا البُعد بتقييم قدرة المنظمة على التعلم المؤسسي والتطور المستمر والابتكار في مخرجاتها وعملياتها. ويُبرز</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أن الأداء الابتكاري يُعدّ أحد أهم أبعاد الأداء المعاصر، إذ إن المنظمات التي لا تُبدع بشكل مستمر تفقد قدرتها التنافسية بشكل تدريجي. وتتضمن مؤشرات هذا البُعد: عدد الأفكار المبتكرة المنفذة، ومعدل تطوير خدمات جديدة، ومستوى الاستثمار في البحث والتطوير، ودرجة تبني التقنيات الحديثة، ومستوى التدريب والتطوير للعاملين</w:t>
      </w:r>
      <w:r w:rsidRPr="00F41F4C">
        <w:rPr>
          <w:rFonts w:ascii="Simplified Arabic" w:eastAsia="Times New Roman" w:hAnsi="Simplified Arabic" w:cs="Simplified Arabic"/>
          <w:color w:val="000000" w:themeColor="text1"/>
          <w:kern w:val="0"/>
          <w:sz w:val="28"/>
          <w:szCs w:val="28"/>
          <w14:ligatures w14:val="none"/>
        </w:rPr>
        <w:t>.</w:t>
      </w:r>
    </w:p>
    <w:p w14:paraId="7D1B370E"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ويُوضّح (ابن حليم وأندير والمجراب، ٢٠٢٤) أن هذا البُعد يكتسب أهمية مضاعفة في الجامعات، إذ إن جوهر عمل الجامعة يقوم على إنتاج المعرفة ونقلها، مما يجعل قدرتها على التعلم المؤسسي والابتكار المستمر شرطاً أساسياً لتحقيق رسالتها</w:t>
      </w:r>
      <w:r w:rsidRPr="00F41F4C">
        <w:rPr>
          <w:rFonts w:ascii="Simplified Arabic" w:eastAsia="Times New Roman" w:hAnsi="Simplified Arabic" w:cs="Simplified Arabic"/>
          <w:color w:val="000000" w:themeColor="text1"/>
          <w:kern w:val="0"/>
          <w:sz w:val="28"/>
          <w:szCs w:val="28"/>
          <w14:ligatures w14:val="none"/>
        </w:rPr>
        <w:t>.</w:t>
      </w:r>
    </w:p>
    <w:p w14:paraId="181C102C"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الخامس: بُعد رأس المال البشري وأداء العاملين</w:t>
      </w:r>
    </w:p>
    <w:p w14:paraId="07A513AC"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يُمثّل هذا البُعد الركيزة البشرية لجودة الأداء المؤسسي، إذ إن أداء المنظمة في نهاية المطاف هو محصلة أداء العاملين فيها. ويُبرز (قرقط ولعشب، ٢٠٢٣) أن جودة أداء الموارد البشرية تتحدد بعدة عوامل، منها مستوى الكفاءات، ودرجة الرضا الوظيفي، ومستوى الانتماء المؤسسي، ومعدل الإنتاجية الفردية، ومستوى التطور المهني. ويُشير الباحثان إلى أن هذا البُعد يرتبط ارتباطاً عضوياً بجودة الأداء الكلي، إذ لا يمكن للمنظمة أن تُحقق أداءً متميزاً بموارد بشرية ذات أداء متدنٍ</w:t>
      </w:r>
      <w:r w:rsidRPr="00F41F4C">
        <w:rPr>
          <w:rFonts w:ascii="Simplified Arabic" w:eastAsia="Times New Roman" w:hAnsi="Simplified Arabic" w:cs="Simplified Arabic"/>
          <w:color w:val="000000" w:themeColor="text1"/>
          <w:kern w:val="0"/>
          <w:sz w:val="28"/>
          <w:szCs w:val="28"/>
          <w14:ligatures w14:val="none"/>
        </w:rPr>
        <w:t>.</w:t>
      </w:r>
    </w:p>
    <w:p w14:paraId="62F05CFD"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السادس: بُعد الاستدامة والأداء الاجتماعي والبيئي</w:t>
      </w:r>
    </w:p>
    <w:p w14:paraId="3A2C35E5"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يُمثّل هذا البُعد إضافةً حديثة نسبياً لأبعاد جودة الأداء المؤسسي، وقد اكتسب أهمية متصاعدة في العقد الأخير مع تنامي الوعي بقضايا الاستدامة والمسؤولية الاجتماعية. ويُشير</w:t>
      </w:r>
      <w:r w:rsidRPr="00F41F4C">
        <w:rPr>
          <w:rFonts w:ascii="Simplified Arabic" w:eastAsia="Times New Roman" w:hAnsi="Simplified Arabic" w:cs="Simplified Arabic"/>
          <w:color w:val="000000" w:themeColor="text1"/>
          <w:kern w:val="0"/>
          <w:sz w:val="28"/>
          <w:szCs w:val="28"/>
          <w14:ligatures w14:val="none"/>
        </w:rPr>
        <w:t xml:space="preserve"> (Meng et al., 2022) </w:t>
      </w:r>
      <w:r w:rsidRPr="00F41F4C">
        <w:rPr>
          <w:rFonts w:ascii="Simplified Arabic" w:eastAsia="Times New Roman" w:hAnsi="Simplified Arabic" w:cs="Simplified Arabic"/>
          <w:color w:val="000000" w:themeColor="text1"/>
          <w:kern w:val="0"/>
          <w:sz w:val="28"/>
          <w:szCs w:val="28"/>
          <w:rtl/>
          <w14:ligatures w14:val="none"/>
        </w:rPr>
        <w:t xml:space="preserve">إلى أن الأداء الاجتماعي للمنظمة أصبح جزءاً لا يتجزأ من تقييم جودة أدائها الشامل، وأن المنظمات </w:t>
      </w:r>
      <w:r w:rsidRPr="00F41F4C">
        <w:rPr>
          <w:rFonts w:ascii="Simplified Arabic" w:eastAsia="Times New Roman" w:hAnsi="Simplified Arabic" w:cs="Simplified Arabic"/>
          <w:color w:val="000000" w:themeColor="text1"/>
          <w:kern w:val="0"/>
          <w:sz w:val="28"/>
          <w:szCs w:val="28"/>
          <w:rtl/>
          <w14:ligatures w14:val="none"/>
        </w:rPr>
        <w:lastRenderedPageBreak/>
        <w:t>المتميزة هي تلك التي تُحقق توازناً بين الأهداف الاقتصادية والاجتماعية. ويُضيف</w:t>
      </w:r>
      <w:r w:rsidRPr="00F41F4C">
        <w:rPr>
          <w:rFonts w:ascii="Simplified Arabic" w:eastAsia="Times New Roman" w:hAnsi="Simplified Arabic" w:cs="Simplified Arabic"/>
          <w:color w:val="000000" w:themeColor="text1"/>
          <w:kern w:val="0"/>
          <w:sz w:val="28"/>
          <w:szCs w:val="28"/>
          <w14:ligatures w14:val="none"/>
        </w:rPr>
        <w:t xml:space="preserve"> (Chen &amp; Hao, 2022) </w:t>
      </w:r>
      <w:r w:rsidRPr="00F41F4C">
        <w:rPr>
          <w:rFonts w:ascii="Simplified Arabic" w:eastAsia="Times New Roman" w:hAnsi="Simplified Arabic" w:cs="Simplified Arabic"/>
          <w:color w:val="000000" w:themeColor="text1"/>
          <w:kern w:val="0"/>
          <w:sz w:val="28"/>
          <w:szCs w:val="28"/>
          <w:rtl/>
          <w14:ligatures w14:val="none"/>
        </w:rPr>
        <w:t>البُعد البيئي لهذا التقييم، مبرزاً أن جودة الأداء البيئي تنعكس على السمعة المؤسسية والقدرة التنافسية للمنظمة على المدى البعيد</w:t>
      </w:r>
      <w:r w:rsidRPr="00F41F4C">
        <w:rPr>
          <w:rFonts w:ascii="Simplified Arabic" w:eastAsia="Times New Roman" w:hAnsi="Simplified Arabic" w:cs="Simplified Arabic"/>
          <w:color w:val="000000" w:themeColor="text1"/>
          <w:kern w:val="0"/>
          <w:sz w:val="28"/>
          <w:szCs w:val="28"/>
          <w14:ligatures w14:val="none"/>
        </w:rPr>
        <w:t>.</w:t>
      </w:r>
    </w:p>
    <w:p w14:paraId="4D1C5FD1" w14:textId="77777777" w:rsidR="00A252BA" w:rsidRPr="00F41F4C" w:rsidRDefault="00A252BA" w:rsidP="000A5E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1F4C">
        <w:rPr>
          <w:rFonts w:ascii="Simplified Arabic" w:eastAsia="Times New Roman" w:hAnsi="Simplified Arabic" w:cs="Simplified Arabic"/>
          <w:b/>
          <w:bCs/>
          <w:color w:val="000000" w:themeColor="text1"/>
          <w:kern w:val="0"/>
          <w:sz w:val="28"/>
          <w:szCs w:val="28"/>
          <w:rtl/>
          <w14:ligatures w14:val="none"/>
        </w:rPr>
        <w:t>البُعد السابع: بُعد الحوكمة والشفافية المؤسسية</w:t>
      </w:r>
    </w:p>
    <w:p w14:paraId="5494B5A8"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يُعنى هذا البُعد بتقييم منظومة الحوكمة داخل المنظمة، ومستوى الشفافية في القرارات والإجراءات، ودرجة المساءلة المؤسسية. ويُبرز</w:t>
      </w:r>
      <w:r w:rsidRPr="00F41F4C">
        <w:rPr>
          <w:rFonts w:ascii="Simplified Arabic" w:eastAsia="Times New Roman" w:hAnsi="Simplified Arabic" w:cs="Simplified Arabic"/>
          <w:color w:val="000000" w:themeColor="text1"/>
          <w:kern w:val="0"/>
          <w:sz w:val="28"/>
          <w:szCs w:val="28"/>
          <w14:ligatures w14:val="none"/>
        </w:rPr>
        <w:t xml:space="preserve"> (Egbeleo &amp; Sodokin, 2025) </w:t>
      </w:r>
      <w:r w:rsidRPr="00F41F4C">
        <w:rPr>
          <w:rFonts w:ascii="Simplified Arabic" w:eastAsia="Times New Roman" w:hAnsi="Simplified Arabic" w:cs="Simplified Arabic"/>
          <w:color w:val="000000" w:themeColor="text1"/>
          <w:kern w:val="0"/>
          <w:sz w:val="28"/>
          <w:szCs w:val="28"/>
          <w:rtl/>
          <w14:ligatures w14:val="none"/>
        </w:rPr>
        <w:t>أن جودة المؤسسات ترتبط ارتباطاً وثيقاً بجودة الحوكمة، وأن المنظمات التي تمتلك منظومات حوكمة قوية تُحقق أداءً أفضل وأكثر استدامة. وتتضمن مؤشرات هذا البُعد: مستوى الشفافية في اتخاذ القرارات، ودرجة الالتزام بالمعايير والأنظمة، ومستوى المساءلة، وجودة الرقابة الداخلية</w:t>
      </w:r>
      <w:r w:rsidRPr="00F41F4C">
        <w:rPr>
          <w:rFonts w:ascii="Simplified Arabic" w:eastAsia="Times New Roman" w:hAnsi="Simplified Arabic" w:cs="Simplified Arabic"/>
          <w:color w:val="000000" w:themeColor="text1"/>
          <w:kern w:val="0"/>
          <w:sz w:val="28"/>
          <w:szCs w:val="28"/>
          <w14:ligatures w14:val="none"/>
        </w:rPr>
        <w:t>.</w:t>
      </w:r>
    </w:p>
    <w:p w14:paraId="6809DAFA" w14:textId="56DF2AC5" w:rsidR="00A252BA" w:rsidRPr="00F41F4C" w:rsidRDefault="0053515B" w:rsidP="005351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6089966"/>
      <w:r w:rsidRPr="00F41F4C">
        <w:rPr>
          <w:rFonts w:ascii="Simplified Arabic" w:eastAsia="Times New Roman" w:hAnsi="Simplified Arabic" w:cs="Simplified Arabic" w:hint="cs"/>
          <w:b/>
          <w:bCs/>
          <w:color w:val="000000" w:themeColor="text1"/>
          <w:kern w:val="0"/>
          <w:sz w:val="32"/>
          <w:szCs w:val="32"/>
          <w:rtl/>
          <w14:ligatures w14:val="none"/>
        </w:rPr>
        <w:t>6.2.2</w:t>
      </w:r>
      <w:r w:rsidR="00A252BA" w:rsidRPr="00F41F4C">
        <w:rPr>
          <w:rFonts w:ascii="Simplified Arabic" w:eastAsia="Times New Roman" w:hAnsi="Simplified Arabic" w:cs="Simplified Arabic"/>
          <w:b/>
          <w:bCs/>
          <w:color w:val="000000" w:themeColor="text1"/>
          <w:kern w:val="0"/>
          <w:sz w:val="32"/>
          <w:szCs w:val="32"/>
          <w:rtl/>
          <w14:ligatures w14:val="none"/>
        </w:rPr>
        <w:t xml:space="preserve"> استراتيجيات تحقيق جودة الأداء المؤسسي</w:t>
      </w:r>
      <w:bookmarkEnd w:id="58"/>
    </w:p>
    <w:p w14:paraId="5D2286B4" w14:textId="77777777" w:rsidR="00A252BA" w:rsidRPr="00F41F4C" w:rsidRDefault="00A252BA" w:rsidP="005351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تعتمد المنظمات على مجموعة من الاستراتيجيات لتحقيق جودة عالية في أدائها المؤسسي، وتتنوع هذه الاستراتيجيات بحسب طبيعة المنظمة وسياقها. ويمكن استعراض أبرزها كما يلي</w:t>
      </w:r>
      <w:r w:rsidRPr="00F41F4C">
        <w:rPr>
          <w:rFonts w:ascii="Simplified Arabic" w:eastAsia="Times New Roman" w:hAnsi="Simplified Arabic" w:cs="Simplified Arabic"/>
          <w:color w:val="000000" w:themeColor="text1"/>
          <w:kern w:val="0"/>
          <w:sz w:val="28"/>
          <w:szCs w:val="28"/>
          <w14:ligatures w14:val="none"/>
        </w:rPr>
        <w:t>:</w:t>
      </w:r>
    </w:p>
    <w:p w14:paraId="10969816"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الأولى هي استراتيجية التحسين المستمر، التي تعتمد على إحداث تحسينات صغيرة ومتراكمة في العمليات والمخرجات بشكل دائم. ويرى</w:t>
      </w:r>
      <w:r w:rsidRPr="00F41F4C">
        <w:rPr>
          <w:rFonts w:ascii="Simplified Arabic" w:eastAsia="Times New Roman" w:hAnsi="Simplified Arabic" w:cs="Simplified Arabic"/>
          <w:color w:val="000000" w:themeColor="text1"/>
          <w:kern w:val="0"/>
          <w:sz w:val="28"/>
          <w:szCs w:val="28"/>
          <w14:ligatures w14:val="none"/>
        </w:rPr>
        <w:t xml:space="preserve"> (Zhai et al., 2022)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تُوفّر مساراً آمناً ومستداماً لتطوير الأداء، إذ تُقلّل مقاومة التغيير وتُتيح تراكم المكاسب عبر الزمن</w:t>
      </w:r>
      <w:r w:rsidRPr="00F41F4C">
        <w:rPr>
          <w:rFonts w:ascii="Simplified Arabic" w:eastAsia="Times New Roman" w:hAnsi="Simplified Arabic" w:cs="Simplified Arabic"/>
          <w:color w:val="000000" w:themeColor="text1"/>
          <w:kern w:val="0"/>
          <w:sz w:val="28"/>
          <w:szCs w:val="28"/>
          <w14:ligatures w14:val="none"/>
        </w:rPr>
        <w:t>.</w:t>
      </w:r>
    </w:p>
    <w:p w14:paraId="7C553EA8"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الثانية هي استراتيجية إدارة الجودة الشاملة، التي تعتمد على ترسيخ ثقافة الجودة في كل جوانب المنظمة، وإشراك جميع العاملين في مساعي التحسين، والتركيز على رضا المستفيدين. ويُبرز (الدبوبي والصرايرة، ٢٠٢٣) أن هذه الاستراتيجية تحتاج إلى منظومة قياس دقيقة لأبعاد الأداء المختلفة، وهو ما يُوفّره إطار بطاقة الأداء المتوازن</w:t>
      </w:r>
      <w:r w:rsidRPr="00F41F4C">
        <w:rPr>
          <w:rFonts w:ascii="Simplified Arabic" w:eastAsia="Times New Roman" w:hAnsi="Simplified Arabic" w:cs="Simplified Arabic"/>
          <w:color w:val="000000" w:themeColor="text1"/>
          <w:kern w:val="0"/>
          <w:sz w:val="28"/>
          <w:szCs w:val="28"/>
          <w14:ligatures w14:val="none"/>
        </w:rPr>
        <w:t>.</w:t>
      </w:r>
    </w:p>
    <w:p w14:paraId="6D51BBD9"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الثالثة هي استراتيجية إعادة هندسة العمليات، التي تعتمد على إحداث تغيير جذري في العمليات الجوهرية بهدف تحقيق تحسينات نوعية في الأداء. ويرى</w:t>
      </w:r>
      <w:r w:rsidRPr="00F41F4C">
        <w:rPr>
          <w:rFonts w:ascii="Simplified Arabic" w:eastAsia="Times New Roman" w:hAnsi="Simplified Arabic" w:cs="Simplified Arabic"/>
          <w:color w:val="000000" w:themeColor="text1"/>
          <w:kern w:val="0"/>
          <w:sz w:val="28"/>
          <w:szCs w:val="28"/>
          <w14:ligatures w14:val="none"/>
        </w:rPr>
        <w:t xml:space="preserve"> (Wang &amp; Shao, 2024)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تُناسب المنظمات التي تُواجه فجوات كبيرة في الأداء وتحتاج إلى تحولات نوعية سريعة</w:t>
      </w:r>
      <w:r w:rsidRPr="00F41F4C">
        <w:rPr>
          <w:rFonts w:ascii="Simplified Arabic" w:eastAsia="Times New Roman" w:hAnsi="Simplified Arabic" w:cs="Simplified Arabic"/>
          <w:color w:val="000000" w:themeColor="text1"/>
          <w:kern w:val="0"/>
          <w:sz w:val="28"/>
          <w:szCs w:val="28"/>
          <w14:ligatures w14:val="none"/>
        </w:rPr>
        <w:t>.</w:t>
      </w:r>
    </w:p>
    <w:p w14:paraId="73A067BE"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lastRenderedPageBreak/>
        <w:t>الاستراتيجية الرابعة هي استراتيجية البنية التحتية والتقنية، التي تعتمد على الاستثمار في التقنيات الحديثة والبنى التحتية الرقمية لتحقيق قفزات نوعية في الأداء. ويُبرز</w:t>
      </w:r>
      <w:r w:rsidRPr="00F41F4C">
        <w:rPr>
          <w:rFonts w:ascii="Simplified Arabic" w:eastAsia="Times New Roman" w:hAnsi="Simplified Arabic" w:cs="Simplified Arabic"/>
          <w:color w:val="000000" w:themeColor="text1"/>
          <w:kern w:val="0"/>
          <w:sz w:val="28"/>
          <w:szCs w:val="28"/>
          <w14:ligatures w14:val="none"/>
        </w:rPr>
        <w:t xml:space="preserve"> (Al Masadeh et al., 2024) </w:t>
      </w:r>
      <w:r w:rsidRPr="00F41F4C">
        <w:rPr>
          <w:rFonts w:ascii="Simplified Arabic" w:eastAsia="Times New Roman" w:hAnsi="Simplified Arabic" w:cs="Simplified Arabic"/>
          <w:color w:val="000000" w:themeColor="text1"/>
          <w:kern w:val="0"/>
          <w:sz w:val="28"/>
          <w:szCs w:val="28"/>
          <w:rtl/>
          <w14:ligatures w14:val="none"/>
        </w:rPr>
        <w:t>أن هذه الاستراتيجية اكتسبت أهمية متعاظمة في السنوات الأخيرة مع تسارع وتيرة التحول الرقمي في جميع القطاعات</w:t>
      </w:r>
      <w:r w:rsidRPr="00F41F4C">
        <w:rPr>
          <w:rFonts w:ascii="Simplified Arabic" w:eastAsia="Times New Roman" w:hAnsi="Simplified Arabic" w:cs="Simplified Arabic"/>
          <w:color w:val="000000" w:themeColor="text1"/>
          <w:kern w:val="0"/>
          <w:sz w:val="28"/>
          <w:szCs w:val="28"/>
          <w14:ligatures w14:val="none"/>
        </w:rPr>
        <w:t>.</w:t>
      </w:r>
    </w:p>
    <w:p w14:paraId="6BB8E439"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الخامسة هي استراتيجية تطوير رأس المال البشري، التي تعتمد على الاستثمار في تدريب العاملين وتطوير كفاءاتهم بوصف ذلك مساراً رئيسياً لتحسين جودة الأداء. ويُشير (الحبيشي وطواف، ٢٠٢١) إلى أن هذه الاستراتيجية تُمثّل الاستثمار الأكثر استدامة، إذ إن العاملين المؤهلين يستطيعون التكيف مع أي متغيرات وتحقيق أداء متميز في مختلف الظروف</w:t>
      </w:r>
      <w:r w:rsidRPr="00F41F4C">
        <w:rPr>
          <w:rFonts w:ascii="Simplified Arabic" w:eastAsia="Times New Roman" w:hAnsi="Simplified Arabic" w:cs="Simplified Arabic"/>
          <w:color w:val="000000" w:themeColor="text1"/>
          <w:kern w:val="0"/>
          <w:sz w:val="28"/>
          <w:szCs w:val="28"/>
          <w14:ligatures w14:val="none"/>
        </w:rPr>
        <w:t>.</w:t>
      </w:r>
    </w:p>
    <w:p w14:paraId="2F1856D2"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السادسة هي استراتيجية التوجه بالمستفيد، التي تعتمد على وضع المستفيد في مركز اهتمام المنظمة، وتصميم جميع العمليات والخدمات انطلاقاً من احتياجاته وتطلعاته. ويُبرز (أبو بكر والسويطي، ٢٠٢٤) أن هذه الاستراتيجية تُحقق نتائج نوعية في تحسين رضا المستفيدين وبناء علاقات مستدامة معهم</w:t>
      </w:r>
      <w:r w:rsidRPr="00F41F4C">
        <w:rPr>
          <w:rFonts w:ascii="Simplified Arabic" w:eastAsia="Times New Roman" w:hAnsi="Simplified Arabic" w:cs="Simplified Arabic"/>
          <w:color w:val="000000" w:themeColor="text1"/>
          <w:kern w:val="0"/>
          <w:sz w:val="28"/>
          <w:szCs w:val="28"/>
          <w14:ligatures w14:val="none"/>
        </w:rPr>
        <w:t>.</w:t>
      </w:r>
    </w:p>
    <w:p w14:paraId="53C7705C"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السابعة هي استراتيجية الابتكار المؤسسي، التي تعتمد على بناء بيئة داعمة للابتكار وتحفيز العاملين على تقديم أفكار جديدة تُطوّر المنتجات والخدمات والعمليات. ويرى</w:t>
      </w:r>
      <w:r w:rsidRPr="00F41F4C">
        <w:rPr>
          <w:rFonts w:ascii="Simplified Arabic" w:eastAsia="Times New Roman" w:hAnsi="Simplified Arabic" w:cs="Simplified Arabic"/>
          <w:color w:val="000000" w:themeColor="text1"/>
          <w:kern w:val="0"/>
          <w:sz w:val="28"/>
          <w:szCs w:val="28"/>
          <w14:ligatures w14:val="none"/>
        </w:rPr>
        <w:t xml:space="preserve"> (Li et al., 2023) </w:t>
      </w:r>
      <w:r w:rsidRPr="00F41F4C">
        <w:rPr>
          <w:rFonts w:ascii="Simplified Arabic" w:eastAsia="Times New Roman" w:hAnsi="Simplified Arabic" w:cs="Simplified Arabic"/>
          <w:color w:val="000000" w:themeColor="text1"/>
          <w:kern w:val="0"/>
          <w:sz w:val="28"/>
          <w:szCs w:val="28"/>
          <w:rtl/>
          <w14:ligatures w14:val="none"/>
        </w:rPr>
        <w:t>أن هذه الاستراتيجية تحتاج إلى ثقافة تنظيمية داعمة وموارد كافية ومنظومة تحفيز مناسبة</w:t>
      </w:r>
      <w:r w:rsidRPr="00F41F4C">
        <w:rPr>
          <w:rFonts w:ascii="Simplified Arabic" w:eastAsia="Times New Roman" w:hAnsi="Simplified Arabic" w:cs="Simplified Arabic"/>
          <w:color w:val="000000" w:themeColor="text1"/>
          <w:kern w:val="0"/>
          <w:sz w:val="28"/>
          <w:szCs w:val="28"/>
          <w14:ligatures w14:val="none"/>
        </w:rPr>
        <w:t>.</w:t>
      </w:r>
    </w:p>
    <w:p w14:paraId="252E4A7F" w14:textId="77777777" w:rsidR="00A252BA" w:rsidRPr="00F41F4C" w:rsidRDefault="00A252BA" w:rsidP="005351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1F4C">
        <w:rPr>
          <w:rFonts w:ascii="Simplified Arabic" w:eastAsia="Times New Roman" w:hAnsi="Simplified Arabic" w:cs="Simplified Arabic"/>
          <w:color w:val="000000" w:themeColor="text1"/>
          <w:kern w:val="0"/>
          <w:sz w:val="28"/>
          <w:szCs w:val="28"/>
          <w:rtl/>
          <w14:ligatures w14:val="none"/>
        </w:rPr>
        <w:t>الاستراتيجية الثامنة هي استراتيجية الحوكمة الرشيدة، التي تعتمد على بناء منظومة حوكمة قوية تدعم الشفافية والمساءلة وترسّخ ثقافة الالتزام. ويُبين (العريمي والحراحشة، ٢٠٢٤) أن الحوكمة الرشيدة تُوفّر البيئة المؤسسية اللازمة لاستدامة جودة الأداء</w:t>
      </w:r>
      <w:r w:rsidRPr="00F41F4C">
        <w:rPr>
          <w:rFonts w:ascii="Simplified Arabic" w:eastAsia="Times New Roman" w:hAnsi="Simplified Arabic" w:cs="Simplified Arabic"/>
          <w:color w:val="000000" w:themeColor="text1"/>
          <w:kern w:val="0"/>
          <w:sz w:val="28"/>
          <w:szCs w:val="28"/>
          <w14:ligatures w14:val="none"/>
        </w:rPr>
        <w:t>.</w:t>
      </w:r>
    </w:p>
    <w:p w14:paraId="4CC1EED7" w14:textId="003BBE57" w:rsidR="001B0C38" w:rsidRPr="00F41F4C" w:rsidRDefault="0053515B" w:rsidP="00F270F7">
      <w:pPr>
        <w:jc w:val="center"/>
        <w:outlineLvl w:val="0"/>
        <w:rPr>
          <w:rFonts w:ascii="Simplified Arabic" w:hAnsi="Simplified Arabic" w:cs="Simplified Arabic"/>
          <w:b/>
          <w:bCs/>
          <w:color w:val="000000" w:themeColor="text1"/>
          <w:szCs w:val="28"/>
          <w:rtl/>
        </w:rPr>
        <w:sectPr w:rsidR="001B0C38" w:rsidRPr="00F41F4C" w:rsidSect="000A5E09">
          <w:footerReference w:type="default" r:id="rId10"/>
          <w:pgSz w:w="11906" w:h="16838" w:code="9"/>
          <w:pgMar w:top="1134" w:right="1701" w:bottom="1134" w:left="1134" w:header="720" w:footer="720" w:gutter="0"/>
          <w:pgNumType w:start="1"/>
          <w:cols w:space="708"/>
          <w:bidi/>
          <w:rtlGutter/>
          <w:docGrid w:linePitch="360"/>
        </w:sectPr>
      </w:pPr>
      <w:r w:rsidRPr="00F41F4C">
        <w:rPr>
          <w:rFonts w:ascii="Simplified Arabic" w:eastAsia="Times New Roman" w:hAnsi="Simplified Arabic" w:cs="Simplified Arabic"/>
          <w:b/>
          <w:bCs/>
          <w:color w:val="000000" w:themeColor="text1"/>
          <w:kern w:val="0"/>
          <w:sz w:val="40"/>
          <w:szCs w:val="40"/>
          <w:rtl/>
          <w14:ligatures w14:val="none"/>
        </w:rPr>
        <w:br w:type="page"/>
      </w:r>
      <w:bookmarkEnd w:id="31"/>
    </w:p>
    <w:p w14:paraId="29D4231B" w14:textId="6B3A547A" w:rsidR="0081623B" w:rsidRPr="00F41F4C" w:rsidRDefault="00E27D3B" w:rsidP="000A5E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41F4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D0BB78A">
            <wp:simplePos x="0" y="0"/>
            <wp:positionH relativeFrom="column">
              <wp:posOffset>4431030</wp:posOffset>
            </wp:positionH>
            <wp:positionV relativeFrom="paragraph">
              <wp:posOffset>0</wp:posOffset>
            </wp:positionV>
            <wp:extent cx="1209675" cy="1120140"/>
            <wp:effectExtent l="0" t="0" r="9525" b="3810"/>
            <wp:wrapTight wrapText="bothSides">
              <wp:wrapPolygon edited="0">
                <wp:start x="0" y="0"/>
                <wp:lineTo x="0" y="21306"/>
                <wp:lineTo x="21430" y="21306"/>
                <wp:lineTo x="214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9675" cy="1120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41F4C">
        <w:rPr>
          <w:rFonts w:asciiTheme="majorBidi" w:eastAsia="Calibri" w:hAnsiTheme="majorBidi" w:cstheme="majorBidi"/>
          <w:b/>
          <w:bCs/>
          <w:color w:val="000000" w:themeColor="text1"/>
          <w:kern w:val="0"/>
          <w:sz w:val="32"/>
          <w:szCs w:val="32"/>
          <w:lang w:bidi="ar-EG"/>
          <w14:ligatures w14:val="none"/>
        </w:rPr>
        <w:t>Mid</w:t>
      </w:r>
      <w:r w:rsidR="000D353F" w:rsidRPr="00F41F4C">
        <w:rPr>
          <w:rFonts w:asciiTheme="majorBidi" w:eastAsia="Calibri" w:hAnsiTheme="majorBidi" w:cstheme="majorBidi"/>
          <w:b/>
          <w:bCs/>
          <w:color w:val="000000" w:themeColor="text1"/>
          <w:kern w:val="0"/>
          <w:sz w:val="32"/>
          <w:szCs w:val="32"/>
          <w:lang w:bidi="ar-EG"/>
          <w14:ligatures w14:val="none"/>
        </w:rPr>
        <w:t xml:space="preserve"> </w:t>
      </w:r>
      <w:r w:rsidR="0081623B" w:rsidRPr="00F41F4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41F4C" w:rsidRDefault="0081623B" w:rsidP="000A5E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41F4C">
        <w:rPr>
          <w:rFonts w:asciiTheme="majorBidi" w:eastAsia="Calibri" w:hAnsiTheme="majorBidi" w:cstheme="majorBidi"/>
          <w:b/>
          <w:bCs/>
          <w:color w:val="000000" w:themeColor="text1"/>
          <w:kern w:val="0"/>
          <w:sz w:val="32"/>
          <w:szCs w:val="32"/>
          <w:lang w:bidi="ar-EG"/>
          <w14:ligatures w14:val="none"/>
        </w:rPr>
        <w:t>College of Management</w:t>
      </w:r>
    </w:p>
    <w:p w14:paraId="7F1106F3" w14:textId="358CF257" w:rsidR="00E27D3B" w:rsidRPr="00F41F4C" w:rsidRDefault="00857739" w:rsidP="001B0C3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F41F4C">
        <w:rPr>
          <w:rFonts w:asciiTheme="majorBidi" w:eastAsia="Calibri" w:hAnsiTheme="majorBidi" w:cstheme="majorBidi"/>
          <w:b/>
          <w:bCs/>
          <w:color w:val="000000" w:themeColor="text1"/>
          <w:kern w:val="0"/>
          <w:sz w:val="32"/>
          <w:szCs w:val="32"/>
          <w:lang w:bidi="ar-EG"/>
          <w14:ligatures w14:val="none"/>
        </w:rPr>
        <w:t xml:space="preserve">Department of </w:t>
      </w:r>
      <w:r w:rsidR="002E360D" w:rsidRPr="00F41F4C">
        <w:rPr>
          <w:rFonts w:asciiTheme="majorBidi" w:eastAsia="Calibri" w:hAnsiTheme="majorBidi" w:cstheme="majorBidi"/>
          <w:b/>
          <w:bCs/>
          <w:color w:val="000000" w:themeColor="text1"/>
          <w:kern w:val="0"/>
          <w:sz w:val="32"/>
          <w:szCs w:val="32"/>
          <w14:ligatures w14:val="none"/>
        </w:rPr>
        <w:t>Human Resources</w:t>
      </w:r>
    </w:p>
    <w:p w14:paraId="0343AD5E" w14:textId="77777777" w:rsidR="00A65828" w:rsidRPr="00F41F4C" w:rsidRDefault="00A65828" w:rsidP="000A5E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B310D80" w14:textId="77777777" w:rsidR="00205810" w:rsidRPr="00F41F4C" w:rsidRDefault="00205810" w:rsidP="001B0C3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F41F4C">
        <w:rPr>
          <w:rFonts w:asciiTheme="majorBidi" w:eastAsia="Calibri" w:hAnsiTheme="majorBidi" w:cstheme="majorBidi"/>
          <w:b/>
          <w:bCs/>
          <w:color w:val="000000" w:themeColor="text1"/>
          <w:kern w:val="0"/>
          <w:sz w:val="40"/>
          <w:szCs w:val="40"/>
          <w:lang w:bidi="ar-EG"/>
          <w14:ligatures w14:val="none"/>
        </w:rPr>
        <w:t>The Impact of Digital Transformation on Institutional Performance Quality at King Saud bin Abdulaziz University for Health Sciences in Riyadh</w:t>
      </w:r>
    </w:p>
    <w:p w14:paraId="050F51C8" w14:textId="77777777" w:rsidR="001B0C38" w:rsidRPr="00F41F4C" w:rsidRDefault="001B0C38" w:rsidP="001B0C3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7076D83" w:rsidR="000D353F" w:rsidRPr="00F41F4C" w:rsidRDefault="000D353F" w:rsidP="001B0C3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1F4C">
        <w:rPr>
          <w:rFonts w:asciiTheme="majorBidi" w:eastAsia="Calibri" w:hAnsiTheme="majorBidi" w:cstheme="majorBidi"/>
          <w:b/>
          <w:bCs/>
          <w:color w:val="000000" w:themeColor="text1"/>
          <w:kern w:val="0"/>
          <w:sz w:val="36"/>
          <w:szCs w:val="36"/>
          <w:lang w:bidi="ar-EG"/>
          <w14:ligatures w14:val="none"/>
        </w:rPr>
        <w:t>Prepared by:</w:t>
      </w:r>
    </w:p>
    <w:p w14:paraId="359C4209" w14:textId="77777777" w:rsidR="002E360D" w:rsidRPr="00F41F4C" w:rsidRDefault="002E360D" w:rsidP="001B0C3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F41F4C">
        <w:rPr>
          <w:rFonts w:asciiTheme="majorBidi" w:eastAsia="Calibri" w:hAnsiTheme="majorBidi" w:cstheme="majorBidi"/>
          <w:color w:val="000000" w:themeColor="text1"/>
          <w:kern w:val="0"/>
          <w:sz w:val="36"/>
          <w:szCs w:val="36"/>
          <w:lang w:bidi="ar-EG"/>
          <w14:ligatures w14:val="none"/>
        </w:rPr>
        <w:t>Nasser Mufadhia Alanazi</w:t>
      </w:r>
    </w:p>
    <w:p w14:paraId="506162A6" w14:textId="469E1B33" w:rsidR="00EA15E2" w:rsidRPr="00F41F4C" w:rsidRDefault="002E360D" w:rsidP="001B0C3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F41F4C">
        <w:rPr>
          <w:rFonts w:asciiTheme="majorBidi" w:eastAsia="Calibri" w:hAnsiTheme="majorBidi" w:cstheme="majorBidi"/>
          <w:color w:val="000000" w:themeColor="text1"/>
          <w:kern w:val="0"/>
          <w:sz w:val="36"/>
          <w:szCs w:val="36"/>
          <w:lang w:bidi="ar-EG"/>
          <w14:ligatures w14:val="none"/>
        </w:rPr>
        <w:t>253001510</w:t>
      </w:r>
    </w:p>
    <w:p w14:paraId="5C2111AF" w14:textId="77777777" w:rsidR="001B0C38" w:rsidRPr="00F41F4C" w:rsidRDefault="001B0C38" w:rsidP="001B0C3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41F4C" w:rsidRPr="00F41F4C" w14:paraId="3D877866" w14:textId="77777777" w:rsidTr="00606BC8">
        <w:tc>
          <w:tcPr>
            <w:tcW w:w="4530" w:type="dxa"/>
          </w:tcPr>
          <w:p w14:paraId="360558C3" w14:textId="77777777" w:rsidR="001B0C38" w:rsidRPr="00F41F4C" w:rsidRDefault="001B0C38" w:rsidP="00606BC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1F4C">
              <w:rPr>
                <w:rFonts w:asciiTheme="majorBidi" w:eastAsia="Calibri" w:hAnsiTheme="majorBidi" w:cstheme="majorBidi"/>
                <w:b/>
                <w:bCs/>
                <w:color w:val="000000" w:themeColor="text1"/>
                <w:kern w:val="0"/>
                <w:sz w:val="36"/>
                <w:szCs w:val="36"/>
                <w:lang w:bidi="ar-EG"/>
                <w14:ligatures w14:val="none"/>
              </w:rPr>
              <w:t>Main supervisor</w:t>
            </w:r>
            <w:r w:rsidRPr="00F41F4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62B1313" w14:textId="77777777" w:rsidR="001B0C38" w:rsidRPr="00F41F4C" w:rsidRDefault="001B0C38" w:rsidP="00606BC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1F4C">
              <w:rPr>
                <w:rFonts w:asciiTheme="majorBidi" w:eastAsia="Calibri" w:hAnsiTheme="majorBidi" w:cstheme="majorBidi"/>
                <w:b/>
                <w:bCs/>
                <w:color w:val="000000" w:themeColor="text1"/>
                <w:kern w:val="0"/>
                <w:sz w:val="36"/>
                <w:szCs w:val="36"/>
                <w:lang w:bidi="ar-EG"/>
                <w14:ligatures w14:val="none"/>
              </w:rPr>
              <w:t>Second supervisor</w:t>
            </w:r>
            <w:r w:rsidRPr="00F41F4C">
              <w:rPr>
                <w:rFonts w:asciiTheme="majorBidi" w:eastAsia="Calibri" w:hAnsiTheme="majorBidi" w:cstheme="majorBidi"/>
                <w:b/>
                <w:bCs/>
                <w:color w:val="000000" w:themeColor="text1"/>
                <w:kern w:val="0"/>
                <w:sz w:val="36"/>
                <w:szCs w:val="36"/>
                <w:rtl/>
                <w:lang w:bidi="ar-EG"/>
                <w14:ligatures w14:val="none"/>
              </w:rPr>
              <w:t>/</w:t>
            </w:r>
          </w:p>
        </w:tc>
      </w:tr>
      <w:tr w:rsidR="00F41F4C" w:rsidRPr="00F41F4C" w14:paraId="5DE24214" w14:textId="77777777" w:rsidTr="00606BC8">
        <w:tc>
          <w:tcPr>
            <w:tcW w:w="4530" w:type="dxa"/>
          </w:tcPr>
          <w:p w14:paraId="1122B940" w14:textId="77777777" w:rsidR="001B0C38" w:rsidRPr="00F41F4C" w:rsidRDefault="001B0C38" w:rsidP="00606BC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1F4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C2977B4" w14:textId="77777777" w:rsidR="001B0C38" w:rsidRPr="00F41F4C" w:rsidRDefault="001B0C38" w:rsidP="00606BC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1F4C">
              <w:rPr>
                <w:rFonts w:asciiTheme="majorBidi" w:eastAsia="Calibri" w:hAnsiTheme="majorBidi" w:cstheme="majorBidi"/>
                <w:color w:val="000000" w:themeColor="text1"/>
                <w:kern w:val="0"/>
                <w:sz w:val="36"/>
                <w:szCs w:val="36"/>
                <w:lang w:bidi="ar-EG"/>
                <w14:ligatures w14:val="none"/>
              </w:rPr>
              <w:t>Dr. Fayez Jarad</w:t>
            </w:r>
          </w:p>
        </w:tc>
      </w:tr>
    </w:tbl>
    <w:p w14:paraId="4C0DE5B0" w14:textId="77777777" w:rsidR="001B0C38" w:rsidRPr="00F41F4C" w:rsidRDefault="001B0C38" w:rsidP="001B0C3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41F4C">
        <w:rPr>
          <w:rFonts w:asciiTheme="majorBidi" w:eastAsia="Calibri" w:hAnsiTheme="majorBidi" w:cstheme="majorBidi"/>
          <w:color w:val="000000" w:themeColor="text1"/>
          <w:kern w:val="0"/>
          <w:sz w:val="36"/>
          <w:szCs w:val="36"/>
          <w:rtl/>
          <w:lang w:bidi="ar-EG"/>
          <w14:ligatures w14:val="none"/>
        </w:rPr>
        <w:t>1448 – 2026</w:t>
      </w:r>
    </w:p>
    <w:p w14:paraId="7BB0504B" w14:textId="77777777" w:rsidR="001B0C38" w:rsidRPr="00F41F4C" w:rsidRDefault="001B0C38" w:rsidP="001B0C3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042CC512" w14:textId="77777777" w:rsidR="00205810" w:rsidRPr="00F41F4C" w:rsidRDefault="00205810" w:rsidP="000A5E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F41F4C" w:rsidRDefault="00EA15E2" w:rsidP="000A5E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bookmarkStart w:id="59" w:name="_GoBack"/>
      <w:bookmarkEnd w:id="59"/>
    </w:p>
    <w:p w14:paraId="6E52896B" w14:textId="37C11BD5" w:rsidR="009125CE" w:rsidRPr="00F41F4C" w:rsidRDefault="009125CE" w:rsidP="000A5E0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41F4C" w:rsidSect="000A5E0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DECD4" w14:textId="77777777" w:rsidR="005929AB" w:rsidRDefault="005929AB" w:rsidP="009125CE">
      <w:pPr>
        <w:spacing w:after="0" w:line="240" w:lineRule="auto"/>
      </w:pPr>
      <w:r>
        <w:separator/>
      </w:r>
    </w:p>
  </w:endnote>
  <w:endnote w:type="continuationSeparator" w:id="0">
    <w:p w14:paraId="2CF1D5DD" w14:textId="77777777" w:rsidR="005929AB" w:rsidRDefault="005929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73742553"/>
      <w:docPartObj>
        <w:docPartGallery w:val="Page Numbers (Bottom of Page)"/>
        <w:docPartUnique/>
      </w:docPartObj>
    </w:sdtPr>
    <w:sdtEndPr>
      <w:rPr>
        <w:noProof/>
      </w:rPr>
    </w:sdtEndPr>
    <w:sdtContent>
      <w:p w14:paraId="5F1A8124" w14:textId="26C821BA" w:rsidR="00392D46" w:rsidRDefault="00392D46">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392D46" w:rsidRDefault="00392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2979800"/>
      <w:docPartObj>
        <w:docPartGallery w:val="Page Numbers (Bottom of Page)"/>
        <w:docPartUnique/>
      </w:docPartObj>
    </w:sdtPr>
    <w:sdtContent>
      <w:p w14:paraId="382BC7F4" w14:textId="77777777" w:rsidR="00392D46" w:rsidRDefault="00392D46">
        <w:pPr>
          <w:pStyle w:val="Footer"/>
        </w:pPr>
        <w:r>
          <w:rPr>
            <w:noProof/>
          </w:rPr>
          <mc:AlternateContent>
            <mc:Choice Requires="wps">
              <w:drawing>
                <wp:anchor distT="0" distB="0" distL="114300" distR="114300" simplePos="0" relativeHeight="251666432" behindDoc="0" locked="0" layoutInCell="1" allowOverlap="1" wp14:anchorId="02A2BF99" wp14:editId="389D0FE6">
                  <wp:simplePos x="0" y="0"/>
                  <wp:positionH relativeFrom="margin">
                    <wp:posOffset>2598420</wp:posOffset>
                  </wp:positionH>
                  <wp:positionV relativeFrom="bottomMargin">
                    <wp:posOffset>246380</wp:posOffset>
                  </wp:positionV>
                  <wp:extent cx="551815" cy="289560"/>
                  <wp:effectExtent l="19050" t="19050" r="14605" b="152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89560"/>
                          </a:xfrm>
                          <a:prstGeom prst="bracketPair">
                            <a:avLst>
                              <a:gd name="adj" fmla="val 16667"/>
                            </a:avLst>
                          </a:prstGeom>
                          <a:solidFill>
                            <a:srgbClr val="FFFFFF"/>
                          </a:solidFill>
                          <a:ln w="28575">
                            <a:solidFill>
                              <a:srgbClr val="808080"/>
                            </a:solidFill>
                            <a:round/>
                            <a:headEnd/>
                            <a:tailEnd/>
                          </a:ln>
                        </wps:spPr>
                        <wps:txbx>
                          <w:txbxContent>
                            <w:p w14:paraId="449F8E88" w14:textId="77777777" w:rsidR="00392D46" w:rsidRPr="000A5E09" w:rsidRDefault="00392D46">
                              <w:pPr>
                                <w:jc w:val="center"/>
                                <w:rPr>
                                  <w:rFonts w:ascii="Simplified Arabic" w:hAnsi="Simplified Arabic" w:cs="Simplified Arabic"/>
                                  <w:b/>
                                  <w:bCs/>
                                  <w:sz w:val="24"/>
                                  <w:szCs w:val="24"/>
                                </w:rPr>
                              </w:pPr>
                              <w:r w:rsidRPr="000A5E09">
                                <w:rPr>
                                  <w:rFonts w:ascii="Simplified Arabic" w:hAnsi="Simplified Arabic" w:cs="Simplified Arabic"/>
                                  <w:b/>
                                  <w:bCs/>
                                  <w:sz w:val="24"/>
                                  <w:szCs w:val="24"/>
                                </w:rPr>
                                <w:fldChar w:fldCharType="begin"/>
                              </w:r>
                              <w:r w:rsidRPr="000A5E09">
                                <w:rPr>
                                  <w:rFonts w:ascii="Simplified Arabic" w:hAnsi="Simplified Arabic" w:cs="Simplified Arabic"/>
                                  <w:b/>
                                  <w:bCs/>
                                  <w:sz w:val="24"/>
                                  <w:szCs w:val="24"/>
                                </w:rPr>
                                <w:instrText xml:space="preserve"> PAGE    \* MERGEFORMAT </w:instrText>
                              </w:r>
                              <w:r w:rsidRPr="000A5E09">
                                <w:rPr>
                                  <w:rFonts w:ascii="Simplified Arabic" w:hAnsi="Simplified Arabic" w:cs="Simplified Arabic"/>
                                  <w:b/>
                                  <w:bCs/>
                                  <w:sz w:val="24"/>
                                  <w:szCs w:val="24"/>
                                </w:rPr>
                                <w:fldChar w:fldCharType="separate"/>
                              </w:r>
                              <w:r w:rsidR="00F270F7">
                                <w:rPr>
                                  <w:rFonts w:ascii="Simplified Arabic" w:hAnsi="Simplified Arabic" w:cs="Simplified Arabic"/>
                                  <w:b/>
                                  <w:bCs/>
                                  <w:noProof/>
                                  <w:sz w:val="24"/>
                                  <w:szCs w:val="24"/>
                                  <w:rtl/>
                                </w:rPr>
                                <w:t>42</w:t>
                              </w:r>
                              <w:r w:rsidRPr="000A5E0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A2BF9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204.6pt;margin-top:19.4pt;width:43.45pt;height:22.8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" filled="t" strokecolor="gray" strokeweight="2.25pt">
                  <v:textbox inset=",0,,0">
                    <w:txbxContent>
                      <w:p w14:paraId="449F8E88" w14:textId="77777777" w:rsidR="00392D46" w:rsidRPr="000A5E09" w:rsidRDefault="00392D46">
                        <w:pPr>
                          <w:jc w:val="center"/>
                          <w:rPr>
                            <w:rFonts w:ascii="Simplified Arabic" w:hAnsi="Simplified Arabic" w:cs="Simplified Arabic"/>
                            <w:b/>
                            <w:bCs/>
                            <w:sz w:val="24"/>
                            <w:szCs w:val="24"/>
                          </w:rPr>
                        </w:pPr>
                        <w:r w:rsidRPr="000A5E09">
                          <w:rPr>
                            <w:rFonts w:ascii="Simplified Arabic" w:hAnsi="Simplified Arabic" w:cs="Simplified Arabic"/>
                            <w:b/>
                            <w:bCs/>
                            <w:sz w:val="24"/>
                            <w:szCs w:val="24"/>
                          </w:rPr>
                          <w:fldChar w:fldCharType="begin"/>
                        </w:r>
                        <w:r w:rsidRPr="000A5E09">
                          <w:rPr>
                            <w:rFonts w:ascii="Simplified Arabic" w:hAnsi="Simplified Arabic" w:cs="Simplified Arabic"/>
                            <w:b/>
                            <w:bCs/>
                            <w:sz w:val="24"/>
                            <w:szCs w:val="24"/>
                          </w:rPr>
                          <w:instrText xml:space="preserve"> PAGE    \* MERGEFORMAT </w:instrText>
                        </w:r>
                        <w:r w:rsidRPr="000A5E09">
                          <w:rPr>
                            <w:rFonts w:ascii="Simplified Arabic" w:hAnsi="Simplified Arabic" w:cs="Simplified Arabic"/>
                            <w:b/>
                            <w:bCs/>
                            <w:sz w:val="24"/>
                            <w:szCs w:val="24"/>
                          </w:rPr>
                          <w:fldChar w:fldCharType="separate"/>
                        </w:r>
                        <w:r w:rsidR="00F270F7">
                          <w:rPr>
                            <w:rFonts w:ascii="Simplified Arabic" w:hAnsi="Simplified Arabic" w:cs="Simplified Arabic"/>
                            <w:b/>
                            <w:bCs/>
                            <w:noProof/>
                            <w:sz w:val="24"/>
                            <w:szCs w:val="24"/>
                            <w:rtl/>
                          </w:rPr>
                          <w:t>42</w:t>
                        </w:r>
                        <w:r w:rsidRPr="000A5E0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C77B0B0" wp14:editId="16C24162">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2A38197"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988AE" w14:textId="15A268D0" w:rsidR="001B0C38" w:rsidRDefault="001B0C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894DB" w14:textId="77777777" w:rsidR="005929AB" w:rsidRDefault="005929AB" w:rsidP="009125CE">
      <w:pPr>
        <w:spacing w:after="0" w:line="240" w:lineRule="auto"/>
      </w:pPr>
      <w:r>
        <w:separator/>
      </w:r>
    </w:p>
  </w:footnote>
  <w:footnote w:type="continuationSeparator" w:id="0">
    <w:p w14:paraId="339EB53A" w14:textId="77777777" w:rsidR="005929AB" w:rsidRDefault="005929A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20FDD"/>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BA42D7"/>
    <w:multiLevelType w:val="hybridMultilevel"/>
    <w:tmpl w:val="E8405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8F11DE"/>
    <w:multiLevelType w:val="hybridMultilevel"/>
    <w:tmpl w:val="2E26C6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858ED"/>
    <w:multiLevelType w:val="hybridMultilevel"/>
    <w:tmpl w:val="C0A8A3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FB0F90"/>
    <w:multiLevelType w:val="hybridMultilevel"/>
    <w:tmpl w:val="F2B0DE24"/>
    <w:lvl w:ilvl="0" w:tplc="04090005">
      <w:start w:val="1"/>
      <w:numFmt w:val="bullet"/>
      <w:lvlText w:val=""/>
      <w:lvlJc w:val="left"/>
      <w:pPr>
        <w:ind w:left="1080" w:hanging="360"/>
      </w:pPr>
      <w:rPr>
        <w:rFonts w:ascii="Wingdings" w:hAnsi="Wingdings" w:hint="default"/>
      </w:rPr>
    </w:lvl>
    <w:lvl w:ilvl="1" w:tplc="8D50B224">
      <w:numFmt w:val="bullet"/>
      <w:lvlText w:val="•"/>
      <w:lvlJc w:val="left"/>
      <w:pPr>
        <w:ind w:left="2160" w:hanging="720"/>
      </w:pPr>
      <w:rPr>
        <w:rFonts w:ascii="Simplified Arabic" w:eastAsia="Times New Roman"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5440DA2"/>
    <w:multiLevelType w:val="hybridMultilevel"/>
    <w:tmpl w:val="E43C8F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A8348D"/>
    <w:multiLevelType w:val="hybridMultilevel"/>
    <w:tmpl w:val="77207E0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EC7CFC"/>
    <w:multiLevelType w:val="hybridMultilevel"/>
    <w:tmpl w:val="AE4298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A40E24"/>
    <w:multiLevelType w:val="hybridMultilevel"/>
    <w:tmpl w:val="399EF2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E63685"/>
    <w:multiLevelType w:val="hybridMultilevel"/>
    <w:tmpl w:val="9F2854E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10B35F5"/>
    <w:multiLevelType w:val="hybridMultilevel"/>
    <w:tmpl w:val="31501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1928A5"/>
    <w:multiLevelType w:val="hybridMultilevel"/>
    <w:tmpl w:val="1BE461C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9B469A"/>
    <w:multiLevelType w:val="multilevel"/>
    <w:tmpl w:val="7CA2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3475C6"/>
    <w:multiLevelType w:val="hybridMultilevel"/>
    <w:tmpl w:val="E36EB7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1EA6F57"/>
    <w:multiLevelType w:val="multilevel"/>
    <w:tmpl w:val="4DBE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AE5E25"/>
    <w:multiLevelType w:val="multilevel"/>
    <w:tmpl w:val="146A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3D5E74"/>
    <w:multiLevelType w:val="hybridMultilevel"/>
    <w:tmpl w:val="9A0A17A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5032644E"/>
    <w:multiLevelType w:val="hybridMultilevel"/>
    <w:tmpl w:val="68E8F4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637D4F"/>
    <w:multiLevelType w:val="hybridMultilevel"/>
    <w:tmpl w:val="090664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B53235"/>
    <w:multiLevelType w:val="hybridMultilevel"/>
    <w:tmpl w:val="983A62B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7C72D70"/>
    <w:multiLevelType w:val="multilevel"/>
    <w:tmpl w:val="9E90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B16BF6"/>
    <w:multiLevelType w:val="hybridMultilevel"/>
    <w:tmpl w:val="194A6D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2414A9"/>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443BD2"/>
    <w:multiLevelType w:val="multilevel"/>
    <w:tmpl w:val="6B44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8F750A"/>
    <w:multiLevelType w:val="multilevel"/>
    <w:tmpl w:val="886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FAC5641"/>
    <w:multiLevelType w:val="hybridMultilevel"/>
    <w:tmpl w:val="F118A73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71DC517C"/>
    <w:multiLevelType w:val="hybridMultilevel"/>
    <w:tmpl w:val="A84C0C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30E3E45"/>
    <w:multiLevelType w:val="hybridMultilevel"/>
    <w:tmpl w:val="2C2028B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47034D9"/>
    <w:multiLevelType w:val="hybridMultilevel"/>
    <w:tmpl w:val="6778C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54F3A39"/>
    <w:multiLevelType w:val="hybridMultilevel"/>
    <w:tmpl w:val="9C4A4B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091405"/>
    <w:multiLevelType w:val="multilevel"/>
    <w:tmpl w:val="80E8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A601A3"/>
    <w:multiLevelType w:val="hybridMultilevel"/>
    <w:tmpl w:val="D3529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057BE4"/>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7F7900"/>
    <w:multiLevelType w:val="multilevel"/>
    <w:tmpl w:val="AD72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503285"/>
    <w:multiLevelType w:val="hybridMultilevel"/>
    <w:tmpl w:val="CDDCF6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13"/>
  </w:num>
  <w:num w:numId="4">
    <w:abstractNumId w:val="21"/>
  </w:num>
  <w:num w:numId="5">
    <w:abstractNumId w:val="35"/>
  </w:num>
  <w:num w:numId="6">
    <w:abstractNumId w:val="0"/>
  </w:num>
  <w:num w:numId="7">
    <w:abstractNumId w:val="23"/>
  </w:num>
  <w:num w:numId="8">
    <w:abstractNumId w:val="34"/>
  </w:num>
  <w:num w:numId="9">
    <w:abstractNumId w:val="27"/>
  </w:num>
  <w:num w:numId="10">
    <w:abstractNumId w:val="25"/>
  </w:num>
  <w:num w:numId="11">
    <w:abstractNumId w:val="15"/>
  </w:num>
  <w:num w:numId="12">
    <w:abstractNumId w:val="32"/>
  </w:num>
  <w:num w:numId="13">
    <w:abstractNumId w:val="28"/>
  </w:num>
  <w:num w:numId="14">
    <w:abstractNumId w:val="30"/>
  </w:num>
  <w:num w:numId="15">
    <w:abstractNumId w:val="1"/>
  </w:num>
  <w:num w:numId="16">
    <w:abstractNumId w:val="4"/>
  </w:num>
  <w:num w:numId="17">
    <w:abstractNumId w:val="20"/>
  </w:num>
  <w:num w:numId="18">
    <w:abstractNumId w:val="11"/>
  </w:num>
  <w:num w:numId="19">
    <w:abstractNumId w:val="18"/>
  </w:num>
  <w:num w:numId="20">
    <w:abstractNumId w:val="7"/>
  </w:num>
  <w:num w:numId="21">
    <w:abstractNumId w:val="36"/>
  </w:num>
  <w:num w:numId="22">
    <w:abstractNumId w:val="14"/>
  </w:num>
  <w:num w:numId="23">
    <w:abstractNumId w:val="5"/>
  </w:num>
  <w:num w:numId="24">
    <w:abstractNumId w:val="22"/>
  </w:num>
  <w:num w:numId="25">
    <w:abstractNumId w:val="2"/>
  </w:num>
  <w:num w:numId="26">
    <w:abstractNumId w:val="31"/>
  </w:num>
  <w:num w:numId="27">
    <w:abstractNumId w:val="3"/>
  </w:num>
  <w:num w:numId="28">
    <w:abstractNumId w:val="29"/>
  </w:num>
  <w:num w:numId="29">
    <w:abstractNumId w:val="19"/>
  </w:num>
  <w:num w:numId="30">
    <w:abstractNumId w:val="6"/>
  </w:num>
  <w:num w:numId="31">
    <w:abstractNumId w:val="12"/>
  </w:num>
  <w:num w:numId="32">
    <w:abstractNumId w:val="33"/>
  </w:num>
  <w:num w:numId="33">
    <w:abstractNumId w:val="8"/>
  </w:num>
  <w:num w:numId="34">
    <w:abstractNumId w:val="10"/>
  </w:num>
  <w:num w:numId="35">
    <w:abstractNumId w:val="17"/>
  </w:num>
  <w:num w:numId="36">
    <w:abstractNumId w:val="9"/>
  </w:num>
  <w:num w:numId="37">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57631"/>
    <w:rsid w:val="000602CA"/>
    <w:rsid w:val="000610C9"/>
    <w:rsid w:val="00061FA2"/>
    <w:rsid w:val="00064FF1"/>
    <w:rsid w:val="00067938"/>
    <w:rsid w:val="0007370A"/>
    <w:rsid w:val="000769E1"/>
    <w:rsid w:val="000837BE"/>
    <w:rsid w:val="000842EB"/>
    <w:rsid w:val="00092C10"/>
    <w:rsid w:val="00093973"/>
    <w:rsid w:val="00094E98"/>
    <w:rsid w:val="000A06E6"/>
    <w:rsid w:val="000A2ED4"/>
    <w:rsid w:val="000A4AC3"/>
    <w:rsid w:val="000A4DAE"/>
    <w:rsid w:val="000A5E09"/>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A5B8C"/>
    <w:rsid w:val="001B0C38"/>
    <w:rsid w:val="001B0D06"/>
    <w:rsid w:val="001B6D18"/>
    <w:rsid w:val="001B7151"/>
    <w:rsid w:val="001C2162"/>
    <w:rsid w:val="001C42F9"/>
    <w:rsid w:val="001D4406"/>
    <w:rsid w:val="001E7B16"/>
    <w:rsid w:val="001F0034"/>
    <w:rsid w:val="001F159D"/>
    <w:rsid w:val="001F46A5"/>
    <w:rsid w:val="00205810"/>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0D"/>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47ADE"/>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D46"/>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3515B"/>
    <w:rsid w:val="005423FA"/>
    <w:rsid w:val="00544E3F"/>
    <w:rsid w:val="00545455"/>
    <w:rsid w:val="005459E0"/>
    <w:rsid w:val="00545E45"/>
    <w:rsid w:val="00550EC8"/>
    <w:rsid w:val="005527F0"/>
    <w:rsid w:val="00557A05"/>
    <w:rsid w:val="00557B85"/>
    <w:rsid w:val="0058591B"/>
    <w:rsid w:val="00586F13"/>
    <w:rsid w:val="00590B27"/>
    <w:rsid w:val="005929AB"/>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3FA"/>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C47"/>
    <w:rsid w:val="009E31A0"/>
    <w:rsid w:val="009E5668"/>
    <w:rsid w:val="009F321C"/>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2BA"/>
    <w:rsid w:val="00A2564F"/>
    <w:rsid w:val="00A30D10"/>
    <w:rsid w:val="00A31A25"/>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7576"/>
    <w:rsid w:val="00AA005F"/>
    <w:rsid w:val="00AA3985"/>
    <w:rsid w:val="00AA79E9"/>
    <w:rsid w:val="00AB0A70"/>
    <w:rsid w:val="00AB3E18"/>
    <w:rsid w:val="00AB41F1"/>
    <w:rsid w:val="00AB5A3B"/>
    <w:rsid w:val="00AB6A7C"/>
    <w:rsid w:val="00AD0E94"/>
    <w:rsid w:val="00AD722B"/>
    <w:rsid w:val="00AE3C7A"/>
    <w:rsid w:val="00AE69D0"/>
    <w:rsid w:val="00AF24F6"/>
    <w:rsid w:val="00AF31BE"/>
    <w:rsid w:val="00AF46DF"/>
    <w:rsid w:val="00B04BD9"/>
    <w:rsid w:val="00B05F9C"/>
    <w:rsid w:val="00B134E7"/>
    <w:rsid w:val="00B15A9E"/>
    <w:rsid w:val="00B16D15"/>
    <w:rsid w:val="00B27CA1"/>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32FE"/>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07D1F"/>
    <w:rsid w:val="00D1053F"/>
    <w:rsid w:val="00D10F38"/>
    <w:rsid w:val="00D1454F"/>
    <w:rsid w:val="00D16AF6"/>
    <w:rsid w:val="00D216C5"/>
    <w:rsid w:val="00D22171"/>
    <w:rsid w:val="00D274B5"/>
    <w:rsid w:val="00D27AED"/>
    <w:rsid w:val="00D30845"/>
    <w:rsid w:val="00D3210F"/>
    <w:rsid w:val="00D32470"/>
    <w:rsid w:val="00D32C83"/>
    <w:rsid w:val="00D417B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27FA6"/>
    <w:rsid w:val="00E30EB7"/>
    <w:rsid w:val="00E3112D"/>
    <w:rsid w:val="00E373EB"/>
    <w:rsid w:val="00E43652"/>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70F7"/>
    <w:rsid w:val="00F30BD7"/>
    <w:rsid w:val="00F310F2"/>
    <w:rsid w:val="00F33937"/>
    <w:rsid w:val="00F3442D"/>
    <w:rsid w:val="00F41F4C"/>
    <w:rsid w:val="00F4304F"/>
    <w:rsid w:val="00F450D5"/>
    <w:rsid w:val="00F45A5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A5E09"/>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A5E09"/>
    <w:rPr>
      <w:rFonts w:ascii="Simplified Arabic" w:eastAsiaTheme="majorEastAsia" w:hAnsi="Simplified Arabic" w:cs="Simplified Arabic"/>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6Colorful">
    <w:name w:val="Grid Table 6 Colorful"/>
    <w:basedOn w:val="TableNormal"/>
    <w:uiPriority w:val="51"/>
    <w:rsid w:val="000A5E0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1B0C3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33373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13680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936238">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4622207">
      <w:bodyDiv w:val="1"/>
      <w:marLeft w:val="0"/>
      <w:marRight w:val="0"/>
      <w:marTop w:val="0"/>
      <w:marBottom w:val="0"/>
      <w:divBdr>
        <w:top w:val="none" w:sz="0" w:space="0" w:color="auto"/>
        <w:left w:val="none" w:sz="0" w:space="0" w:color="auto"/>
        <w:bottom w:val="none" w:sz="0" w:space="0" w:color="auto"/>
        <w:right w:val="none" w:sz="0" w:space="0" w:color="auto"/>
      </w:divBdr>
      <w:divsChild>
        <w:div w:id="1528904403">
          <w:marLeft w:val="0"/>
          <w:marRight w:val="0"/>
          <w:marTop w:val="0"/>
          <w:marBottom w:val="0"/>
          <w:divBdr>
            <w:top w:val="none" w:sz="0" w:space="0" w:color="auto"/>
            <w:left w:val="none" w:sz="0" w:space="0" w:color="auto"/>
            <w:bottom w:val="none" w:sz="0" w:space="0" w:color="auto"/>
            <w:right w:val="none" w:sz="0" w:space="0" w:color="auto"/>
          </w:divBdr>
        </w:div>
        <w:div w:id="242103017">
          <w:marLeft w:val="0"/>
          <w:marRight w:val="0"/>
          <w:marTop w:val="0"/>
          <w:marBottom w:val="0"/>
          <w:divBdr>
            <w:top w:val="none" w:sz="0" w:space="0" w:color="auto"/>
            <w:left w:val="none" w:sz="0" w:space="0" w:color="auto"/>
            <w:bottom w:val="none" w:sz="0" w:space="0" w:color="auto"/>
            <w:right w:val="none" w:sz="0" w:space="0" w:color="auto"/>
          </w:divBdr>
        </w:div>
        <w:div w:id="1219584533">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889211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993358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2858284">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0815EB-3361-4280-8109-8CE21EA1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12061</Words>
  <Characters>68749</Characters>
  <Application>Microsoft Office Word</Application>
  <DocSecurity>0</DocSecurity>
  <Lines>572</Lines>
  <Paragraphs>161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2026-07-27T21:18:00Z</cp:lastPrinted>
  <dcterms:created xsi:type="dcterms:W3CDTF">2026-07-27T21:16:00Z</dcterms:created>
  <dcterms:modified xsi:type="dcterms:W3CDTF">2026-07-27T21:18:00Z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