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F4CA914" w:rsidR="009125CE" w:rsidRPr="008C68C0" w:rsidRDefault="00815695" w:rsidP="00815695">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8C68C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82F27EA">
            <wp:simplePos x="0" y="0"/>
            <wp:positionH relativeFrom="margin">
              <wp:posOffset>217170</wp:posOffset>
            </wp:positionH>
            <wp:positionV relativeFrom="margin">
              <wp:posOffset>-87630</wp:posOffset>
            </wp:positionV>
            <wp:extent cx="1693545" cy="15716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3545" cy="1571625"/>
                    </a:xfrm>
                    <a:prstGeom prst="rect">
                      <a:avLst/>
                    </a:prstGeom>
                  </pic:spPr>
                </pic:pic>
              </a:graphicData>
            </a:graphic>
            <wp14:sizeRelH relativeFrom="margin">
              <wp14:pctWidth>0</wp14:pctWidth>
            </wp14:sizeRelH>
            <wp14:sizeRelV relativeFrom="margin">
              <wp14:pctHeight>0</wp14:pctHeight>
            </wp14:sizeRelV>
          </wp:anchor>
        </w:drawing>
      </w:r>
      <w:r w:rsidR="009125CE" w:rsidRPr="008C68C0">
        <w:rPr>
          <w:rFonts w:ascii="Simplified Arabic" w:hAnsi="Simplified Arabic" w:cs="Simplified Arabic"/>
          <w:b/>
          <w:bCs/>
          <w:color w:val="000000" w:themeColor="text1"/>
          <w:sz w:val="32"/>
          <w:szCs w:val="32"/>
          <w:rtl/>
          <w:lang w:bidi="ar-EG"/>
        </w:rPr>
        <w:t xml:space="preserve">جامعة ميدأوشن </w:t>
      </w:r>
    </w:p>
    <w:p w14:paraId="1E957002" w14:textId="23DA787A" w:rsidR="00F546CE" w:rsidRPr="008C68C0" w:rsidRDefault="009125CE" w:rsidP="0081569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C68C0">
        <w:rPr>
          <w:rFonts w:ascii="Simplified Arabic" w:hAnsi="Simplified Arabic" w:cs="Simplified Arabic"/>
          <w:b/>
          <w:bCs/>
          <w:color w:val="000000" w:themeColor="text1"/>
          <w:sz w:val="32"/>
          <w:szCs w:val="32"/>
          <w:rtl/>
          <w:lang w:bidi="ar-EG"/>
        </w:rPr>
        <w:t xml:space="preserve">كلية </w:t>
      </w:r>
      <w:r w:rsidR="008C42C1" w:rsidRPr="008C68C0">
        <w:rPr>
          <w:rFonts w:ascii="Simplified Arabic" w:hAnsi="Simplified Arabic" w:cs="Simplified Arabic"/>
          <w:b/>
          <w:bCs/>
          <w:color w:val="000000" w:themeColor="text1"/>
          <w:sz w:val="32"/>
          <w:szCs w:val="32"/>
          <w:rtl/>
          <w:lang w:bidi="ar-EG"/>
        </w:rPr>
        <w:t>الإدارة</w:t>
      </w:r>
      <w:r w:rsidRPr="008C68C0">
        <w:rPr>
          <w:rFonts w:ascii="Simplified Arabic" w:hAnsi="Simplified Arabic" w:cs="Simplified Arabic"/>
          <w:b/>
          <w:bCs/>
          <w:color w:val="000000" w:themeColor="text1"/>
          <w:sz w:val="32"/>
          <w:szCs w:val="32"/>
          <w:rtl/>
          <w:lang w:bidi="ar-EG"/>
        </w:rPr>
        <w:t xml:space="preserve"> </w:t>
      </w:r>
    </w:p>
    <w:p w14:paraId="0217C513" w14:textId="2DDE4E1A" w:rsidR="009125CE" w:rsidRPr="008C68C0" w:rsidRDefault="009125CE" w:rsidP="0081569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C68C0">
        <w:rPr>
          <w:rFonts w:ascii="Simplified Arabic" w:hAnsi="Simplified Arabic" w:cs="Simplified Arabic"/>
          <w:b/>
          <w:bCs/>
          <w:color w:val="000000" w:themeColor="text1"/>
          <w:sz w:val="32"/>
          <w:szCs w:val="32"/>
          <w:rtl/>
          <w:lang w:bidi="ar-EG"/>
        </w:rPr>
        <w:t>تخصص</w:t>
      </w:r>
      <w:r w:rsidR="00B15A9E" w:rsidRPr="008C68C0">
        <w:rPr>
          <w:rFonts w:ascii="Simplified Arabic" w:hAnsi="Simplified Arabic" w:cs="Simplified Arabic"/>
          <w:b/>
          <w:bCs/>
          <w:color w:val="000000" w:themeColor="text1"/>
          <w:sz w:val="32"/>
          <w:szCs w:val="32"/>
          <w:rtl/>
          <w:lang w:bidi="ar-EG"/>
        </w:rPr>
        <w:t xml:space="preserve"> </w:t>
      </w:r>
      <w:r w:rsidR="00854B0B" w:rsidRPr="008C68C0">
        <w:rPr>
          <w:rFonts w:ascii="Simplified Arabic" w:hAnsi="Simplified Arabic" w:cs="Simplified Arabic"/>
          <w:b/>
          <w:bCs/>
          <w:color w:val="000000" w:themeColor="text1"/>
          <w:sz w:val="32"/>
          <w:szCs w:val="32"/>
          <w:rtl/>
          <w:lang w:bidi="ar-EG"/>
        </w:rPr>
        <w:t xml:space="preserve">اداره </w:t>
      </w:r>
      <w:r w:rsidR="001B46EC" w:rsidRPr="008C68C0">
        <w:rPr>
          <w:rFonts w:ascii="Simplified Arabic" w:hAnsi="Simplified Arabic" w:cs="Simplified Arabic"/>
          <w:b/>
          <w:bCs/>
          <w:color w:val="000000" w:themeColor="text1"/>
          <w:sz w:val="32"/>
          <w:szCs w:val="32"/>
          <w:rtl/>
          <w:lang w:bidi="ar-EG"/>
        </w:rPr>
        <w:t>ال</w:t>
      </w:r>
      <w:r w:rsidR="00823CF5" w:rsidRPr="008C68C0">
        <w:rPr>
          <w:rFonts w:ascii="Simplified Arabic" w:hAnsi="Simplified Arabic" w:cs="Simplified Arabic"/>
          <w:b/>
          <w:bCs/>
          <w:color w:val="000000" w:themeColor="text1"/>
          <w:sz w:val="32"/>
          <w:szCs w:val="32"/>
          <w:rtl/>
          <w:lang w:bidi="ar-EG"/>
        </w:rPr>
        <w:t xml:space="preserve">مشاريع </w:t>
      </w:r>
    </w:p>
    <w:p w14:paraId="0A25F43C" w14:textId="77777777" w:rsidR="008C7BB4" w:rsidRPr="008C68C0" w:rsidRDefault="008C7BB4" w:rsidP="00815695">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1DD1D12" w14:textId="7176A31A" w:rsidR="009B059D" w:rsidRPr="008C68C0" w:rsidRDefault="009B059D" w:rsidP="00815695">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8C68C0">
        <w:rPr>
          <w:rFonts w:ascii="Simplified Arabic" w:hAnsi="Simplified Arabic" w:cs="Simplified Arabic"/>
          <w:b/>
          <w:bCs/>
          <w:color w:val="000000" w:themeColor="text1"/>
          <w:sz w:val="40"/>
          <w:szCs w:val="40"/>
          <w:rtl/>
        </w:rPr>
        <w:t>أثر التحول المؤسسي في تطوير كفاءة الخدمات العامة في ظل التغيرات التنظيمية: دراسة ميدانية على</w:t>
      </w:r>
      <w:r w:rsidR="001B46EC" w:rsidRPr="008C68C0">
        <w:rPr>
          <w:rFonts w:ascii="Simplified Arabic" w:hAnsi="Simplified Arabic" w:cs="Simplified Arabic"/>
          <w:b/>
          <w:bCs/>
          <w:color w:val="000000" w:themeColor="text1"/>
          <w:sz w:val="40"/>
          <w:szCs w:val="40"/>
          <w:rtl/>
        </w:rPr>
        <w:t xml:space="preserve">  الجهة الحكومية في المملكة العربية السعودية</w:t>
      </w:r>
    </w:p>
    <w:p w14:paraId="751A7E65" w14:textId="2DCFA441" w:rsidR="009125CE" w:rsidRPr="008C68C0" w:rsidRDefault="009125CE" w:rsidP="0081569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C68C0">
        <w:rPr>
          <w:rFonts w:ascii="Simplified Arabic" w:hAnsi="Simplified Arabic" w:cs="Simplified Arabic"/>
          <w:b/>
          <w:bCs/>
          <w:color w:val="000000" w:themeColor="text1"/>
          <w:sz w:val="36"/>
          <w:szCs w:val="36"/>
          <w:rtl/>
          <w:lang w:bidi="ar-EG"/>
        </w:rPr>
        <w:t>إعداد الطالب/</w:t>
      </w:r>
    </w:p>
    <w:p w14:paraId="14DA57BC" w14:textId="0536EA90" w:rsidR="00823CF5" w:rsidRPr="008C68C0" w:rsidRDefault="00823CF5" w:rsidP="00815695">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8C68C0">
        <w:rPr>
          <w:rFonts w:ascii="Simplified Arabic" w:hAnsi="Simplified Arabic" w:cs="Simplified Arabic"/>
          <w:color w:val="000000" w:themeColor="text1"/>
          <w:sz w:val="36"/>
          <w:szCs w:val="36"/>
          <w:rtl/>
        </w:rPr>
        <w:t>ساره عبدالله الشلوي</w:t>
      </w:r>
    </w:p>
    <w:p w14:paraId="72AE4360" w14:textId="17647DB3" w:rsidR="00854B0B" w:rsidRPr="008C68C0" w:rsidRDefault="00823CF5" w:rsidP="00815695">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8C68C0">
        <w:rPr>
          <w:rFonts w:ascii="Simplified Arabic" w:hAnsi="Simplified Arabic" w:cs="Simplified Arabic"/>
          <w:color w:val="000000" w:themeColor="text1"/>
          <w:sz w:val="36"/>
          <w:szCs w:val="36"/>
          <w:rtl/>
        </w:rPr>
        <w:t>253002550</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15695" w:rsidRPr="008C68C0" w14:paraId="7E1FEDC1" w14:textId="77777777" w:rsidTr="002B0509">
        <w:tc>
          <w:tcPr>
            <w:tcW w:w="4530" w:type="dxa"/>
          </w:tcPr>
          <w:p w14:paraId="6B659CAE" w14:textId="77777777" w:rsidR="00815695" w:rsidRPr="008C68C0" w:rsidRDefault="00815695" w:rsidP="002B05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C68C0">
              <w:rPr>
                <w:rFonts w:ascii="Simplified Arabic" w:hAnsi="Simplified Arabic" w:cs="Simplified Arabic" w:hint="cs"/>
                <w:b/>
                <w:bCs/>
                <w:color w:val="000000" w:themeColor="text1"/>
                <w:sz w:val="36"/>
                <w:szCs w:val="36"/>
                <w:rtl/>
                <w:lang w:bidi="ar-EG"/>
              </w:rPr>
              <w:t>المشرف الرئيسي/</w:t>
            </w:r>
          </w:p>
        </w:tc>
        <w:tc>
          <w:tcPr>
            <w:tcW w:w="4531" w:type="dxa"/>
          </w:tcPr>
          <w:p w14:paraId="3438B260" w14:textId="77777777" w:rsidR="00815695" w:rsidRPr="008C68C0" w:rsidRDefault="00815695" w:rsidP="002B05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C68C0">
              <w:rPr>
                <w:rFonts w:ascii="Simplified Arabic" w:hAnsi="Simplified Arabic" w:cs="Simplified Arabic" w:hint="cs"/>
                <w:b/>
                <w:bCs/>
                <w:color w:val="000000" w:themeColor="text1"/>
                <w:sz w:val="36"/>
                <w:szCs w:val="36"/>
                <w:rtl/>
                <w:lang w:bidi="ar-EG"/>
              </w:rPr>
              <w:t>المشرف الثاني/</w:t>
            </w:r>
          </w:p>
        </w:tc>
      </w:tr>
      <w:tr w:rsidR="00815695" w:rsidRPr="008C68C0" w14:paraId="2BE6283C" w14:textId="77777777" w:rsidTr="002B0509">
        <w:tc>
          <w:tcPr>
            <w:tcW w:w="4530" w:type="dxa"/>
          </w:tcPr>
          <w:p w14:paraId="29F0FFFF" w14:textId="77777777" w:rsidR="00815695" w:rsidRPr="008C68C0" w:rsidRDefault="00815695" w:rsidP="002B05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C68C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D99AF48" w14:textId="77777777" w:rsidR="00815695" w:rsidRPr="008C68C0" w:rsidRDefault="00815695" w:rsidP="002B05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C68C0">
              <w:rPr>
                <w:rFonts w:ascii="Simplified Arabic" w:eastAsia="Calibri" w:hAnsi="Simplified Arabic" w:cs="Simplified Arabic"/>
                <w:color w:val="000000" w:themeColor="text1"/>
                <w:kern w:val="0"/>
                <w:sz w:val="36"/>
                <w:szCs w:val="36"/>
                <w:rtl/>
                <w:lang w:bidi="ar-EG"/>
                <w14:ligatures w14:val="none"/>
              </w:rPr>
              <w:t>د.فايز جراد</w:t>
            </w:r>
          </w:p>
        </w:tc>
      </w:tr>
    </w:tbl>
    <w:p w14:paraId="6B4181A0" w14:textId="77777777" w:rsidR="00815695" w:rsidRPr="008C68C0" w:rsidRDefault="00815695" w:rsidP="00815695">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8C68C0">
        <w:rPr>
          <w:rFonts w:ascii="Simplified Arabic" w:hAnsi="Simplified Arabic" w:cs="Simplified Arabic"/>
          <w:b/>
          <w:bCs/>
          <w:color w:val="000000" w:themeColor="text1"/>
          <w:sz w:val="36"/>
          <w:szCs w:val="36"/>
          <w:rtl/>
          <w:lang w:bidi="ar-EG"/>
        </w:rPr>
        <w:t>العام الدراسي:</w:t>
      </w:r>
    </w:p>
    <w:p w14:paraId="4B16CEA3" w14:textId="77777777" w:rsidR="00815695" w:rsidRPr="008C68C0" w:rsidRDefault="00815695" w:rsidP="00815695">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815695" w:rsidRPr="008C68C0" w:rsidSect="002B0509">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8C68C0">
        <w:rPr>
          <w:rFonts w:ascii="Simplified Arabic" w:hAnsi="Simplified Arabic" w:cs="Simplified Arabic"/>
          <w:color w:val="000000" w:themeColor="text1"/>
          <w:sz w:val="36"/>
          <w:szCs w:val="36"/>
          <w:lang w:bidi="ar-EG"/>
        </w:rPr>
        <w:t>1448 – 2026</w:t>
      </w:r>
    </w:p>
    <w:p w14:paraId="7D1B6013" w14:textId="77777777" w:rsidR="00815695" w:rsidRPr="008C68C0" w:rsidRDefault="00815695" w:rsidP="005C034D">
      <w:pPr>
        <w:spacing w:before="100" w:beforeAutospacing="1" w:after="100" w:afterAutospacing="1" w:line="276" w:lineRule="auto"/>
        <w:rPr>
          <w:rFonts w:ascii="Simplified Arabic" w:hAnsi="Simplified Arabic" w:cs="Simplified Arabic"/>
          <w:color w:val="000000" w:themeColor="text1"/>
          <w:sz w:val="36"/>
          <w:szCs w:val="36"/>
          <w:rtl/>
        </w:rPr>
        <w:sectPr w:rsidR="00815695" w:rsidRPr="008C68C0" w:rsidSect="00815695">
          <w:footerReference w:type="default" r:id="rId10"/>
          <w:type w:val="continuous"/>
          <w:pgSz w:w="11906" w:h="16838" w:code="9"/>
          <w:pgMar w:top="1134" w:right="1701" w:bottom="1134" w:left="1134" w:header="720" w:footer="720" w:gutter="0"/>
          <w:cols w:space="708"/>
          <w:bidi/>
          <w:rtlGutter/>
          <w:docGrid w:linePitch="360"/>
        </w:sectPr>
      </w:pPr>
    </w:p>
    <w:p w14:paraId="1C2381B3" w14:textId="2371EB76" w:rsidR="00815695" w:rsidRPr="008C68C0" w:rsidRDefault="00815695" w:rsidP="005C034D">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212253"/>
      <w:r w:rsidRPr="008C68C0">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6139C149" w14:textId="0E3306A2" w:rsidR="00815695" w:rsidRPr="008C68C0" w:rsidRDefault="00815695" w:rsidP="007A741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212254"/>
      <w:r w:rsidRPr="008C68C0">
        <w:rPr>
          <w:rFonts w:ascii="Simplified Arabic" w:hAnsi="Simplified Arabic" w:cs="Simplified Arabic" w:hint="cs"/>
          <w:b/>
          <w:bCs/>
          <w:color w:val="000000" w:themeColor="text1"/>
          <w:sz w:val="36"/>
          <w:szCs w:val="36"/>
          <w:rtl/>
        </w:rPr>
        <w:t>1.1 المقدمة</w:t>
      </w:r>
      <w:bookmarkEnd w:id="3"/>
    </w:p>
    <w:p w14:paraId="4E6ABC32" w14:textId="6A48C2F1" w:rsidR="001B46EC" w:rsidRPr="008C68C0" w:rsidRDefault="001B46EC"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تواجه المؤسسات الحكومية في العصر الراهن ضغوطاً متزايدة تفرضها التحولات الاقتصادية والتكنولوجية والاجتماعية المتسارعة، مما يستوجب إعادة التفكير في أنماطها الإدارية التقليدية والانتقال نحو نماذج تنظيمية أكثر مرونة وقدرة على الاستجابة لتطلعات المجتمعات المتجددة</w:t>
      </w:r>
      <w:r w:rsidRPr="008C68C0">
        <w:rPr>
          <w:rFonts w:ascii="Simplified Arabic" w:hAnsi="Simplified Arabic" w:cs="Simplified Arabic"/>
          <w:color w:val="000000" w:themeColor="text1"/>
          <w:sz w:val="28"/>
          <w:szCs w:val="28"/>
        </w:rPr>
        <w:t xml:space="preserve">. </w:t>
      </w:r>
      <w:r w:rsidRPr="008C68C0">
        <w:rPr>
          <w:rFonts w:ascii="Simplified Arabic" w:hAnsi="Simplified Arabic" w:cs="Simplified Arabic"/>
          <w:color w:val="000000" w:themeColor="text1"/>
          <w:sz w:val="28"/>
          <w:szCs w:val="28"/>
          <w:rtl/>
        </w:rPr>
        <w:t>وقد أصبح التحول المؤسسي خياراً استراتيجياً لا مناص منه تتبناه الحكومات لتحديث أجهزتها الإدارية وتطوير منظوماتها التشغيلية، إذ يمثل عملية شاملة تتضمن إعادة هيكلة البنى التنظيمية وتبني التقنيات الرقمية وتجديد الثقافة المؤسسية وتمكين الكوادر البشرية، بما يُمكّن هذه المؤسسات من مواكبة المتغيرات البيئية المحيطة وتحقيق أهدافها بكفاءة أعلى (الحربي، 2025)</w:t>
      </w:r>
      <w:r w:rsidRPr="008C68C0">
        <w:rPr>
          <w:rFonts w:ascii="Simplified Arabic" w:hAnsi="Simplified Arabic" w:cs="Simplified Arabic"/>
          <w:color w:val="000000" w:themeColor="text1"/>
          <w:sz w:val="28"/>
          <w:szCs w:val="28"/>
        </w:rPr>
        <w:t>.</w:t>
      </w:r>
    </w:p>
    <w:p w14:paraId="6FC2A7F9" w14:textId="77777777" w:rsidR="001B46EC" w:rsidRPr="008C68C0" w:rsidRDefault="001B46EC"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ويُعدّ التغيير التنظيمي أحد المداخل الجوهرية التي تستند إليها المؤسسات في مسيرة تحولها، حيث يشمل مراجعة الهياكل الإدارية وتحديث الأنظمة التكنولوجية وتطوير السياسات الداخلية بما يتلاءم مع المستجدات التشريعية والتنموية. وتتعدد الدوافع التي تقف وراء هذا التغيير بين تطور التقنيات وتبدل الأهداف المؤسسية وتحديث الأطر القانونية، مما يجعل من إدارته إدارة واعية ومخططة ضرورة لضمان تحقيق الغايات المرجوة منه وتجنب مقاومة العاملين التي قد تُعيق مساراته (الشبلي، 2023)</w:t>
      </w:r>
      <w:r w:rsidRPr="008C68C0">
        <w:rPr>
          <w:rFonts w:ascii="Simplified Arabic" w:hAnsi="Simplified Arabic" w:cs="Simplified Arabic"/>
          <w:color w:val="000000" w:themeColor="text1"/>
          <w:sz w:val="28"/>
          <w:szCs w:val="28"/>
        </w:rPr>
        <w:t>.</w:t>
      </w:r>
    </w:p>
    <w:p w14:paraId="19B2E52F" w14:textId="77777777" w:rsidR="001B46EC" w:rsidRPr="008C68C0" w:rsidRDefault="001B46EC"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وفي المقابل، يحتل تطوير كفاءة الخدمات العامة موقعاً محورياً في أولويات الحكومات المعاصرة، إذ يُمثل المعيار الأبرز الذي يُقاس من خلاله نجاح الأجهزة الحكومية في الوفاء بالتزاماتها تجاه المواطنين. ويتطلب الارتقاء بهذه الكفاءة تبني مقاربات حديثة تشمل توظيف الابتكار التقني والإداري في تصميم الخدمات وتقديمها، بما يُسهم في تسريع الإجراءات وتبسيطها وتعزيز رضا المستفيدين عن مخرجاتها (الجوهر، 2024)</w:t>
      </w:r>
      <w:r w:rsidRPr="008C68C0">
        <w:rPr>
          <w:rFonts w:ascii="Simplified Arabic" w:hAnsi="Simplified Arabic" w:cs="Simplified Arabic"/>
          <w:color w:val="000000" w:themeColor="text1"/>
          <w:sz w:val="28"/>
          <w:szCs w:val="28"/>
        </w:rPr>
        <w:t>.</w:t>
      </w:r>
    </w:p>
    <w:p w14:paraId="7F0EFAEF" w14:textId="6E17CE04" w:rsidR="001B46EC" w:rsidRPr="008C68C0" w:rsidRDefault="001B46EC"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 xml:space="preserve">كما أن جودة الخدمات الحكومية لم تعد تُقاس بمعايير الكفاءة التشغيلية فحسب، بل امتد مفهومها ليشمل أبعاداً أوسع ترتبط بالاستجابة لاحتياجات المواطنين والموثوقية في الأداء والكفاءة في استثمار الموارد المتاحة، وهي أبعاد تتقاطع مع أهداف التنمية الشاملة التي تسعى الدول إلى تحقيقها من خلال تحسين منظوماتها الخدمية (أبو بكر وزواري، </w:t>
      </w:r>
      <w:r w:rsidRPr="008C68C0">
        <w:rPr>
          <w:rFonts w:ascii="Simplified Arabic" w:hAnsi="Simplified Arabic" w:cs="Simplified Arabic"/>
          <w:color w:val="000000" w:themeColor="text1"/>
          <w:sz w:val="28"/>
          <w:szCs w:val="28"/>
        </w:rPr>
        <w:t>2025</w:t>
      </w:r>
      <w:r w:rsidRPr="008C68C0">
        <w:rPr>
          <w:rFonts w:ascii="Simplified Arabic" w:hAnsi="Simplified Arabic" w:cs="Simplified Arabic"/>
          <w:color w:val="000000" w:themeColor="text1"/>
          <w:sz w:val="28"/>
          <w:szCs w:val="28"/>
          <w:rtl/>
        </w:rPr>
        <w:t>)</w:t>
      </w:r>
    </w:p>
    <w:p w14:paraId="7CBDB23C" w14:textId="77777777" w:rsidR="001B46EC" w:rsidRPr="008C68C0" w:rsidRDefault="001B46EC"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lastRenderedPageBreak/>
        <w:t>وتتجلى العلاقة بين التحول المؤسسي وتطوير كفاءة الخدمات العامة في كون الأول يُهيئ البيئة التنظيمية والتقنية والبشرية اللازمة لتحسين مخرجات الثاني، فإعادة الهيكلة تُزيل التعقيدات البيروقراطية، والتحول الرقمي يُسرّع العمليات ويرفع دقتها، وتطوير الثقافة المؤسسية يُعزز التوجه نحو خدمة المستفيد، وتمكين الموارد البشرية يرفع القدرات التنفيذية للعاملين. وقد أكدت الأدبيات أن التطوير التنظيمي بمختلف أبعاده ينعكس إيجابياً على جودة الخدمات حين يُدار وفق رؤية متكاملة ومنهجية واضحة (ربيعة وناصر، 2026)</w:t>
      </w:r>
      <w:r w:rsidRPr="008C68C0">
        <w:rPr>
          <w:rFonts w:ascii="Simplified Arabic" w:hAnsi="Simplified Arabic" w:cs="Simplified Arabic"/>
          <w:color w:val="000000" w:themeColor="text1"/>
          <w:sz w:val="28"/>
          <w:szCs w:val="28"/>
        </w:rPr>
        <w:t>.</w:t>
      </w:r>
    </w:p>
    <w:p w14:paraId="146B9B1D" w14:textId="77777777" w:rsidR="001B46EC" w:rsidRPr="008C68C0" w:rsidRDefault="001B46EC"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وانطلاقاً مما سبق، تأتي هذه الدراسة لتتناول أثر التحول المؤسسي بأبعاده الأربعة — إعادة الهيكلة التنظيمية، والتحول الرقمي، وتطوير الثقافة المؤسسية، وتمكين الموارد البشرية — في تطوير كفاءة الخدمات العامة، ساعيةً إلى تقديم إطار علمي متكامل يُسهم في إثراء الأدبيات العربية في هذا المجال ويُزوّد صانعي القرار بمؤشرات عملية تُرشد جهود التحديث والتطوير المؤسسي</w:t>
      </w:r>
      <w:r w:rsidRPr="008C68C0">
        <w:rPr>
          <w:rFonts w:ascii="Simplified Arabic" w:hAnsi="Simplified Arabic" w:cs="Simplified Arabic"/>
          <w:color w:val="000000" w:themeColor="text1"/>
          <w:sz w:val="28"/>
          <w:szCs w:val="28"/>
        </w:rPr>
        <w:t>.</w:t>
      </w:r>
    </w:p>
    <w:p w14:paraId="220FA776" w14:textId="13C62152" w:rsidR="007A7419" w:rsidRPr="008C68C0" w:rsidRDefault="007A7419" w:rsidP="007A741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23210603"/>
      <w:bookmarkStart w:id="5" w:name="_Toc169790500"/>
      <w:bookmarkStart w:id="6" w:name="_Toc233212255"/>
      <w:bookmarkEnd w:id="0"/>
      <w:bookmarkEnd w:id="1"/>
      <w:r w:rsidRPr="008C68C0">
        <w:rPr>
          <w:rFonts w:ascii="Simplified Arabic" w:hAnsi="Simplified Arabic" w:cs="Simplified Arabic"/>
          <w:b/>
          <w:bCs/>
          <w:color w:val="000000" w:themeColor="text1"/>
          <w:sz w:val="36"/>
          <w:szCs w:val="36"/>
          <w:rtl/>
        </w:rPr>
        <w:t>2.1 مشكلة الدراسة</w:t>
      </w:r>
      <w:bookmarkEnd w:id="6"/>
    </w:p>
    <w:p w14:paraId="678BA2F1" w14:textId="77777777" w:rsidR="0022009F" w:rsidRPr="008C68C0" w:rsidRDefault="0022009F"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تُعدّ المؤسسات الحكومية الركيزة الأساسية التي تستند إليها الدول في تقديم الخدمات العامة لمواطنيها، إذ يُناط بها مسؤولية تلبية الاحتياجات المتنامية والمتجددة للمجتمعات في ظلّ بيئات تتسم بالتعقيد والديناميكية المتسارعة. وقد شهد العالم خلال العقدين الأخيرين تحولات جوهرية على الأصعدة التكنولوجية والاقتصادية والاجتماعية فرضت على الحكومات ضرورة إعادة النظر في هياكلها التنظيمية وأساليب عملها ومنظوماتها الإدارية، سعياً نحو تحقيق مستويات أعلى من الكفاءة والفاعلية في تقديم الخدمات العامة. وفي هذا السياق، برز مفهوم التحول المؤسسي بوصفه استجابةً استراتيجية حتمية تسعى من خلالها المؤسسات الحكومية إلى تجاوز الأنماط التقليدية الجامدة والانتقال نحو نماذج تنظيمية أكثر مرونةً واستجابةً لمتطلبات العصر</w:t>
      </w:r>
      <w:r w:rsidRPr="008C68C0">
        <w:rPr>
          <w:rFonts w:ascii="Simplified Arabic" w:hAnsi="Simplified Arabic" w:cs="Simplified Arabic"/>
          <w:color w:val="000000" w:themeColor="text1"/>
          <w:sz w:val="28"/>
          <w:szCs w:val="28"/>
        </w:rPr>
        <w:t>.</w:t>
      </w:r>
    </w:p>
    <w:p w14:paraId="72F6ED8F" w14:textId="77777777" w:rsidR="0022009F" w:rsidRPr="008C68C0" w:rsidRDefault="0022009F"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غير أن الواقع العملي يكشف عن فجوة واضحة بين الطموحات المعلنة في خطط التحول المؤسسي وبين ما يتحقق فعلياً على صعيد تطوير كفاءة الخدمات العامة المقدمة للمواطنين. فعلى الرغم من الجهود الحكومية المبذولة في إطلاق مبادرات التحديث والتطوير، لا تزال كثير من المؤسسات الحكومية تعاني من بطء الإجراءات وتعدد المستويات الإدارية والبيروقراطية المفرطة التي تُضعف جودة الخدمات وتُقلّل من رضا المستفيدين</w:t>
      </w:r>
      <w:r w:rsidRPr="008C68C0">
        <w:rPr>
          <w:rFonts w:ascii="Simplified Arabic" w:hAnsi="Simplified Arabic" w:cs="Simplified Arabic"/>
          <w:color w:val="000000" w:themeColor="text1"/>
          <w:sz w:val="28"/>
          <w:szCs w:val="28"/>
        </w:rPr>
        <w:t xml:space="preserve">. </w:t>
      </w:r>
      <w:r w:rsidRPr="008C68C0">
        <w:rPr>
          <w:rFonts w:ascii="Simplified Arabic" w:hAnsi="Simplified Arabic" w:cs="Simplified Arabic"/>
          <w:color w:val="000000" w:themeColor="text1"/>
          <w:sz w:val="28"/>
          <w:szCs w:val="28"/>
          <w:rtl/>
        </w:rPr>
        <w:t xml:space="preserve">وقد أشارت دراسة الشبلي (2023) إلى أن البلديات في المملكة الأردنية الهاشمية </w:t>
      </w:r>
      <w:r w:rsidRPr="008C68C0">
        <w:rPr>
          <w:rFonts w:ascii="Simplified Arabic" w:hAnsi="Simplified Arabic" w:cs="Simplified Arabic"/>
          <w:color w:val="000000" w:themeColor="text1"/>
          <w:sz w:val="28"/>
          <w:szCs w:val="28"/>
          <w:rtl/>
        </w:rPr>
        <w:lastRenderedPageBreak/>
        <w:t>تواجه تحديات جوهرية في ترجمة مبادرات التغيير التنظيمي إلى تحسينات ملموسة في الأداء المؤسسي، بينما أكدت دراسة الحربي (2025) أن مستوى الوعي والتدريب على إدارة التغيير في الهيئات الحكومية السعودية لا يزال دون المستوى المأمول رغم التوجهات الطموحة لرؤية المملكة 2030. كما كشفت دراسة معمري (2022) أن المؤسسات الاقتصادية تعاني من قصور في إدارة أبعاد التغيير التنظيمي الهيكلية والتكنولوجية والبشرية، مما ينعكس سلباً على أدائها الكلي</w:t>
      </w:r>
      <w:r w:rsidRPr="008C68C0">
        <w:rPr>
          <w:rFonts w:ascii="Simplified Arabic" w:hAnsi="Simplified Arabic" w:cs="Simplified Arabic"/>
          <w:color w:val="000000" w:themeColor="text1"/>
          <w:sz w:val="28"/>
          <w:szCs w:val="28"/>
        </w:rPr>
        <w:t>.</w:t>
      </w:r>
    </w:p>
    <w:p w14:paraId="06048A61" w14:textId="4F1022BA" w:rsidR="0022009F" w:rsidRPr="008C68C0" w:rsidRDefault="0022009F"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وعلى الصعيد الدولي، أظهرت دراسة</w:t>
      </w:r>
      <w:r w:rsidRPr="008C68C0">
        <w:rPr>
          <w:rFonts w:ascii="Simplified Arabic" w:hAnsi="Simplified Arabic" w:cs="Simplified Arabic"/>
          <w:color w:val="000000" w:themeColor="text1"/>
          <w:sz w:val="28"/>
          <w:szCs w:val="28"/>
        </w:rPr>
        <w:t xml:space="preserve"> </w:t>
      </w:r>
      <w:proofErr w:type="spellStart"/>
      <w:r w:rsidRPr="008C68C0">
        <w:rPr>
          <w:rFonts w:ascii="Simplified Arabic" w:hAnsi="Simplified Arabic" w:cs="Simplified Arabic"/>
          <w:color w:val="000000" w:themeColor="text1"/>
          <w:sz w:val="28"/>
          <w:szCs w:val="28"/>
        </w:rPr>
        <w:t>Pircher</w:t>
      </w:r>
      <w:proofErr w:type="spellEnd"/>
      <w:r w:rsidRPr="008C68C0">
        <w:rPr>
          <w:rFonts w:ascii="Simplified Arabic" w:hAnsi="Simplified Arabic" w:cs="Simplified Arabic"/>
          <w:color w:val="000000" w:themeColor="text1"/>
          <w:sz w:val="28"/>
          <w:szCs w:val="28"/>
        </w:rPr>
        <w:t xml:space="preserve"> et al. (2024) </w:t>
      </w:r>
      <w:r w:rsidRPr="008C68C0">
        <w:rPr>
          <w:rFonts w:ascii="Simplified Arabic" w:hAnsi="Simplified Arabic" w:cs="Simplified Arabic"/>
          <w:color w:val="000000" w:themeColor="text1"/>
          <w:sz w:val="28"/>
          <w:szCs w:val="28"/>
          <w:rtl/>
        </w:rPr>
        <w:t>أن التحولات التنظيمية في مؤسسات القطاع العام عالية الموثوقية تولّد ردود فعل سلبية لدى العاملين تتمثل في زيادة ضغوط العمل وارتفاع معدلات الأخطاء، وهو ما يُهدد جودة الخدمات المقدمة ما لم تُعالج هذه التأثيرات بآليات داعمة كتعزيز الالتزام المعياري بالتغيير. كما أوضحت دراسة</w:t>
      </w:r>
      <w:r w:rsidRPr="008C68C0">
        <w:rPr>
          <w:rFonts w:ascii="Simplified Arabic" w:hAnsi="Simplified Arabic" w:cs="Simplified Arabic"/>
          <w:color w:val="000000" w:themeColor="text1"/>
          <w:sz w:val="28"/>
          <w:szCs w:val="28"/>
        </w:rPr>
        <w:t xml:space="preserve"> </w:t>
      </w:r>
      <w:proofErr w:type="spellStart"/>
      <w:r w:rsidRPr="008C68C0">
        <w:rPr>
          <w:rFonts w:ascii="Simplified Arabic" w:hAnsi="Simplified Arabic" w:cs="Simplified Arabic"/>
          <w:color w:val="000000" w:themeColor="text1"/>
          <w:sz w:val="28"/>
          <w:szCs w:val="28"/>
        </w:rPr>
        <w:t>Shaumi</w:t>
      </w:r>
      <w:proofErr w:type="spellEnd"/>
      <w:r w:rsidRPr="008C68C0">
        <w:rPr>
          <w:rFonts w:ascii="Simplified Arabic" w:hAnsi="Simplified Arabic" w:cs="Simplified Arabic"/>
          <w:color w:val="000000" w:themeColor="text1"/>
          <w:sz w:val="28"/>
          <w:szCs w:val="28"/>
        </w:rPr>
        <w:t xml:space="preserve"> et al. (2023) </w:t>
      </w:r>
      <w:r w:rsidRPr="008C68C0">
        <w:rPr>
          <w:rFonts w:ascii="Simplified Arabic" w:hAnsi="Simplified Arabic" w:cs="Simplified Arabic"/>
          <w:color w:val="000000" w:themeColor="text1"/>
          <w:sz w:val="28"/>
          <w:szCs w:val="28"/>
          <w:rtl/>
        </w:rPr>
        <w:t>أن التغيير التنظيمي لا يؤثر مباشرة في أداء الموظفين الحكوميين بل يمر عبر متغيرات وسيطة كالرضا الوظيفي، مما يعني أن غياب المعالجة الشاملة لأبعاد التحول قد يُفضي إلى نتائج محدودة أو عكسية</w:t>
      </w:r>
      <w:r w:rsidR="001B46EC" w:rsidRPr="008C68C0">
        <w:rPr>
          <w:rFonts w:ascii="Simplified Arabic" w:hAnsi="Simplified Arabic" w:cs="Simplified Arabic"/>
          <w:color w:val="000000" w:themeColor="text1"/>
          <w:sz w:val="28"/>
          <w:szCs w:val="28"/>
          <w:rtl/>
        </w:rPr>
        <w:t xml:space="preserve"> </w:t>
      </w:r>
      <w:r w:rsidRPr="008C68C0">
        <w:rPr>
          <w:rFonts w:ascii="Simplified Arabic" w:hAnsi="Simplified Arabic" w:cs="Simplified Arabic"/>
          <w:color w:val="000000" w:themeColor="text1"/>
          <w:sz w:val="28"/>
          <w:szCs w:val="28"/>
          <w:rtl/>
        </w:rPr>
        <w:t>،</w:t>
      </w:r>
      <w:r w:rsidR="001B46EC" w:rsidRPr="008C68C0">
        <w:rPr>
          <w:rFonts w:ascii="Simplified Arabic" w:hAnsi="Simplified Arabic" w:cs="Simplified Arabic"/>
          <w:color w:val="000000" w:themeColor="text1"/>
          <w:sz w:val="28"/>
          <w:szCs w:val="28"/>
          <w:rtl/>
        </w:rPr>
        <w:t>و</w:t>
      </w:r>
      <w:r w:rsidRPr="008C68C0">
        <w:rPr>
          <w:rFonts w:ascii="Simplified Arabic" w:hAnsi="Simplified Arabic" w:cs="Simplified Arabic"/>
          <w:color w:val="000000" w:themeColor="text1"/>
          <w:sz w:val="28"/>
          <w:szCs w:val="28"/>
          <w:rtl/>
        </w:rPr>
        <w:t xml:space="preserve"> أكدت دراسة</w:t>
      </w:r>
      <w:r w:rsidRPr="008C68C0">
        <w:rPr>
          <w:rFonts w:ascii="Simplified Arabic" w:hAnsi="Simplified Arabic" w:cs="Simplified Arabic"/>
          <w:color w:val="000000" w:themeColor="text1"/>
          <w:sz w:val="28"/>
          <w:szCs w:val="28"/>
        </w:rPr>
        <w:t xml:space="preserve"> </w:t>
      </w:r>
      <w:proofErr w:type="spellStart"/>
      <w:r w:rsidRPr="008C68C0">
        <w:rPr>
          <w:rFonts w:ascii="Simplified Arabic" w:hAnsi="Simplified Arabic" w:cs="Simplified Arabic"/>
          <w:color w:val="000000" w:themeColor="text1"/>
          <w:sz w:val="28"/>
          <w:szCs w:val="28"/>
        </w:rPr>
        <w:t>Khaw</w:t>
      </w:r>
      <w:proofErr w:type="spellEnd"/>
      <w:r w:rsidRPr="008C68C0">
        <w:rPr>
          <w:rFonts w:ascii="Simplified Arabic" w:hAnsi="Simplified Arabic" w:cs="Simplified Arabic"/>
          <w:color w:val="000000" w:themeColor="text1"/>
          <w:sz w:val="28"/>
          <w:szCs w:val="28"/>
        </w:rPr>
        <w:t xml:space="preserve"> et al. (2022) </w:t>
      </w:r>
      <w:r w:rsidRPr="008C68C0">
        <w:rPr>
          <w:rFonts w:ascii="Simplified Arabic" w:hAnsi="Simplified Arabic" w:cs="Simplified Arabic"/>
          <w:color w:val="000000" w:themeColor="text1"/>
          <w:sz w:val="28"/>
          <w:szCs w:val="28"/>
          <w:rtl/>
        </w:rPr>
        <w:t>أن ردود الفعل تجاه التغيير التنظيمي تتأثر بعوامل متشابكة تشمل أسلوب القيادة وفاعلية الاتصال ومدى انفتاح الأفراد على التغيير، مما يستدعي مقاربة متعددة الأبعاد لفهم العلاقة بين التحول المؤسسي وكفاءة الخدمات</w:t>
      </w:r>
      <w:r w:rsidRPr="008C68C0">
        <w:rPr>
          <w:rFonts w:ascii="Simplified Arabic" w:hAnsi="Simplified Arabic" w:cs="Simplified Arabic"/>
          <w:color w:val="000000" w:themeColor="text1"/>
          <w:sz w:val="28"/>
          <w:szCs w:val="28"/>
        </w:rPr>
        <w:t>.</w:t>
      </w:r>
    </w:p>
    <w:p w14:paraId="773D4F6D" w14:textId="6030A8A8" w:rsidR="0022009F" w:rsidRPr="008C68C0" w:rsidRDefault="0022009F"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ومن جهة أخرى، أثبتت دراسة ربيعة وناصر</w:t>
      </w:r>
      <w:r w:rsidRPr="008C68C0">
        <w:rPr>
          <w:rFonts w:ascii="Simplified Arabic" w:hAnsi="Simplified Arabic" w:cs="Simplified Arabic"/>
          <w:color w:val="000000" w:themeColor="text1"/>
          <w:sz w:val="28"/>
          <w:szCs w:val="28"/>
        </w:rPr>
        <w:t xml:space="preserve"> (2026) </w:t>
      </w:r>
      <w:r w:rsidRPr="008C68C0">
        <w:rPr>
          <w:rFonts w:ascii="Simplified Arabic" w:hAnsi="Simplified Arabic" w:cs="Simplified Arabic"/>
          <w:color w:val="000000" w:themeColor="text1"/>
          <w:sz w:val="28"/>
          <w:szCs w:val="28"/>
          <w:rtl/>
        </w:rPr>
        <w:t>أن التطوير التنظيمي يؤثر تأثيراً إيجابياً دالاً إحصائياً في جودة الخدمات بقطاع الأشغال العامة اليمني، إلا أن مستوى تطبيق التطوير التنظيمي جاء متوسطاً مما يشير إلى وجود فرص كبيرة غير مستثمرة. كذلك أظهرت دراسة</w:t>
      </w:r>
      <w:r w:rsidRPr="008C68C0">
        <w:rPr>
          <w:rFonts w:ascii="Simplified Arabic" w:hAnsi="Simplified Arabic" w:cs="Simplified Arabic"/>
          <w:color w:val="000000" w:themeColor="text1"/>
          <w:sz w:val="28"/>
          <w:szCs w:val="28"/>
        </w:rPr>
        <w:t xml:space="preserve"> Imran et al. (2022) </w:t>
      </w:r>
      <w:r w:rsidRPr="008C68C0">
        <w:rPr>
          <w:rFonts w:ascii="Simplified Arabic" w:hAnsi="Simplified Arabic" w:cs="Simplified Arabic"/>
          <w:color w:val="000000" w:themeColor="text1"/>
          <w:sz w:val="28"/>
          <w:szCs w:val="28"/>
          <w:rtl/>
        </w:rPr>
        <w:t>أن التحول الرقمي والابتكار في الخدمات يُعدّان من أهم العوامل المعدّلة التي تُعزز العلاقة بين الثقافة التنظيمية وأداء الخدمة العامة</w:t>
      </w:r>
      <w:r w:rsidR="001B46EC" w:rsidRPr="008C68C0">
        <w:rPr>
          <w:rFonts w:ascii="Simplified Arabic" w:hAnsi="Simplified Arabic" w:cs="Simplified Arabic"/>
          <w:color w:val="000000" w:themeColor="text1"/>
          <w:sz w:val="28"/>
          <w:szCs w:val="28"/>
          <w:rtl/>
        </w:rPr>
        <w:t>،</w:t>
      </w:r>
      <w:r w:rsidRPr="008C68C0">
        <w:rPr>
          <w:rFonts w:ascii="Simplified Arabic" w:hAnsi="Simplified Arabic" w:cs="Simplified Arabic"/>
          <w:color w:val="000000" w:themeColor="text1"/>
          <w:sz w:val="28"/>
          <w:szCs w:val="28"/>
          <w:rtl/>
        </w:rPr>
        <w:t xml:space="preserve"> وتؤكد دراسة أبو بكر وزواري (2025) أن أبعاد جودة الخدمات الحكومية ترتبط ارتباطاً إيجابياً قوياً بتحقيق التنمية المستدامة، مما يضفي بُعداً استراتيجياً أعمق على ضرورة تطوير هذه الخدمات</w:t>
      </w:r>
      <w:r w:rsidRPr="008C68C0">
        <w:rPr>
          <w:rFonts w:ascii="Simplified Arabic" w:hAnsi="Simplified Arabic" w:cs="Simplified Arabic"/>
          <w:color w:val="000000" w:themeColor="text1"/>
          <w:sz w:val="28"/>
          <w:szCs w:val="28"/>
        </w:rPr>
        <w:t>.</w:t>
      </w:r>
    </w:p>
    <w:p w14:paraId="061CFE8A" w14:textId="77777777" w:rsidR="0022009F" w:rsidRPr="008C68C0" w:rsidRDefault="0022009F"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وبناءً على ما تقدم، تتبلور مشكلة الدراسة الحالية في التساؤل المحوري التالي</w:t>
      </w:r>
      <w:r w:rsidRPr="008C68C0">
        <w:rPr>
          <w:rFonts w:ascii="Simplified Arabic" w:hAnsi="Simplified Arabic" w:cs="Simplified Arabic"/>
          <w:color w:val="000000" w:themeColor="text1"/>
          <w:sz w:val="28"/>
          <w:szCs w:val="28"/>
        </w:rPr>
        <w:t xml:space="preserve">: </w:t>
      </w:r>
      <w:r w:rsidRPr="008C68C0">
        <w:rPr>
          <w:rStyle w:val="Strong"/>
          <w:rFonts w:ascii="Simplified Arabic" w:hAnsi="Simplified Arabic" w:cs="Simplified Arabic"/>
          <w:b w:val="0"/>
          <w:bCs w:val="0"/>
          <w:color w:val="000000" w:themeColor="text1"/>
          <w:sz w:val="28"/>
          <w:szCs w:val="28"/>
          <w:rtl/>
        </w:rPr>
        <w:t>ما أثر التحول المؤسسي بأبعاده الأربعة — إعادة الهيكلة التنظيمية، والتحول الرقمي، وتطوير الثقافة المؤسسية، وتمكين الموارد البشرية — في تطوير كفاءة الخدمات العامة؟</w:t>
      </w:r>
    </w:p>
    <w:p w14:paraId="604DEF14" w14:textId="5DF566B2" w:rsidR="007A7419" w:rsidRPr="008C68C0" w:rsidRDefault="007A7419" w:rsidP="007A74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23210614"/>
      <w:bookmarkStart w:id="8" w:name="_Toc233212256"/>
      <w:bookmarkEnd w:id="4"/>
      <w:r w:rsidRPr="008C68C0">
        <w:rPr>
          <w:rFonts w:ascii="Simplified Arabic" w:eastAsia="Times New Roman" w:hAnsi="Simplified Arabic" w:cs="Simplified Arabic"/>
          <w:b/>
          <w:bCs/>
          <w:color w:val="000000" w:themeColor="text1"/>
          <w:kern w:val="0"/>
          <w:sz w:val="36"/>
          <w:szCs w:val="36"/>
          <w:rtl/>
          <w14:ligatures w14:val="none"/>
        </w:rPr>
        <w:lastRenderedPageBreak/>
        <w:t>3.1 أهدف الدراسة</w:t>
      </w:r>
      <w:bookmarkEnd w:id="8"/>
    </w:p>
    <w:p w14:paraId="3211682E"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تهدف الدراسة إلى التعرف على أثر التحول المؤسسي بأبعاده (إعادة الهيكلة التنظيمية، التحول الرقمي، تطوير الثقافة المؤسسية، تمكين الموارد البشرية) على تطوير كفاءة الخدمات العامة في ظل التغيرات التنظيمية</w:t>
      </w:r>
      <w:r w:rsidRPr="008C68C0">
        <w:rPr>
          <w:rFonts w:ascii="Simplified Arabic" w:eastAsia="Times New Roman" w:hAnsi="Simplified Arabic" w:cs="Simplified Arabic"/>
          <w:color w:val="000000" w:themeColor="text1"/>
          <w:kern w:val="0"/>
          <w:sz w:val="28"/>
          <w:szCs w:val="28"/>
          <w14:ligatures w14:val="none"/>
        </w:rPr>
        <w:t>.</w:t>
      </w:r>
    </w:p>
    <w:p w14:paraId="1CCFF09E" w14:textId="77777777" w:rsidR="009B059D" w:rsidRPr="008C68C0" w:rsidRDefault="009B059D"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ويتفرع من الهدف الرئيسي الأهداف الفرعية التالية</w:t>
      </w:r>
      <w:r w:rsidRPr="008C68C0">
        <w:rPr>
          <w:rFonts w:ascii="Simplified Arabic" w:eastAsia="Times New Roman" w:hAnsi="Simplified Arabic" w:cs="Simplified Arabic"/>
          <w:b/>
          <w:bCs/>
          <w:color w:val="000000" w:themeColor="text1"/>
          <w:kern w:val="0"/>
          <w:sz w:val="28"/>
          <w:szCs w:val="28"/>
          <w14:ligatures w14:val="none"/>
        </w:rPr>
        <w:t>:</w:t>
      </w:r>
    </w:p>
    <w:p w14:paraId="704EA8EC" w14:textId="77777777" w:rsidR="009B059D" w:rsidRPr="008C68C0" w:rsidRDefault="009B059D" w:rsidP="007A7419">
      <w:pPr>
        <w:numPr>
          <w:ilvl w:val="0"/>
          <w:numId w:val="28"/>
        </w:numPr>
        <w:tabs>
          <w:tab w:val="clear" w:pos="720"/>
          <w:tab w:val="num" w:pos="36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التعرف على أثر إعادة الهيكلة التنظيمية على تطوير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14B36989" w14:textId="77777777" w:rsidR="009B059D" w:rsidRPr="008C68C0" w:rsidRDefault="009B059D" w:rsidP="007A7419">
      <w:pPr>
        <w:numPr>
          <w:ilvl w:val="0"/>
          <w:numId w:val="28"/>
        </w:numPr>
        <w:tabs>
          <w:tab w:val="clear" w:pos="720"/>
          <w:tab w:val="num" w:pos="36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قياس أثر التحول الرقمي على تطوير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41E473BA" w14:textId="77777777" w:rsidR="009B059D" w:rsidRPr="008C68C0" w:rsidRDefault="009B059D" w:rsidP="007A7419">
      <w:pPr>
        <w:numPr>
          <w:ilvl w:val="0"/>
          <w:numId w:val="28"/>
        </w:numPr>
        <w:tabs>
          <w:tab w:val="clear" w:pos="720"/>
          <w:tab w:val="num" w:pos="36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تحديد أثر تطوير الثقافة المؤسسية على تطوير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743880EE" w14:textId="77777777" w:rsidR="009B059D" w:rsidRPr="008C68C0" w:rsidRDefault="009B059D" w:rsidP="007A7419">
      <w:pPr>
        <w:numPr>
          <w:ilvl w:val="0"/>
          <w:numId w:val="28"/>
        </w:numPr>
        <w:tabs>
          <w:tab w:val="clear" w:pos="720"/>
          <w:tab w:val="num" w:pos="36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الكشف عن أثر تمكين الموارد البشرية على تطوير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346BFB1A" w14:textId="77777777" w:rsidR="009B059D" w:rsidRPr="008C68C0" w:rsidRDefault="009B059D" w:rsidP="007A7419">
      <w:pPr>
        <w:numPr>
          <w:ilvl w:val="0"/>
          <w:numId w:val="28"/>
        </w:numPr>
        <w:tabs>
          <w:tab w:val="clear" w:pos="720"/>
          <w:tab w:val="num" w:pos="36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تقديم توصيات ومقترحات إجرائية للجهة محل الدراسة لتعزيز التحول المؤسسي بما يسهم في رفع كفاءة الخدمات العامة المقدمة للمستفيدين</w:t>
      </w:r>
      <w:r w:rsidRPr="008C68C0">
        <w:rPr>
          <w:rFonts w:ascii="Simplified Arabic" w:eastAsia="Times New Roman" w:hAnsi="Simplified Arabic" w:cs="Simplified Arabic"/>
          <w:color w:val="000000" w:themeColor="text1"/>
          <w:kern w:val="0"/>
          <w:sz w:val="28"/>
          <w:szCs w:val="28"/>
          <w14:ligatures w14:val="none"/>
        </w:rPr>
        <w:t>.</w:t>
      </w:r>
    </w:p>
    <w:p w14:paraId="25E2F923" w14:textId="77777777" w:rsidR="007A7419" w:rsidRPr="008C68C0" w:rsidRDefault="007A7419" w:rsidP="007A741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212257"/>
      <w:r w:rsidRPr="008C68C0">
        <w:rPr>
          <w:rFonts w:ascii="Simplified Arabic" w:eastAsia="Times New Roman" w:hAnsi="Simplified Arabic" w:cs="Simplified Arabic"/>
          <w:b/>
          <w:bCs/>
          <w:color w:val="000000" w:themeColor="text1"/>
          <w:kern w:val="0"/>
          <w:sz w:val="36"/>
          <w:szCs w:val="36"/>
          <w:rtl/>
          <w14:ligatures w14:val="none"/>
        </w:rPr>
        <w:t>4.1 أسئلة الدراسة</w:t>
      </w:r>
      <w:bookmarkEnd w:id="9"/>
    </w:p>
    <w:p w14:paraId="66CAA5D4" w14:textId="0F7C73C8" w:rsidR="007A7419" w:rsidRPr="008C68C0" w:rsidRDefault="007A7419"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C68C0">
        <w:rPr>
          <w:rFonts w:ascii="Simplified Arabic" w:eastAsia="Times New Roman" w:hAnsi="Simplified Arabic" w:cs="Simplified Arabic"/>
          <w:b/>
          <w:bCs/>
          <w:color w:val="000000" w:themeColor="text1"/>
          <w:kern w:val="0"/>
          <w:sz w:val="32"/>
          <w:szCs w:val="32"/>
          <w:rtl/>
          <w14:ligatures w14:val="none"/>
        </w:rPr>
        <w:t>السؤال الرئيسي</w:t>
      </w:r>
    </w:p>
    <w:p w14:paraId="2F11A47C"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ما أثر التحول المؤسسي بأبعاده (إعادة الهيكلة التنظيمية، التحول الرقمي، تطوير الثقافة المؤسسية، تمكين الموارد البشرية) على تطوير كفاءة الخدمات العامة في الجهة محل الدراسة؟</w:t>
      </w:r>
    </w:p>
    <w:p w14:paraId="72FEBC9F" w14:textId="77777777" w:rsidR="009B059D" w:rsidRPr="008C68C0" w:rsidRDefault="009B059D"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8C68C0">
        <w:rPr>
          <w:rFonts w:ascii="Simplified Arabic" w:eastAsia="Times New Roman" w:hAnsi="Simplified Arabic" w:cs="Simplified Arabic"/>
          <w:b/>
          <w:bCs/>
          <w:color w:val="000000" w:themeColor="text1"/>
          <w:kern w:val="0"/>
          <w:sz w:val="28"/>
          <w:szCs w:val="28"/>
          <w14:ligatures w14:val="none"/>
        </w:rPr>
        <w:t>:</w:t>
      </w:r>
    </w:p>
    <w:p w14:paraId="31971DB8" w14:textId="77777777" w:rsidR="009B059D" w:rsidRPr="008C68C0" w:rsidRDefault="009B059D" w:rsidP="007A7419">
      <w:pPr>
        <w:numPr>
          <w:ilvl w:val="0"/>
          <w:numId w:val="2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ما أثر إعادة الهيكلة التنظيمية على تطوير كفاءة الخدمات العامة في الجهة محل الدراسة؟</w:t>
      </w:r>
    </w:p>
    <w:p w14:paraId="0D5BDC5C" w14:textId="77777777" w:rsidR="009B059D" w:rsidRPr="008C68C0" w:rsidRDefault="009B059D" w:rsidP="007A7419">
      <w:pPr>
        <w:numPr>
          <w:ilvl w:val="0"/>
          <w:numId w:val="2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ما أثر التحول الرقمي على تطوير كفاءة الخدمات العامة في الجهة محل الدراسة؟</w:t>
      </w:r>
    </w:p>
    <w:p w14:paraId="182177F6" w14:textId="77777777" w:rsidR="009B059D" w:rsidRPr="008C68C0" w:rsidRDefault="009B059D" w:rsidP="007A7419">
      <w:pPr>
        <w:numPr>
          <w:ilvl w:val="0"/>
          <w:numId w:val="2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ما أثر تطوير الثقافة المؤسسية على تطوير كفاءة الخدمات العامة في الجهة محل الدراسة؟</w:t>
      </w:r>
    </w:p>
    <w:p w14:paraId="5703D73B" w14:textId="77777777" w:rsidR="009B059D" w:rsidRPr="008C68C0" w:rsidRDefault="009B059D" w:rsidP="007A7419">
      <w:pPr>
        <w:numPr>
          <w:ilvl w:val="0"/>
          <w:numId w:val="2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ما أثر تمكين الموارد البشرية على تطوير كفاءة الخدمات العامة في الجهة محل الدراسة؟</w:t>
      </w:r>
    </w:p>
    <w:p w14:paraId="22A2F7EF" w14:textId="77777777" w:rsidR="007A7419" w:rsidRPr="008C68C0" w:rsidRDefault="007A7419" w:rsidP="007A741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212258"/>
      <w:r w:rsidRPr="008C68C0">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61EF6B04" w14:textId="610E4E5C" w:rsidR="007A7419" w:rsidRPr="008C68C0" w:rsidRDefault="007A7419"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C68C0">
        <w:rPr>
          <w:rFonts w:ascii="Simplified Arabic" w:eastAsia="Times New Roman" w:hAnsi="Simplified Arabic" w:cs="Simplified Arabic"/>
          <w:b/>
          <w:bCs/>
          <w:color w:val="000000" w:themeColor="text1"/>
          <w:kern w:val="0"/>
          <w:sz w:val="32"/>
          <w:szCs w:val="32"/>
          <w:rtl/>
          <w14:ligatures w14:val="none"/>
        </w:rPr>
        <w:lastRenderedPageBreak/>
        <w:t>الفرض الرئيسي</w:t>
      </w:r>
    </w:p>
    <w:p w14:paraId="72CA8567" w14:textId="77777777" w:rsidR="009B059D" w:rsidRPr="008C68C0" w:rsidRDefault="009B059D" w:rsidP="007A7419">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Cambria" w:eastAsia="Times New Roman" w:hAnsi="Cambria" w:cs="Cambria"/>
          <w:color w:val="000000" w:themeColor="text1"/>
          <w:kern w:val="0"/>
          <w:sz w:val="28"/>
          <w:szCs w:val="28"/>
          <w14:ligatures w14:val="none"/>
        </w:rPr>
        <w:t>α</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Times New Roman" w:eastAsia="Times New Roman" w:hAnsi="Times New Roman" w:cs="Times New Roman"/>
          <w:color w:val="000000" w:themeColor="text1"/>
          <w:kern w:val="0"/>
          <w:sz w:val="28"/>
          <w:szCs w:val="28"/>
          <w14:ligatures w14:val="none"/>
        </w:rPr>
        <w:t>≤</w:t>
      </w:r>
      <w:r w:rsidRPr="008C68C0">
        <w:rPr>
          <w:rFonts w:ascii="Simplified Arabic" w:eastAsia="Times New Roman" w:hAnsi="Simplified Arabic" w:cs="Simplified Arabic"/>
          <w:color w:val="000000" w:themeColor="text1"/>
          <w:kern w:val="0"/>
          <w:sz w:val="28"/>
          <w:szCs w:val="28"/>
          <w14:ligatures w14:val="none"/>
        </w:rPr>
        <w:t xml:space="preserve"> 0.05) </w:t>
      </w:r>
      <w:r w:rsidRPr="008C68C0">
        <w:rPr>
          <w:rFonts w:ascii="Simplified Arabic" w:eastAsia="Times New Roman" w:hAnsi="Simplified Arabic" w:cs="Simplified Arabic"/>
          <w:color w:val="000000" w:themeColor="text1"/>
          <w:kern w:val="0"/>
          <w:sz w:val="28"/>
          <w:szCs w:val="28"/>
          <w:rtl/>
          <w14:ligatures w14:val="none"/>
        </w:rPr>
        <w:t>للتحول المؤسسي بأبعاده (إعادة الهيكلة التنظيمية، التحول الرقمي، تطوير الثقافة المؤسسية، تمكين الموارد البشرية) على تطوير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5E6CC75D" w14:textId="77777777" w:rsidR="009B059D" w:rsidRPr="008C68C0" w:rsidRDefault="009B059D"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C68C0">
        <w:rPr>
          <w:rFonts w:ascii="Simplified Arabic" w:eastAsia="Times New Roman" w:hAnsi="Simplified Arabic" w:cs="Simplified Arabic"/>
          <w:b/>
          <w:bCs/>
          <w:color w:val="000000" w:themeColor="text1"/>
          <w:kern w:val="0"/>
          <w:sz w:val="32"/>
          <w:szCs w:val="32"/>
          <w:rtl/>
          <w14:ligatures w14:val="none"/>
        </w:rPr>
        <w:t>الفروض الفرعية</w:t>
      </w:r>
    </w:p>
    <w:p w14:paraId="0E2919DF" w14:textId="77777777" w:rsidR="009B059D" w:rsidRPr="008C68C0" w:rsidRDefault="009B059D" w:rsidP="007A7419">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الفرض الفرعي الأول</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Cambria" w:eastAsia="Times New Roman" w:hAnsi="Cambria" w:cs="Cambria"/>
          <w:color w:val="000000" w:themeColor="text1"/>
          <w:kern w:val="0"/>
          <w:sz w:val="28"/>
          <w:szCs w:val="28"/>
          <w14:ligatures w14:val="none"/>
        </w:rPr>
        <w:t>α</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Times New Roman" w:eastAsia="Times New Roman" w:hAnsi="Times New Roman" w:cs="Times New Roman"/>
          <w:color w:val="000000" w:themeColor="text1"/>
          <w:kern w:val="0"/>
          <w:sz w:val="28"/>
          <w:szCs w:val="28"/>
          <w14:ligatures w14:val="none"/>
        </w:rPr>
        <w:t>≤</w:t>
      </w:r>
      <w:r w:rsidRPr="008C68C0">
        <w:rPr>
          <w:rFonts w:ascii="Simplified Arabic" w:eastAsia="Times New Roman" w:hAnsi="Simplified Arabic" w:cs="Simplified Arabic"/>
          <w:color w:val="000000" w:themeColor="text1"/>
          <w:kern w:val="0"/>
          <w:sz w:val="28"/>
          <w:szCs w:val="28"/>
          <w14:ligatures w14:val="none"/>
        </w:rPr>
        <w:t xml:space="preserve"> 0.05) </w:t>
      </w:r>
      <w:r w:rsidRPr="008C68C0">
        <w:rPr>
          <w:rFonts w:ascii="Simplified Arabic" w:eastAsia="Times New Roman" w:hAnsi="Simplified Arabic" w:cs="Simplified Arabic"/>
          <w:color w:val="000000" w:themeColor="text1"/>
          <w:kern w:val="0"/>
          <w:sz w:val="28"/>
          <w:szCs w:val="28"/>
          <w:rtl/>
          <w14:ligatures w14:val="none"/>
        </w:rPr>
        <w:t>لإعادة الهيكلة التنظيمية على تطوير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59D246BE" w14:textId="77777777" w:rsidR="009B059D" w:rsidRPr="008C68C0" w:rsidRDefault="009B059D" w:rsidP="007A7419">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الفرض الفرعي الثاني</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Cambria" w:eastAsia="Times New Roman" w:hAnsi="Cambria" w:cs="Cambria"/>
          <w:color w:val="000000" w:themeColor="text1"/>
          <w:kern w:val="0"/>
          <w:sz w:val="28"/>
          <w:szCs w:val="28"/>
          <w14:ligatures w14:val="none"/>
        </w:rPr>
        <w:t>α</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Times New Roman" w:eastAsia="Times New Roman" w:hAnsi="Times New Roman" w:cs="Times New Roman"/>
          <w:color w:val="000000" w:themeColor="text1"/>
          <w:kern w:val="0"/>
          <w:sz w:val="28"/>
          <w:szCs w:val="28"/>
          <w14:ligatures w14:val="none"/>
        </w:rPr>
        <w:t>≤</w:t>
      </w:r>
      <w:r w:rsidRPr="008C68C0">
        <w:rPr>
          <w:rFonts w:ascii="Simplified Arabic" w:eastAsia="Times New Roman" w:hAnsi="Simplified Arabic" w:cs="Simplified Arabic"/>
          <w:color w:val="000000" w:themeColor="text1"/>
          <w:kern w:val="0"/>
          <w:sz w:val="28"/>
          <w:szCs w:val="28"/>
          <w14:ligatures w14:val="none"/>
        </w:rPr>
        <w:t xml:space="preserve"> 0.05) </w:t>
      </w:r>
      <w:r w:rsidRPr="008C68C0">
        <w:rPr>
          <w:rFonts w:ascii="Simplified Arabic" w:eastAsia="Times New Roman" w:hAnsi="Simplified Arabic" w:cs="Simplified Arabic"/>
          <w:color w:val="000000" w:themeColor="text1"/>
          <w:kern w:val="0"/>
          <w:sz w:val="28"/>
          <w:szCs w:val="28"/>
          <w:rtl/>
          <w14:ligatures w14:val="none"/>
        </w:rPr>
        <w:t>للتحول الرقمي على تطوير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72F0D2D8" w14:textId="77777777" w:rsidR="009B059D" w:rsidRPr="008C68C0" w:rsidRDefault="009B059D" w:rsidP="007A7419">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الفرض الفرعي الثالث</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Cambria" w:eastAsia="Times New Roman" w:hAnsi="Cambria" w:cs="Cambria"/>
          <w:color w:val="000000" w:themeColor="text1"/>
          <w:kern w:val="0"/>
          <w:sz w:val="28"/>
          <w:szCs w:val="28"/>
          <w14:ligatures w14:val="none"/>
        </w:rPr>
        <w:t>α</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Times New Roman" w:eastAsia="Times New Roman" w:hAnsi="Times New Roman" w:cs="Times New Roman"/>
          <w:color w:val="000000" w:themeColor="text1"/>
          <w:kern w:val="0"/>
          <w:sz w:val="28"/>
          <w:szCs w:val="28"/>
          <w14:ligatures w14:val="none"/>
        </w:rPr>
        <w:t>≤</w:t>
      </w:r>
      <w:r w:rsidRPr="008C68C0">
        <w:rPr>
          <w:rFonts w:ascii="Simplified Arabic" w:eastAsia="Times New Roman" w:hAnsi="Simplified Arabic" w:cs="Simplified Arabic"/>
          <w:color w:val="000000" w:themeColor="text1"/>
          <w:kern w:val="0"/>
          <w:sz w:val="28"/>
          <w:szCs w:val="28"/>
          <w14:ligatures w14:val="none"/>
        </w:rPr>
        <w:t xml:space="preserve"> 0.05) </w:t>
      </w:r>
      <w:r w:rsidRPr="008C68C0">
        <w:rPr>
          <w:rFonts w:ascii="Simplified Arabic" w:eastAsia="Times New Roman" w:hAnsi="Simplified Arabic" w:cs="Simplified Arabic"/>
          <w:color w:val="000000" w:themeColor="text1"/>
          <w:kern w:val="0"/>
          <w:sz w:val="28"/>
          <w:szCs w:val="28"/>
          <w:rtl/>
          <w14:ligatures w14:val="none"/>
        </w:rPr>
        <w:t>لتطوير الثقافة المؤسسية على تطوير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1BD590EC" w14:textId="77777777" w:rsidR="009B059D" w:rsidRPr="008C68C0" w:rsidRDefault="009B059D" w:rsidP="007A7419">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الفرض الفرعي الرابع</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Cambria" w:eastAsia="Times New Roman" w:hAnsi="Cambria" w:cs="Cambria"/>
          <w:color w:val="000000" w:themeColor="text1"/>
          <w:kern w:val="0"/>
          <w:sz w:val="28"/>
          <w:szCs w:val="28"/>
          <w14:ligatures w14:val="none"/>
        </w:rPr>
        <w:t>α</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Times New Roman" w:eastAsia="Times New Roman" w:hAnsi="Times New Roman" w:cs="Times New Roman"/>
          <w:color w:val="000000" w:themeColor="text1"/>
          <w:kern w:val="0"/>
          <w:sz w:val="28"/>
          <w:szCs w:val="28"/>
          <w14:ligatures w14:val="none"/>
        </w:rPr>
        <w:t>≤</w:t>
      </w:r>
      <w:r w:rsidRPr="008C68C0">
        <w:rPr>
          <w:rFonts w:ascii="Simplified Arabic" w:eastAsia="Times New Roman" w:hAnsi="Simplified Arabic" w:cs="Simplified Arabic"/>
          <w:color w:val="000000" w:themeColor="text1"/>
          <w:kern w:val="0"/>
          <w:sz w:val="28"/>
          <w:szCs w:val="28"/>
          <w14:ligatures w14:val="none"/>
        </w:rPr>
        <w:t xml:space="preserve"> 0.05) </w:t>
      </w:r>
      <w:r w:rsidRPr="008C68C0">
        <w:rPr>
          <w:rFonts w:ascii="Simplified Arabic" w:eastAsia="Times New Roman" w:hAnsi="Simplified Arabic" w:cs="Simplified Arabic"/>
          <w:color w:val="000000" w:themeColor="text1"/>
          <w:kern w:val="0"/>
          <w:sz w:val="28"/>
          <w:szCs w:val="28"/>
          <w:rtl/>
          <w14:ligatures w14:val="none"/>
        </w:rPr>
        <w:t>لتمكين الموارد البشرية على تطوير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5FA00C6D" w14:textId="77777777" w:rsidR="007A7419" w:rsidRPr="008C68C0" w:rsidRDefault="007A7419" w:rsidP="007A741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212259"/>
      <w:r w:rsidRPr="008C68C0">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15B819C1" w14:textId="1A09976E" w:rsidR="007A7419" w:rsidRPr="008C68C0" w:rsidRDefault="007A7419"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C68C0">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6DB2E9DB" w14:textId="3774C50B"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تسهم الدراسة في سد فجوة بحثية من خلال تقديم إطار نظري متكامل يربط بين التحول المؤسسي بأبعاده الأربعة وتطوير كفاءة الخدمات العامة، وهو ما لم يُتناول بهذا التركيب في الدراسات السابقة بشكل كافٍ</w:t>
      </w:r>
      <w:r w:rsidRPr="008C68C0">
        <w:rPr>
          <w:rFonts w:ascii="Simplified Arabic" w:eastAsia="Times New Roman" w:hAnsi="Simplified Arabic" w:cs="Simplified Arabic"/>
          <w:color w:val="000000" w:themeColor="text1"/>
          <w:kern w:val="0"/>
          <w:sz w:val="28"/>
          <w:szCs w:val="28"/>
          <w14:ligatures w14:val="none"/>
        </w:rPr>
        <w:t>.</w:t>
      </w:r>
    </w:p>
    <w:p w14:paraId="03C2793D" w14:textId="42762FAD"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تقدم الدراسة نموذجاً بحثياً يختبر العلاقة السببية بين أبعاد التحول المؤسسي وكفاءة الخدمات العامة، مما يفتح آفاقاً جديدة للباحثين لاختبار هذا النموذج في بيئات تنظيمية مختلفة</w:t>
      </w:r>
      <w:r w:rsidRPr="008C68C0">
        <w:rPr>
          <w:rFonts w:ascii="Simplified Arabic" w:eastAsia="Times New Roman" w:hAnsi="Simplified Arabic" w:cs="Simplified Arabic"/>
          <w:color w:val="000000" w:themeColor="text1"/>
          <w:kern w:val="0"/>
          <w:sz w:val="28"/>
          <w:szCs w:val="28"/>
          <w14:ligatures w14:val="none"/>
        </w:rPr>
        <w:t>.</w:t>
      </w:r>
    </w:p>
    <w:p w14:paraId="56B1C43E" w14:textId="4B0FC9A7"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تسهم الدراسة في التكامل المعرفي بين أدبيات إدارة التغيير والتحول المؤسسي من جهة، وأدبيات جودة وكفاءة الخدمات العامة من جهة أخرى، مما يعزز الفهم الشمولي لهذه الظاهرة</w:t>
      </w:r>
      <w:r w:rsidRPr="008C68C0">
        <w:rPr>
          <w:rFonts w:ascii="Simplified Arabic" w:eastAsia="Times New Roman" w:hAnsi="Simplified Arabic" w:cs="Simplified Arabic"/>
          <w:color w:val="000000" w:themeColor="text1"/>
          <w:kern w:val="0"/>
          <w:sz w:val="28"/>
          <w:szCs w:val="28"/>
          <w14:ligatures w14:val="none"/>
        </w:rPr>
        <w:t>.</w:t>
      </w:r>
    </w:p>
    <w:p w14:paraId="7CC2695E" w14:textId="04EC043B"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تسعى الدراسة إلى بناء أداة قياس (استبانة) محكّمة وموثوقة تقيس أبعاد التحول المؤسسي وعلاقتها بكفاءة الخدمات العامة، يمكن أن يستفيد منها الباحثون في دراساتهم المستقبلية</w:t>
      </w:r>
      <w:r w:rsidRPr="008C68C0">
        <w:rPr>
          <w:rFonts w:ascii="Simplified Arabic" w:eastAsia="Times New Roman" w:hAnsi="Simplified Arabic" w:cs="Simplified Arabic"/>
          <w:color w:val="000000" w:themeColor="text1"/>
          <w:kern w:val="0"/>
          <w:sz w:val="28"/>
          <w:szCs w:val="28"/>
          <w14:ligatures w14:val="none"/>
        </w:rPr>
        <w:t>.</w:t>
      </w:r>
    </w:p>
    <w:p w14:paraId="49513C1A" w14:textId="19D2F0A6"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تتسق الدراسة مع التوجهات البحثية المعاصرة التي تؤكد ضرورة دراسة التحول المؤسسي باعتباره ظاهرة متعددة الأبعاد وليس مفهوماً أحادياً، وهو ما أوصت به عديد من الدراسات السابقة</w:t>
      </w:r>
      <w:r w:rsidRPr="008C68C0">
        <w:rPr>
          <w:rFonts w:ascii="Simplified Arabic" w:eastAsia="Times New Roman" w:hAnsi="Simplified Arabic" w:cs="Simplified Arabic"/>
          <w:color w:val="000000" w:themeColor="text1"/>
          <w:kern w:val="0"/>
          <w:sz w:val="28"/>
          <w:szCs w:val="28"/>
          <w14:ligatures w14:val="none"/>
        </w:rPr>
        <w:t>.</w:t>
      </w:r>
    </w:p>
    <w:p w14:paraId="4C7B7C26" w14:textId="1F09CEF7"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ضيف الدراسة إلى المكتبة العربية مرجعاً علمياً متخصصاً في موضوع التحول المؤسسي وأثره على الخدمات العامة، في ظل ندرة الدراسات العربية التي تناولت هذا الموضوع بشكل تكاملي</w:t>
      </w:r>
      <w:r w:rsidRPr="008C68C0">
        <w:rPr>
          <w:rFonts w:ascii="Simplified Arabic" w:eastAsia="Times New Roman" w:hAnsi="Simplified Arabic" w:cs="Simplified Arabic"/>
          <w:color w:val="000000" w:themeColor="text1"/>
          <w:kern w:val="0"/>
          <w:sz w:val="28"/>
          <w:szCs w:val="28"/>
          <w14:ligatures w14:val="none"/>
        </w:rPr>
        <w:t>.</w:t>
      </w:r>
    </w:p>
    <w:p w14:paraId="38569B51" w14:textId="77777777" w:rsidR="009B059D" w:rsidRPr="008C68C0" w:rsidRDefault="009B059D"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C68C0">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p>
    <w:p w14:paraId="6D914046" w14:textId="5655A961"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تزوّد الدراسة القيادات الإدارية وصانعي القرار في الجهات الحكومية بنتائج علمية مبنية على بيانات ميدانية تساعدهم في وضع سياسات فعّالة للتحول المؤسسي</w:t>
      </w:r>
      <w:r w:rsidRPr="008C68C0">
        <w:rPr>
          <w:rFonts w:ascii="Simplified Arabic" w:eastAsia="Times New Roman" w:hAnsi="Simplified Arabic" w:cs="Simplified Arabic"/>
          <w:color w:val="000000" w:themeColor="text1"/>
          <w:kern w:val="0"/>
          <w:sz w:val="28"/>
          <w:szCs w:val="28"/>
          <w14:ligatures w14:val="none"/>
        </w:rPr>
        <w:t>.</w:t>
      </w:r>
    </w:p>
    <w:p w14:paraId="785BB310" w14:textId="2F4FCB4D"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تساعد الدراسة الجهات الحكومية في تحديد أيّ أبعاد التحول المؤسسي أكثر تأثيراً في تحسين كفاءة الخدمات، مما يمكّنها من توجيه مواردها وجهودها نحو الأولويات الأكثر فاعلية</w:t>
      </w:r>
      <w:r w:rsidRPr="008C68C0">
        <w:rPr>
          <w:rFonts w:ascii="Simplified Arabic" w:eastAsia="Times New Roman" w:hAnsi="Simplified Arabic" w:cs="Simplified Arabic"/>
          <w:color w:val="000000" w:themeColor="text1"/>
          <w:kern w:val="0"/>
          <w:sz w:val="28"/>
          <w:szCs w:val="28"/>
          <w14:ligatures w14:val="none"/>
        </w:rPr>
        <w:t>.</w:t>
      </w:r>
    </w:p>
    <w:p w14:paraId="70F173E8" w14:textId="6C0138CF"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تسهم نتائج الدراسة في تقديم توصيات عملية لتطوير آليات تقديم الخدمات العامة بما ينعكس إيجاباً على رضا المواطنين والمستفيدين عن الخدمات الحكومية</w:t>
      </w:r>
      <w:r w:rsidRPr="008C68C0">
        <w:rPr>
          <w:rFonts w:ascii="Simplified Arabic" w:eastAsia="Times New Roman" w:hAnsi="Simplified Arabic" w:cs="Simplified Arabic"/>
          <w:color w:val="000000" w:themeColor="text1"/>
          <w:kern w:val="0"/>
          <w:sz w:val="28"/>
          <w:szCs w:val="28"/>
          <w14:ligatures w14:val="none"/>
        </w:rPr>
        <w:t>.</w:t>
      </w:r>
    </w:p>
    <w:p w14:paraId="79F8784C" w14:textId="7D593CB5"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تكتسب الدراسة أهمية تطبيقية خاصة في ظل التوجهات الوطنية نحو التحديث والتحول المؤسسي الشامل في القطاع الحكومي، مما يجعل نتائجها ذات صلة مباشرة بالمبادرات الاستراتيجية الجارية</w:t>
      </w:r>
      <w:r w:rsidRPr="008C68C0">
        <w:rPr>
          <w:rFonts w:ascii="Simplified Arabic" w:eastAsia="Times New Roman" w:hAnsi="Simplified Arabic" w:cs="Simplified Arabic"/>
          <w:color w:val="000000" w:themeColor="text1"/>
          <w:kern w:val="0"/>
          <w:sz w:val="28"/>
          <w:szCs w:val="28"/>
          <w14:ligatures w14:val="none"/>
        </w:rPr>
        <w:t>.</w:t>
      </w:r>
    </w:p>
    <w:p w14:paraId="5011992B" w14:textId="637ADFE4" w:rsidR="009B059D" w:rsidRPr="008C68C0" w:rsidRDefault="009B059D" w:rsidP="007A7419">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تسعى الدراسة إلى تقديم مجموعة من التوصيات والمقترحات الإجرائية القابلة للتنفيذ، والتي يمكن أن تُشكّل خارطة طريق عملية للجهات الحكومية الراغبة في تعزيز تحولها المؤسسي ورفع كفاءة خدماتها</w:t>
      </w:r>
      <w:r w:rsidRPr="008C68C0">
        <w:rPr>
          <w:rFonts w:ascii="Simplified Arabic" w:eastAsia="Times New Roman" w:hAnsi="Simplified Arabic" w:cs="Simplified Arabic"/>
          <w:color w:val="000000" w:themeColor="text1"/>
          <w:kern w:val="0"/>
          <w:sz w:val="28"/>
          <w:szCs w:val="28"/>
          <w14:ligatures w14:val="none"/>
        </w:rPr>
        <w:t>.</w:t>
      </w:r>
    </w:p>
    <w:p w14:paraId="173C7C65" w14:textId="77777777" w:rsidR="007A7419" w:rsidRPr="008C68C0" w:rsidRDefault="007A7419" w:rsidP="007A741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1"/>
      <w:bookmarkStart w:id="13" w:name="_Toc233212260"/>
      <w:bookmarkEnd w:id="5"/>
      <w:bookmarkEnd w:id="7"/>
      <w:r w:rsidRPr="008C68C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27C83EDB" w14:textId="067CF6ED" w:rsidR="007A7419" w:rsidRPr="008C68C0" w:rsidRDefault="007A7419"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C68C0">
        <w:rPr>
          <w:rFonts w:ascii="Simplified Arabic" w:eastAsia="Times New Roman" w:hAnsi="Simplified Arabic" w:cs="Simplified Arabic"/>
          <w:b/>
          <w:bCs/>
          <w:color w:val="000000" w:themeColor="text1"/>
          <w:kern w:val="0"/>
          <w:sz w:val="32"/>
          <w:szCs w:val="32"/>
          <w:rtl/>
          <w14:ligatures w14:val="none"/>
        </w:rPr>
        <w:t>المحور الأول: دراسات المتغير المستقل (التحول المؤسسي في ظل التغيرات التنظيمية) وعلاقته بمتغيرات أخرى</w:t>
      </w:r>
    </w:p>
    <w:p w14:paraId="2D0A44F3"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 الكركي</w:t>
      </w:r>
      <w:r w:rsidRPr="008C68C0">
        <w:rPr>
          <w:rFonts w:ascii="Simplified Arabic" w:eastAsia="Times New Roman" w:hAnsi="Simplified Arabic" w:cs="Simplified Arabic"/>
          <w:b/>
          <w:bCs/>
          <w:color w:val="000000" w:themeColor="text1"/>
          <w:kern w:val="0"/>
          <w:sz w:val="28"/>
          <w:szCs w:val="28"/>
          <w14:ligatures w14:val="none"/>
        </w:rPr>
        <w:t xml:space="preserve"> (2022): "</w:t>
      </w:r>
      <w:r w:rsidRPr="008C68C0">
        <w:rPr>
          <w:rFonts w:ascii="Simplified Arabic" w:eastAsia="Times New Roman" w:hAnsi="Simplified Arabic" w:cs="Simplified Arabic"/>
          <w:b/>
          <w:bCs/>
          <w:color w:val="000000" w:themeColor="text1"/>
          <w:kern w:val="0"/>
          <w:sz w:val="28"/>
          <w:szCs w:val="28"/>
          <w:rtl/>
          <w14:ligatures w14:val="none"/>
        </w:rPr>
        <w:t xml:space="preserve">إدارة الموارد البشرية وتعزيز التطوير التنظيمي لموظفي البلديات". </w:t>
      </w:r>
    </w:p>
    <w:p w14:paraId="2CF6207F" w14:textId="7E03EE5F"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إدارة الموارد البشرية بأبعادها (التوظيف، التدريب، تقييم الأداء، التحفيز) في تعزيز التطوير التنظيمي لموظفي البلديات، واستخدمت الدراسة المنهج الوصفي التحليلي. وتوصلت نتائج الدراسة إلى أن لإدارة الموارد البشرية دوراً محورياً في تعزيز التطوير التنظيمي باعتباره منهجية قائمة على تحقيق الأهداف المستخدمة في تغيير الأنظمة في الهيكل الوظيفي. وأوصت الدراسة بضرورة تعزيز دور إدارة الموارد البشرية باعتبارها المحرك للقوى العاملة الساعي إلى تحقيق الأهداف التنظيمية</w:t>
      </w:r>
      <w:r w:rsidRPr="008C68C0">
        <w:rPr>
          <w:rFonts w:ascii="Simplified Arabic" w:eastAsia="Times New Roman" w:hAnsi="Simplified Arabic" w:cs="Simplified Arabic"/>
          <w:color w:val="000000" w:themeColor="text1"/>
          <w:kern w:val="0"/>
          <w:sz w:val="28"/>
          <w:szCs w:val="28"/>
          <w14:ligatures w14:val="none"/>
        </w:rPr>
        <w:t>.</w:t>
      </w:r>
    </w:p>
    <w:p w14:paraId="77DCB961"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 معمري</w:t>
      </w:r>
      <w:r w:rsidRPr="008C68C0">
        <w:rPr>
          <w:rFonts w:ascii="Simplified Arabic" w:eastAsia="Times New Roman" w:hAnsi="Simplified Arabic" w:cs="Simplified Arabic"/>
          <w:b/>
          <w:bCs/>
          <w:color w:val="000000" w:themeColor="text1"/>
          <w:kern w:val="0"/>
          <w:sz w:val="28"/>
          <w:szCs w:val="28"/>
          <w14:ligatures w14:val="none"/>
        </w:rPr>
        <w:t xml:space="preserve"> (2022): "</w:t>
      </w:r>
      <w:r w:rsidRPr="008C68C0">
        <w:rPr>
          <w:rFonts w:ascii="Simplified Arabic" w:eastAsia="Times New Roman" w:hAnsi="Simplified Arabic" w:cs="Simplified Arabic"/>
          <w:b/>
          <w:bCs/>
          <w:color w:val="000000" w:themeColor="text1"/>
          <w:kern w:val="0"/>
          <w:sz w:val="28"/>
          <w:szCs w:val="28"/>
          <w:rtl/>
          <w14:ligatures w14:val="none"/>
        </w:rPr>
        <w:t xml:space="preserve">واقع إدارة التغيير التنظيمي وأثرها على أداء المؤسسة الاقتصادية". </w:t>
      </w:r>
    </w:p>
    <w:p w14:paraId="79497396" w14:textId="69C0BCA4"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التعرف على مدى تأثير إدارة التغيير التنظيمي بأبعاده (الهيكلي، التكنولوجي، الإنساني) على أداء المؤسسة الاقتصادية، واستخدمت الدراسة المنهج الوصفي التحليلي لتحليل العلاقة الثنائية بين المتغيرين. وتوصلت نتائج الدراسة إلى أن الإدارة الفعالة للتغيير التنظيمي تؤدي إلى زيادة إنتاجية العاملين وتوجيه قرارات المديرين والتقليل من الصراعات داخل المؤسسة وتخفيض العيوب والأخطاء وتحسين الأداء وزيادة دافعية العاملين</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وأوصت الدراسة بضرورة تبني استراتيجية تغيير مخططة وهادفة تراعي الأبعاد الثلاثة للوصول إلى الأهداف المرجوة</w:t>
      </w:r>
      <w:r w:rsidRPr="008C68C0">
        <w:rPr>
          <w:rFonts w:ascii="Simplified Arabic" w:eastAsia="Times New Roman" w:hAnsi="Simplified Arabic" w:cs="Simplified Arabic"/>
          <w:color w:val="000000" w:themeColor="text1"/>
          <w:kern w:val="0"/>
          <w:sz w:val="28"/>
          <w:szCs w:val="28"/>
          <w14:ligatures w14:val="none"/>
        </w:rPr>
        <w:t>.</w:t>
      </w:r>
    </w:p>
    <w:p w14:paraId="7E69B671"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w:t>
      </w:r>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Khaw</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Alnoor</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et al. (2022): "Reactions towards Organizational Change: A Systematic Literature Review". </w:t>
      </w:r>
    </w:p>
    <w:p w14:paraId="11E43E53" w14:textId="38890C5B"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التعرف على ردود فعل الأفراد والمنظمات تجاه التغيير التنظيمي بأبعاده (المعرفي، العاطفي، السلوكي) على المستويين الجزئي والكلي، واستخدمت الدراسة منهج المراجعة المنهجية المنظمة للأدبيات وفقاً لمعايير</w:t>
      </w:r>
      <w:r w:rsidRPr="008C68C0">
        <w:rPr>
          <w:rFonts w:ascii="Simplified Arabic" w:eastAsia="Times New Roman" w:hAnsi="Simplified Arabic" w:cs="Simplified Arabic"/>
          <w:color w:val="000000" w:themeColor="text1"/>
          <w:kern w:val="0"/>
          <w:sz w:val="28"/>
          <w:szCs w:val="28"/>
          <w14:ligatures w14:val="none"/>
        </w:rPr>
        <w:t xml:space="preserve"> PRISMA </w:t>
      </w:r>
      <w:r w:rsidRPr="008C68C0">
        <w:rPr>
          <w:rFonts w:ascii="Simplified Arabic" w:eastAsia="Times New Roman" w:hAnsi="Simplified Arabic" w:cs="Simplified Arabic"/>
          <w:color w:val="000000" w:themeColor="text1"/>
          <w:kern w:val="0"/>
          <w:sz w:val="28"/>
          <w:szCs w:val="28"/>
          <w:rtl/>
          <w14:ligatures w14:val="none"/>
        </w:rPr>
        <w:t>من خلال أربع قواعد بيانات</w:t>
      </w:r>
      <w:r w:rsidRPr="008C68C0">
        <w:rPr>
          <w:rFonts w:ascii="Simplified Arabic" w:eastAsia="Times New Roman" w:hAnsi="Simplified Arabic" w:cs="Simplified Arabic"/>
          <w:color w:val="000000" w:themeColor="text1"/>
          <w:kern w:val="0"/>
          <w:sz w:val="28"/>
          <w:szCs w:val="28"/>
          <w14:ligatures w14:val="none"/>
        </w:rPr>
        <w:t xml:space="preserve"> (IEE </w:t>
      </w:r>
      <w:proofErr w:type="spellStart"/>
      <w:r w:rsidRPr="008C68C0">
        <w:rPr>
          <w:rFonts w:ascii="Simplified Arabic" w:eastAsia="Times New Roman" w:hAnsi="Simplified Arabic" w:cs="Simplified Arabic"/>
          <w:color w:val="000000" w:themeColor="text1"/>
          <w:kern w:val="0"/>
          <w:sz w:val="28"/>
          <w:szCs w:val="28"/>
          <w14:ligatures w14:val="none"/>
        </w:rPr>
        <w:t>Xplore</w:t>
      </w:r>
      <w:proofErr w:type="spellEnd"/>
      <w:r w:rsidRPr="008C68C0">
        <w:rPr>
          <w:rFonts w:ascii="Simplified Arabic" w:eastAsia="Times New Roman" w:hAnsi="Simplified Arabic" w:cs="Simplified Arabic"/>
          <w:color w:val="000000" w:themeColor="text1"/>
          <w:kern w:val="0"/>
          <w:sz w:val="28"/>
          <w:szCs w:val="28"/>
          <w:rtl/>
          <w14:ligatures w14:val="none"/>
        </w:rPr>
        <w:t xml:space="preserve">، </w:t>
      </w:r>
      <w:r w:rsidRPr="008C68C0">
        <w:rPr>
          <w:rFonts w:ascii="Simplified Arabic" w:eastAsia="Times New Roman" w:hAnsi="Simplified Arabic" w:cs="Simplified Arabic"/>
          <w:color w:val="000000" w:themeColor="text1"/>
          <w:kern w:val="0"/>
          <w:sz w:val="28"/>
          <w:szCs w:val="28"/>
          <w14:ligatures w14:val="none"/>
        </w:rPr>
        <w:t>Science Direct</w:t>
      </w:r>
      <w:r w:rsidRPr="008C68C0">
        <w:rPr>
          <w:rFonts w:ascii="Simplified Arabic" w:eastAsia="Times New Roman" w:hAnsi="Simplified Arabic" w:cs="Simplified Arabic"/>
          <w:color w:val="000000" w:themeColor="text1"/>
          <w:kern w:val="0"/>
          <w:sz w:val="28"/>
          <w:szCs w:val="28"/>
          <w:rtl/>
          <w14:ligatures w14:val="none"/>
        </w:rPr>
        <w:t xml:space="preserve">، </w:t>
      </w:r>
      <w:r w:rsidRPr="008C68C0">
        <w:rPr>
          <w:rFonts w:ascii="Simplified Arabic" w:eastAsia="Times New Roman" w:hAnsi="Simplified Arabic" w:cs="Simplified Arabic"/>
          <w:color w:val="000000" w:themeColor="text1"/>
          <w:kern w:val="0"/>
          <w:sz w:val="28"/>
          <w:szCs w:val="28"/>
          <w14:ligatures w14:val="none"/>
        </w:rPr>
        <w:t>Scopus</w:t>
      </w:r>
      <w:r w:rsidRPr="008C68C0">
        <w:rPr>
          <w:rFonts w:ascii="Simplified Arabic" w:eastAsia="Times New Roman" w:hAnsi="Simplified Arabic" w:cs="Simplified Arabic"/>
          <w:color w:val="000000" w:themeColor="text1"/>
          <w:kern w:val="0"/>
          <w:sz w:val="28"/>
          <w:szCs w:val="28"/>
          <w:rtl/>
          <w14:ligatures w14:val="none"/>
        </w:rPr>
        <w:t xml:space="preserve">، </w:t>
      </w:r>
      <w:r w:rsidRPr="008C68C0">
        <w:rPr>
          <w:rFonts w:ascii="Simplified Arabic" w:eastAsia="Times New Roman" w:hAnsi="Simplified Arabic" w:cs="Simplified Arabic"/>
          <w:color w:val="000000" w:themeColor="text1"/>
          <w:kern w:val="0"/>
          <w:sz w:val="28"/>
          <w:szCs w:val="28"/>
          <w14:ligatures w14:val="none"/>
        </w:rPr>
        <w:t>Web of Science)</w:t>
      </w:r>
      <w:r w:rsidRPr="008C68C0">
        <w:rPr>
          <w:rFonts w:ascii="Simplified Arabic" w:eastAsia="Times New Roman" w:hAnsi="Simplified Arabic" w:cs="Simplified Arabic"/>
          <w:color w:val="000000" w:themeColor="text1"/>
          <w:kern w:val="0"/>
          <w:sz w:val="28"/>
          <w:szCs w:val="28"/>
          <w:rtl/>
          <w14:ligatures w14:val="none"/>
        </w:rPr>
        <w:t>، وتكونت عينة التحليل من (79) مقالة علمية محكّمة. وتوصلت نتائج الدراسة إلى أن ردود الفعل الفردية والتنظيمية تجاه التغيير تتأثر بعوامل رئيسية هي: أسلوب القيادة، والتواصل بين الموظفين، والانفتاح على التغيير، ونظم المعلومات، كما أن ردود الفعل السلبية ليست بالضرورة ضارة بل يمكن تفسيرها كنقد بنّاء يحسّن مخرجات التغيير. وأوصت الدراسة بضرورة تبني المنظمات منظوراً متعدد المستويات لفهم ردود الفعل تجاه التغيير، وتحويل المقاومة إلى فرصة للتحسين</w:t>
      </w:r>
      <w:r w:rsidRPr="008C68C0">
        <w:rPr>
          <w:rFonts w:ascii="Simplified Arabic" w:eastAsia="Times New Roman" w:hAnsi="Simplified Arabic" w:cs="Simplified Arabic"/>
          <w:color w:val="000000" w:themeColor="text1"/>
          <w:kern w:val="0"/>
          <w:sz w:val="28"/>
          <w:szCs w:val="28"/>
          <w14:ligatures w14:val="none"/>
        </w:rPr>
        <w:t>.</w:t>
      </w:r>
    </w:p>
    <w:p w14:paraId="7CABC9E9"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lastRenderedPageBreak/>
        <w:t>دراسة</w:t>
      </w:r>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Shaumi</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Ma'arif</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8C68C0">
        <w:rPr>
          <w:rFonts w:ascii="Simplified Arabic" w:eastAsia="Times New Roman" w:hAnsi="Simplified Arabic" w:cs="Simplified Arabic"/>
          <w:b/>
          <w:bCs/>
          <w:color w:val="000000" w:themeColor="text1"/>
          <w:kern w:val="0"/>
          <w:sz w:val="28"/>
          <w:szCs w:val="28"/>
          <w14:ligatures w14:val="none"/>
        </w:rPr>
        <w:t>Taryana</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(2023): "The Effect of Organizational Change on Enhancing Government Employee Performance". </w:t>
      </w:r>
    </w:p>
    <w:p w14:paraId="314E894D" w14:textId="656DDB17"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التغيير التنظيمي بأبعاده </w:t>
      </w:r>
      <w:r w:rsidRPr="008C68C0">
        <w:rPr>
          <w:rFonts w:ascii="Simplified Arabic" w:eastAsia="Times New Roman" w:hAnsi="Simplified Arabic" w:cs="Simplified Arabic"/>
          <w:color w:val="000000" w:themeColor="text1"/>
          <w:kern w:val="0"/>
          <w:sz w:val="28"/>
          <w:szCs w:val="28"/>
          <w14:ligatures w14:val="none"/>
        </w:rPr>
        <w:t>(</w:t>
      </w:r>
      <w:r w:rsidRPr="008C68C0">
        <w:rPr>
          <w:rFonts w:ascii="Simplified Arabic" w:eastAsia="Times New Roman" w:hAnsi="Simplified Arabic" w:cs="Simplified Arabic"/>
          <w:color w:val="000000" w:themeColor="text1"/>
          <w:kern w:val="0"/>
          <w:sz w:val="28"/>
          <w:szCs w:val="28"/>
          <w:rtl/>
          <w14:ligatures w14:val="none"/>
        </w:rPr>
        <w:t>تبسيط الهيكل التنظيمي، تحويل المناصب الإدارية إلى وظيفية، تعديل نظام العمل) على أداء الموظفين الحكوميين من خلال الرضا الوظيفي كمتغير وسيط، في إطار سياسة تبسيط البيروقراطية في إندونيسيا، واستخدمت الدراسة المنهج الكمي بأسلوب نمذجة المعادلات الهيكلية بالمربعات الصغرى الجزئية</w:t>
      </w:r>
      <w:r w:rsidRPr="008C68C0">
        <w:rPr>
          <w:rFonts w:ascii="Simplified Arabic" w:eastAsia="Times New Roman" w:hAnsi="Simplified Arabic" w:cs="Simplified Arabic"/>
          <w:color w:val="000000" w:themeColor="text1"/>
          <w:kern w:val="0"/>
          <w:sz w:val="28"/>
          <w:szCs w:val="28"/>
          <w14:ligatures w14:val="none"/>
        </w:rPr>
        <w:t xml:space="preserve"> (SEM-PLS) </w:t>
      </w:r>
      <w:r w:rsidRPr="008C68C0">
        <w:rPr>
          <w:rFonts w:ascii="Simplified Arabic" w:eastAsia="Times New Roman" w:hAnsi="Simplified Arabic" w:cs="Simplified Arabic"/>
          <w:color w:val="000000" w:themeColor="text1"/>
          <w:kern w:val="0"/>
          <w:sz w:val="28"/>
          <w:szCs w:val="28"/>
          <w:rtl/>
          <w14:ligatures w14:val="none"/>
        </w:rPr>
        <w:t>باستخدام برنامج</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SmartPLS</w:t>
      </w:r>
      <w:proofErr w:type="spellEnd"/>
      <w:r w:rsidRPr="008C68C0">
        <w:rPr>
          <w:rFonts w:ascii="Simplified Arabic" w:eastAsia="Times New Roman" w:hAnsi="Simplified Arabic" w:cs="Simplified Arabic"/>
          <w:color w:val="000000" w:themeColor="text1"/>
          <w:kern w:val="0"/>
          <w:sz w:val="28"/>
          <w:szCs w:val="28"/>
          <w14:ligatures w14:val="none"/>
        </w:rPr>
        <w:t xml:space="preserve"> 4.0</w:t>
      </w:r>
      <w:r w:rsidRPr="008C68C0">
        <w:rPr>
          <w:rFonts w:ascii="Simplified Arabic" w:eastAsia="Times New Roman" w:hAnsi="Simplified Arabic" w:cs="Simplified Arabic"/>
          <w:color w:val="000000" w:themeColor="text1"/>
          <w:kern w:val="0"/>
          <w:sz w:val="28"/>
          <w:szCs w:val="28"/>
          <w:rtl/>
          <w14:ligatures w14:val="none"/>
        </w:rPr>
        <w:t>، وتكونت العينة من موظفي وزارة الصناعة بجمهورية إندونيسيا (جُمعت البيانات إلكترونياً). وتوصلت نتائج الدراسة إلى أن التغيير التنظيمي يؤثر تأثيراً مباشراً وذا دلالة إحصائية على الرضا الوظيفي، وأن الرضا الوظيفي يؤثر تأثيراً مباشراً على أداء الموظفين، بينما لا يوجد تأثير مباشر للتغيير التنظيمي على الأداء، وإنما يؤثر من خلال توسط الرضا الوظيفي. وأوصت الدراسة بأهمية الاهتمام برفع مستوى الرضا الوظيفي كآلية لتحقيق أثر إيجابي للتغيير التنظيمي على الأداء الحكومي</w:t>
      </w:r>
      <w:r w:rsidRPr="008C68C0">
        <w:rPr>
          <w:rFonts w:ascii="Simplified Arabic" w:eastAsia="Times New Roman" w:hAnsi="Simplified Arabic" w:cs="Simplified Arabic"/>
          <w:color w:val="000000" w:themeColor="text1"/>
          <w:kern w:val="0"/>
          <w:sz w:val="28"/>
          <w:szCs w:val="28"/>
          <w14:ligatures w14:val="none"/>
        </w:rPr>
        <w:t>.</w:t>
      </w:r>
    </w:p>
    <w:p w14:paraId="04C8F6B1" w14:textId="77777777" w:rsidR="007A7419" w:rsidRPr="008C68C0" w:rsidRDefault="009B059D"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 الشبلي</w:t>
      </w:r>
      <w:r w:rsidRPr="008C68C0">
        <w:rPr>
          <w:rFonts w:ascii="Simplified Arabic" w:eastAsia="Times New Roman" w:hAnsi="Simplified Arabic" w:cs="Simplified Arabic"/>
          <w:b/>
          <w:bCs/>
          <w:color w:val="000000" w:themeColor="text1"/>
          <w:kern w:val="0"/>
          <w:sz w:val="28"/>
          <w:szCs w:val="28"/>
          <w14:ligatures w14:val="none"/>
        </w:rPr>
        <w:t xml:space="preserve"> (2023): "</w:t>
      </w:r>
      <w:r w:rsidRPr="008C68C0">
        <w:rPr>
          <w:rFonts w:ascii="Simplified Arabic" w:eastAsia="Times New Roman" w:hAnsi="Simplified Arabic" w:cs="Simplified Arabic"/>
          <w:b/>
          <w:bCs/>
          <w:color w:val="000000" w:themeColor="text1"/>
          <w:kern w:val="0"/>
          <w:sz w:val="28"/>
          <w:szCs w:val="28"/>
          <w:rtl/>
          <w14:ligatures w14:val="none"/>
        </w:rPr>
        <w:t xml:space="preserve">التغيير التنظيمي وتأثيره على تعزيز الأداء المؤسسي للبلديات في المملكة الأردنية الهاشمية". </w:t>
      </w:r>
    </w:p>
    <w:p w14:paraId="0728FE78" w14:textId="2CAC989A"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التغيير التنظيمي بأبعاده (الواقعية، الاستهدافية، التوافقية، الفاعلية، المشاركة) على تطور الأداء المؤسسي في البلديات الأردنية، واستخدمت الدراسة المنهج الوصفي معتمدةً على تحليل الأدبيات والمصادر ذات الصلة بالإضافة إلى خبرة الباحث كموظف في بلدية جرش الكبرى. وتوصلت نتائج الدراسة إلى أن هناك عديداً من الأسباب الدافعة للتغيير والتطوير المؤسسي أبرزها التطور التكنولوجي وضعف أداء العاملين وتغيير أهداف البلدية والقوانين والأنظمة، كما أظهرت أن من أبرز معايير تطوير الأداء المؤسسي: جودة الخدمات، وقوة الموارد البشرية، ووجود فريق مالي فعال، والإلمام بالوظائف الإدارية. وأوصت الدراسة بضرورة صياغة خطة استراتيجية لتصميم نموذج جديد للتغيير التنظيمي يتوافق مع تطوير الأداء المؤسسي في البلديات</w:t>
      </w:r>
      <w:r w:rsidRPr="008C68C0">
        <w:rPr>
          <w:rFonts w:ascii="Simplified Arabic" w:eastAsia="Times New Roman" w:hAnsi="Simplified Arabic" w:cs="Simplified Arabic"/>
          <w:color w:val="000000" w:themeColor="text1"/>
          <w:kern w:val="0"/>
          <w:sz w:val="28"/>
          <w:szCs w:val="28"/>
          <w14:ligatures w14:val="none"/>
        </w:rPr>
        <w:t>.</w:t>
      </w:r>
    </w:p>
    <w:p w14:paraId="74671D8A"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w:t>
      </w:r>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Pircher</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et al. (2024): "Adapting to Organizational Change in a Public Sector High-Reliability Context: The Role of Negative Affect and Normative Commitment to Change". </w:t>
      </w:r>
    </w:p>
    <w:p w14:paraId="2DB51390" w14:textId="32E52FEB"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التغيير التنظيمي بأبعاده (التأثير السلبي تجاه التغيير، عبء الدور الوظيفي، الأخطاء في العمل) في سياق منظمات القطاع العام عالية الموثوقية، واستخدمت الدراسة المنهج الكمي (دراسة حالة كمية) مع جمع بيانات طولية في ثلاث موجات زمنية، وتكونت العينة من (120) فرداً من أفراد سرب تابع للقوات الجوية الملكية الهولندية أثناء عملية تغيير تنظيمي كبرى</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الانتقال من طائرات</w:t>
      </w:r>
      <w:r w:rsidRPr="008C68C0">
        <w:rPr>
          <w:rFonts w:ascii="Simplified Arabic" w:eastAsia="Times New Roman" w:hAnsi="Simplified Arabic" w:cs="Simplified Arabic"/>
          <w:color w:val="000000" w:themeColor="text1"/>
          <w:kern w:val="0"/>
          <w:sz w:val="28"/>
          <w:szCs w:val="28"/>
          <w14:ligatures w14:val="none"/>
        </w:rPr>
        <w:t xml:space="preserve"> F-16 </w:t>
      </w:r>
      <w:r w:rsidRPr="008C68C0">
        <w:rPr>
          <w:rFonts w:ascii="Simplified Arabic" w:eastAsia="Times New Roman" w:hAnsi="Simplified Arabic" w:cs="Simplified Arabic"/>
          <w:color w:val="000000" w:themeColor="text1"/>
          <w:kern w:val="0"/>
          <w:sz w:val="28"/>
          <w:szCs w:val="28"/>
          <w:rtl/>
          <w14:ligatures w14:val="none"/>
        </w:rPr>
        <w:t>إلى</w:t>
      </w:r>
      <w:r w:rsidRPr="008C68C0">
        <w:rPr>
          <w:rFonts w:ascii="Simplified Arabic" w:eastAsia="Times New Roman" w:hAnsi="Simplified Arabic" w:cs="Simplified Arabic"/>
          <w:color w:val="000000" w:themeColor="text1"/>
          <w:kern w:val="0"/>
          <w:sz w:val="28"/>
          <w:szCs w:val="28"/>
          <w14:ligatures w14:val="none"/>
        </w:rPr>
        <w:t xml:space="preserve"> F-35)</w:t>
      </w:r>
      <w:r w:rsidRPr="008C68C0">
        <w:rPr>
          <w:rFonts w:ascii="Simplified Arabic" w:eastAsia="Times New Roman" w:hAnsi="Simplified Arabic" w:cs="Simplified Arabic"/>
          <w:color w:val="000000" w:themeColor="text1"/>
          <w:kern w:val="0"/>
          <w:sz w:val="28"/>
          <w:szCs w:val="28"/>
          <w:rtl/>
          <w14:ligatures w14:val="none"/>
        </w:rPr>
        <w:t>، وحُلِّلت البيانات باستخدام نموذج الوساطة المشروطة. وتوصلت نتائج الدراسة إلى أن التأثير السلبي تجاه التغيير يتنبأ بمستويات أعلى من عبء الدور الوظيفي وأخطاء العمل، وأن الالتزام المعياري بالتغيير يخفف من هذه الآثار السلبية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وأوصت الدراسة بأهمية بناء الالتزام المعياري لدى العاملين في المنظمات العامة عالية الموثوقية كمورد تكيّفي أثناء عمليات التغيير</w:t>
      </w:r>
      <w:r w:rsidRPr="008C68C0">
        <w:rPr>
          <w:rFonts w:ascii="Simplified Arabic" w:eastAsia="Times New Roman" w:hAnsi="Simplified Arabic" w:cs="Simplified Arabic"/>
          <w:color w:val="000000" w:themeColor="text1"/>
          <w:kern w:val="0"/>
          <w:sz w:val="28"/>
          <w:szCs w:val="28"/>
          <w14:ligatures w14:val="none"/>
        </w:rPr>
        <w:t>.</w:t>
      </w:r>
    </w:p>
    <w:p w14:paraId="0FE49AB3" w14:textId="77777777" w:rsidR="007A7419" w:rsidRPr="008C68C0" w:rsidRDefault="009B059D"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 الحربي</w:t>
      </w:r>
      <w:r w:rsidRPr="008C68C0">
        <w:rPr>
          <w:rFonts w:ascii="Simplified Arabic" w:eastAsia="Times New Roman" w:hAnsi="Simplified Arabic" w:cs="Simplified Arabic"/>
          <w:b/>
          <w:bCs/>
          <w:color w:val="000000" w:themeColor="text1"/>
          <w:kern w:val="0"/>
          <w:sz w:val="28"/>
          <w:szCs w:val="28"/>
          <w14:ligatures w14:val="none"/>
        </w:rPr>
        <w:t xml:space="preserve"> (2025): "</w:t>
      </w:r>
      <w:r w:rsidRPr="008C68C0">
        <w:rPr>
          <w:rFonts w:ascii="Simplified Arabic" w:eastAsia="Times New Roman" w:hAnsi="Simplified Arabic" w:cs="Simplified Arabic"/>
          <w:b/>
          <w:bCs/>
          <w:color w:val="000000" w:themeColor="text1"/>
          <w:kern w:val="0"/>
          <w:sz w:val="28"/>
          <w:szCs w:val="28"/>
          <w:rtl/>
          <w14:ligatures w14:val="none"/>
        </w:rPr>
        <w:t>العلاقة بين إدارة التغيير والتحول المؤسسي في ضوء رؤية المملكة 2030</w:t>
      </w:r>
      <w:r w:rsidRPr="008C68C0">
        <w:rPr>
          <w:rFonts w:ascii="Simplified Arabic" w:eastAsia="Times New Roman" w:hAnsi="Simplified Arabic" w:cs="Simplified Arabic"/>
          <w:b/>
          <w:bCs/>
          <w:color w:val="000000" w:themeColor="text1"/>
          <w:kern w:val="0"/>
          <w:sz w:val="28"/>
          <w:szCs w:val="28"/>
          <w14:ligatures w14:val="none"/>
        </w:rPr>
        <w:t xml:space="preserve">: </w:t>
      </w:r>
      <w:r w:rsidRPr="008C68C0">
        <w:rPr>
          <w:rFonts w:ascii="Simplified Arabic" w:eastAsia="Times New Roman" w:hAnsi="Simplified Arabic" w:cs="Simplified Arabic"/>
          <w:b/>
          <w:bCs/>
          <w:color w:val="000000" w:themeColor="text1"/>
          <w:kern w:val="0"/>
          <w:sz w:val="28"/>
          <w:szCs w:val="28"/>
          <w:rtl/>
          <w14:ligatures w14:val="none"/>
        </w:rPr>
        <w:t xml:space="preserve">دراسة على الهيئات الحكومية السعودية". </w:t>
      </w:r>
    </w:p>
    <w:p w14:paraId="4AB6EFC9" w14:textId="500F7488"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تحليل العلاقة بين إدارة التغيير بأبعادها (التخطيط للتغيير، الثقافة المؤسسية الداعمة، القيادة الفعّالة، إشراك الموظفين) والتحول المؤسسي في الهيئات الحكومية السعودية، واستخدمت الدراسة المنهجية الكمية باستخدام أداة الاستبيان، وتكونت العينة من (150) موظفاً في عدد من الهيئات الحكومية السعودية، وحُلِّلت البيانات باستخدام الأساليب الإحصائية الوصفية والاستنتاجية (تحليل الانحدار واختبار مربع كاي ومعامل كرونباخ ألفا). وتوصلت نتائج الدراسة إلى وجود علاقة إيجابية متوسطة بين إدارة التغيير والتحول المؤسسي، وأن الثقافة المؤسسية الداعمة والقيادة الفعّالة من أهم العوامل المؤثرة في نجاح التحول. وأوصت الدراسة بتعزيز برامج التدريب وبناء القدرات في مجال إدارة التغيير، وتمكين القيادات الإدارية، وتعزيز قنوات الاتصال الداخلي</w:t>
      </w:r>
      <w:r w:rsidRPr="008C68C0">
        <w:rPr>
          <w:rFonts w:ascii="Simplified Arabic" w:eastAsia="Times New Roman" w:hAnsi="Simplified Arabic" w:cs="Simplified Arabic"/>
          <w:color w:val="000000" w:themeColor="text1"/>
          <w:kern w:val="0"/>
          <w:sz w:val="28"/>
          <w:szCs w:val="28"/>
          <w14:ligatures w14:val="none"/>
        </w:rPr>
        <w:t>.</w:t>
      </w:r>
    </w:p>
    <w:p w14:paraId="7BF66563" w14:textId="77777777" w:rsidR="007A7419" w:rsidRPr="008C68C0" w:rsidRDefault="009B059D"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w:t>
      </w:r>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Alzahmi</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Syed et al. (2025): "Organizational Change in Higher Education Institutions: A Comprehensive Integrative Review". </w:t>
      </w:r>
    </w:p>
    <w:p w14:paraId="572279AA" w14:textId="369C7AF4"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التعرف على التغيير التنظيمي في مؤسسات التعليم العالي بأبعاده (القيادة، الثقافة التنظيمية، الحوكمة، الاستدامة) من خلال مراجعة تكاملية شاملة، واستخدمت الدراسة المنهج الببليومتري وتحليل المحتوى باستخدام قاعدة بيانات</w:t>
      </w:r>
      <w:r w:rsidRPr="008C68C0">
        <w:rPr>
          <w:rFonts w:ascii="Simplified Arabic" w:eastAsia="Times New Roman" w:hAnsi="Simplified Arabic" w:cs="Simplified Arabic"/>
          <w:color w:val="000000" w:themeColor="text1"/>
          <w:kern w:val="0"/>
          <w:sz w:val="28"/>
          <w:szCs w:val="28"/>
          <w14:ligatures w14:val="none"/>
        </w:rPr>
        <w:t xml:space="preserve"> Scopus</w:t>
      </w:r>
      <w:r w:rsidRPr="008C68C0">
        <w:rPr>
          <w:rFonts w:ascii="Simplified Arabic" w:eastAsia="Times New Roman" w:hAnsi="Simplified Arabic" w:cs="Simplified Arabic"/>
          <w:color w:val="000000" w:themeColor="text1"/>
          <w:kern w:val="0"/>
          <w:sz w:val="28"/>
          <w:szCs w:val="28"/>
          <w:rtl/>
          <w14:ligatures w14:val="none"/>
        </w:rPr>
        <w:t xml:space="preserve">، وتكونت عينة التحليل من (481) مقالة علمية منشورة </w:t>
      </w:r>
      <w:r w:rsidRPr="008C68C0">
        <w:rPr>
          <w:rFonts w:ascii="Simplified Arabic" w:eastAsia="Times New Roman" w:hAnsi="Simplified Arabic" w:cs="Simplified Arabic"/>
          <w:color w:val="000000" w:themeColor="text1"/>
          <w:kern w:val="0"/>
          <w:sz w:val="28"/>
          <w:szCs w:val="28"/>
          <w:rtl/>
          <w14:ligatures w14:val="none"/>
        </w:rPr>
        <w:lastRenderedPageBreak/>
        <w:t>خلال الفترة (1999–2024). وتوصلت نتائج الدراسة إلى أن القيادة الفعالة والثقافة التنظيمية الداعمة عاملان ضروريان لنجاح التغيير، وأن مقاومة التغيير تمثل التحدي الأكبر، كما أظهرت تطوراً في مواضيع البحث من ريادة الأعمال الجامعية إلى الاستدامة والحوكمة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وأوصت الدراسة بضرورة إجراء مزيد من الأبحاث الميدانية متعددة المستويات حول ديناميكيات التغيير التنظيمي في سياقات تعليمية مختلفة</w:t>
      </w:r>
      <w:r w:rsidRPr="008C68C0">
        <w:rPr>
          <w:rFonts w:ascii="Simplified Arabic" w:eastAsia="Times New Roman" w:hAnsi="Simplified Arabic" w:cs="Simplified Arabic"/>
          <w:color w:val="000000" w:themeColor="text1"/>
          <w:kern w:val="0"/>
          <w:sz w:val="28"/>
          <w:szCs w:val="28"/>
          <w14:ligatures w14:val="none"/>
        </w:rPr>
        <w:t>.</w:t>
      </w:r>
    </w:p>
    <w:p w14:paraId="4B0E6390" w14:textId="77777777" w:rsidR="007A7419" w:rsidRPr="008C68C0" w:rsidRDefault="009B059D"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w:t>
      </w:r>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Fr</w:t>
      </w:r>
      <w:r w:rsidRPr="008C68C0">
        <w:rPr>
          <w:rFonts w:ascii="Cambria" w:eastAsia="Times New Roman" w:hAnsi="Cambria" w:cs="Cambria"/>
          <w:b/>
          <w:bCs/>
          <w:color w:val="000000" w:themeColor="text1"/>
          <w:kern w:val="0"/>
          <w:sz w:val="28"/>
          <w:szCs w:val="28"/>
          <w14:ligatures w14:val="none"/>
        </w:rPr>
        <w:t>ø</w:t>
      </w:r>
      <w:r w:rsidRPr="008C68C0">
        <w:rPr>
          <w:rFonts w:ascii="Simplified Arabic" w:eastAsia="Times New Roman" w:hAnsi="Simplified Arabic" w:cs="Simplified Arabic"/>
          <w:b/>
          <w:bCs/>
          <w:color w:val="000000" w:themeColor="text1"/>
          <w:kern w:val="0"/>
          <w:sz w:val="28"/>
          <w:szCs w:val="28"/>
          <w14:ligatures w14:val="none"/>
        </w:rPr>
        <w:t>lich</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Bleiklie</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8C68C0">
        <w:rPr>
          <w:rFonts w:ascii="Simplified Arabic" w:eastAsia="Times New Roman" w:hAnsi="Simplified Arabic" w:cs="Simplified Arabic"/>
          <w:b/>
          <w:bCs/>
          <w:color w:val="000000" w:themeColor="text1"/>
          <w:kern w:val="0"/>
          <w:sz w:val="28"/>
          <w:szCs w:val="28"/>
          <w14:ligatures w14:val="none"/>
        </w:rPr>
        <w:t>Stensaker</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(2025): "Leadership Communication during Organizational Transformation". </w:t>
      </w:r>
    </w:p>
    <w:p w14:paraId="60A2406E" w14:textId="020E6EF9"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التواصل القيادي المؤسسي بأبعاده (الشفافية، الاتساق، المشاركة، التحفيز) في ست حالات تحول تنظيمي شامل في مؤسسات التعليم العالي الأوروبية، واستخدمت الدراسة منهج دراسة الحالة المتعددة، وتكونت العينة من ست مؤسسات تعليمية في دول أوروبية مختلفة. وتوصلت نتائج الدراسة إلى أن التواصل القيادي الشفاف والمتسق يرفع مستوى قبول التغيير لدى العاملين ويقلل من مقاومتهم. وأوصت الدراسة بأن تولي القيادات الجامعية اهتماماً خاصاً ببناء استراتيجيات تواصل فعّالة ومستدامة خلال عمليات التحول</w:t>
      </w:r>
      <w:r w:rsidRPr="008C68C0">
        <w:rPr>
          <w:rFonts w:ascii="Simplified Arabic" w:eastAsia="Times New Roman" w:hAnsi="Simplified Arabic" w:cs="Simplified Arabic"/>
          <w:color w:val="000000" w:themeColor="text1"/>
          <w:kern w:val="0"/>
          <w:sz w:val="28"/>
          <w:szCs w:val="28"/>
          <w14:ligatures w14:val="none"/>
        </w:rPr>
        <w:t>.</w:t>
      </w:r>
    </w:p>
    <w:p w14:paraId="1D3E4179" w14:textId="042CA769" w:rsidR="007A7419" w:rsidRPr="008C68C0" w:rsidRDefault="007A7419"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C68C0">
        <w:rPr>
          <w:rFonts w:ascii="Simplified Arabic" w:eastAsia="Times New Roman" w:hAnsi="Simplified Arabic" w:cs="Simplified Arabic"/>
          <w:b/>
          <w:bCs/>
          <w:color w:val="000000" w:themeColor="text1"/>
          <w:kern w:val="0"/>
          <w:sz w:val="32"/>
          <w:szCs w:val="32"/>
          <w:rtl/>
          <w14:ligatures w14:val="none"/>
        </w:rPr>
        <w:t>المحور الثاني: دراسات المتغير التابع (تطوير كفاءة الخدمات العامة) وعلاقته بمتغيرات أخرى</w:t>
      </w:r>
    </w:p>
    <w:p w14:paraId="4B20773C"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w:t>
      </w:r>
      <w:r w:rsidRPr="008C68C0">
        <w:rPr>
          <w:rFonts w:ascii="Simplified Arabic" w:eastAsia="Times New Roman" w:hAnsi="Simplified Arabic" w:cs="Simplified Arabic"/>
          <w:b/>
          <w:bCs/>
          <w:color w:val="000000" w:themeColor="text1"/>
          <w:kern w:val="0"/>
          <w:sz w:val="28"/>
          <w:szCs w:val="28"/>
          <w14:ligatures w14:val="none"/>
        </w:rPr>
        <w:t xml:space="preserve"> Breen, </w:t>
      </w:r>
      <w:proofErr w:type="spellStart"/>
      <w:r w:rsidRPr="008C68C0">
        <w:rPr>
          <w:rFonts w:ascii="Simplified Arabic" w:eastAsia="Times New Roman" w:hAnsi="Simplified Arabic" w:cs="Simplified Arabic"/>
          <w:b/>
          <w:bCs/>
          <w:color w:val="000000" w:themeColor="text1"/>
          <w:kern w:val="0"/>
          <w:sz w:val="28"/>
          <w:szCs w:val="28"/>
          <w14:ligatures w14:val="none"/>
        </w:rPr>
        <w:t>Skipworth</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Mena &amp; </w:t>
      </w:r>
      <w:proofErr w:type="spellStart"/>
      <w:r w:rsidRPr="008C68C0">
        <w:rPr>
          <w:rFonts w:ascii="Simplified Arabic" w:eastAsia="Times New Roman" w:hAnsi="Simplified Arabic" w:cs="Simplified Arabic"/>
          <w:b/>
          <w:bCs/>
          <w:color w:val="000000" w:themeColor="text1"/>
          <w:kern w:val="0"/>
          <w:sz w:val="28"/>
          <w:szCs w:val="28"/>
          <w14:ligatures w14:val="none"/>
        </w:rPr>
        <w:t>Delbufalo</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(2020): "Service Improvement in Public Sector Operations – A European Comparative Analysis". </w:t>
      </w:r>
    </w:p>
    <w:p w14:paraId="3562BC14" w14:textId="378B1137"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التعرف على واقع تحسين الخدمات في عمليات القطاع العام بأبعاده (منهجيات</w:t>
      </w:r>
      <w:r w:rsidRPr="008C68C0">
        <w:rPr>
          <w:rFonts w:ascii="Simplified Arabic" w:eastAsia="Times New Roman" w:hAnsi="Simplified Arabic" w:cs="Simplified Arabic"/>
          <w:color w:val="000000" w:themeColor="text1"/>
          <w:kern w:val="0"/>
          <w:sz w:val="28"/>
          <w:szCs w:val="28"/>
          <w14:ligatures w14:val="none"/>
        </w:rPr>
        <w:t xml:space="preserve"> Lean</w:t>
      </w:r>
      <w:r w:rsidRPr="008C68C0">
        <w:rPr>
          <w:rFonts w:ascii="Simplified Arabic" w:eastAsia="Times New Roman" w:hAnsi="Simplified Arabic" w:cs="Simplified Arabic"/>
          <w:color w:val="000000" w:themeColor="text1"/>
          <w:kern w:val="0"/>
          <w:sz w:val="28"/>
          <w:szCs w:val="28"/>
          <w:rtl/>
          <w14:ligatures w14:val="none"/>
        </w:rPr>
        <w:t xml:space="preserve">، الابتكار، إدارة الأداء، التنظيمات الهجينة) عبر تحليل مقارن أوروبي، واستخدمت الدراسة المنهج التحليلي المقارن من خلال مراجعة وتحرير مجموعة من الدراسات المنشورة في عدد خاص من المجلة الأوروبية للإدارة. وتوصلت نتائج الدراسة إلى أن منهجيات </w:t>
      </w:r>
      <w:r w:rsidRPr="008C68C0">
        <w:rPr>
          <w:rFonts w:ascii="Simplified Arabic" w:eastAsia="Times New Roman" w:hAnsi="Simplified Arabic" w:cs="Simplified Arabic"/>
          <w:color w:val="000000" w:themeColor="text1"/>
          <w:kern w:val="0"/>
          <w:sz w:val="28"/>
          <w:szCs w:val="28"/>
          <w14:ligatures w14:val="none"/>
        </w:rPr>
        <w:t xml:space="preserve">Lean </w:t>
      </w:r>
      <w:r w:rsidRPr="008C68C0">
        <w:rPr>
          <w:rFonts w:ascii="Simplified Arabic" w:eastAsia="Times New Roman" w:hAnsi="Simplified Arabic" w:cs="Simplified Arabic"/>
          <w:color w:val="000000" w:themeColor="text1"/>
          <w:kern w:val="0"/>
          <w:sz w:val="28"/>
          <w:szCs w:val="28"/>
          <w:rtl/>
          <w14:ligatures w14:val="none"/>
        </w:rPr>
        <w:t>و</w:t>
      </w:r>
      <w:r w:rsidRPr="008C68C0">
        <w:rPr>
          <w:rFonts w:ascii="Simplified Arabic" w:eastAsia="Times New Roman" w:hAnsi="Simplified Arabic" w:cs="Simplified Arabic"/>
          <w:color w:val="000000" w:themeColor="text1"/>
          <w:kern w:val="0"/>
          <w:sz w:val="28"/>
          <w:szCs w:val="28"/>
          <w14:ligatures w14:val="none"/>
        </w:rPr>
        <w:t xml:space="preserve">Agile </w:t>
      </w:r>
      <w:r w:rsidRPr="008C68C0">
        <w:rPr>
          <w:rFonts w:ascii="Simplified Arabic" w:eastAsia="Times New Roman" w:hAnsi="Simplified Arabic" w:cs="Simplified Arabic"/>
          <w:color w:val="000000" w:themeColor="text1"/>
          <w:kern w:val="0"/>
          <w:sz w:val="28"/>
          <w:szCs w:val="28"/>
          <w:rtl/>
          <w14:ligatures w14:val="none"/>
        </w:rPr>
        <w:t>تُحسّن كفاءة عمليات القطاع العام وتقلل الهدر، لكن يجب تكييفها مع خصوصيات السياق الحكومي، كما أكدت أن الابتكار وإدارة الأداء محركان أساسيان لتحسين الخدمة العامة. وأوصت الدراسة بضرورة تطوير أطر نظرية وتطبيقية خاصة بعمليات القطاع العام وعدم الاكتفاء بنقل ممارسات القطاع الخاص حرفياً</w:t>
      </w:r>
      <w:r w:rsidRPr="008C68C0">
        <w:rPr>
          <w:rFonts w:ascii="Simplified Arabic" w:eastAsia="Times New Roman" w:hAnsi="Simplified Arabic" w:cs="Simplified Arabic"/>
          <w:color w:val="000000" w:themeColor="text1"/>
          <w:kern w:val="0"/>
          <w:sz w:val="28"/>
          <w:szCs w:val="28"/>
          <w14:ligatures w14:val="none"/>
        </w:rPr>
        <w:t>.</w:t>
      </w:r>
    </w:p>
    <w:p w14:paraId="6D202B57"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lastRenderedPageBreak/>
        <w:t>دراسة</w:t>
      </w:r>
      <w:r w:rsidRPr="008C68C0">
        <w:rPr>
          <w:rFonts w:ascii="Simplified Arabic" w:eastAsia="Times New Roman" w:hAnsi="Simplified Arabic" w:cs="Simplified Arabic"/>
          <w:b/>
          <w:bCs/>
          <w:color w:val="000000" w:themeColor="text1"/>
          <w:kern w:val="0"/>
          <w:sz w:val="28"/>
          <w:szCs w:val="28"/>
          <w14:ligatures w14:val="none"/>
        </w:rPr>
        <w:t xml:space="preserve"> Imran, </w:t>
      </w:r>
      <w:proofErr w:type="spellStart"/>
      <w:r w:rsidRPr="008C68C0">
        <w:rPr>
          <w:rFonts w:ascii="Simplified Arabic" w:eastAsia="Times New Roman" w:hAnsi="Simplified Arabic" w:cs="Simplified Arabic"/>
          <w:b/>
          <w:bCs/>
          <w:color w:val="000000" w:themeColor="text1"/>
          <w:kern w:val="0"/>
          <w:sz w:val="28"/>
          <w:szCs w:val="28"/>
          <w14:ligatures w14:val="none"/>
        </w:rPr>
        <w:t>Robina-Ram</w:t>
      </w:r>
      <w:r w:rsidRPr="008C68C0">
        <w:rPr>
          <w:rFonts w:ascii="Cambria" w:eastAsia="Times New Roman" w:hAnsi="Cambria" w:cs="Cambria"/>
          <w:b/>
          <w:bCs/>
          <w:color w:val="000000" w:themeColor="text1"/>
          <w:kern w:val="0"/>
          <w:sz w:val="28"/>
          <w:szCs w:val="28"/>
          <w14:ligatures w14:val="none"/>
        </w:rPr>
        <w:t>í</w:t>
      </w:r>
      <w:r w:rsidRPr="008C68C0">
        <w:rPr>
          <w:rFonts w:ascii="Simplified Arabic" w:eastAsia="Times New Roman" w:hAnsi="Simplified Arabic" w:cs="Simplified Arabic"/>
          <w:b/>
          <w:bCs/>
          <w:color w:val="000000" w:themeColor="text1"/>
          <w:kern w:val="0"/>
          <w:sz w:val="28"/>
          <w:szCs w:val="28"/>
          <w14:ligatures w14:val="none"/>
        </w:rPr>
        <w:t>rez</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8C68C0">
        <w:rPr>
          <w:rFonts w:ascii="Simplified Arabic" w:eastAsia="Times New Roman" w:hAnsi="Simplified Arabic" w:cs="Simplified Arabic"/>
          <w:b/>
          <w:bCs/>
          <w:color w:val="000000" w:themeColor="text1"/>
          <w:kern w:val="0"/>
          <w:sz w:val="28"/>
          <w:szCs w:val="28"/>
          <w14:ligatures w14:val="none"/>
        </w:rPr>
        <w:t>Awais</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(2022): "Empirical Investigation of Public Service Performance Improvement Factors". </w:t>
      </w:r>
      <w:r w:rsidRPr="008C68C0">
        <w:rPr>
          <w:rFonts w:ascii="Simplified Arabic" w:eastAsia="Times New Roman" w:hAnsi="Simplified Arabic" w:cs="Simplified Arabic"/>
          <w:b/>
          <w:bCs/>
          <w:color w:val="000000" w:themeColor="text1"/>
          <w:kern w:val="0"/>
          <w:sz w:val="28"/>
          <w:szCs w:val="28"/>
          <w:rtl/>
          <w14:ligatures w14:val="none"/>
        </w:rPr>
        <w:t>ه</w:t>
      </w:r>
    </w:p>
    <w:p w14:paraId="27D62E8C" w14:textId="062BA9F0"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دفت الدراسة إلى التعرف على العوامل المؤثرة في تحسين أداء الخدمة العامة بأبعاده (الثقافة التنظيمية، الهيكل التنظيمي) مع دور التحول الرقمي وابتكار الخدمة كمتغيرين معدِّلين، في إطار نظرية الممارسة</w:t>
      </w:r>
      <w:r w:rsidRPr="008C68C0">
        <w:rPr>
          <w:rFonts w:ascii="Simplified Arabic" w:eastAsia="Times New Roman" w:hAnsi="Simplified Arabic" w:cs="Simplified Arabic"/>
          <w:color w:val="000000" w:themeColor="text1"/>
          <w:kern w:val="0"/>
          <w:sz w:val="28"/>
          <w:szCs w:val="28"/>
          <w14:ligatures w14:val="none"/>
        </w:rPr>
        <w:t xml:space="preserve"> (PBV)</w:t>
      </w:r>
      <w:r w:rsidRPr="008C68C0">
        <w:rPr>
          <w:rFonts w:ascii="Simplified Arabic" w:eastAsia="Times New Roman" w:hAnsi="Simplified Arabic" w:cs="Simplified Arabic"/>
          <w:color w:val="000000" w:themeColor="text1"/>
          <w:kern w:val="0"/>
          <w:sz w:val="28"/>
          <w:szCs w:val="28"/>
          <w:rtl/>
          <w14:ligatures w14:val="none"/>
        </w:rPr>
        <w:t>، واستخدمت الدراسة المنهج الكمي بأسلوب نمذجة المعادلات الهيكلية بالمربعات الصغرى الجزئية</w:t>
      </w:r>
      <w:r w:rsidRPr="008C68C0">
        <w:rPr>
          <w:rFonts w:ascii="Simplified Arabic" w:eastAsia="Times New Roman" w:hAnsi="Simplified Arabic" w:cs="Simplified Arabic"/>
          <w:color w:val="000000" w:themeColor="text1"/>
          <w:kern w:val="0"/>
          <w:sz w:val="28"/>
          <w:szCs w:val="28"/>
          <w14:ligatures w14:val="none"/>
        </w:rPr>
        <w:t xml:space="preserve"> (PLS-SEM) </w:t>
      </w:r>
      <w:r w:rsidRPr="008C68C0">
        <w:rPr>
          <w:rFonts w:ascii="Simplified Arabic" w:eastAsia="Times New Roman" w:hAnsi="Simplified Arabic" w:cs="Simplified Arabic"/>
          <w:color w:val="000000" w:themeColor="text1"/>
          <w:kern w:val="0"/>
          <w:sz w:val="28"/>
          <w:szCs w:val="28"/>
          <w:rtl/>
          <w14:ligatures w14:val="none"/>
        </w:rPr>
        <w:t>باستخدام برنامج</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SmartPLS</w:t>
      </w:r>
      <w:proofErr w:type="spellEnd"/>
      <w:r w:rsidRPr="008C68C0">
        <w:rPr>
          <w:rFonts w:ascii="Simplified Arabic" w:eastAsia="Times New Roman" w:hAnsi="Simplified Arabic" w:cs="Simplified Arabic"/>
          <w:color w:val="000000" w:themeColor="text1"/>
          <w:kern w:val="0"/>
          <w:sz w:val="28"/>
          <w:szCs w:val="28"/>
          <w14:ligatures w14:val="none"/>
        </w:rPr>
        <w:t xml:space="preserve"> 3.0</w:t>
      </w:r>
      <w:r w:rsidRPr="008C68C0">
        <w:rPr>
          <w:rFonts w:ascii="Simplified Arabic" w:eastAsia="Times New Roman" w:hAnsi="Simplified Arabic" w:cs="Simplified Arabic"/>
          <w:color w:val="000000" w:themeColor="text1"/>
          <w:kern w:val="0"/>
          <w:sz w:val="28"/>
          <w:szCs w:val="28"/>
          <w:rtl/>
          <w14:ligatures w14:val="none"/>
        </w:rPr>
        <w:t xml:space="preserve">، وتكونت العينة من </w:t>
      </w:r>
      <w:r w:rsidRPr="008C68C0">
        <w:rPr>
          <w:rFonts w:ascii="Simplified Arabic" w:eastAsia="Times New Roman" w:hAnsi="Simplified Arabic" w:cs="Simplified Arabic"/>
          <w:color w:val="000000" w:themeColor="text1"/>
          <w:kern w:val="0"/>
          <w:sz w:val="28"/>
          <w:szCs w:val="28"/>
          <w14:ligatures w14:val="none"/>
        </w:rPr>
        <w:t xml:space="preserve">(382) </w:t>
      </w:r>
      <w:r w:rsidRPr="008C68C0">
        <w:rPr>
          <w:rFonts w:ascii="Simplified Arabic" w:eastAsia="Times New Roman" w:hAnsi="Simplified Arabic" w:cs="Simplified Arabic"/>
          <w:color w:val="000000" w:themeColor="text1"/>
          <w:kern w:val="0"/>
          <w:sz w:val="28"/>
          <w:szCs w:val="28"/>
          <w:rtl/>
          <w14:ligatures w14:val="none"/>
        </w:rPr>
        <w:t>موظفاً في شرطة الطرق السريعة والمرور الوطنية بباكستان. وتوصلت نتائج الدراسة إلى أن الثقافة التنظيمية تؤثر تأثيراً معنوياً إيجابياً في أداء الخدمة، بينما لم يكن للهيكل التنظيمي تأثير مباشر ذو دلالة، كما أكدت الدور المعدّل الإيجابي لكل من التحول الرقمي وابتكار الخدمة في تعزيز العلاقة بين الثقافة والهيكل التنظيميين وأداء الخدمة. وأوصت الدراسة بأن يولي صانعو السياسات اهتماماً بالغاً بالتحول الرقمي والثقافة التنظيمية وابتكار الخدمة كعوامل رئيسية لتحسين أداء الخدمة العامة في الدول النامية</w:t>
      </w:r>
      <w:r w:rsidRPr="008C68C0">
        <w:rPr>
          <w:rFonts w:ascii="Simplified Arabic" w:eastAsia="Times New Roman" w:hAnsi="Simplified Arabic" w:cs="Simplified Arabic"/>
          <w:color w:val="000000" w:themeColor="text1"/>
          <w:kern w:val="0"/>
          <w:sz w:val="28"/>
          <w:szCs w:val="28"/>
          <w14:ligatures w14:val="none"/>
        </w:rPr>
        <w:t>.</w:t>
      </w:r>
    </w:p>
    <w:p w14:paraId="08320AA3"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w:t>
      </w:r>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Latupeirissa</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et al. (2024): "Transforming Public Service Delivery: A Comprehensive Review of Digitization Initiatives". </w:t>
      </w:r>
    </w:p>
    <w:p w14:paraId="5EC47E2F" w14:textId="02CECA90"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التعرف على أثر مبادرات الرقمنة بأبعادها (الحوكمة الرقمية، الذكاء الاصطناعي، إدارة البيانات الضخمة، إشراك المواطنين) في تحويل تقديم الخدمات العامة، واستخدمت الدراسة منهج المراجعة المنهجية المنظمة للأدبيات وفقاً لإرشادات</w:t>
      </w:r>
      <w:r w:rsidRPr="008C68C0">
        <w:rPr>
          <w:rFonts w:ascii="Simplified Arabic" w:eastAsia="Times New Roman" w:hAnsi="Simplified Arabic" w:cs="Simplified Arabic"/>
          <w:color w:val="000000" w:themeColor="text1"/>
          <w:kern w:val="0"/>
          <w:sz w:val="28"/>
          <w:szCs w:val="28"/>
          <w14:ligatures w14:val="none"/>
        </w:rPr>
        <w:t xml:space="preserve"> PRISMA </w:t>
      </w:r>
      <w:r w:rsidRPr="008C68C0">
        <w:rPr>
          <w:rFonts w:ascii="Simplified Arabic" w:eastAsia="Times New Roman" w:hAnsi="Simplified Arabic" w:cs="Simplified Arabic"/>
          <w:color w:val="000000" w:themeColor="text1"/>
          <w:kern w:val="0"/>
          <w:sz w:val="28"/>
          <w:szCs w:val="28"/>
          <w:rtl/>
          <w14:ligatures w14:val="none"/>
        </w:rPr>
        <w:t>من خلال قاعدة بيانات</w:t>
      </w:r>
      <w:r w:rsidRPr="008C68C0">
        <w:rPr>
          <w:rFonts w:ascii="Simplified Arabic" w:eastAsia="Times New Roman" w:hAnsi="Simplified Arabic" w:cs="Simplified Arabic"/>
          <w:color w:val="000000" w:themeColor="text1"/>
          <w:kern w:val="0"/>
          <w:sz w:val="28"/>
          <w:szCs w:val="28"/>
          <w14:ligatures w14:val="none"/>
        </w:rPr>
        <w:t xml:space="preserve"> Scopus</w:t>
      </w:r>
      <w:r w:rsidRPr="008C68C0">
        <w:rPr>
          <w:rFonts w:ascii="Simplified Arabic" w:eastAsia="Times New Roman" w:hAnsi="Simplified Arabic" w:cs="Simplified Arabic"/>
          <w:color w:val="000000" w:themeColor="text1"/>
          <w:kern w:val="0"/>
          <w:sz w:val="28"/>
          <w:szCs w:val="28"/>
          <w:rtl/>
          <w14:ligatures w14:val="none"/>
        </w:rPr>
        <w:t>، وتكونت عينة التحليل من (13) مقالة علمية مختارة بعد التصفية من (114) وثيقة. وتوصلت نتائج الدراسة إلى أن الرقمنة تعزز الكفاءة والشفافية والخدمات المتمحورة حول المواطن، لكنها تواجه تحديات تشمل الفجوة الرقمية وقضايا الخصوصية والتحيز الخوارزمي. وأوصت الدراسة بتبني نهج شامل ومتوازن يجمع بين الحلول التكنولوجية وأطر الحوكمة الأخلاقية مع إشراك المواطنين في تصميم وتنفيذ المبادرات الرقمية</w:t>
      </w:r>
      <w:r w:rsidRPr="008C68C0">
        <w:rPr>
          <w:rFonts w:ascii="Simplified Arabic" w:eastAsia="Times New Roman" w:hAnsi="Simplified Arabic" w:cs="Simplified Arabic"/>
          <w:color w:val="000000" w:themeColor="text1"/>
          <w:kern w:val="0"/>
          <w:sz w:val="28"/>
          <w:szCs w:val="28"/>
          <w14:ligatures w14:val="none"/>
        </w:rPr>
        <w:t>.</w:t>
      </w:r>
    </w:p>
    <w:p w14:paraId="523DA465"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w:t>
      </w:r>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Kulal</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et al. (2024): "Enhancing Public Service Delivery Efficiency: Exploring the Impact of Artificial Intelligence". </w:t>
      </w:r>
    </w:p>
    <w:p w14:paraId="3E9D58C1" w14:textId="21D8855F"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الذكاء الاصطناعي بأبعاده (سرعة الاستجابة، دقة الأداء، دعم اتخاذ القرار، تقليل الأخطاء) في تعزيز كفاءة تقديم الخدمات العامة، واستخدمت الدراسة المنهج التحليلي، ونُشرت في مجلة الابتكار المفتوح: التكنولوجيا والسوق والتعقيد</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وتوصلت نتائج الدراسة إلى أن الذكاء الاصطناعي يحسّن سرعة الاستجابة ويقلل الأخطاء البشرية ويدعم عمليات اتخاذ القرار في المؤسسات الحكومية. وأوصت الدراسة بضرورة الاستثمار في تقنيات الذكاء الاصطناعي مع مراعاة الأبعاد الأخلاقية والخصوصية، وبناء قدرات الموظفين الحكوميين على التعامل مع هذه التقنيات</w:t>
      </w:r>
      <w:r w:rsidRPr="008C68C0">
        <w:rPr>
          <w:rFonts w:ascii="Simplified Arabic" w:eastAsia="Times New Roman" w:hAnsi="Simplified Arabic" w:cs="Simplified Arabic"/>
          <w:color w:val="000000" w:themeColor="text1"/>
          <w:kern w:val="0"/>
          <w:sz w:val="28"/>
          <w:szCs w:val="28"/>
          <w14:ligatures w14:val="none"/>
        </w:rPr>
        <w:t>.</w:t>
      </w:r>
    </w:p>
    <w:p w14:paraId="45802B5F" w14:textId="77777777" w:rsidR="007A7419" w:rsidRPr="008C68C0" w:rsidRDefault="009B059D"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 الجوهر</w:t>
      </w:r>
      <w:r w:rsidRPr="008C68C0">
        <w:rPr>
          <w:rFonts w:ascii="Simplified Arabic" w:eastAsia="Times New Roman" w:hAnsi="Simplified Arabic" w:cs="Simplified Arabic"/>
          <w:b/>
          <w:bCs/>
          <w:color w:val="000000" w:themeColor="text1"/>
          <w:kern w:val="0"/>
          <w:sz w:val="28"/>
          <w:szCs w:val="28"/>
          <w14:ligatures w14:val="none"/>
        </w:rPr>
        <w:t xml:space="preserve"> (2024): "</w:t>
      </w:r>
      <w:r w:rsidRPr="008C68C0">
        <w:rPr>
          <w:rFonts w:ascii="Simplified Arabic" w:eastAsia="Times New Roman" w:hAnsi="Simplified Arabic" w:cs="Simplified Arabic"/>
          <w:b/>
          <w:bCs/>
          <w:color w:val="000000" w:themeColor="text1"/>
          <w:kern w:val="0"/>
          <w:sz w:val="28"/>
          <w:szCs w:val="28"/>
          <w:rtl/>
          <w14:ligatures w14:val="none"/>
        </w:rPr>
        <w:t xml:space="preserve">تحسين كفاءة الخدمات الحكومية من خلال الابتكار". </w:t>
      </w:r>
    </w:p>
    <w:p w14:paraId="337AB857" w14:textId="610CA936"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الابتكار بأبعاده (الابتكار التكنولوجي، الابتكار الإداري، الابتكار في تقديم الخدمة) على كفاءة الخدمات الحكومية في المملكة العربية السعودية، واستخدمت الدراسة المنهج الوصفي التحليلي معتمدةً على الاستبانات والمقابلات مع مسؤولين حكوميين ومواطنين إلى جانب مراجعة الدراسات السابقة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وتوصلت نتائج الدراسة إلى أن الابتكارات التكنولوجية والإدارية تسهم بشكل كبير في تحسين كفاءة الخدمات الحكومية وزيادة رضا المواطنين. وأوصت الدراسة بتعزيز الوعي المجتمعي بأهمية الابتكار، وتطوير البنية التحتية التكنولوجية، وتشجيع التعاون بين القطاعين العام والخاص</w:t>
      </w:r>
      <w:r w:rsidRPr="008C68C0">
        <w:rPr>
          <w:rFonts w:ascii="Simplified Arabic" w:eastAsia="Times New Roman" w:hAnsi="Simplified Arabic" w:cs="Simplified Arabic"/>
          <w:color w:val="000000" w:themeColor="text1"/>
          <w:kern w:val="0"/>
          <w:sz w:val="28"/>
          <w:szCs w:val="28"/>
          <w14:ligatures w14:val="none"/>
        </w:rPr>
        <w:t>.</w:t>
      </w:r>
    </w:p>
    <w:p w14:paraId="3DC46452" w14:textId="77777777" w:rsidR="007A7419" w:rsidRPr="008C68C0" w:rsidRDefault="007A7419"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 أبو بكر وزواري</w:t>
      </w:r>
      <w:r w:rsidRPr="008C68C0">
        <w:rPr>
          <w:rFonts w:ascii="Simplified Arabic" w:eastAsia="Times New Roman" w:hAnsi="Simplified Arabic" w:cs="Simplified Arabic"/>
          <w:b/>
          <w:bCs/>
          <w:color w:val="000000" w:themeColor="text1"/>
          <w:kern w:val="0"/>
          <w:sz w:val="28"/>
          <w:szCs w:val="28"/>
          <w14:ligatures w14:val="none"/>
        </w:rPr>
        <w:t xml:space="preserve"> (2025): "</w:t>
      </w:r>
      <w:r w:rsidRPr="008C68C0">
        <w:rPr>
          <w:rFonts w:ascii="Simplified Arabic" w:eastAsia="Times New Roman" w:hAnsi="Simplified Arabic" w:cs="Simplified Arabic"/>
          <w:b/>
          <w:bCs/>
          <w:color w:val="000000" w:themeColor="text1"/>
          <w:kern w:val="0"/>
          <w:sz w:val="28"/>
          <w:szCs w:val="28"/>
          <w:rtl/>
          <w14:ligatures w14:val="none"/>
        </w:rPr>
        <w:t xml:space="preserve">تأثير جودة الخدمات الحكومية في تحقيق التنمية المستدامة: دراسة تطبيقية على قطاع الخدمة المدنية في فلسطين". </w:t>
      </w:r>
    </w:p>
    <w:p w14:paraId="0330843E" w14:textId="32496040" w:rsidR="007A7419" w:rsidRPr="008C68C0" w:rsidRDefault="007A7419"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جودة الخدمات الحكومية بأبعادها (الاستجابة، الكفاءة والقدرة، الملموسية، الموثوقية، التعاطف) في تحقيق التنمية المستدامة، واستخدمت الدراسة المنهج الوصفي الارتباطي، وتكونت العينة من (199) استبانة صالحة للتحليل من أصل </w:t>
      </w:r>
      <w:r w:rsidRPr="008C68C0">
        <w:rPr>
          <w:rFonts w:ascii="Simplified Arabic" w:eastAsia="Times New Roman" w:hAnsi="Simplified Arabic" w:cs="Simplified Arabic"/>
          <w:color w:val="000000" w:themeColor="text1"/>
          <w:kern w:val="0"/>
          <w:sz w:val="28"/>
          <w:szCs w:val="28"/>
          <w14:ligatures w14:val="none"/>
        </w:rPr>
        <w:t xml:space="preserve">(411) </w:t>
      </w:r>
      <w:r w:rsidRPr="008C68C0">
        <w:rPr>
          <w:rFonts w:ascii="Simplified Arabic" w:eastAsia="Times New Roman" w:hAnsi="Simplified Arabic" w:cs="Simplified Arabic"/>
          <w:color w:val="000000" w:themeColor="text1"/>
          <w:kern w:val="0"/>
          <w:sz w:val="28"/>
          <w:szCs w:val="28"/>
          <w:rtl/>
          <w14:ligatures w14:val="none"/>
        </w:rPr>
        <w:t>فرداً من القيادة العليا في قطاع الخدمة المدنية الفلسطيني. وتوصلت نتائج الدراسة إلى وجود علاقة إيجابية قوية بين جودة الخدمات المقدمة والتنمية المستدامة، ووجود أثر معنوي لبُعدَي الاستجابة والكفاءة والقدرة على التنمية المستدامة. وأوصت الدراسة بتعزيز الاهتمام بالتقنيات الحديثة ورقمنة الخدمات في ظل بيئة حاضنة للتحول الرقمي</w:t>
      </w:r>
      <w:r w:rsidRPr="008C68C0">
        <w:rPr>
          <w:rFonts w:ascii="Simplified Arabic" w:eastAsia="Times New Roman" w:hAnsi="Simplified Arabic" w:cs="Simplified Arabic"/>
          <w:color w:val="000000" w:themeColor="text1"/>
          <w:kern w:val="0"/>
          <w:sz w:val="28"/>
          <w:szCs w:val="28"/>
          <w14:ligatures w14:val="none"/>
        </w:rPr>
        <w:t>.</w:t>
      </w:r>
    </w:p>
    <w:p w14:paraId="0F34E7C3" w14:textId="77777777" w:rsidR="007A7419" w:rsidRPr="008C68C0" w:rsidRDefault="009B059D"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lastRenderedPageBreak/>
        <w:t>دراسة ربيعة وناصر</w:t>
      </w:r>
      <w:r w:rsidRPr="008C68C0">
        <w:rPr>
          <w:rFonts w:ascii="Simplified Arabic" w:eastAsia="Times New Roman" w:hAnsi="Simplified Arabic" w:cs="Simplified Arabic"/>
          <w:b/>
          <w:bCs/>
          <w:color w:val="000000" w:themeColor="text1"/>
          <w:kern w:val="0"/>
          <w:sz w:val="28"/>
          <w:szCs w:val="28"/>
          <w14:ligatures w14:val="none"/>
        </w:rPr>
        <w:t xml:space="preserve"> (2026): "</w:t>
      </w:r>
      <w:r w:rsidRPr="008C68C0">
        <w:rPr>
          <w:rFonts w:ascii="Simplified Arabic" w:eastAsia="Times New Roman" w:hAnsi="Simplified Arabic" w:cs="Simplified Arabic"/>
          <w:b/>
          <w:bCs/>
          <w:color w:val="000000" w:themeColor="text1"/>
          <w:kern w:val="0"/>
          <w:sz w:val="28"/>
          <w:szCs w:val="28"/>
          <w:rtl/>
          <w14:ligatures w14:val="none"/>
        </w:rPr>
        <w:t xml:space="preserve">أثر التطوير التنظيمي في تحسين جودة الخدمات: دراسة ميدانية على قطاع الأشغال العامة بالجمهورية اليمنية". </w:t>
      </w:r>
    </w:p>
    <w:p w14:paraId="05FEACB0" w14:textId="7BABEC24"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التطوير التنظيمي بأبعاده (تطوير الهيكل التنظيمي، تطوير العمليات، تطوير الموارد البشرية، تطوير التكنولوجيا) في تحسين جودة الخدمات في قطاع الأشغال العامة، واستخدمت الدراسة المنهج الوصفي بنوعيه المسحي والارتباطي، وتكونت العينة من (203) مشاركين، وجُمعت البيانات عبر الاستبانة. وتوصلت نتائج الدراسة إلى أن واقع التطوير التنظيمي جاء بدرجة متوسطة بمتوسط حسابي </w:t>
      </w:r>
      <w:r w:rsidRPr="008C68C0">
        <w:rPr>
          <w:rFonts w:ascii="Simplified Arabic" w:eastAsia="Times New Roman" w:hAnsi="Simplified Arabic" w:cs="Simplified Arabic"/>
          <w:color w:val="000000" w:themeColor="text1"/>
          <w:kern w:val="0"/>
          <w:sz w:val="28"/>
          <w:szCs w:val="28"/>
          <w14:ligatures w14:val="none"/>
        </w:rPr>
        <w:t>(3.09)</w:t>
      </w:r>
      <w:r w:rsidRPr="008C68C0">
        <w:rPr>
          <w:rFonts w:ascii="Simplified Arabic" w:eastAsia="Times New Roman" w:hAnsi="Simplified Arabic" w:cs="Simplified Arabic"/>
          <w:color w:val="000000" w:themeColor="text1"/>
          <w:kern w:val="0"/>
          <w:sz w:val="28"/>
          <w:szCs w:val="28"/>
          <w:rtl/>
          <w14:ligatures w14:val="none"/>
        </w:rPr>
        <w:t xml:space="preserve">، بينما جاء مستوى تطبيق جودة الخدمات بدرجة عالية بمتوسط حسابي </w:t>
      </w:r>
      <w:r w:rsidRPr="008C68C0">
        <w:rPr>
          <w:rFonts w:ascii="Simplified Arabic" w:eastAsia="Times New Roman" w:hAnsi="Simplified Arabic" w:cs="Simplified Arabic"/>
          <w:color w:val="000000" w:themeColor="text1"/>
          <w:kern w:val="0"/>
          <w:sz w:val="28"/>
          <w:szCs w:val="28"/>
          <w14:ligatures w14:val="none"/>
        </w:rPr>
        <w:t>(3.43)</w:t>
      </w:r>
      <w:r w:rsidRPr="008C68C0">
        <w:rPr>
          <w:rFonts w:ascii="Simplified Arabic" w:eastAsia="Times New Roman" w:hAnsi="Simplified Arabic" w:cs="Simplified Arabic"/>
          <w:color w:val="000000" w:themeColor="text1"/>
          <w:kern w:val="0"/>
          <w:sz w:val="28"/>
          <w:szCs w:val="28"/>
          <w:rtl/>
          <w14:ligatures w14:val="none"/>
        </w:rPr>
        <w:t>، كما أكدت وجود أثر ذي دلالة إحصائية للتطوير التنظيمي بجميع أبعاده على جودة الخدمات. وأوصت الدراسة بترسيخ مفاهيم التطوير التنظيمي بين العاملين، والتطوير المستمر للهيكل التنظيمي بما يتوافق مع المتغيرات الحديثة، وتبني أبعاد جودة الخدمة لضمان رضا المستفيدين</w:t>
      </w:r>
      <w:r w:rsidRPr="008C68C0">
        <w:rPr>
          <w:rFonts w:ascii="Simplified Arabic" w:eastAsia="Times New Roman" w:hAnsi="Simplified Arabic" w:cs="Simplified Arabic"/>
          <w:color w:val="000000" w:themeColor="text1"/>
          <w:kern w:val="0"/>
          <w:sz w:val="28"/>
          <w:szCs w:val="28"/>
          <w14:ligatures w14:val="none"/>
        </w:rPr>
        <w:t>.</w:t>
      </w:r>
    </w:p>
    <w:p w14:paraId="0D8F2C26" w14:textId="77777777" w:rsidR="007A7419" w:rsidRPr="008C68C0" w:rsidRDefault="009B059D"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C68C0">
        <w:rPr>
          <w:rFonts w:ascii="Simplified Arabic" w:eastAsia="Times New Roman" w:hAnsi="Simplified Arabic" w:cs="Simplified Arabic"/>
          <w:b/>
          <w:bCs/>
          <w:color w:val="000000" w:themeColor="text1"/>
          <w:kern w:val="0"/>
          <w:sz w:val="28"/>
          <w:szCs w:val="28"/>
          <w:rtl/>
          <w14:ligatures w14:val="none"/>
        </w:rPr>
        <w:t>دراسة</w:t>
      </w:r>
      <w:r w:rsidRPr="008C68C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b/>
          <w:bCs/>
          <w:color w:val="000000" w:themeColor="text1"/>
          <w:kern w:val="0"/>
          <w:sz w:val="28"/>
          <w:szCs w:val="28"/>
          <w14:ligatures w14:val="none"/>
        </w:rPr>
        <w:t>Szedm</w:t>
      </w:r>
      <w:r w:rsidRPr="008C68C0">
        <w:rPr>
          <w:rFonts w:ascii="Cambria" w:eastAsia="Times New Roman" w:hAnsi="Cambria" w:cs="Cambria"/>
          <w:b/>
          <w:bCs/>
          <w:color w:val="000000" w:themeColor="text1"/>
          <w:kern w:val="0"/>
          <w:sz w:val="28"/>
          <w:szCs w:val="28"/>
          <w14:ligatures w14:val="none"/>
        </w:rPr>
        <w:t>á</w:t>
      </w:r>
      <w:r w:rsidRPr="008C68C0">
        <w:rPr>
          <w:rFonts w:ascii="Simplified Arabic" w:eastAsia="Times New Roman" w:hAnsi="Simplified Arabic" w:cs="Simplified Arabic"/>
          <w:b/>
          <w:bCs/>
          <w:color w:val="000000" w:themeColor="text1"/>
          <w:kern w:val="0"/>
          <w:sz w:val="28"/>
          <w:szCs w:val="28"/>
          <w14:ligatures w14:val="none"/>
        </w:rPr>
        <w:t>k</w:t>
      </w:r>
      <w:proofErr w:type="spellEnd"/>
      <w:r w:rsidRPr="008C68C0">
        <w:rPr>
          <w:rFonts w:ascii="Simplified Arabic" w:eastAsia="Times New Roman" w:hAnsi="Simplified Arabic" w:cs="Simplified Arabic"/>
          <w:b/>
          <w:bCs/>
          <w:color w:val="000000" w:themeColor="text1"/>
          <w:kern w:val="0"/>
          <w:sz w:val="28"/>
          <w:szCs w:val="28"/>
          <w14:ligatures w14:val="none"/>
        </w:rPr>
        <w:t xml:space="preserve"> (2025): "Digital Transformation of Public Services: The Case of the Document Management Application". </w:t>
      </w:r>
    </w:p>
    <w:p w14:paraId="5A8C00F2" w14:textId="489D6613"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(تبسيط الإجراءات، تقليل الوقت والتكلفة، التغيير الثقافي والتنظيمي) في الخدمات العامة من خلال دراسة حالة تطبيق إدارة المستندات الرقمية في البلديات المجرية، واستخدمت الدراسة منهج دراسة الحالة. وتوصلت نتائج الدراسة إلى أن التحول الرقمي يبسط الإجراءات الحكومية ويقلل الوقت والتكلفة، لكنه يتطلب تغييراً ثقافياً وتنظيمياً مصاحباً لضمان نجاح التطبيق. وأوصت الدراسة بضرورة التركيز على إدارة التغيير التنظيمي بالتوازي مع تبني الحلول الرقمية، وتوفير التدريب الكافي للموظفين</w:t>
      </w:r>
      <w:r w:rsidRPr="008C68C0">
        <w:rPr>
          <w:rFonts w:ascii="Simplified Arabic" w:eastAsia="Times New Roman" w:hAnsi="Simplified Arabic" w:cs="Simplified Arabic"/>
          <w:color w:val="000000" w:themeColor="text1"/>
          <w:kern w:val="0"/>
          <w:sz w:val="28"/>
          <w:szCs w:val="28"/>
          <w14:ligatures w14:val="none"/>
        </w:rPr>
        <w:t>.</w:t>
      </w:r>
    </w:p>
    <w:p w14:paraId="6FA6B7BD" w14:textId="3A46865C" w:rsidR="00CC6261" w:rsidRPr="008C68C0" w:rsidRDefault="007A7419" w:rsidP="007A74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14" w:name="_Toc233212261"/>
      <w:r w:rsidRPr="008C68C0">
        <w:rPr>
          <w:rFonts w:ascii="Simplified Arabic" w:eastAsia="Times New Roman" w:hAnsi="Simplified Arabic" w:cs="Simplified Arabic" w:hint="cs"/>
          <w:b/>
          <w:bCs/>
          <w:color w:val="000000" w:themeColor="text1"/>
          <w:kern w:val="0"/>
          <w:sz w:val="36"/>
          <w:szCs w:val="36"/>
          <w:rtl/>
          <w14:ligatures w14:val="none"/>
        </w:rPr>
        <w:t xml:space="preserve">8.1 </w:t>
      </w:r>
      <w:r w:rsidR="00CC6261" w:rsidRPr="008C68C0">
        <w:rPr>
          <w:rFonts w:ascii="Simplified Arabic" w:eastAsia="Times New Roman" w:hAnsi="Simplified Arabic" w:cs="Simplified Arabic"/>
          <w:b/>
          <w:bCs/>
          <w:color w:val="000000" w:themeColor="text1"/>
          <w:kern w:val="36"/>
          <w:sz w:val="36"/>
          <w:szCs w:val="36"/>
          <w:rtl/>
          <w14:ligatures w14:val="none"/>
        </w:rPr>
        <w:t>الفجوة البحثية</w:t>
      </w:r>
      <w:bookmarkEnd w:id="14"/>
    </w:p>
    <w:p w14:paraId="13CBF131" w14:textId="77777777" w:rsidR="001B46EC" w:rsidRPr="008C68C0" w:rsidRDefault="001B46EC"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 xml:space="preserve">تتفق الدراسة الحالية مع عدد من الدراسات السابقة في جوانب متعددة، إذ تتقاطع مع دراسة الحربي (2025) ودراسة الشبلي </w:t>
      </w:r>
      <w:r w:rsidRPr="008C68C0">
        <w:rPr>
          <w:rFonts w:ascii="Simplified Arabic" w:hAnsi="Simplified Arabic" w:cs="Simplified Arabic"/>
          <w:color w:val="000000" w:themeColor="text1"/>
          <w:sz w:val="28"/>
          <w:szCs w:val="28"/>
        </w:rPr>
        <w:t xml:space="preserve">(2023) </w:t>
      </w:r>
      <w:r w:rsidRPr="008C68C0">
        <w:rPr>
          <w:rFonts w:ascii="Simplified Arabic" w:hAnsi="Simplified Arabic" w:cs="Simplified Arabic"/>
          <w:color w:val="000000" w:themeColor="text1"/>
          <w:sz w:val="28"/>
          <w:szCs w:val="28"/>
          <w:rtl/>
        </w:rPr>
        <w:t xml:space="preserve">في تناول موضوع التغيير والتحول المؤسسي داخل المؤسسات الحكومية وأثره في تحسين الأداء وجودة الخدمات، كما تتفق مع دراسة معمري (2022) في تبني المنهج الوصفي التحليلي واستخدام الاستبانة أداةً رئيسة لجمع البيانات. وعلى صعيد المتغير التابع، تلتقي الدراسة الحالية مع دراسة الجوهر (2024) ودراسة ربيعة وناصر (2026) في التركيز على كفاءة الخدمات </w:t>
      </w:r>
      <w:r w:rsidRPr="008C68C0">
        <w:rPr>
          <w:rFonts w:ascii="Simplified Arabic" w:hAnsi="Simplified Arabic" w:cs="Simplified Arabic"/>
          <w:color w:val="000000" w:themeColor="text1"/>
          <w:sz w:val="28"/>
          <w:szCs w:val="28"/>
          <w:rtl/>
        </w:rPr>
        <w:lastRenderedPageBreak/>
        <w:t>العامة وجودتها بوصفها متغيراً تابعاً رئيساً، وتتوافق مع دراسة</w:t>
      </w:r>
      <w:r w:rsidRPr="008C68C0">
        <w:rPr>
          <w:rFonts w:ascii="Simplified Arabic" w:hAnsi="Simplified Arabic" w:cs="Simplified Arabic"/>
          <w:color w:val="000000" w:themeColor="text1"/>
          <w:sz w:val="28"/>
          <w:szCs w:val="28"/>
        </w:rPr>
        <w:t xml:space="preserve"> Imran et al. (2022) </w:t>
      </w:r>
      <w:r w:rsidRPr="008C68C0">
        <w:rPr>
          <w:rFonts w:ascii="Simplified Arabic" w:hAnsi="Simplified Arabic" w:cs="Simplified Arabic"/>
          <w:color w:val="000000" w:themeColor="text1"/>
          <w:sz w:val="28"/>
          <w:szCs w:val="28"/>
          <w:rtl/>
        </w:rPr>
        <w:t>في اعتماد التحليل الكمي والأساليب الإحصائية المتقدمة كالانحدار في اختبار العلاقات بين المتغيرات، فضلاً عن اتفاقها مع دراسة أبو بكر وزواري (2025) في ربط جودة الخدمات الحكومية بأبعاد تنموية أشمل، ومع دراسة</w:t>
      </w:r>
      <w:r w:rsidRPr="008C68C0">
        <w:rPr>
          <w:rFonts w:ascii="Simplified Arabic" w:hAnsi="Simplified Arabic" w:cs="Simplified Arabic"/>
          <w:color w:val="000000" w:themeColor="text1"/>
          <w:sz w:val="28"/>
          <w:szCs w:val="28"/>
        </w:rPr>
        <w:t xml:space="preserve"> </w:t>
      </w:r>
      <w:proofErr w:type="spellStart"/>
      <w:r w:rsidRPr="008C68C0">
        <w:rPr>
          <w:rFonts w:ascii="Simplified Arabic" w:hAnsi="Simplified Arabic" w:cs="Simplified Arabic"/>
          <w:color w:val="000000" w:themeColor="text1"/>
          <w:sz w:val="28"/>
          <w:szCs w:val="28"/>
        </w:rPr>
        <w:t>Kulal</w:t>
      </w:r>
      <w:proofErr w:type="spellEnd"/>
      <w:r w:rsidRPr="008C68C0">
        <w:rPr>
          <w:rFonts w:ascii="Simplified Arabic" w:hAnsi="Simplified Arabic" w:cs="Simplified Arabic"/>
          <w:color w:val="000000" w:themeColor="text1"/>
          <w:sz w:val="28"/>
          <w:szCs w:val="28"/>
        </w:rPr>
        <w:t xml:space="preserve"> et al. (2024) </w:t>
      </w:r>
      <w:r w:rsidRPr="008C68C0">
        <w:rPr>
          <w:rFonts w:ascii="Simplified Arabic" w:hAnsi="Simplified Arabic" w:cs="Simplified Arabic"/>
          <w:color w:val="000000" w:themeColor="text1"/>
          <w:sz w:val="28"/>
          <w:szCs w:val="28"/>
          <w:rtl/>
        </w:rPr>
        <w:t>ودراسة</w:t>
      </w:r>
      <w:r w:rsidRPr="008C68C0">
        <w:rPr>
          <w:rFonts w:ascii="Simplified Arabic" w:hAnsi="Simplified Arabic" w:cs="Simplified Arabic"/>
          <w:color w:val="000000" w:themeColor="text1"/>
          <w:sz w:val="28"/>
          <w:szCs w:val="28"/>
        </w:rPr>
        <w:t xml:space="preserve"> </w:t>
      </w:r>
      <w:proofErr w:type="spellStart"/>
      <w:r w:rsidRPr="008C68C0">
        <w:rPr>
          <w:rFonts w:ascii="Simplified Arabic" w:hAnsi="Simplified Arabic" w:cs="Simplified Arabic"/>
          <w:color w:val="000000" w:themeColor="text1"/>
          <w:sz w:val="28"/>
          <w:szCs w:val="28"/>
        </w:rPr>
        <w:t>Latupeirissa</w:t>
      </w:r>
      <w:proofErr w:type="spellEnd"/>
      <w:r w:rsidRPr="008C68C0">
        <w:rPr>
          <w:rFonts w:ascii="Simplified Arabic" w:hAnsi="Simplified Arabic" w:cs="Simplified Arabic"/>
          <w:color w:val="000000" w:themeColor="text1"/>
          <w:sz w:val="28"/>
          <w:szCs w:val="28"/>
        </w:rPr>
        <w:t xml:space="preserve"> et al. (2024) </w:t>
      </w:r>
      <w:r w:rsidRPr="008C68C0">
        <w:rPr>
          <w:rFonts w:ascii="Simplified Arabic" w:hAnsi="Simplified Arabic" w:cs="Simplified Arabic"/>
          <w:color w:val="000000" w:themeColor="text1"/>
          <w:sz w:val="28"/>
          <w:szCs w:val="28"/>
          <w:rtl/>
        </w:rPr>
        <w:t>في إبراز دور التحول الرقمي والتقنيات الحديثة في تطوير الخدمات العامة</w:t>
      </w:r>
      <w:r w:rsidRPr="008C68C0">
        <w:rPr>
          <w:rFonts w:ascii="Simplified Arabic" w:hAnsi="Simplified Arabic" w:cs="Simplified Arabic"/>
          <w:color w:val="000000" w:themeColor="text1"/>
          <w:sz w:val="28"/>
          <w:szCs w:val="28"/>
        </w:rPr>
        <w:t>.</w:t>
      </w:r>
    </w:p>
    <w:p w14:paraId="11F09C7A" w14:textId="77777777" w:rsidR="001B46EC" w:rsidRPr="008C68C0" w:rsidRDefault="001B46EC" w:rsidP="007A7419">
      <w:pPr>
        <w:pStyle w:val="NormalWeb"/>
        <w:bidi/>
        <w:spacing w:line="276" w:lineRule="auto"/>
        <w:ind w:firstLine="424"/>
        <w:jc w:val="both"/>
        <w:rPr>
          <w:rFonts w:ascii="Simplified Arabic" w:hAnsi="Simplified Arabic" w:cs="Simplified Arabic"/>
          <w:color w:val="000000" w:themeColor="text1"/>
          <w:sz w:val="28"/>
          <w:szCs w:val="28"/>
        </w:rPr>
      </w:pPr>
      <w:r w:rsidRPr="008C68C0">
        <w:rPr>
          <w:rFonts w:ascii="Simplified Arabic" w:hAnsi="Simplified Arabic" w:cs="Simplified Arabic"/>
          <w:color w:val="000000" w:themeColor="text1"/>
          <w:sz w:val="28"/>
          <w:szCs w:val="28"/>
          <w:rtl/>
        </w:rPr>
        <w:t>غير أن الدراسة الحالية تختلف عن الدراسات السابقة في عدة أوجه جوهرية تُشكّل إضافتها العلمية المميزة، فبينما ركزت دراسة الشبلي (2023) على التغيير التنظيمي من منظور وصفي دون قياس كمي لأبعاده، ودرست دراسة</w:t>
      </w:r>
      <w:r w:rsidRPr="008C68C0">
        <w:rPr>
          <w:rFonts w:ascii="Simplified Arabic" w:hAnsi="Simplified Arabic" w:cs="Simplified Arabic"/>
          <w:color w:val="000000" w:themeColor="text1"/>
          <w:sz w:val="28"/>
          <w:szCs w:val="28"/>
        </w:rPr>
        <w:t xml:space="preserve"> </w:t>
      </w:r>
      <w:proofErr w:type="spellStart"/>
      <w:r w:rsidRPr="008C68C0">
        <w:rPr>
          <w:rFonts w:ascii="Simplified Arabic" w:hAnsi="Simplified Arabic" w:cs="Simplified Arabic"/>
          <w:color w:val="000000" w:themeColor="text1"/>
          <w:sz w:val="28"/>
          <w:szCs w:val="28"/>
        </w:rPr>
        <w:t>Pircher</w:t>
      </w:r>
      <w:proofErr w:type="spellEnd"/>
      <w:r w:rsidRPr="008C68C0">
        <w:rPr>
          <w:rFonts w:ascii="Simplified Arabic" w:hAnsi="Simplified Arabic" w:cs="Simplified Arabic"/>
          <w:color w:val="000000" w:themeColor="text1"/>
          <w:sz w:val="28"/>
          <w:szCs w:val="28"/>
        </w:rPr>
        <w:t xml:space="preserve"> et al. (2024) </w:t>
      </w:r>
      <w:r w:rsidRPr="008C68C0">
        <w:rPr>
          <w:rFonts w:ascii="Simplified Arabic" w:hAnsi="Simplified Arabic" w:cs="Simplified Arabic"/>
          <w:color w:val="000000" w:themeColor="text1"/>
          <w:sz w:val="28"/>
          <w:szCs w:val="28"/>
          <w:rtl/>
        </w:rPr>
        <w:t>التحول في سياق عسكري عالي الموثوقية، وتناولت دراسة</w:t>
      </w:r>
      <w:r w:rsidRPr="008C68C0">
        <w:rPr>
          <w:rFonts w:ascii="Simplified Arabic" w:hAnsi="Simplified Arabic" w:cs="Simplified Arabic"/>
          <w:color w:val="000000" w:themeColor="text1"/>
          <w:sz w:val="28"/>
          <w:szCs w:val="28"/>
        </w:rPr>
        <w:t xml:space="preserve"> </w:t>
      </w:r>
      <w:proofErr w:type="spellStart"/>
      <w:r w:rsidRPr="008C68C0">
        <w:rPr>
          <w:rFonts w:ascii="Simplified Arabic" w:hAnsi="Simplified Arabic" w:cs="Simplified Arabic"/>
          <w:color w:val="000000" w:themeColor="text1"/>
          <w:sz w:val="28"/>
          <w:szCs w:val="28"/>
        </w:rPr>
        <w:t>Shaumi</w:t>
      </w:r>
      <w:proofErr w:type="spellEnd"/>
      <w:r w:rsidRPr="008C68C0">
        <w:rPr>
          <w:rFonts w:ascii="Simplified Arabic" w:hAnsi="Simplified Arabic" w:cs="Simplified Arabic"/>
          <w:color w:val="000000" w:themeColor="text1"/>
          <w:sz w:val="28"/>
          <w:szCs w:val="28"/>
        </w:rPr>
        <w:t xml:space="preserve"> et al. (2023) </w:t>
      </w:r>
      <w:r w:rsidRPr="008C68C0">
        <w:rPr>
          <w:rFonts w:ascii="Simplified Arabic" w:hAnsi="Simplified Arabic" w:cs="Simplified Arabic"/>
          <w:color w:val="000000" w:themeColor="text1"/>
          <w:sz w:val="28"/>
          <w:szCs w:val="28"/>
          <w:rtl/>
        </w:rPr>
        <w:t xml:space="preserve">أثر التغيير على الأداء الفردي عبر متغير وسيط هو الرضا الوظيفي، فإن الدراسة الحالية تتفرد بتقديم نموذج تكاملي يجمع أربعة أبعاد للتحول المؤسسي — إعادة الهيكلة التنظيمية والتحول الرقمي وتطوير الثقافة المؤسسية وتمكين الموارد البشرية — في إطار واحد وقياس أثرها المباشر في كفاءة الخدمات العامة. كما تختلف عن دراسة </w:t>
      </w:r>
      <w:proofErr w:type="spellStart"/>
      <w:r w:rsidRPr="008C68C0">
        <w:rPr>
          <w:rFonts w:ascii="Simplified Arabic" w:hAnsi="Simplified Arabic" w:cs="Simplified Arabic"/>
          <w:color w:val="000000" w:themeColor="text1"/>
          <w:sz w:val="28"/>
          <w:szCs w:val="28"/>
        </w:rPr>
        <w:t>Khaw</w:t>
      </w:r>
      <w:proofErr w:type="spellEnd"/>
      <w:r w:rsidRPr="008C68C0">
        <w:rPr>
          <w:rFonts w:ascii="Simplified Arabic" w:hAnsi="Simplified Arabic" w:cs="Simplified Arabic"/>
          <w:color w:val="000000" w:themeColor="text1"/>
          <w:sz w:val="28"/>
          <w:szCs w:val="28"/>
        </w:rPr>
        <w:t xml:space="preserve"> et al. (2022) </w:t>
      </w:r>
      <w:r w:rsidRPr="008C68C0">
        <w:rPr>
          <w:rFonts w:ascii="Simplified Arabic" w:hAnsi="Simplified Arabic" w:cs="Simplified Arabic"/>
          <w:color w:val="000000" w:themeColor="text1"/>
          <w:sz w:val="28"/>
          <w:szCs w:val="28"/>
          <w:rtl/>
        </w:rPr>
        <w:t xml:space="preserve">التي اعتمدت المراجعة المنهجية للأدبيات، وعن دراسة </w:t>
      </w:r>
      <w:proofErr w:type="spellStart"/>
      <w:r w:rsidRPr="008C68C0">
        <w:rPr>
          <w:rFonts w:ascii="Simplified Arabic" w:hAnsi="Simplified Arabic" w:cs="Simplified Arabic"/>
          <w:color w:val="000000" w:themeColor="text1"/>
          <w:sz w:val="28"/>
          <w:szCs w:val="28"/>
        </w:rPr>
        <w:t>Alzahmi</w:t>
      </w:r>
      <w:proofErr w:type="spellEnd"/>
      <w:r w:rsidRPr="008C68C0">
        <w:rPr>
          <w:rFonts w:ascii="Simplified Arabic" w:hAnsi="Simplified Arabic" w:cs="Simplified Arabic"/>
          <w:color w:val="000000" w:themeColor="text1"/>
          <w:sz w:val="28"/>
          <w:szCs w:val="28"/>
        </w:rPr>
        <w:t xml:space="preserve"> et al. (2025) </w:t>
      </w:r>
      <w:r w:rsidRPr="008C68C0">
        <w:rPr>
          <w:rFonts w:ascii="Simplified Arabic" w:hAnsi="Simplified Arabic" w:cs="Simplified Arabic"/>
          <w:color w:val="000000" w:themeColor="text1"/>
          <w:sz w:val="28"/>
          <w:szCs w:val="28"/>
          <w:rtl/>
        </w:rPr>
        <w:t>التي طبقت التحليل الببليومتري في قطاع التعليم العالي، حيث تتبنى الدراسة الحالية منهجاً ميدانياً تطبيقياً على مؤسسة حكومية خدمية بعينة محددة وأداة قياس مصممة خصيصاً لأبعادها، مما يمنحها قدرة أكبر على الخروج بنتائج قابلة للتعميم والتطبيق في السياق الحكومي العربي الذي لم تتناوله أغلب الدراسات الأجنبية السابقة</w:t>
      </w:r>
      <w:r w:rsidRPr="008C68C0">
        <w:rPr>
          <w:rFonts w:ascii="Simplified Arabic" w:hAnsi="Simplified Arabic" w:cs="Simplified Arabic"/>
          <w:color w:val="000000" w:themeColor="text1"/>
          <w:sz w:val="28"/>
          <w:szCs w:val="28"/>
        </w:rPr>
        <w:t>.</w:t>
      </w:r>
    </w:p>
    <w:p w14:paraId="78F43ACB" w14:textId="77777777" w:rsidR="007A7419" w:rsidRPr="008C68C0" w:rsidRDefault="007A7419" w:rsidP="007A741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169790502"/>
      <w:bookmarkStart w:id="16" w:name="_Toc233212262"/>
      <w:bookmarkEnd w:id="12"/>
      <w:r w:rsidRPr="008C68C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p>
    <w:p w14:paraId="50BA6A18" w14:textId="4C807A0D" w:rsidR="007A7419" w:rsidRPr="008C68C0" w:rsidRDefault="007A7419"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C68C0">
        <w:rPr>
          <w:rFonts w:ascii="Simplified Arabic" w:eastAsia="Times New Roman" w:hAnsi="Simplified Arabic" w:cs="Simplified Arabic"/>
          <w:b/>
          <w:bCs/>
          <w:color w:val="000000" w:themeColor="text1"/>
          <w:kern w:val="0"/>
          <w:sz w:val="32"/>
          <w:szCs w:val="32"/>
          <w:rtl/>
          <w14:ligatures w14:val="none"/>
        </w:rPr>
        <w:t>التحول المؤسسي:</w:t>
      </w:r>
    </w:p>
    <w:p w14:paraId="3239B49D" w14:textId="77777777"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يُشير التحول المؤسسي إلى تلك العملية الاستراتيجية الشاملة التي تتبناها المنظمات بهدف إحداث تغييرات جذرية ومنهجية في بنيتها التنظيمية وأنظمتها التشغيلية وثقافتها الداخلية ورأسمالها البشري، استجابةً للمتغيرات البيئية المحيطة وسعياً نحو تحقيق مستويات أعلى من الأداء والتميز. ويتجاوز هذا المفهوم حدود التغيير الجزئي أو التحسين التدريجي ليشمل إعادة تشكيل المنظمة على نحو يُمكّنها من التكيف مع التحديات المستقبلية وتحقيق غاياتها الاستراتيجية بكفاءة وفاعلية. وقد تعددت المداخل النظرية التي تناولت هذا المفهوم، إذ يرى أنصار النظرية المؤسسية أن التحول ينبع من ضغوط البيئة الخارجية </w:t>
      </w:r>
      <w:r w:rsidRPr="008C68C0">
        <w:rPr>
          <w:rFonts w:ascii="Simplified Arabic" w:eastAsia="Times New Roman" w:hAnsi="Simplified Arabic" w:cs="Simplified Arabic"/>
          <w:color w:val="000000" w:themeColor="text1"/>
          <w:kern w:val="0"/>
          <w:sz w:val="28"/>
          <w:szCs w:val="28"/>
          <w:rtl/>
          <w14:ligatures w14:val="none"/>
        </w:rPr>
        <w:lastRenderedPageBreak/>
        <w:t>والتشريعات والمعايير المجتمعية التي تفرض على المنظمات تبني ممارسات جديدة لاكتساب الشرعية والاستمرارية، بينما يُركز أنصار نظرية إدارة التغيير على الآليات الداخلية التي تُمكّن المنظمات من التخطيط للتحول وتنفيذه وإدارة مقاومته وتقييم نتائجه. وتتكامل هذه المداخل في تقديم فهم شامل للتحول المؤسسي بوصفه عملية متعددة الأبعاد تتطلب معالجة متزامنة للجوانب الهيكلية والتكنولوجية والثقافية والبشرية</w:t>
      </w:r>
      <w:r w:rsidRPr="008C68C0">
        <w:rPr>
          <w:rFonts w:ascii="Simplified Arabic" w:eastAsia="Times New Roman" w:hAnsi="Simplified Arabic" w:cs="Simplified Arabic"/>
          <w:color w:val="000000" w:themeColor="text1"/>
          <w:kern w:val="0"/>
          <w:sz w:val="28"/>
          <w:szCs w:val="28"/>
          <w14:ligatures w14:val="none"/>
        </w:rPr>
        <w:t>.</w:t>
      </w:r>
    </w:p>
    <w:p w14:paraId="6AD2A8A0" w14:textId="6B5733D3"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وتتبلور أبعاد التحول المؤسسي في هذه الدراسة في أربعة محاور رئيسة يُشكّل كل منها ركيزة أساسية في منظومة التحول الشامل</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يتمثل البعد الأول في إعادة الهيكلة التنظيمية التي تعني مراجعة البنية الإدارية للمؤسسة وإعادة تصميم تقسيماتها الوظيفية ومستوياتها الإدارية وخطوط السلطة والمسؤولية فيها، بما يُفضي إلى تبسيط الإجراءات وتقليص المستويات البيروقراطية وتعزيز سرعة اتخاذ القرار وتدفق المعلومات بين الوحدات التنظيمية المختلفة. أما البعد الثاني فيتمثل في التحول الرقمي الذي يُعبّر عن توظيف التقنيات الرقمية الحديثة في إعادة تصميم العمليات والخدمات المؤسسية، ويشمل ذلك رقمنة الإجراءات الإدارية وأتمتة سير العمل وتطوير المنصات الإلكترونية وتوظيف تقنيات الذكاء الاصطناعي وتحليل البيانات في دعم القرارات وتحسين مخرجات العمل. ويُمثل تطوير الثقافة المؤسسية البعد الثالث، ويُقصد به تعزيز منظومة القيم والمعتقدات والممارسات المشتركة التي تُشكّل هوية المؤسسة وتوجّه سلوك العاملين فيها نحو تبني التغيير والابتكار والتركيز على خدمة المستفيد والعمل بروح الفريق والتحسين المستمر. أما البعد الرابع والأخير فهو تمكين الموارد البشرية الذي يتضمن الاستثمار في تطوير قدرات العاملين ومهاراتهم من خلال برامج التدريب والتأهيل المستمر، وتفويض الصلاحيات وإشراكهم في عمليات صنع القرار وتحفيزهم على الإبداع والمبادرة، بما يُسهم في بناء كوادر بشرية قادرة على قيادة التحول وتنفيذه بفاعلية</w:t>
      </w:r>
      <w:r w:rsidRPr="008C68C0">
        <w:rPr>
          <w:rFonts w:ascii="Simplified Arabic" w:eastAsia="Times New Roman" w:hAnsi="Simplified Arabic" w:cs="Simplified Arabic"/>
          <w:color w:val="000000" w:themeColor="text1"/>
          <w:kern w:val="0"/>
          <w:sz w:val="28"/>
          <w:szCs w:val="28"/>
          <w14:ligatures w14:val="none"/>
        </w:rPr>
        <w:t>.</w:t>
      </w:r>
    </w:p>
    <w:p w14:paraId="2E9BE7CE" w14:textId="1068A2AD" w:rsidR="001B46EC" w:rsidRPr="008C68C0" w:rsidRDefault="001B46EC"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C68C0">
        <w:rPr>
          <w:rFonts w:ascii="Simplified Arabic" w:eastAsia="Times New Roman" w:hAnsi="Simplified Arabic" w:cs="Simplified Arabic"/>
          <w:b/>
          <w:bCs/>
          <w:color w:val="000000" w:themeColor="text1"/>
          <w:kern w:val="0"/>
          <w:sz w:val="32"/>
          <w:szCs w:val="32"/>
          <w:rtl/>
          <w14:ligatures w14:val="none"/>
        </w:rPr>
        <w:t xml:space="preserve">تطوير كفاءة الخدمات العامة: </w:t>
      </w:r>
    </w:p>
    <w:p w14:paraId="2E18900C" w14:textId="77777777"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يُعرّف تطوير كفاءة الخدمات العامة بأنه مجموعة الجهود المنهجية والمنظمة الرامية إلى تحسين جودة المخرجات الخدمية التي تقدمها المؤسسات الحكومية للمواطنين، من حيث سرعة الإنجاز ودقة الأداء وسهولة الوصول والاستجابة لاحتياجات المستفيدين وترشيد استخدام الموارد المتاحة. ويرتكز هذا المفهوم على فلسفة مفادها أن المواطن هو محور العملية الخدمية وأن رضاه يُمثل الغاية النهائية التي ينبغي أن تتوجه نحوها جميع الجهود المؤسسية. وتستند الأدبيات في تناولها لكفاءة الخدمات العامة إلى </w:t>
      </w:r>
      <w:r w:rsidRPr="008C68C0">
        <w:rPr>
          <w:rFonts w:ascii="Simplified Arabic" w:eastAsia="Times New Roman" w:hAnsi="Simplified Arabic" w:cs="Simplified Arabic"/>
          <w:color w:val="000000" w:themeColor="text1"/>
          <w:kern w:val="0"/>
          <w:sz w:val="28"/>
          <w:szCs w:val="28"/>
          <w:rtl/>
          <w14:ligatures w14:val="none"/>
        </w:rPr>
        <w:lastRenderedPageBreak/>
        <w:t>عدة نظريات أبرزها نظرية الإدارة العامة الجديدة التي دعت إلى تطبيق مبادئ القطاع الخاص في إدارة المؤسسات الحكومية، ونظرية جودة الخدمة التي قدمت نماذج لقياس الفجوة بين توقعات المستفيدين وإدراكاتهم الفعلية لمستوى الخدمة المقدمة، ونظرية الحوكمة الرقمية التي ربطت بين توظيف التقنيات الحديثة وتحسين كفاءة الخدمات الحكومية وشفافيتها</w:t>
      </w:r>
      <w:r w:rsidRPr="008C68C0">
        <w:rPr>
          <w:rFonts w:ascii="Simplified Arabic" w:eastAsia="Times New Roman" w:hAnsi="Simplified Arabic" w:cs="Simplified Arabic"/>
          <w:color w:val="000000" w:themeColor="text1"/>
          <w:kern w:val="0"/>
          <w:sz w:val="28"/>
          <w:szCs w:val="28"/>
          <w14:ligatures w14:val="none"/>
        </w:rPr>
        <w:t>.</w:t>
      </w:r>
    </w:p>
    <w:p w14:paraId="7F5AD766" w14:textId="77777777" w:rsidR="001B46EC" w:rsidRPr="008C68C0" w:rsidRDefault="001B46EC"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C68C0">
        <w:rPr>
          <w:rFonts w:ascii="Simplified Arabic" w:eastAsia="Times New Roman" w:hAnsi="Simplified Arabic" w:cs="Simplified Arabic"/>
          <w:b/>
          <w:bCs/>
          <w:color w:val="000000" w:themeColor="text1"/>
          <w:kern w:val="0"/>
          <w:sz w:val="32"/>
          <w:szCs w:val="32"/>
          <w:rtl/>
          <w14:ligatures w14:val="none"/>
        </w:rPr>
        <w:t>العلاقة بين التحول المؤسسي وكفاءة الخدمات العامة</w:t>
      </w:r>
    </w:p>
    <w:p w14:paraId="5B06695A" w14:textId="77777777"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تنطلق الدراسة الحالية من الافتراض النظري القائل بأن التحول المؤسسي الشامل يُمثل مدخلاً رئيساً لتطوير كفاءة الخدمات العامة، وذلك من خلال سلسلة من التأثيرات المتبادلة والمتكاملة بين أبعاده الأربعة ومخرجات العملية الخدمية. فإعادة الهيكلة التنظيمية تُسهم في تقليص الحلقات الإدارية الزائدة وتسريع دورة تقديم الخدمة، والتحول الرقمي يُتيح تقديم خدمات إلكترونية متاحة على مدار الساعة ويرفع مستوى الدقة والشفافية، وتطوير الثقافة المؤسسية يُعزز التوجه نحو المستفيد ويُرسّخ قيم الجودة والتميز، وتمكين الموارد البشرية يضمن وجود كفاءات مؤهلة قادرة على تشغيل المنظومات الجديدة والتعامل مع متطلبات المستفيدين بمهنية واقتدار. ويُفترض أن هذه الأبعاد لا تعمل بمعزل عن بعضها، بل تتفاعل في إطار منظومة متكاملة يُعزز فيها كل بعد فاعلية الأبعاد الأخرى، مما يُولّد أثراً تراكمياً ينعكس إيجابياً على الكفاءة الكلية للخدمات العامة</w:t>
      </w:r>
      <w:r w:rsidRPr="008C68C0">
        <w:rPr>
          <w:rFonts w:ascii="Simplified Arabic" w:eastAsia="Times New Roman" w:hAnsi="Simplified Arabic" w:cs="Simplified Arabic"/>
          <w:color w:val="000000" w:themeColor="text1"/>
          <w:kern w:val="0"/>
          <w:sz w:val="28"/>
          <w:szCs w:val="28"/>
          <w14:ligatures w14:val="none"/>
        </w:rPr>
        <w:t>.</w:t>
      </w:r>
    </w:p>
    <w:p w14:paraId="67D2FF21" w14:textId="77777777" w:rsidR="001B46EC" w:rsidRPr="008C68C0" w:rsidRDefault="001B46EC" w:rsidP="007A74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C68C0">
        <w:rPr>
          <w:rFonts w:ascii="Simplified Arabic" w:eastAsia="Times New Roman" w:hAnsi="Simplified Arabic" w:cs="Simplified Arabic"/>
          <w:b/>
          <w:bCs/>
          <w:color w:val="000000" w:themeColor="text1"/>
          <w:kern w:val="0"/>
          <w:sz w:val="32"/>
          <w:szCs w:val="32"/>
          <w:rtl/>
          <w14:ligatures w14:val="none"/>
        </w:rPr>
        <w:t>ثانياً: مصطلحات الدراسة</w:t>
      </w:r>
    </w:p>
    <w:p w14:paraId="24927892" w14:textId="77777777"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التحول المؤسسي يُعرّف إجرائياً بأنه العملية الاستراتيجية المتكاملة التي تتبناها المؤسسة الحكومية المبحوثة لإحداث تغييرات جوهرية في هيكلها التنظيمي وبنيتها الرقمية وثقافتها الداخلية وقدرات مواردها البشرية، ويُقاس من خلال استجابات أفراد العينة على فقرات الاستبانة المتعلقة بأبعاده الأربعة</w:t>
      </w:r>
      <w:r w:rsidRPr="008C68C0">
        <w:rPr>
          <w:rFonts w:ascii="Simplified Arabic" w:eastAsia="Times New Roman" w:hAnsi="Simplified Arabic" w:cs="Simplified Arabic"/>
          <w:color w:val="000000" w:themeColor="text1"/>
          <w:kern w:val="0"/>
          <w:sz w:val="28"/>
          <w:szCs w:val="28"/>
          <w14:ligatures w14:val="none"/>
        </w:rPr>
        <w:t>.</w:t>
      </w:r>
    </w:p>
    <w:p w14:paraId="22283BE1" w14:textId="77777777"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إعادة الهيكلة التنظيمية تُعرّف إجرائياً بأنها إعادة تصميم البنية الإدارية للمؤسسة المبحوثة من حيث تقسيماتها الوظيفية ومستوياتها الإدارية وتوزيع الصلاحيات وتبسيط الإجراءات، وتُقاس بالفقرات المخصصة لهذا البعد في أداة الدراسة</w:t>
      </w:r>
      <w:r w:rsidRPr="008C68C0">
        <w:rPr>
          <w:rFonts w:ascii="Simplified Arabic" w:eastAsia="Times New Roman" w:hAnsi="Simplified Arabic" w:cs="Simplified Arabic"/>
          <w:color w:val="000000" w:themeColor="text1"/>
          <w:kern w:val="0"/>
          <w:sz w:val="28"/>
          <w:szCs w:val="28"/>
          <w14:ligatures w14:val="none"/>
        </w:rPr>
        <w:t>.</w:t>
      </w:r>
    </w:p>
    <w:p w14:paraId="7C8DDB1C" w14:textId="77777777"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التحول الرقمي يُعرّف إجرائياً بأنه تبني المؤسسة المبحوثة للتقنيات الرقمية الحديثة في تنفيذ عملياتها الداخلية وتقديم خدماتها للمستفيدين، ويشمل رقمنة الإجراءات وأتمتة العمليات وتطوير المنصات الإلكترونية، ويُقاس بالفقرات المخصصة لهذا البعد</w:t>
      </w:r>
      <w:r w:rsidRPr="008C68C0">
        <w:rPr>
          <w:rFonts w:ascii="Simplified Arabic" w:eastAsia="Times New Roman" w:hAnsi="Simplified Arabic" w:cs="Simplified Arabic"/>
          <w:color w:val="000000" w:themeColor="text1"/>
          <w:kern w:val="0"/>
          <w:sz w:val="28"/>
          <w:szCs w:val="28"/>
          <w14:ligatures w14:val="none"/>
        </w:rPr>
        <w:t>.</w:t>
      </w:r>
    </w:p>
    <w:p w14:paraId="691BC019" w14:textId="77777777"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تطوير الثقافة المؤسسية يُعرّف إجرائياً بأنه تعزيز منظومة القيم والممارسات التي تدعم التغيير والابتكار والتوجه نحو خدمة المستفيد داخل المؤسسة المبحوثة، ويُقاس بالفقرات المخصصة لهذا البعد</w:t>
      </w:r>
      <w:r w:rsidRPr="008C68C0">
        <w:rPr>
          <w:rFonts w:ascii="Simplified Arabic" w:eastAsia="Times New Roman" w:hAnsi="Simplified Arabic" w:cs="Simplified Arabic"/>
          <w:color w:val="000000" w:themeColor="text1"/>
          <w:kern w:val="0"/>
          <w:sz w:val="28"/>
          <w:szCs w:val="28"/>
          <w14:ligatures w14:val="none"/>
        </w:rPr>
        <w:t>.</w:t>
      </w:r>
    </w:p>
    <w:p w14:paraId="68A573E5" w14:textId="77777777"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تمكين الموارد البشرية يُعرّف إجرائياً بأنه الاستثمار في تطوير قدرات العاملين في المؤسسة المبحوثة من خلال التدريب والتأهيل وتفويض الصلاحيات والمشاركة في صنع القرار، ويُقاس بالفقرات المخصصة لهذا البعد</w:t>
      </w:r>
      <w:r w:rsidRPr="008C68C0">
        <w:rPr>
          <w:rFonts w:ascii="Simplified Arabic" w:eastAsia="Times New Roman" w:hAnsi="Simplified Arabic" w:cs="Simplified Arabic"/>
          <w:color w:val="000000" w:themeColor="text1"/>
          <w:kern w:val="0"/>
          <w:sz w:val="28"/>
          <w:szCs w:val="28"/>
          <w14:ligatures w14:val="none"/>
        </w:rPr>
        <w:t>.</w:t>
      </w:r>
    </w:p>
    <w:p w14:paraId="2E5BF8DA" w14:textId="77777777" w:rsidR="001B46EC" w:rsidRPr="008C68C0" w:rsidRDefault="001B46EC"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تطوير كفاءة الخدمات العامة يُعرّف إجرائياً بأنه تحسين جودة الخدمات التي تقدمها المؤسسة المبحوثة لمستفيديها من حيث سرعة الإنجاز ودقة الأداء وسهولة الوصول والاستجابة وترشيد الموارد، ويُقاس من خلال استجابات أفراد العينة على فقرات المحور المخصص لهذا المتغير في الاستبانة</w:t>
      </w:r>
      <w:r w:rsidRPr="008C68C0">
        <w:rPr>
          <w:rFonts w:ascii="Simplified Arabic" w:eastAsia="Times New Roman" w:hAnsi="Simplified Arabic" w:cs="Simplified Arabic"/>
          <w:color w:val="000000" w:themeColor="text1"/>
          <w:kern w:val="0"/>
          <w:sz w:val="28"/>
          <w:szCs w:val="28"/>
          <w14:ligatures w14:val="none"/>
        </w:rPr>
        <w:t>.</w:t>
      </w:r>
    </w:p>
    <w:p w14:paraId="34B40D28" w14:textId="57DF3DE4" w:rsidR="007A7419" w:rsidRPr="008C68C0" w:rsidRDefault="007A7419" w:rsidP="007A74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6"/>
      <w:bookmarkStart w:id="18" w:name="_Toc223210632"/>
      <w:bookmarkStart w:id="19" w:name="_Toc233212263"/>
      <w:bookmarkEnd w:id="15"/>
      <w:r w:rsidRPr="008C68C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9"/>
    </w:p>
    <w:p w14:paraId="5E8200DE"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باعتباره الأنسب لطبيعة الدراسة وأهدافها، إذ يُمكّن هذا المنهج من وصف الظاهرة محل الدراسة وصفاً دقيقاً من خلال جمع البيانات والمعلومات وتحليلها وتفسيرها للوصول إلى استنتاجات علمية مبنية على أسس موضوعية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وسيُستخدم هذا المنهج في الجانب النظري لبناء الإطار المفاهيمي للدراسة من خلال مراجعة الأدبيات والدراسات السابقة ذات الصلة بالتحول المؤسسي وتطوير كفاءة الخدمات العامة، والاستناد إلى الكتب والمراجع العلمية والدوريات المحكّمة والرسائل الجامعية العربية والأجنبية</w:t>
      </w:r>
      <w:r w:rsidRPr="008C68C0">
        <w:rPr>
          <w:rFonts w:ascii="Simplified Arabic" w:eastAsia="Times New Roman" w:hAnsi="Simplified Arabic" w:cs="Simplified Arabic"/>
          <w:color w:val="000000" w:themeColor="text1"/>
          <w:kern w:val="0"/>
          <w:sz w:val="28"/>
          <w:szCs w:val="28"/>
          <w14:ligatures w14:val="none"/>
        </w:rPr>
        <w:t>.</w:t>
      </w:r>
    </w:p>
    <w:p w14:paraId="3C684095"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وفي الجانب التطبيقي، ستتبنى الدراسة الأسلوب الكمي من خلال تصميم استبانة كأداة رئيسية لجمع البيانات الأولية من أفراد عينة الدراسة، وذلك لاختبار فروض الدراسة والإجابة عن تساؤلاتها. وسيُعتمد على تحليل الانحدار البسيط والمتعدد لقياس أثر أبعاد المتغير المستقل على المتغير التابع، فضلاً عن استخدام معامل الارتباط لتحديد طبيعة العلاقة بين المتغيرات، مما يتيح تقديم نتائج دقيقة وتوصيات قابلة للتطبيق تسهم في تعزيز التحول المؤسسي ورفع كفاءة الخدمات العامة في الجهة محل الدراسة</w:t>
      </w:r>
      <w:r w:rsidRPr="008C68C0">
        <w:rPr>
          <w:rFonts w:ascii="Simplified Arabic" w:eastAsia="Times New Roman" w:hAnsi="Simplified Arabic" w:cs="Simplified Arabic"/>
          <w:color w:val="000000" w:themeColor="text1"/>
          <w:kern w:val="0"/>
          <w:sz w:val="28"/>
          <w:szCs w:val="28"/>
          <w14:ligatures w14:val="none"/>
        </w:rPr>
        <w:t>.</w:t>
      </w:r>
    </w:p>
    <w:p w14:paraId="517FFA45" w14:textId="5772B13D" w:rsidR="009B059D" w:rsidRPr="008C68C0" w:rsidRDefault="007A7419" w:rsidP="007A74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0" w:name="_Toc233212264"/>
      <w:r w:rsidRPr="008C68C0">
        <w:rPr>
          <w:rFonts w:ascii="Simplified Arabic" w:eastAsia="Times New Roman" w:hAnsi="Simplified Arabic" w:cs="Simplified Arabic" w:hint="cs"/>
          <w:b/>
          <w:bCs/>
          <w:color w:val="000000" w:themeColor="text1"/>
          <w:kern w:val="36"/>
          <w:sz w:val="36"/>
          <w:szCs w:val="36"/>
          <w:rtl/>
          <w14:ligatures w14:val="none"/>
        </w:rPr>
        <w:lastRenderedPageBreak/>
        <w:t xml:space="preserve">11.1 </w:t>
      </w:r>
      <w:r w:rsidR="009B059D" w:rsidRPr="008C68C0">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0"/>
    </w:p>
    <w:p w14:paraId="35B1084D"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الجهة الحكومية محل الدراسة والبالغ عددهم (850) موظفاً وموظفة، ممن يشغلون مختلف المستويات الإدارية (الإدارة العليا، الإدارة الوسطى، الإدارة التنفيذية)، وذلك لما لهم من علاقة مباشرة بعمليات التحول المؤسسي وتقديم الخدمات العامة. وقد تم اختيار هذا المجتمع تحديداً لكونه يمثل بيئة تنظيمية تشهد تحولات مؤسسية متسارعة في ظل التغيرات التنظيمية الراهنة، مما يجعله سياقاً ملائماً لاختبار العلاقة بين متغيرات الدراسة</w:t>
      </w:r>
      <w:r w:rsidRPr="008C68C0">
        <w:rPr>
          <w:rFonts w:ascii="Simplified Arabic" w:eastAsia="Times New Roman" w:hAnsi="Simplified Arabic" w:cs="Simplified Arabic"/>
          <w:color w:val="000000" w:themeColor="text1"/>
          <w:kern w:val="0"/>
          <w:sz w:val="28"/>
          <w:szCs w:val="28"/>
          <w14:ligatures w14:val="none"/>
        </w:rPr>
        <w:t>.</w:t>
      </w:r>
    </w:p>
    <w:p w14:paraId="639846A4"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العشوائية الطبقية لضمان تمثيل مختلف المستويات الإدارية تمثيلاً متناسباً، وسيُحدد حجم العينة وفقاً لمعادلة ستيفن ثامبسون</w:t>
      </w:r>
      <w:r w:rsidRPr="008C68C0">
        <w:rPr>
          <w:rFonts w:ascii="Simplified Arabic" w:eastAsia="Times New Roman" w:hAnsi="Simplified Arabic" w:cs="Simplified Arabic"/>
          <w:color w:val="000000" w:themeColor="text1"/>
          <w:kern w:val="0"/>
          <w:sz w:val="28"/>
          <w:szCs w:val="28"/>
          <w14:ligatures w14:val="none"/>
        </w:rPr>
        <w:t xml:space="preserve"> (Steven Thompson) </w:t>
      </w:r>
      <w:r w:rsidRPr="008C68C0">
        <w:rPr>
          <w:rFonts w:ascii="Simplified Arabic" w:eastAsia="Times New Roman" w:hAnsi="Simplified Arabic" w:cs="Simplified Arabic"/>
          <w:color w:val="000000" w:themeColor="text1"/>
          <w:kern w:val="0"/>
          <w:sz w:val="28"/>
          <w:szCs w:val="28"/>
          <w:rtl/>
          <w14:ligatures w14:val="none"/>
        </w:rPr>
        <w:t>بحيث يبلغ (265) مفردة عند مستوى ثقة (95%) وهامش خطأ (5%). وسيتم توزيع الاستبانات إلكترونياً وورقياً على أفراد العينة، مع مراعاة إضافة نسبة احتياطية لتعويض الفاقد المحتمل في الاستبانات غير المكتملة أو غير الصالحة للتحليل، بحيث يُوزع ما لا يقل عن (300) استبانة لضمان الحصول على الحد الأدنى المطلوب من الاستجابات الصالحة للتحليل الإحصائي</w:t>
      </w:r>
      <w:r w:rsidRPr="008C68C0">
        <w:rPr>
          <w:rFonts w:ascii="Simplified Arabic" w:eastAsia="Times New Roman" w:hAnsi="Simplified Arabic" w:cs="Simplified Arabic"/>
          <w:color w:val="000000" w:themeColor="text1"/>
          <w:kern w:val="0"/>
          <w:sz w:val="28"/>
          <w:szCs w:val="28"/>
          <w14:ligatures w14:val="none"/>
        </w:rPr>
        <w:t>.</w:t>
      </w:r>
    </w:p>
    <w:p w14:paraId="5F9618BB" w14:textId="7EA7542A" w:rsidR="009B059D" w:rsidRPr="008C68C0" w:rsidRDefault="007A7419" w:rsidP="007A74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1" w:name="_Toc233212265"/>
      <w:r w:rsidRPr="008C68C0">
        <w:rPr>
          <w:rFonts w:ascii="Simplified Arabic" w:eastAsia="Times New Roman" w:hAnsi="Simplified Arabic" w:cs="Simplified Arabic" w:hint="cs"/>
          <w:b/>
          <w:bCs/>
          <w:color w:val="000000" w:themeColor="text1"/>
          <w:kern w:val="36"/>
          <w:sz w:val="36"/>
          <w:szCs w:val="36"/>
          <w:rtl/>
          <w14:ligatures w14:val="none"/>
        </w:rPr>
        <w:t xml:space="preserve">12.1 </w:t>
      </w:r>
      <w:r w:rsidR="009B059D" w:rsidRPr="008C68C0">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1"/>
    </w:p>
    <w:p w14:paraId="1C3F98AD" w14:textId="77777777" w:rsidR="009B059D" w:rsidRPr="008C68C0" w:rsidRDefault="009B059D"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جمع البيانات</w:t>
      </w:r>
      <w:r w:rsidRPr="008C68C0">
        <w:rPr>
          <w:rFonts w:ascii="Simplified Arabic" w:eastAsia="Times New Roman" w:hAnsi="Simplified Arabic" w:cs="Simplified Arabic"/>
          <w:b/>
          <w:bCs/>
          <w:color w:val="000000" w:themeColor="text1"/>
          <w:kern w:val="0"/>
          <w:sz w:val="28"/>
          <w:szCs w:val="28"/>
          <w14:ligatures w14:val="none"/>
        </w:rPr>
        <w:t>:</w:t>
      </w:r>
    </w:p>
    <w:p w14:paraId="4ED0D70D" w14:textId="77777777" w:rsidR="009B059D" w:rsidRPr="008C68C0" w:rsidRDefault="009B059D"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أولاً: المصادر الثانوية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(ماجستير ودكتوراه)، والتقارير والوثائق الرسمية، وقواعد البيانات الإلكترونية مثل</w:t>
      </w:r>
      <w:r w:rsidRPr="008C68C0">
        <w:rPr>
          <w:rFonts w:ascii="Simplified Arabic" w:eastAsia="Times New Roman" w:hAnsi="Simplified Arabic" w:cs="Simplified Arabic"/>
          <w:color w:val="000000" w:themeColor="text1"/>
          <w:kern w:val="0"/>
          <w:sz w:val="28"/>
          <w:szCs w:val="28"/>
          <w14:ligatures w14:val="none"/>
        </w:rPr>
        <w:t xml:space="preserve"> (Scopus</w:t>
      </w:r>
      <w:r w:rsidRPr="008C68C0">
        <w:rPr>
          <w:rFonts w:ascii="Simplified Arabic" w:eastAsia="Times New Roman" w:hAnsi="Simplified Arabic" w:cs="Simplified Arabic"/>
          <w:color w:val="000000" w:themeColor="text1"/>
          <w:kern w:val="0"/>
          <w:sz w:val="28"/>
          <w:szCs w:val="28"/>
          <w:rtl/>
          <w14:ligatures w14:val="none"/>
        </w:rPr>
        <w:t xml:space="preserve">، </w:t>
      </w:r>
      <w:r w:rsidRPr="008C68C0">
        <w:rPr>
          <w:rFonts w:ascii="Simplified Arabic" w:eastAsia="Times New Roman" w:hAnsi="Simplified Arabic" w:cs="Simplified Arabic"/>
          <w:color w:val="000000" w:themeColor="text1"/>
          <w:kern w:val="0"/>
          <w:sz w:val="28"/>
          <w:szCs w:val="28"/>
          <w14:ligatures w14:val="none"/>
        </w:rPr>
        <w:t>Web of Science</w:t>
      </w:r>
      <w:r w:rsidRPr="008C68C0">
        <w:rPr>
          <w:rFonts w:ascii="Simplified Arabic" w:eastAsia="Times New Roman" w:hAnsi="Simplified Arabic" w:cs="Simplified Arabic"/>
          <w:color w:val="000000" w:themeColor="text1"/>
          <w:kern w:val="0"/>
          <w:sz w:val="28"/>
          <w:szCs w:val="28"/>
          <w:rtl/>
          <w14:ligatures w14:val="none"/>
        </w:rPr>
        <w:t xml:space="preserve">، </w:t>
      </w:r>
      <w:r w:rsidRPr="008C68C0">
        <w:rPr>
          <w:rFonts w:ascii="Simplified Arabic" w:eastAsia="Times New Roman" w:hAnsi="Simplified Arabic" w:cs="Simplified Arabic"/>
          <w:color w:val="000000" w:themeColor="text1"/>
          <w:kern w:val="0"/>
          <w:sz w:val="28"/>
          <w:szCs w:val="28"/>
          <w14:ligatures w14:val="none"/>
        </w:rPr>
        <w:t>Google Scholar</w:t>
      </w:r>
      <w:r w:rsidRPr="008C68C0">
        <w:rPr>
          <w:rFonts w:ascii="Simplified Arabic" w:eastAsia="Times New Roman" w:hAnsi="Simplified Arabic" w:cs="Simplified Arabic"/>
          <w:color w:val="000000" w:themeColor="text1"/>
          <w:kern w:val="0"/>
          <w:sz w:val="28"/>
          <w:szCs w:val="28"/>
          <w:rtl/>
          <w14:ligatures w14:val="none"/>
        </w:rPr>
        <w:t>، المنظومة، المنهل)، وذلك لبناء الإطار النظري للدراسة والاطلاع على الدراسات السابقة ذات الصلة</w:t>
      </w:r>
      <w:r w:rsidRPr="008C68C0">
        <w:rPr>
          <w:rFonts w:ascii="Simplified Arabic" w:eastAsia="Times New Roman" w:hAnsi="Simplified Arabic" w:cs="Simplified Arabic"/>
          <w:color w:val="000000" w:themeColor="text1"/>
          <w:kern w:val="0"/>
          <w:sz w:val="28"/>
          <w:szCs w:val="28"/>
          <w14:ligatures w14:val="none"/>
        </w:rPr>
        <w:t>.</w:t>
      </w:r>
    </w:p>
    <w:p w14:paraId="3CD6DC06" w14:textId="77777777" w:rsidR="009B059D" w:rsidRPr="008C68C0" w:rsidRDefault="009B059D" w:rsidP="007A741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ثانياً: المصادر الأولية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وتتمثل في الاستبانة التي ستُصمم خصيصاً لأغراض هذه الدراسة كأداة رئيسية لجمع البيانات الميدانية من أفراد عينة الدراسة، وذلك للإجابة عن أسئلة الدراسة واختبار فروضها</w:t>
      </w:r>
      <w:r w:rsidRPr="008C68C0">
        <w:rPr>
          <w:rFonts w:ascii="Simplified Arabic" w:eastAsia="Times New Roman" w:hAnsi="Simplified Arabic" w:cs="Simplified Arabic"/>
          <w:color w:val="000000" w:themeColor="text1"/>
          <w:kern w:val="0"/>
          <w:sz w:val="28"/>
          <w:szCs w:val="28"/>
          <w14:ligatures w14:val="none"/>
        </w:rPr>
        <w:t>.</w:t>
      </w:r>
    </w:p>
    <w:p w14:paraId="0199F9C7" w14:textId="4158E3DE" w:rsidR="009B059D" w:rsidRPr="008C68C0" w:rsidRDefault="007A7419" w:rsidP="007A74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2" w:name="_Toc233212266"/>
      <w:r w:rsidRPr="008C68C0">
        <w:rPr>
          <w:rFonts w:ascii="Simplified Arabic" w:eastAsia="Times New Roman" w:hAnsi="Simplified Arabic" w:cs="Simplified Arabic" w:hint="cs"/>
          <w:b/>
          <w:bCs/>
          <w:color w:val="000000" w:themeColor="text1"/>
          <w:kern w:val="36"/>
          <w:sz w:val="36"/>
          <w:szCs w:val="36"/>
          <w:rtl/>
          <w14:ligatures w14:val="none"/>
        </w:rPr>
        <w:t xml:space="preserve">13.1 </w:t>
      </w:r>
      <w:r w:rsidR="009B059D" w:rsidRPr="008C68C0">
        <w:rPr>
          <w:rFonts w:ascii="Simplified Arabic" w:eastAsia="Times New Roman" w:hAnsi="Simplified Arabic" w:cs="Simplified Arabic"/>
          <w:b/>
          <w:bCs/>
          <w:color w:val="000000" w:themeColor="text1"/>
          <w:kern w:val="36"/>
          <w:sz w:val="36"/>
          <w:szCs w:val="36"/>
          <w:rtl/>
          <w14:ligatures w14:val="none"/>
        </w:rPr>
        <w:t>أداة الدراسة</w:t>
      </w:r>
      <w:bookmarkEnd w:id="22"/>
    </w:p>
    <w:p w14:paraId="0B100231"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ستُستخدم الاستبانة أداةً رئيسية لجمع البيانات الأولية، وستتكون من ثلاثة أقسام رئيسية على النحو التالي</w:t>
      </w:r>
      <w:r w:rsidRPr="008C68C0">
        <w:rPr>
          <w:rFonts w:ascii="Simplified Arabic" w:eastAsia="Times New Roman" w:hAnsi="Simplified Arabic" w:cs="Simplified Arabic"/>
          <w:color w:val="000000" w:themeColor="text1"/>
          <w:kern w:val="0"/>
          <w:sz w:val="28"/>
          <w:szCs w:val="28"/>
          <w14:ligatures w14:val="none"/>
        </w:rPr>
        <w:t>:</w:t>
      </w:r>
    </w:p>
    <w:p w14:paraId="0030BC71"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القسم الأول</w:t>
      </w:r>
      <w:r w:rsidRPr="008C68C0">
        <w:rPr>
          <w:rFonts w:ascii="Simplified Arabic" w:eastAsia="Times New Roman" w:hAnsi="Simplified Arabic" w:cs="Simplified Arabic"/>
          <w:color w:val="000000" w:themeColor="text1"/>
          <w:kern w:val="0"/>
          <w:sz w:val="28"/>
          <w:szCs w:val="28"/>
          <w:rtl/>
          <w14:ligatures w14:val="none"/>
        </w:rPr>
        <w:t>: البيانات الديموغرافية، ويشمل المتغيرات الشخصية والوظيفية لأفراد العينة (النوع، المؤهل العلمي، سنوات الخبرة، المستوى الوظيفي)</w:t>
      </w:r>
      <w:r w:rsidRPr="008C68C0">
        <w:rPr>
          <w:rFonts w:ascii="Simplified Arabic" w:eastAsia="Times New Roman" w:hAnsi="Simplified Arabic" w:cs="Simplified Arabic"/>
          <w:color w:val="000000" w:themeColor="text1"/>
          <w:kern w:val="0"/>
          <w:sz w:val="28"/>
          <w:szCs w:val="28"/>
          <w14:ligatures w14:val="none"/>
        </w:rPr>
        <w:t>.</w:t>
      </w:r>
    </w:p>
    <w:p w14:paraId="68B9E139"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القسم الثاني</w:t>
      </w:r>
      <w:r w:rsidRPr="008C68C0">
        <w:rPr>
          <w:rFonts w:ascii="Simplified Arabic" w:eastAsia="Times New Roman" w:hAnsi="Simplified Arabic" w:cs="Simplified Arabic"/>
          <w:color w:val="000000" w:themeColor="text1"/>
          <w:kern w:val="0"/>
          <w:sz w:val="28"/>
          <w:szCs w:val="28"/>
          <w:rtl/>
          <w14:ligatures w14:val="none"/>
        </w:rPr>
        <w:t>: محاور المتغير المستقل (التحول المؤسسي)، ويتضمن أربعة محاور فرعية هي</w:t>
      </w:r>
      <w:r w:rsidRPr="008C68C0">
        <w:rPr>
          <w:rFonts w:ascii="Simplified Arabic" w:eastAsia="Times New Roman" w:hAnsi="Simplified Arabic" w:cs="Simplified Arabic"/>
          <w:color w:val="000000" w:themeColor="text1"/>
          <w:kern w:val="0"/>
          <w:sz w:val="28"/>
          <w:szCs w:val="28"/>
          <w14:ligatures w14:val="none"/>
        </w:rPr>
        <w:t>:</w:t>
      </w:r>
    </w:p>
    <w:p w14:paraId="3E0249AC" w14:textId="77777777" w:rsidR="009B059D" w:rsidRPr="008C68C0" w:rsidRDefault="009B059D" w:rsidP="00815695">
      <w:pPr>
        <w:numPr>
          <w:ilvl w:val="0"/>
          <w:numId w:val="3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المحور الأول: إعادة الهيكلة التنظيمية، ويتكون من (4) فقرات</w:t>
      </w:r>
      <w:r w:rsidRPr="008C68C0">
        <w:rPr>
          <w:rFonts w:ascii="Simplified Arabic" w:eastAsia="Times New Roman" w:hAnsi="Simplified Arabic" w:cs="Simplified Arabic"/>
          <w:color w:val="000000" w:themeColor="text1"/>
          <w:kern w:val="0"/>
          <w:sz w:val="28"/>
          <w:szCs w:val="28"/>
          <w14:ligatures w14:val="none"/>
        </w:rPr>
        <w:t>.</w:t>
      </w:r>
    </w:p>
    <w:p w14:paraId="78D1229F" w14:textId="77777777" w:rsidR="009B059D" w:rsidRPr="008C68C0" w:rsidRDefault="009B059D" w:rsidP="00815695">
      <w:pPr>
        <w:numPr>
          <w:ilvl w:val="0"/>
          <w:numId w:val="3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المحور الثاني: التحول الرقمي، ويتكون من (4) فقرات</w:t>
      </w:r>
      <w:r w:rsidRPr="008C68C0">
        <w:rPr>
          <w:rFonts w:ascii="Simplified Arabic" w:eastAsia="Times New Roman" w:hAnsi="Simplified Arabic" w:cs="Simplified Arabic"/>
          <w:color w:val="000000" w:themeColor="text1"/>
          <w:kern w:val="0"/>
          <w:sz w:val="28"/>
          <w:szCs w:val="28"/>
          <w14:ligatures w14:val="none"/>
        </w:rPr>
        <w:t>.</w:t>
      </w:r>
    </w:p>
    <w:p w14:paraId="0A2A377C" w14:textId="77777777" w:rsidR="009B059D" w:rsidRPr="008C68C0" w:rsidRDefault="009B059D" w:rsidP="00815695">
      <w:pPr>
        <w:numPr>
          <w:ilvl w:val="0"/>
          <w:numId w:val="3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المحور الثالث: تطوير الثقافة المؤسسية، ويتكون من (4) فقرات</w:t>
      </w:r>
      <w:r w:rsidRPr="008C68C0">
        <w:rPr>
          <w:rFonts w:ascii="Simplified Arabic" w:eastAsia="Times New Roman" w:hAnsi="Simplified Arabic" w:cs="Simplified Arabic"/>
          <w:color w:val="000000" w:themeColor="text1"/>
          <w:kern w:val="0"/>
          <w:sz w:val="28"/>
          <w:szCs w:val="28"/>
          <w14:ligatures w14:val="none"/>
        </w:rPr>
        <w:t>.</w:t>
      </w:r>
    </w:p>
    <w:p w14:paraId="481F46AA" w14:textId="1AD33A7C" w:rsidR="009B059D" w:rsidRPr="008C68C0" w:rsidRDefault="009B059D" w:rsidP="007A7419">
      <w:pPr>
        <w:numPr>
          <w:ilvl w:val="0"/>
          <w:numId w:val="3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المحور الرابع: تمكين الموارد البشرية، ويتكون من (4) فقرات</w:t>
      </w:r>
      <w:r w:rsidRPr="008C68C0">
        <w:rPr>
          <w:rFonts w:ascii="Simplified Arabic" w:eastAsia="Times New Roman" w:hAnsi="Simplified Arabic" w:cs="Simplified Arabic"/>
          <w:color w:val="000000" w:themeColor="text1"/>
          <w:kern w:val="0"/>
          <w:sz w:val="28"/>
          <w:szCs w:val="28"/>
          <w14:ligatures w14:val="none"/>
        </w:rPr>
        <w:t>.</w:t>
      </w:r>
      <w:r w:rsidR="007A7419" w:rsidRPr="008C68C0">
        <w:rPr>
          <w:rFonts w:ascii="Simplified Arabic" w:eastAsia="Times New Roman" w:hAnsi="Simplified Arabic" w:cs="Simplified Arabic" w:hint="cs"/>
          <w:color w:val="000000" w:themeColor="text1"/>
          <w:kern w:val="0"/>
          <w:sz w:val="28"/>
          <w:szCs w:val="28"/>
          <w:rtl/>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وبذلك يبلغ إجمالي فقرات المتغير المستقل (16) فقرة</w:t>
      </w:r>
      <w:r w:rsidRPr="008C68C0">
        <w:rPr>
          <w:rFonts w:ascii="Simplified Arabic" w:eastAsia="Times New Roman" w:hAnsi="Simplified Arabic" w:cs="Simplified Arabic"/>
          <w:color w:val="000000" w:themeColor="text1"/>
          <w:kern w:val="0"/>
          <w:sz w:val="28"/>
          <w:szCs w:val="28"/>
          <w14:ligatures w14:val="none"/>
        </w:rPr>
        <w:t>.</w:t>
      </w:r>
    </w:p>
    <w:p w14:paraId="72E6B6F4"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القسم الثالث</w:t>
      </w:r>
      <w:r w:rsidRPr="008C68C0">
        <w:rPr>
          <w:rFonts w:ascii="Simplified Arabic" w:eastAsia="Times New Roman" w:hAnsi="Simplified Arabic" w:cs="Simplified Arabic"/>
          <w:color w:val="000000" w:themeColor="text1"/>
          <w:kern w:val="0"/>
          <w:sz w:val="28"/>
          <w:szCs w:val="28"/>
          <w:rtl/>
          <w14:ligatures w14:val="none"/>
        </w:rPr>
        <w:t>: المتغير التابع (تطوير كفاءة الخدمات العامة)، وهو محور أحادي يتكون من (10) فقرات</w:t>
      </w:r>
      <w:r w:rsidRPr="008C68C0">
        <w:rPr>
          <w:rFonts w:ascii="Simplified Arabic" w:eastAsia="Times New Roman" w:hAnsi="Simplified Arabic" w:cs="Simplified Arabic"/>
          <w:color w:val="000000" w:themeColor="text1"/>
          <w:kern w:val="0"/>
          <w:sz w:val="28"/>
          <w:szCs w:val="28"/>
          <w14:ligatures w14:val="none"/>
        </w:rPr>
        <w:t>.</w:t>
      </w:r>
    </w:p>
    <w:p w14:paraId="1805AE9F"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بخلاف البيانات الديموغرافية، وسيُعتمد مقياس ليكرت الخماسي (موافق بشدة</w:t>
      </w:r>
      <w:r w:rsidRPr="008C68C0">
        <w:rPr>
          <w:rFonts w:ascii="Simplified Arabic" w:eastAsia="Times New Roman" w:hAnsi="Simplified Arabic" w:cs="Simplified Arabic"/>
          <w:color w:val="000000" w:themeColor="text1"/>
          <w:kern w:val="0"/>
          <w:sz w:val="28"/>
          <w:szCs w:val="28"/>
          <w14:ligatures w14:val="none"/>
        </w:rPr>
        <w:t xml:space="preserve"> = 5</w:t>
      </w:r>
      <w:r w:rsidRPr="008C68C0">
        <w:rPr>
          <w:rFonts w:ascii="Simplified Arabic" w:eastAsia="Times New Roman" w:hAnsi="Simplified Arabic" w:cs="Simplified Arabic"/>
          <w:color w:val="000000" w:themeColor="text1"/>
          <w:kern w:val="0"/>
          <w:sz w:val="28"/>
          <w:szCs w:val="28"/>
          <w:rtl/>
          <w14:ligatures w14:val="none"/>
        </w:rPr>
        <w:t>، موافق = 4، محايد = 3، غير موافق = 2، غير موافق بشدة = 1) لقياس استجابات أفراد العينة. كما سيتم التحقق من صدق الأداة من خلال الصدق الظاهري (عرضها على مجموعة من المحكّمين المتخصصين) والصدق البنائي (باستخدام معامل ارتباط بيرسون)، والتحقق من ثباتها باستخدام معامل ألفا كرونباخ</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Cronbach's</w:t>
      </w:r>
      <w:proofErr w:type="spellEnd"/>
      <w:r w:rsidRPr="008C68C0">
        <w:rPr>
          <w:rFonts w:ascii="Simplified Arabic" w:eastAsia="Times New Roman" w:hAnsi="Simplified Arabic" w:cs="Simplified Arabic"/>
          <w:color w:val="000000" w:themeColor="text1"/>
          <w:kern w:val="0"/>
          <w:sz w:val="28"/>
          <w:szCs w:val="28"/>
          <w14:ligatures w14:val="none"/>
        </w:rPr>
        <w:t xml:space="preserve"> Alpha).</w:t>
      </w:r>
    </w:p>
    <w:p w14:paraId="44B50ECC" w14:textId="29652936" w:rsidR="009B059D" w:rsidRPr="008C68C0" w:rsidRDefault="007A7419" w:rsidP="007A74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33212267"/>
      <w:r w:rsidRPr="008C68C0">
        <w:rPr>
          <w:rFonts w:ascii="Simplified Arabic" w:eastAsia="Times New Roman" w:hAnsi="Simplified Arabic" w:cs="Simplified Arabic" w:hint="cs"/>
          <w:b/>
          <w:bCs/>
          <w:color w:val="000000" w:themeColor="text1"/>
          <w:kern w:val="36"/>
          <w:sz w:val="36"/>
          <w:szCs w:val="36"/>
          <w:rtl/>
          <w14:ligatures w14:val="none"/>
        </w:rPr>
        <w:t xml:space="preserve">14.1 </w:t>
      </w:r>
      <w:r w:rsidR="009B059D" w:rsidRPr="008C68C0">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3"/>
    </w:p>
    <w:p w14:paraId="71057535" w14:textId="77777777" w:rsidR="009B059D" w:rsidRPr="008C68C0" w:rsidRDefault="009B059D" w:rsidP="007A74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الحزمة الإحصائية للعلوم الاجتماعية</w:t>
      </w:r>
      <w:r w:rsidRPr="008C68C0">
        <w:rPr>
          <w:rFonts w:ascii="Simplified Arabic" w:eastAsia="Times New Roman" w:hAnsi="Simplified Arabic" w:cs="Simplified Arabic"/>
          <w:color w:val="000000" w:themeColor="text1"/>
          <w:kern w:val="0"/>
          <w:sz w:val="28"/>
          <w:szCs w:val="28"/>
          <w14:ligatures w14:val="none"/>
        </w:rPr>
        <w:t xml:space="preserve"> (SPSS)</w:t>
      </w:r>
      <w:r w:rsidRPr="008C68C0">
        <w:rPr>
          <w:rFonts w:ascii="Simplified Arabic" w:eastAsia="Times New Roman" w:hAnsi="Simplified Arabic" w:cs="Simplified Arabic"/>
          <w:color w:val="000000" w:themeColor="text1"/>
          <w:kern w:val="0"/>
          <w:sz w:val="28"/>
          <w:szCs w:val="28"/>
          <w:rtl/>
          <w14:ligatures w14:val="none"/>
        </w:rPr>
        <w:t>، وستُوظف الأساليب الإحصائية التالية</w:t>
      </w:r>
      <w:r w:rsidRPr="008C68C0">
        <w:rPr>
          <w:rFonts w:ascii="Simplified Arabic" w:eastAsia="Times New Roman" w:hAnsi="Simplified Arabic" w:cs="Simplified Arabic"/>
          <w:color w:val="000000" w:themeColor="text1"/>
          <w:kern w:val="0"/>
          <w:sz w:val="28"/>
          <w:szCs w:val="28"/>
          <w14:ligatures w14:val="none"/>
        </w:rPr>
        <w:t>:</w:t>
      </w:r>
    </w:p>
    <w:p w14:paraId="796E6EEE" w14:textId="77777777" w:rsidR="009B059D" w:rsidRPr="008C68C0" w:rsidRDefault="009B059D" w:rsidP="007A7419">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8C68C0">
        <w:rPr>
          <w:rFonts w:ascii="Simplified Arabic" w:eastAsia="Times New Roman" w:hAnsi="Simplified Arabic" w:cs="Simplified Arabic"/>
          <w:color w:val="000000" w:themeColor="text1"/>
          <w:kern w:val="0"/>
          <w:sz w:val="28"/>
          <w:szCs w:val="28"/>
          <w14:ligatures w14:val="none"/>
        </w:rPr>
        <w:t>.</w:t>
      </w:r>
    </w:p>
    <w:p w14:paraId="1CA2AA42" w14:textId="77777777" w:rsidR="009B059D" w:rsidRPr="008C68C0" w:rsidRDefault="009B059D" w:rsidP="007A7419">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المتوسطات الحسابية والانحرافات المعيارية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الدراسة وترتيب الفقرات والأبعاد حسب أهميتها النسبية</w:t>
      </w:r>
      <w:r w:rsidRPr="008C68C0">
        <w:rPr>
          <w:rFonts w:ascii="Simplified Arabic" w:eastAsia="Times New Roman" w:hAnsi="Simplified Arabic" w:cs="Simplified Arabic"/>
          <w:color w:val="000000" w:themeColor="text1"/>
          <w:kern w:val="0"/>
          <w:sz w:val="28"/>
          <w:szCs w:val="28"/>
          <w14:ligatures w14:val="none"/>
        </w:rPr>
        <w:t>.</w:t>
      </w:r>
    </w:p>
    <w:p w14:paraId="276A5AF4" w14:textId="77777777" w:rsidR="009B059D" w:rsidRPr="008C68C0" w:rsidRDefault="009B059D" w:rsidP="007A7419">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معامل ارتباط بيرسون</w:t>
      </w:r>
      <w:r w:rsidRPr="008C68C0">
        <w:rPr>
          <w:rFonts w:ascii="Simplified Arabic" w:eastAsia="Times New Roman" w:hAnsi="Simplified Arabic" w:cs="Simplified Arabic"/>
          <w:color w:val="000000" w:themeColor="text1"/>
          <w:kern w:val="0"/>
          <w:sz w:val="28"/>
          <w:szCs w:val="28"/>
          <w14:ligatures w14:val="none"/>
        </w:rPr>
        <w:t xml:space="preserve"> (Pearson Correlation): </w:t>
      </w:r>
      <w:r w:rsidRPr="008C68C0">
        <w:rPr>
          <w:rFonts w:ascii="Simplified Arabic" w:eastAsia="Times New Roman" w:hAnsi="Simplified Arabic" w:cs="Simplified Arabic"/>
          <w:color w:val="000000" w:themeColor="text1"/>
          <w:kern w:val="0"/>
          <w:sz w:val="28"/>
          <w:szCs w:val="28"/>
          <w:rtl/>
          <w14:ligatures w14:val="none"/>
        </w:rPr>
        <w:t>لقياس طبيعة العلاقة الارتباطية وقوتها واتجاهها بين أبعاد المتغير المستقل والمتغير التابع</w:t>
      </w:r>
      <w:r w:rsidRPr="008C68C0">
        <w:rPr>
          <w:rFonts w:ascii="Simplified Arabic" w:eastAsia="Times New Roman" w:hAnsi="Simplified Arabic" w:cs="Simplified Arabic"/>
          <w:color w:val="000000" w:themeColor="text1"/>
          <w:kern w:val="0"/>
          <w:sz w:val="28"/>
          <w:szCs w:val="28"/>
          <w14:ligatures w14:val="none"/>
        </w:rPr>
        <w:t>.</w:t>
      </w:r>
    </w:p>
    <w:p w14:paraId="3630063A" w14:textId="77777777" w:rsidR="009B059D" w:rsidRPr="008C68C0" w:rsidRDefault="009B059D" w:rsidP="007A7419">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تحليل الانحدار البسيط</w:t>
      </w:r>
      <w:r w:rsidRPr="008C68C0">
        <w:rPr>
          <w:rFonts w:ascii="Simplified Arabic" w:eastAsia="Times New Roman" w:hAnsi="Simplified Arabic" w:cs="Simplified Arabic"/>
          <w:color w:val="000000" w:themeColor="text1"/>
          <w:kern w:val="0"/>
          <w:sz w:val="28"/>
          <w:szCs w:val="28"/>
          <w14:ligatures w14:val="none"/>
        </w:rPr>
        <w:t xml:space="preserve"> (Simple Regression): </w:t>
      </w:r>
      <w:r w:rsidRPr="008C68C0">
        <w:rPr>
          <w:rFonts w:ascii="Simplified Arabic" w:eastAsia="Times New Roman" w:hAnsi="Simplified Arabic" w:cs="Simplified Arabic"/>
          <w:color w:val="000000" w:themeColor="text1"/>
          <w:kern w:val="0"/>
          <w:sz w:val="28"/>
          <w:szCs w:val="28"/>
          <w:rtl/>
          <w14:ligatures w14:val="none"/>
        </w:rPr>
        <w:t>لقياس أثر كل بُعد من أبعاد التحول المؤسسي على حدة على تطوير كفاءة الخدمات العامة</w:t>
      </w:r>
      <w:r w:rsidRPr="008C68C0">
        <w:rPr>
          <w:rFonts w:ascii="Simplified Arabic" w:eastAsia="Times New Roman" w:hAnsi="Simplified Arabic" w:cs="Simplified Arabic"/>
          <w:color w:val="000000" w:themeColor="text1"/>
          <w:kern w:val="0"/>
          <w:sz w:val="28"/>
          <w:szCs w:val="28"/>
          <w14:ligatures w14:val="none"/>
        </w:rPr>
        <w:t>.</w:t>
      </w:r>
    </w:p>
    <w:p w14:paraId="6B6BB2C3" w14:textId="77777777" w:rsidR="009B059D" w:rsidRPr="008C68C0" w:rsidRDefault="009B059D" w:rsidP="007A7419">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تحليل الانحدار المتعدد</w:t>
      </w:r>
      <w:r w:rsidRPr="008C68C0">
        <w:rPr>
          <w:rFonts w:ascii="Simplified Arabic" w:eastAsia="Times New Roman" w:hAnsi="Simplified Arabic" w:cs="Simplified Arabic"/>
          <w:color w:val="000000" w:themeColor="text1"/>
          <w:kern w:val="0"/>
          <w:sz w:val="28"/>
          <w:szCs w:val="28"/>
          <w14:ligatures w14:val="none"/>
        </w:rPr>
        <w:t xml:space="preserve"> (Multiple Regression): </w:t>
      </w:r>
      <w:r w:rsidRPr="008C68C0">
        <w:rPr>
          <w:rFonts w:ascii="Simplified Arabic" w:eastAsia="Times New Roman" w:hAnsi="Simplified Arabic" w:cs="Simplified Arabic"/>
          <w:color w:val="000000" w:themeColor="text1"/>
          <w:kern w:val="0"/>
          <w:sz w:val="28"/>
          <w:szCs w:val="28"/>
          <w:rtl/>
          <w14:ligatures w14:val="none"/>
        </w:rPr>
        <w:t>لقياس الأثر المشترك لأبعاد التحول المؤسسي مجتمعةً على تطوير كفاءة الخدمات العامة، وتحديد الأهمية النسبية لكل بُعد في تفسير التباين في المتغير التابع</w:t>
      </w:r>
      <w:r w:rsidRPr="008C68C0">
        <w:rPr>
          <w:rFonts w:ascii="Simplified Arabic" w:eastAsia="Times New Roman" w:hAnsi="Simplified Arabic" w:cs="Simplified Arabic"/>
          <w:color w:val="000000" w:themeColor="text1"/>
          <w:kern w:val="0"/>
          <w:sz w:val="28"/>
          <w:szCs w:val="28"/>
          <w14:ligatures w14:val="none"/>
        </w:rPr>
        <w:t>.</w:t>
      </w:r>
    </w:p>
    <w:p w14:paraId="7FFCDA55" w14:textId="4F7A69DA" w:rsidR="009B059D" w:rsidRPr="008C68C0" w:rsidRDefault="007A7419" w:rsidP="007A74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33212268"/>
      <w:r w:rsidRPr="008C68C0">
        <w:rPr>
          <w:rFonts w:ascii="Simplified Arabic" w:eastAsia="Times New Roman" w:hAnsi="Simplified Arabic" w:cs="Simplified Arabic" w:hint="cs"/>
          <w:b/>
          <w:bCs/>
          <w:color w:val="000000" w:themeColor="text1"/>
          <w:kern w:val="36"/>
          <w:sz w:val="36"/>
          <w:szCs w:val="36"/>
          <w:rtl/>
          <w14:ligatures w14:val="none"/>
        </w:rPr>
        <w:t xml:space="preserve">15.1 </w:t>
      </w:r>
      <w:r w:rsidR="009B059D" w:rsidRPr="008C68C0">
        <w:rPr>
          <w:rFonts w:ascii="Simplified Arabic" w:eastAsia="Times New Roman" w:hAnsi="Simplified Arabic" w:cs="Simplified Arabic"/>
          <w:b/>
          <w:bCs/>
          <w:color w:val="000000" w:themeColor="text1"/>
          <w:kern w:val="36"/>
          <w:sz w:val="36"/>
          <w:szCs w:val="36"/>
          <w:rtl/>
          <w14:ligatures w14:val="none"/>
        </w:rPr>
        <w:t>حدود الدراسة</w:t>
      </w:r>
      <w:bookmarkEnd w:id="24"/>
    </w:p>
    <w:p w14:paraId="2250DBD4" w14:textId="64CCCA51" w:rsidR="009B059D" w:rsidRPr="008C68C0" w:rsidRDefault="009B059D" w:rsidP="007A7419">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الحدود الموضوعية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ستقتصر الدراسة على دراسة أثر التحول المؤسسي بأبعاده الأربعة (إعادة الهيكلة التنظيمية، التحول الرقمي، تطوير الثقافة المؤسسية، تمكين الموارد البشرية</w:t>
      </w:r>
      <w:r w:rsidR="001B46EC" w:rsidRPr="008C68C0">
        <w:rPr>
          <w:rFonts w:ascii="Simplified Arabic" w:eastAsia="Times New Roman" w:hAnsi="Simplified Arabic" w:cs="Simplified Arabic"/>
          <w:color w:val="000000" w:themeColor="text1"/>
          <w:kern w:val="0"/>
          <w:sz w:val="28"/>
          <w:szCs w:val="28"/>
          <w:rtl/>
          <w14:ligatures w14:val="none"/>
        </w:rPr>
        <w:t>)</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على تطوير كفاءة الخدمات العامة، دون التطرق إلى أبعاد أخرى قد تكون ذات صلة بالتحول المؤسسي</w:t>
      </w:r>
      <w:r w:rsidRPr="008C68C0">
        <w:rPr>
          <w:rFonts w:ascii="Simplified Arabic" w:eastAsia="Times New Roman" w:hAnsi="Simplified Arabic" w:cs="Simplified Arabic"/>
          <w:color w:val="000000" w:themeColor="text1"/>
          <w:kern w:val="0"/>
          <w:sz w:val="28"/>
          <w:szCs w:val="28"/>
          <w14:ligatures w14:val="none"/>
        </w:rPr>
        <w:t>.</w:t>
      </w:r>
    </w:p>
    <w:p w14:paraId="130E0BB1" w14:textId="2C4E685F" w:rsidR="009B059D" w:rsidRPr="008C68C0" w:rsidRDefault="009B059D" w:rsidP="007A7419">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الحدود المكانية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 xml:space="preserve">ستُطبق الدراسة على الجهة الحكومية </w:t>
      </w:r>
      <w:r w:rsidR="001B46EC" w:rsidRPr="008C68C0">
        <w:rPr>
          <w:rFonts w:ascii="Simplified Arabic" w:eastAsia="Times New Roman" w:hAnsi="Simplified Arabic" w:cs="Simplified Arabic"/>
          <w:color w:val="000000" w:themeColor="text1"/>
          <w:kern w:val="0"/>
          <w:sz w:val="28"/>
          <w:szCs w:val="28"/>
          <w:rtl/>
          <w14:ligatures w14:val="none"/>
        </w:rPr>
        <w:t xml:space="preserve">في المملكة العربية السعودية </w:t>
      </w:r>
      <w:r w:rsidRPr="008C68C0">
        <w:rPr>
          <w:rFonts w:ascii="Simplified Arabic" w:eastAsia="Times New Roman" w:hAnsi="Simplified Arabic" w:cs="Simplified Arabic"/>
          <w:color w:val="000000" w:themeColor="text1"/>
          <w:kern w:val="0"/>
          <w:sz w:val="28"/>
          <w:szCs w:val="28"/>
          <w14:ligatures w14:val="none"/>
        </w:rPr>
        <w:t>.</w:t>
      </w:r>
    </w:p>
    <w:p w14:paraId="1CE33735" w14:textId="77777777" w:rsidR="009B059D" w:rsidRPr="008C68C0" w:rsidRDefault="009B059D" w:rsidP="007A7419">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الحدود البشرية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ستقتصر الدراسة على العاملين في الجهة الحكومية محل الدراسة بمختلف مستوياتهم الإدارية (الإدارة العليا، الإدارة الوسطى، الإدارة التنفيذية)</w:t>
      </w:r>
      <w:r w:rsidRPr="008C68C0">
        <w:rPr>
          <w:rFonts w:ascii="Simplified Arabic" w:eastAsia="Times New Roman" w:hAnsi="Simplified Arabic" w:cs="Simplified Arabic"/>
          <w:color w:val="000000" w:themeColor="text1"/>
          <w:kern w:val="0"/>
          <w:sz w:val="28"/>
          <w:szCs w:val="28"/>
          <w14:ligatures w14:val="none"/>
        </w:rPr>
        <w:t>.</w:t>
      </w:r>
    </w:p>
    <w:p w14:paraId="53C99EAE" w14:textId="77777777" w:rsidR="009B059D" w:rsidRPr="008C68C0" w:rsidRDefault="009B059D" w:rsidP="007A7419">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الحدود الزمنية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العام الدراسي / الميلادي 2025–2026م</w:t>
      </w:r>
      <w:r w:rsidRPr="008C68C0">
        <w:rPr>
          <w:rFonts w:ascii="Simplified Arabic" w:eastAsia="Times New Roman" w:hAnsi="Simplified Arabic" w:cs="Simplified Arabic"/>
          <w:color w:val="000000" w:themeColor="text1"/>
          <w:kern w:val="0"/>
          <w:sz w:val="28"/>
          <w:szCs w:val="28"/>
          <w14:ligatures w14:val="none"/>
        </w:rPr>
        <w:t>.</w:t>
      </w:r>
    </w:p>
    <w:p w14:paraId="78D95C6A" w14:textId="77777777" w:rsidR="009B059D" w:rsidRPr="008C68C0" w:rsidRDefault="009B059D" w:rsidP="007A7419">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8C68C0">
        <w:rPr>
          <w:rFonts w:ascii="Simplified Arabic" w:eastAsia="Times New Roman" w:hAnsi="Simplified Arabic" w:cs="Simplified Arabic"/>
          <w:color w:val="000000" w:themeColor="text1"/>
          <w:kern w:val="0"/>
          <w:sz w:val="28"/>
          <w:szCs w:val="28"/>
          <w:rtl/>
          <w14:ligatures w14:val="none"/>
        </w:rPr>
        <w:t>الحدود المنهجية</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rtl/>
          <w14:ligatures w14:val="none"/>
        </w:rPr>
        <w:t>ستلتزم الدراسة بالمنهج الوصفي التحليلي، وستعتمد على الاستبانة كأداة رئيسية لجمع البيانات، وعلى الأساليب الإحصائية المناسبة لتحليلها، مما يعني أن نتائجها ستكون محكومة بدقة الأداة وموضوعية استجابات أفراد العينة</w:t>
      </w:r>
      <w:r w:rsidRPr="008C68C0">
        <w:rPr>
          <w:rFonts w:ascii="Simplified Arabic" w:eastAsia="Times New Roman" w:hAnsi="Simplified Arabic" w:cs="Simplified Arabic"/>
          <w:color w:val="000000" w:themeColor="text1"/>
          <w:kern w:val="0"/>
          <w:sz w:val="28"/>
          <w:szCs w:val="28"/>
          <w14:ligatures w14:val="none"/>
        </w:rPr>
        <w:t>.</w:t>
      </w:r>
    </w:p>
    <w:p w14:paraId="74A57B58" w14:textId="6EC2ACC7" w:rsidR="007A7419" w:rsidRPr="008C68C0" w:rsidRDefault="007A7419" w:rsidP="000B3CAB">
      <w:pPr>
        <w:jc w:val="center"/>
        <w:outlineLvl w:val="0"/>
        <w:rPr>
          <w:rFonts w:ascii="Simplified Arabic" w:eastAsia="Times New Roman" w:hAnsi="Simplified Arabic" w:cs="Simplified Arabic"/>
          <w:b/>
          <w:bCs/>
          <w:color w:val="000000" w:themeColor="text1"/>
          <w:kern w:val="0"/>
          <w:sz w:val="40"/>
          <w:szCs w:val="40"/>
          <w:rtl/>
          <w14:ligatures w14:val="none"/>
        </w:rPr>
      </w:pPr>
      <w:r w:rsidRPr="008C68C0">
        <w:rPr>
          <w:rFonts w:ascii="Simplified Arabic" w:eastAsia="Times New Roman" w:hAnsi="Simplified Arabic" w:cs="Simplified Arabic"/>
          <w:b/>
          <w:bCs/>
          <w:color w:val="000000" w:themeColor="text1"/>
          <w:kern w:val="0"/>
          <w:sz w:val="40"/>
          <w:szCs w:val="40"/>
          <w:rtl/>
          <w14:ligatures w14:val="none"/>
        </w:rPr>
        <w:br w:type="page"/>
      </w:r>
      <w:bookmarkStart w:id="25" w:name="_Toc233212269"/>
      <w:r w:rsidRPr="008C68C0">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25"/>
    </w:p>
    <w:p w14:paraId="2C2E8535" w14:textId="77777777" w:rsidR="00F965AA" w:rsidRPr="008C68C0" w:rsidRDefault="00F965AA" w:rsidP="000B3CAB">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26" w:name="_Toc233212270"/>
      <w:r w:rsidRPr="008C68C0">
        <w:rPr>
          <w:rFonts w:ascii="Simplified Arabic" w:eastAsia="Times New Roman" w:hAnsi="Simplified Arabic" w:cs="Simplified Arabic"/>
          <w:b/>
          <w:bCs/>
          <w:color w:val="000000" w:themeColor="text1"/>
          <w:kern w:val="0"/>
          <w:sz w:val="36"/>
          <w:szCs w:val="36"/>
          <w:rtl/>
          <w14:ligatures w14:val="none"/>
        </w:rPr>
        <w:t>المبحث الأول: التحول المؤسسي</w:t>
      </w:r>
      <w:bookmarkEnd w:id="26"/>
    </w:p>
    <w:p w14:paraId="0FB91CC5" w14:textId="2A931E78" w:rsidR="00F965AA" w:rsidRPr="008C68C0" w:rsidRDefault="000B3CAB" w:rsidP="000B3C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33212271"/>
      <w:r w:rsidRPr="008C68C0">
        <w:rPr>
          <w:rFonts w:ascii="Simplified Arabic" w:eastAsia="Times New Roman" w:hAnsi="Simplified Arabic" w:cs="Simplified Arabic" w:hint="cs"/>
          <w:b/>
          <w:bCs/>
          <w:color w:val="000000" w:themeColor="text1"/>
          <w:kern w:val="0"/>
          <w:sz w:val="32"/>
          <w:szCs w:val="32"/>
          <w:rtl/>
          <w14:ligatures w14:val="none"/>
        </w:rPr>
        <w:t xml:space="preserve">1.1.2 </w:t>
      </w:r>
      <w:r w:rsidR="00F965AA" w:rsidRPr="008C68C0">
        <w:rPr>
          <w:rFonts w:ascii="Simplified Arabic" w:eastAsia="Times New Roman" w:hAnsi="Simplified Arabic" w:cs="Simplified Arabic"/>
          <w:b/>
          <w:bCs/>
          <w:color w:val="000000" w:themeColor="text1"/>
          <w:kern w:val="0"/>
          <w:sz w:val="32"/>
          <w:szCs w:val="32"/>
          <w:rtl/>
          <w14:ligatures w14:val="none"/>
        </w:rPr>
        <w:t>تمهيد</w:t>
      </w:r>
      <w:bookmarkEnd w:id="27"/>
    </w:p>
    <w:p w14:paraId="4B91753A"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تعيش منظمات الأعمال المعاصرة، سواء أكانت حكومية أم خاصة، في بيئة بالغة الاضطراب تتسم بتسارع التحولات التقنية، وتشابك الضغوط الاقتصادية، وتعاظم توقعات المستفيدين، وتغيّر منظومة القيم التنظيمية السائدة. وفي خضمّ هذه المتغيرات لم يعد بمقدور المؤسسات أن تكتفي بإجراء تعديلات جزئية أو إصلاحات سطحية على هياكلها وأنظمتها، بل باتت مدفوعة نحو إعادة تشكيل ذاتها من الداخل بصورة شاملة، وهو ما يُعرف في الأدبيات الإدارية بـ«التحول المؤسسي». ويمثّل هذا المفهوم نقلة نوعية في فكر المنظمة، إذ يتجاوز التغيير التنظيمي التقليدي القائم على الاستجابة الظرفية للضغوط الخارجية، إلى مقاربة استراتيجية تستهدف إعادة بناء المنظومة الإدارية والثقافية والتقنية والبشرية في آن واحد</w:t>
      </w:r>
      <w:r w:rsidRPr="008C68C0">
        <w:rPr>
          <w:rFonts w:ascii="Simplified Arabic" w:eastAsia="Times New Roman" w:hAnsi="Simplified Arabic" w:cs="Simplified Arabic"/>
          <w:color w:val="000000" w:themeColor="text1"/>
          <w:kern w:val="0"/>
          <w:sz w:val="28"/>
          <w:szCs w:val="28"/>
          <w14:ligatures w14:val="none"/>
        </w:rPr>
        <w:t>.</w:t>
      </w:r>
    </w:p>
    <w:p w14:paraId="264B0CBC"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وقد اكتسب التحول المؤسسي في السنوات الأخيرة أهمية مضاعفة بفعل التوجهات الحكومية الكبرى نحو التحديث، ولا سيما في الدول التي تبنّت رؤى تنموية طموحة كرؤية المملكة العربية السعودية ٢٠٣٠، التي جعلت من تحديث القطاع العام ركيزة محورية لبلوغ التنافسية الإقليمية والعالمية (الحربي، ٢٠٢٥). كما تعزز اهتمام الأدبيات الإدارية بهذا المفهوم في ضوء التحولات الرقمية المتلاحقة التي أعادت رسم خرائط العمل المؤسسي، وأوجدت نماذج جديدة للعلاقة بين المنظمة والمستفيد</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Latupeirissa</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w:t>
      </w:r>
    </w:p>
    <w:p w14:paraId="283459E5"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معمّقة لمفهوم التحول المؤسسي، تبدأ بتأصيل دلالته من خلال استعراض مقارن لاجتهادات الباحثين في تعريفه، ثم تنتقل إلى إبراز أهميته بوصفه أداةً لإعادة بناء القدرة المؤسسية، فاستعراض الأهداف التي يسعى لتحقيقها، ثم تحليل أبعاده الأربعة المعتمدة في الدراسة الحالية تحليلًا تفصيليًا، فعرض أبرز الاستراتيجيات التي اعتمدها الباحثون لإدارته، وصولًا إلى استعراض جملة من العناوين البحثية الحديثة التي عالجت الموضوع من زوايا متعددة</w:t>
      </w:r>
      <w:r w:rsidRPr="008C68C0">
        <w:rPr>
          <w:rFonts w:ascii="Simplified Arabic" w:eastAsia="Times New Roman" w:hAnsi="Simplified Arabic" w:cs="Simplified Arabic"/>
          <w:color w:val="000000" w:themeColor="text1"/>
          <w:kern w:val="0"/>
          <w:sz w:val="28"/>
          <w:szCs w:val="28"/>
          <w14:ligatures w14:val="none"/>
        </w:rPr>
        <w:t>.</w:t>
      </w:r>
    </w:p>
    <w:p w14:paraId="7B69789C" w14:textId="6B0799EA" w:rsidR="00F965AA" w:rsidRPr="008C68C0" w:rsidRDefault="000B3CAB" w:rsidP="000B3C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3212272"/>
      <w:r w:rsidRPr="008C68C0">
        <w:rPr>
          <w:rFonts w:ascii="Simplified Arabic" w:eastAsia="Times New Roman" w:hAnsi="Simplified Arabic" w:cs="Simplified Arabic" w:hint="cs"/>
          <w:b/>
          <w:bCs/>
          <w:color w:val="000000" w:themeColor="text1"/>
          <w:kern w:val="0"/>
          <w:sz w:val="32"/>
          <w:szCs w:val="32"/>
          <w:rtl/>
          <w14:ligatures w14:val="none"/>
        </w:rPr>
        <w:t>2.1.2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مفهوم التحول المؤسسي</w:t>
      </w:r>
      <w:bookmarkEnd w:id="28"/>
    </w:p>
    <w:p w14:paraId="1844F162"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تتعدد المعالجات التي قدّمها الباحثون لمفهوم التحول المؤسسي تبعًا لاختلاف مداخلهم النظرية وحقولهم التطبيقية، إذ يمكن تمييز اتجاهات عدة في تأصيل هذا المفهوم. فمن زاوية المدخل الاستراتيجي، يُنظر إلى التحول المؤسسي بوصفه عملية مقصودة ومخططة تستهدف إعادة تشكيل المنظمة في أبعادها الجوهرية، بحيث تنسجم مع متطلبات مرحلة تنموية جديدة، ويُربط في هذا السياق ربطًا وثيقًا بالرؤى الوطنية الكبرى التي تفرض على الجهات الحكومية مراجعة منظومتها الإدارية مراجعة شاملة (الحربي، ٢٠٢٥)</w:t>
      </w:r>
      <w:r w:rsidRPr="008C68C0">
        <w:rPr>
          <w:rFonts w:ascii="Simplified Arabic" w:eastAsia="Times New Roman" w:hAnsi="Simplified Arabic" w:cs="Simplified Arabic"/>
          <w:color w:val="000000" w:themeColor="text1"/>
          <w:kern w:val="0"/>
          <w:sz w:val="28"/>
          <w:szCs w:val="28"/>
          <w14:ligatures w14:val="none"/>
        </w:rPr>
        <w:t>.</w:t>
      </w:r>
    </w:p>
    <w:p w14:paraId="27ED080E"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ويذهب اتجاه آخر إلى تعريف التحول المؤسسي من زاوية التغيير التنظيمي، إذ يُعدّ امتدادًا متطورًا لمفهوم التغيير، يتجاوز التعديلات الجزئية إلى إعادة هندسة عميقة في البنى والعمليات والثقافة، تستهدف الانتقال من حالة مؤسسية قائمة إلى حالة أكثر فاعلية واستجابة (الشبلي، ٢٠٢٣). ويُقارب هذا الطرح ما ذهب إليه معمري (٢٠٢٢) من أن التحول المؤسسي يعكس عملية واعية ومنظمة لإحداث نقلة جوهرية في طريقة عمل المؤسسة، تشمل أنماط القيادة وآليات اتخاذ القرار وتدفقات العمل، بما يُمكّنها من تجاوز جمودها التقليدي</w:t>
      </w:r>
      <w:r w:rsidRPr="008C68C0">
        <w:rPr>
          <w:rFonts w:ascii="Simplified Arabic" w:eastAsia="Times New Roman" w:hAnsi="Simplified Arabic" w:cs="Simplified Arabic"/>
          <w:color w:val="000000" w:themeColor="text1"/>
          <w:kern w:val="0"/>
          <w:sz w:val="28"/>
          <w:szCs w:val="28"/>
          <w14:ligatures w14:val="none"/>
        </w:rPr>
        <w:t>.</w:t>
      </w:r>
    </w:p>
    <w:p w14:paraId="4B5AD78E"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ومن زاوية المدخل الرقمي، يُعرَّف التحول المؤسسي بوصفه إعادة تشكيل جذرية للمنظمة في ضوء إمكانات التقنيات الرقمية المتقدمة، بحيث تُصبح التقنية ليست أداةً مساعدة فحسب، بل ركيزة بنيوية تعيد صياغة نموذج الأعمال ذاته (الجبور والزيديين، ٢٠٢٢). ويُكمل المومني والشواورة (٢٠٢٤) هذا الطرح بالإشارة إلى أن التحول في صورته المؤسسية الحديثة يُمثّل تكاملًا بين التحديث الرقمي والتطوير الإداري، بحيث لا يُختزل في إدخال أنظمة معلوماتية، بل يمتد إلى إعادة هيكلة العلاقات الوظيفية ومنظومة الأداء</w:t>
      </w:r>
      <w:r w:rsidRPr="008C68C0">
        <w:rPr>
          <w:rFonts w:ascii="Simplified Arabic" w:eastAsia="Times New Roman" w:hAnsi="Simplified Arabic" w:cs="Simplified Arabic"/>
          <w:color w:val="000000" w:themeColor="text1"/>
          <w:kern w:val="0"/>
          <w:sz w:val="28"/>
          <w:szCs w:val="28"/>
          <w14:ligatures w14:val="none"/>
        </w:rPr>
        <w:t>.</w:t>
      </w:r>
    </w:p>
    <w:p w14:paraId="770C2D96"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أما من زاوية المدخل التطويري، فيُقدَّم التحول المؤسسي باعتباره عملية تنموية مستمرة تستهدف بناء قدرات المنظمة الداخلية، وتعزيز مرونتها التكيفية، وتطوير ثقافتها بما يتلاءم مع التحديات المتجددة (الكركي، ٢٠٢٢). ويُضيف ربيعة وناصر (٢٠٢٥) بُعدًا مهمًا حين يرَيان أن التحول المؤسسي يُمثّل نقلة نوعية في فلسفة المنظمة، تُترجَم إلى إعادة هيكلة شاملة تطال الأنظمة والإجراءات والممارسات، بهدف تحقيق استدامة الأداء وتحسين جودة المخرجات</w:t>
      </w:r>
      <w:r w:rsidRPr="008C68C0">
        <w:rPr>
          <w:rFonts w:ascii="Simplified Arabic" w:eastAsia="Times New Roman" w:hAnsi="Simplified Arabic" w:cs="Simplified Arabic"/>
          <w:color w:val="000000" w:themeColor="text1"/>
          <w:kern w:val="0"/>
          <w:sz w:val="28"/>
          <w:szCs w:val="28"/>
          <w14:ligatures w14:val="none"/>
        </w:rPr>
        <w:t>.</w:t>
      </w:r>
    </w:p>
    <w:p w14:paraId="293DCCE1"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وفي الأدبيات الأجنبية، يُعالَج التحول المؤسسي عبر مدخل أكثر شمولًا يُركّز على البنية والديناميكية. فيُعرّفه ألزهمي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Alzahmi</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2025) </w:t>
      </w:r>
      <w:r w:rsidRPr="008C68C0">
        <w:rPr>
          <w:rFonts w:ascii="Simplified Arabic" w:eastAsia="Times New Roman" w:hAnsi="Simplified Arabic" w:cs="Simplified Arabic"/>
          <w:color w:val="000000" w:themeColor="text1"/>
          <w:kern w:val="0"/>
          <w:sz w:val="28"/>
          <w:szCs w:val="28"/>
          <w:rtl/>
          <w14:ligatures w14:val="none"/>
        </w:rPr>
        <w:t>بأنه إعادة تشكيل متكاملة للمنظمة في أبعادها الاستراتيجية والهيكلية والثقافية، تحدث استجابةً لضغوط داخلية وخارجية متشابكة، وتستلزم إعادة توجيه للموارد والقدرات نحو حالة مؤسسية جديدة أكثر فاعلية. ويُقدّم خاو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Khaw</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2022) </w:t>
      </w:r>
      <w:r w:rsidRPr="008C68C0">
        <w:rPr>
          <w:rFonts w:ascii="Simplified Arabic" w:eastAsia="Times New Roman" w:hAnsi="Simplified Arabic" w:cs="Simplified Arabic"/>
          <w:color w:val="000000" w:themeColor="text1"/>
          <w:kern w:val="0"/>
          <w:sz w:val="28"/>
          <w:szCs w:val="28"/>
          <w:rtl/>
          <w14:ligatures w14:val="none"/>
        </w:rPr>
        <w:t>قراءةً سلوكية للمفهوم، إذ يربطون التحول المؤسسي بمدى استجابة الأفراد للتغيير وتفاعلهم معه، باعتبار أن نجاح أي تحول مرهون بالكيفية التي يستوعب بها العاملون مضامينه ويتبنّون قيمه الجديدة</w:t>
      </w:r>
      <w:r w:rsidRPr="008C68C0">
        <w:rPr>
          <w:rFonts w:ascii="Simplified Arabic" w:eastAsia="Times New Roman" w:hAnsi="Simplified Arabic" w:cs="Simplified Arabic"/>
          <w:color w:val="000000" w:themeColor="text1"/>
          <w:kern w:val="0"/>
          <w:sz w:val="28"/>
          <w:szCs w:val="28"/>
          <w14:ligatures w14:val="none"/>
        </w:rPr>
        <w:t>.</w:t>
      </w:r>
    </w:p>
    <w:p w14:paraId="42E9911B"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ويُضيف بيرشر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Pircher</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في معالجتهم للقطاع العام أن التحول المؤسسي في البيئات عالية الموثوقية يتضمن إعادة هندسة للممارسات اليومية في ضوء قيود مؤسسية صارمة، وهو ما يُكسب المفهوم بُعدًا سياقيًا مرتبطًا بطبيعة المنظمة وحساسية نشاطها. وتُكمّل دراسة فروليش وآخرين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Fr</w:t>
      </w:r>
      <w:r w:rsidRPr="008C68C0">
        <w:rPr>
          <w:rFonts w:ascii="Cambria" w:eastAsia="Times New Roman" w:hAnsi="Cambria" w:cs="Cambria"/>
          <w:color w:val="000000" w:themeColor="text1"/>
          <w:kern w:val="0"/>
          <w:sz w:val="28"/>
          <w:szCs w:val="28"/>
          <w14:ligatures w14:val="none"/>
        </w:rPr>
        <w:t>ö</w:t>
      </w:r>
      <w:r w:rsidRPr="008C68C0">
        <w:rPr>
          <w:rFonts w:ascii="Simplified Arabic" w:eastAsia="Times New Roman" w:hAnsi="Simplified Arabic" w:cs="Simplified Arabic"/>
          <w:color w:val="000000" w:themeColor="text1"/>
          <w:kern w:val="0"/>
          <w:sz w:val="28"/>
          <w:szCs w:val="28"/>
          <w14:ligatures w14:val="none"/>
        </w:rPr>
        <w:t>lich</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2025) </w:t>
      </w:r>
      <w:r w:rsidRPr="008C68C0">
        <w:rPr>
          <w:rFonts w:ascii="Simplified Arabic" w:eastAsia="Times New Roman" w:hAnsi="Simplified Arabic" w:cs="Simplified Arabic"/>
          <w:color w:val="000000" w:themeColor="text1"/>
          <w:kern w:val="0"/>
          <w:sz w:val="28"/>
          <w:szCs w:val="28"/>
          <w:rtl/>
          <w14:ligatures w14:val="none"/>
        </w:rPr>
        <w:t>هذا الطرح من زاوية التواصل القيادي، إذ تُقدّم التحول بوصفه عملية تفاعلية يقودها الخطاب التنظيمي وتُشكّلها أنماط التواصل بين القيادة والعاملين</w:t>
      </w:r>
      <w:r w:rsidRPr="008C68C0">
        <w:rPr>
          <w:rFonts w:ascii="Simplified Arabic" w:eastAsia="Times New Roman" w:hAnsi="Simplified Arabic" w:cs="Simplified Arabic"/>
          <w:color w:val="000000" w:themeColor="text1"/>
          <w:kern w:val="0"/>
          <w:sz w:val="28"/>
          <w:szCs w:val="28"/>
          <w14:ligatures w14:val="none"/>
        </w:rPr>
        <w:t>.</w:t>
      </w:r>
    </w:p>
    <w:p w14:paraId="15708996"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ويُقاربه شومي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Shaumi</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2023) </w:t>
      </w:r>
      <w:r w:rsidRPr="008C68C0">
        <w:rPr>
          <w:rFonts w:ascii="Simplified Arabic" w:eastAsia="Times New Roman" w:hAnsi="Simplified Arabic" w:cs="Simplified Arabic"/>
          <w:color w:val="000000" w:themeColor="text1"/>
          <w:kern w:val="0"/>
          <w:sz w:val="28"/>
          <w:szCs w:val="28"/>
          <w:rtl/>
          <w14:ligatures w14:val="none"/>
        </w:rPr>
        <w:t>من زاوية الأداء الحكومي، فيُعرّفونه بأنه عملية إعادة بناء مقصودة للجهاز الحكومي تستهدف تحسين قدرته على تقديم الخدمة وتعزيز فاعليته في الاستجابة لاحتياجات المجتمع</w:t>
      </w:r>
      <w:r w:rsidRPr="008C68C0">
        <w:rPr>
          <w:rFonts w:ascii="Simplified Arabic" w:eastAsia="Times New Roman" w:hAnsi="Simplified Arabic" w:cs="Simplified Arabic"/>
          <w:color w:val="000000" w:themeColor="text1"/>
          <w:kern w:val="0"/>
          <w:sz w:val="28"/>
          <w:szCs w:val="28"/>
          <w14:ligatures w14:val="none"/>
        </w:rPr>
        <w:t>.</w:t>
      </w:r>
    </w:p>
    <w:p w14:paraId="195AEBA1"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ويتضح من استعراض هذه التعريفات أن ثمة محاور مشتركة تربطها رغم تباين زواياها، تتمثل في كون التحول المؤسسي عمليةً مقصودة ومخططة، ذات طابع شمولي يطال البنية والثقافة والعمليات والموارد، وتستهدف إحداث نقلة نوعية في حالة المنظمة، استجابةً لضغوط داخلية وخارجية متجددة. وفي ضوء ذلك، يرى الباحث أن التحول المؤسسي يمكن تعريفه إجرائيًا بأنه: «عملية إدارية متكاملة ومخططة تستهدف إعادة تشكيل المنظمة في أبعادها الهيكلية والرقمية والثقافية والبشرية، بصورة متزامنة ومتناسقة، بما يُمكّنها من تجاوز أنماط عملها التقليدية، وبناء قدرات مؤسسية جديدة تُعزّز قدرتها على تقديم خدمات عالية الكفاءة، وتحقيق أهدافها الاستراتيجية في بيئة تتسم بالتعقيد والتغير المتسارع». ويُلاحظ في هذا التعريف أن الباحث يدمج بين المداخل الأربعة دمجًا منهجيًا، فلا يقتصر على البُعد الرقمي ولا يكتفي بالبُعد الهيكلي، بل يجعل من التكامل بين الأبعاد جوهرًا للمفهوم، انسجامًا مع طبيعة الدراسة الحالية التي تتبنى أربعة أبعاد متكاملة للتحول المؤسسي</w:t>
      </w:r>
      <w:r w:rsidRPr="008C68C0">
        <w:rPr>
          <w:rFonts w:ascii="Simplified Arabic" w:eastAsia="Times New Roman" w:hAnsi="Simplified Arabic" w:cs="Simplified Arabic"/>
          <w:color w:val="000000" w:themeColor="text1"/>
          <w:kern w:val="0"/>
          <w:sz w:val="28"/>
          <w:szCs w:val="28"/>
          <w14:ligatures w14:val="none"/>
        </w:rPr>
        <w:t>.</w:t>
      </w:r>
    </w:p>
    <w:p w14:paraId="500E3270" w14:textId="76E50C82" w:rsidR="00F965AA" w:rsidRPr="008C68C0" w:rsidRDefault="000B3CAB" w:rsidP="000B3C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212273"/>
      <w:r w:rsidRPr="008C68C0">
        <w:rPr>
          <w:rFonts w:ascii="Simplified Arabic" w:eastAsia="Times New Roman" w:hAnsi="Simplified Arabic" w:cs="Simplified Arabic" w:hint="cs"/>
          <w:b/>
          <w:bCs/>
          <w:color w:val="000000" w:themeColor="text1"/>
          <w:kern w:val="0"/>
          <w:sz w:val="32"/>
          <w:szCs w:val="32"/>
          <w:rtl/>
          <w14:ligatures w14:val="none"/>
        </w:rPr>
        <w:lastRenderedPageBreak/>
        <w:t>3.1.2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أهمية التحول المؤسسي</w:t>
      </w:r>
      <w:bookmarkEnd w:id="29"/>
    </w:p>
    <w:p w14:paraId="4BB1E04F"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تنبع أهمية التحول المؤسسي من كونه يُمثّل الاستجابة الإدارية الأعمق لتحديات البيئة المعاصرة، إذ لم تعد المنظمات قادرة على الاكتفاء بإصلاحات جزئية في مواجهة تحولات جذرية تطال أسواقها ومستفيديها وتقنياتها وقواها العاملة. وتزداد هذه الأهمية في القطاع الحكومي تحديدًا، حيث ترتبط كفاءة الجهاز الإداري ارتباطًا مباشرًا بجودة الحياة العامة، وقدرة الدولة على تحقيق أولوياتها التنموية. ومن هنا أصبح التحول المؤسسي مدخلًا محوريًا لإعادة بناء قدرة المنظمات على البقاء والتميز في آن واحد</w:t>
      </w:r>
      <w:r w:rsidRPr="008C68C0">
        <w:rPr>
          <w:rFonts w:ascii="Simplified Arabic" w:eastAsia="Times New Roman" w:hAnsi="Simplified Arabic" w:cs="Simplified Arabic"/>
          <w:color w:val="000000" w:themeColor="text1"/>
          <w:kern w:val="0"/>
          <w:sz w:val="28"/>
          <w:szCs w:val="28"/>
          <w14:ligatures w14:val="none"/>
        </w:rPr>
        <w:t>.</w:t>
      </w:r>
    </w:p>
    <w:p w14:paraId="01F70694"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ويُشير الشبلي (٢٠٢٣) إلى أن أهمية التحول المؤسسي تتجلى في عدة محاور، أبرزها: أولًا، إنه يُمكّن المنظمة من التكيف مع المتغيرات البيئية المتلاحقة، إذ يُعيد توجيه طاقتها الداخلية نحو الاستجابة الواعية بدلًا من الاستجابة الانفعالية. ثانيًا، يُسهم في رفع كفاءة الأداء المؤسسي من خلال إعادة هندسة العمليات وتخليصها من الترهل والازدواجية. ثالثًا، يُعزّز قدرة المؤسسة على تجاوز مقاومة التغيير عبر إشراك العاملين في صياغة التحول وتبنّي مخرجاته. رابعًا، يُرسّخ ثقافة التحسين المستمر بوصفها قيمة تنظيمية لا مرحلة عابرة</w:t>
      </w:r>
      <w:r w:rsidRPr="008C68C0">
        <w:rPr>
          <w:rFonts w:ascii="Simplified Arabic" w:eastAsia="Times New Roman" w:hAnsi="Simplified Arabic" w:cs="Simplified Arabic"/>
          <w:color w:val="000000" w:themeColor="text1"/>
          <w:kern w:val="0"/>
          <w:sz w:val="28"/>
          <w:szCs w:val="28"/>
          <w14:ligatures w14:val="none"/>
        </w:rPr>
        <w:t>.</w:t>
      </w:r>
    </w:p>
    <w:p w14:paraId="7CC40100"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ويرى معمري (٢٠٢٢) أن أهمية التحول المؤسسي تكتسب أبعادًا إضافية في سياق المؤسسات الاقتصادية، تتمثل في: أولًا، تمكين المؤسسة من إعادة موقعها التنافسي في سوق يتسم بتسارع الابتكار. ثانيًا، تجديد منظومة القيم التنظيمية بما يدعم الإبداع والمبادرة. ثالثًا، إعادة هيكلة منظومة اتخاذ القرار بما يُقلّص التراتبية الجامدة، ويُعزّز سرعة الاستجابة</w:t>
      </w:r>
      <w:r w:rsidRPr="008C68C0">
        <w:rPr>
          <w:rFonts w:ascii="Simplified Arabic" w:eastAsia="Times New Roman" w:hAnsi="Simplified Arabic" w:cs="Simplified Arabic"/>
          <w:color w:val="000000" w:themeColor="text1"/>
          <w:kern w:val="0"/>
          <w:sz w:val="28"/>
          <w:szCs w:val="28"/>
          <w14:ligatures w14:val="none"/>
        </w:rPr>
        <w:t>.</w:t>
      </w:r>
    </w:p>
    <w:p w14:paraId="066767C6"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ويُضيف ربيعة وناصر (٢٠٢٥) أن أهمية التحول المؤسسي في القطاع الحكومي ترتبط ارتباطًا وثيقًا بجودة الخدمات المقدّمة للمواطن، إذ يُمثّل: أولًا، أداة لتحسين تجربة المستفيد عبر تبسيط الإجراءات وتقليص أزمنة الإنجاز. ثانيًا، رافعة لرفع شفافية العمل الحكومي ومحاربة أوجه القصور الإداري. ثالثًا، آلية لتعزيز المساءلة المؤسسية عبر إعادة بناء منظومات المتابعة والتقييم</w:t>
      </w:r>
      <w:r w:rsidRPr="008C68C0">
        <w:rPr>
          <w:rFonts w:ascii="Simplified Arabic" w:eastAsia="Times New Roman" w:hAnsi="Simplified Arabic" w:cs="Simplified Arabic"/>
          <w:color w:val="000000" w:themeColor="text1"/>
          <w:kern w:val="0"/>
          <w:sz w:val="28"/>
          <w:szCs w:val="28"/>
          <w14:ligatures w14:val="none"/>
        </w:rPr>
        <w:t>.</w:t>
      </w:r>
    </w:p>
    <w:p w14:paraId="4804CA68"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ويذهب الحربي (٢٠٢٥) إلى أن أهمية التحول المؤسسي تتعاظم في ضوء الرؤى التنموية الوطنية، إذ يُشكّل: أولًا، الترجمة العملية لأولويات الدولة الاستراتيجية على مستوى الجهاز التنفيذي. ثانيًا، البنية الإدارية التي تضمن تحويل الأهداف الكبرى إلى مخرجات قابلة للقياس. ثالثًا، الإطار الذي يُمكّن الجهات </w:t>
      </w:r>
      <w:r w:rsidRPr="008C68C0">
        <w:rPr>
          <w:rFonts w:ascii="Simplified Arabic" w:eastAsia="Times New Roman" w:hAnsi="Simplified Arabic" w:cs="Simplified Arabic"/>
          <w:color w:val="000000" w:themeColor="text1"/>
          <w:kern w:val="0"/>
          <w:sz w:val="28"/>
          <w:szCs w:val="28"/>
          <w:rtl/>
          <w14:ligatures w14:val="none"/>
        </w:rPr>
        <w:lastRenderedPageBreak/>
        <w:t>الحكومية من تنسيق جهودها في مسار تحديث متكامل، بدلًا من التحركات المنفصلة التي يُضعف بعضها بعضًا</w:t>
      </w:r>
      <w:r w:rsidRPr="008C68C0">
        <w:rPr>
          <w:rFonts w:ascii="Simplified Arabic" w:eastAsia="Times New Roman" w:hAnsi="Simplified Arabic" w:cs="Simplified Arabic"/>
          <w:color w:val="000000" w:themeColor="text1"/>
          <w:kern w:val="0"/>
          <w:sz w:val="28"/>
          <w:szCs w:val="28"/>
          <w14:ligatures w14:val="none"/>
        </w:rPr>
        <w:t>.</w:t>
      </w:r>
    </w:p>
    <w:p w14:paraId="7AD5C973"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ويُكمل ألزهمي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Alzahmi</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2025) </w:t>
      </w:r>
      <w:r w:rsidRPr="008C68C0">
        <w:rPr>
          <w:rFonts w:ascii="Simplified Arabic" w:eastAsia="Times New Roman" w:hAnsi="Simplified Arabic" w:cs="Simplified Arabic"/>
          <w:color w:val="000000" w:themeColor="text1"/>
          <w:kern w:val="0"/>
          <w:sz w:val="28"/>
          <w:szCs w:val="28"/>
          <w:rtl/>
          <w14:ligatures w14:val="none"/>
        </w:rPr>
        <w:t>هذه القراءة بإبراز أن أهمية التحول المؤسسي تمتد لتشمل: أولًا، تعزيز مرونة المنظمة في مواجهة الصدمات غير المتوقعة. ثانيًا، بناء قدرة استباقية للتعامل مع التحولات قبل وقوعها. ثالثًا، تجديد علاقة المنظمة بمحيطها الخارجي بحيث تتحول من كيان منغلق إلى منظومة منفتحة تتفاعل مع أصحاب المصلحة. رابعًا، تطوير القيادة التنظيمية بحيث تُصبح قادرة على إدارة التعقيد لا مجرد إدارة الاستقرار</w:t>
      </w:r>
      <w:r w:rsidRPr="008C68C0">
        <w:rPr>
          <w:rFonts w:ascii="Simplified Arabic" w:eastAsia="Times New Roman" w:hAnsi="Simplified Arabic" w:cs="Simplified Arabic"/>
          <w:color w:val="000000" w:themeColor="text1"/>
          <w:kern w:val="0"/>
          <w:sz w:val="28"/>
          <w:szCs w:val="28"/>
          <w14:ligatures w14:val="none"/>
        </w:rPr>
        <w:t>.</w:t>
      </w:r>
    </w:p>
    <w:p w14:paraId="769E4087"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وعلى صعيد القطاع العام تحديدًا، يُشير بيرشر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Pircher</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إلى أن أهمية التحول تتمثل في قدرته على إعادة بناء الالتزام التنظيمي لدى العاملين، وتعزيز قدرتهم على التعامل مع المشاعر السلبية المصاحبة للتغيير، بما يضمن استمرارية الأداء في البيئات الحساسة. ويرى شومي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Shaumi</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2023) </w:t>
      </w:r>
      <w:r w:rsidRPr="008C68C0">
        <w:rPr>
          <w:rFonts w:ascii="Simplified Arabic" w:eastAsia="Times New Roman" w:hAnsi="Simplified Arabic" w:cs="Simplified Arabic"/>
          <w:color w:val="000000" w:themeColor="text1"/>
          <w:kern w:val="0"/>
          <w:sz w:val="28"/>
          <w:szCs w:val="28"/>
          <w:rtl/>
          <w14:ligatures w14:val="none"/>
        </w:rPr>
        <w:t>أن التحول المؤسسي يكتسب أهمية مضاعفة في المؤسسات الحكومية لكونه الأداة الرئيسة لرفع مستوى الأداء، وإعادة هيكلة العلاقة بين الجهاز التنفيذي والمستفيدين على أسس أكثر كفاءة وشفافية</w:t>
      </w:r>
      <w:r w:rsidRPr="008C68C0">
        <w:rPr>
          <w:rFonts w:ascii="Simplified Arabic" w:eastAsia="Times New Roman" w:hAnsi="Simplified Arabic" w:cs="Simplified Arabic"/>
          <w:color w:val="000000" w:themeColor="text1"/>
          <w:kern w:val="0"/>
          <w:sz w:val="28"/>
          <w:szCs w:val="28"/>
          <w14:ligatures w14:val="none"/>
        </w:rPr>
        <w:t>.</w:t>
      </w:r>
    </w:p>
    <w:p w14:paraId="301E6FB5"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ويُمكن القول استنادًا إلى ما سبق إن أهمية التحول المؤسسي تجتمع في كونه يُحقّق تكاملًا نادرًا بين التحديث الإداري، والتمكين البشري، والتجديد الثقافي، والاستثمار الرقمي، بحيث لا تُعالَج هذه المسارات بمعزل عن بعضها، بل تُصاغ في منظومة واحدة تُعيد تشكيل المؤسسة بصورة كلية</w:t>
      </w:r>
      <w:r w:rsidRPr="008C68C0">
        <w:rPr>
          <w:rFonts w:ascii="Simplified Arabic" w:eastAsia="Times New Roman" w:hAnsi="Simplified Arabic" w:cs="Simplified Arabic"/>
          <w:color w:val="000000" w:themeColor="text1"/>
          <w:kern w:val="0"/>
          <w:sz w:val="28"/>
          <w:szCs w:val="28"/>
          <w14:ligatures w14:val="none"/>
        </w:rPr>
        <w:t>.</w:t>
      </w:r>
    </w:p>
    <w:p w14:paraId="1AB0458D" w14:textId="3DE68F96" w:rsidR="00F965AA" w:rsidRPr="008C68C0" w:rsidRDefault="000B3CAB" w:rsidP="000B3C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212274"/>
      <w:r w:rsidRPr="008C68C0">
        <w:rPr>
          <w:rFonts w:ascii="Simplified Arabic" w:eastAsia="Times New Roman" w:hAnsi="Simplified Arabic" w:cs="Simplified Arabic" w:hint="cs"/>
          <w:b/>
          <w:bCs/>
          <w:color w:val="000000" w:themeColor="text1"/>
          <w:kern w:val="0"/>
          <w:sz w:val="32"/>
          <w:szCs w:val="32"/>
          <w:rtl/>
          <w14:ligatures w14:val="none"/>
        </w:rPr>
        <w:t>4.1.2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أهداف التحول المؤسسي</w:t>
      </w:r>
      <w:bookmarkEnd w:id="30"/>
    </w:p>
    <w:p w14:paraId="7769010B"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تتعدد الأهداف التي يسعى التحول المؤسسي إلى تحقيقها بتعدد المداخل التي يتبناها الباحثون، وإن كانت تجتمع جميعها في غاية واحدة هي بناء منظمة أكثر فاعلية واستجابة. ويُحدّد الكركي (٢٠٢٢) جملة من الأهداف الجوهرية للتحول المؤسسي، تتمثل في: أولًا، إعادة بناء القدرات التنظيمية بما يُلائم متطلبات المرحلة. ثانيًا، تطوير منظومة الموارد البشرية لتُصبح قادرة على قيادة التحديث وتنفيذه. ثالثًا، ترسيخ ثقافة التطوير المستمر داخل المنظمة. رابعًا، تحسين قدرة المنظمة على تنسيق جهودها الداخلية وتجاوز التشتت الإداري</w:t>
      </w:r>
      <w:r w:rsidRPr="008C68C0">
        <w:rPr>
          <w:rFonts w:ascii="Simplified Arabic" w:eastAsia="Times New Roman" w:hAnsi="Simplified Arabic" w:cs="Simplified Arabic"/>
          <w:color w:val="000000" w:themeColor="text1"/>
          <w:kern w:val="0"/>
          <w:sz w:val="28"/>
          <w:szCs w:val="28"/>
          <w14:ligatures w14:val="none"/>
        </w:rPr>
        <w:t>.</w:t>
      </w:r>
    </w:p>
    <w:p w14:paraId="125A0680"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ويرى الجوهر (٢٠٢٤) أن من أبرز أهداف التحول المؤسسي في القطاع الحكومي: أولًا، تحسين كفاءة تقديم الخدمات وتقليص فجوة الانتظار. ثانيًا، تعزيز الابتكار في تصميم الخدمات وتقديمها. ثالثًا، توسيع نطاق الاستفادة من التقنيات الحديثة في خدمة المواطن. رابعًا، بناء بيئة عمل محفّزة على المبادرة وتقديم الحلول الإبداعية</w:t>
      </w:r>
      <w:r w:rsidRPr="008C68C0">
        <w:rPr>
          <w:rFonts w:ascii="Simplified Arabic" w:eastAsia="Times New Roman" w:hAnsi="Simplified Arabic" w:cs="Simplified Arabic"/>
          <w:color w:val="000000" w:themeColor="text1"/>
          <w:kern w:val="0"/>
          <w:sz w:val="28"/>
          <w:szCs w:val="28"/>
          <w14:ligatures w14:val="none"/>
        </w:rPr>
        <w:t>.</w:t>
      </w:r>
    </w:p>
    <w:p w14:paraId="22B80796"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ويُحدّد المومني والشواورة (٢٠٢٤) أهداف التحول من زاوية رقمية بوصفه يستهدف: أولًا، أتمتة الإجراءات وتقليص الاعتماد على الأنماط اليدوية. ثانيًا، رفع جودة البيانات المؤسسية وتوظيفها في صناعة القرار. ثالثًا، تمكين المنظمة من تقديم خدماتها عبر قنوات متعددة ومتكاملة. رابعًا، تعزيز الأمن المعلوماتي وحماية الأصول الرقمية للمؤسسة</w:t>
      </w:r>
      <w:r w:rsidRPr="008C68C0">
        <w:rPr>
          <w:rFonts w:ascii="Simplified Arabic" w:eastAsia="Times New Roman" w:hAnsi="Simplified Arabic" w:cs="Simplified Arabic"/>
          <w:color w:val="000000" w:themeColor="text1"/>
          <w:kern w:val="0"/>
          <w:sz w:val="28"/>
          <w:szCs w:val="28"/>
          <w14:ligatures w14:val="none"/>
        </w:rPr>
        <w:t>.</w:t>
      </w:r>
    </w:p>
    <w:p w14:paraId="0907C9FB"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ويُضيف خاو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Khaw</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2022) </w:t>
      </w:r>
      <w:r w:rsidRPr="008C68C0">
        <w:rPr>
          <w:rFonts w:ascii="Simplified Arabic" w:eastAsia="Times New Roman" w:hAnsi="Simplified Arabic" w:cs="Simplified Arabic"/>
          <w:color w:val="000000" w:themeColor="text1"/>
          <w:kern w:val="0"/>
          <w:sz w:val="28"/>
          <w:szCs w:val="28"/>
          <w:rtl/>
          <w14:ligatures w14:val="none"/>
        </w:rPr>
        <w:t>أهدافًا سلوكية للتحول المؤسسي، تتمثل في: أولًا، بناء استعداد نفسي إيجابي لدى العاملين تجاه التغيير. ثانيًا، تقليص مظاهر المقاومة عبر التواصل الفعّال والإشراك المنظم. ثالثًا، تطوير قدرة العاملين على التعامل مع التحولات المتلاحقة. رابعًا، تعزيز الانتماء التنظيمي بوصفه ركيزة لاستدامة التحول</w:t>
      </w:r>
      <w:r w:rsidRPr="008C68C0">
        <w:rPr>
          <w:rFonts w:ascii="Simplified Arabic" w:eastAsia="Times New Roman" w:hAnsi="Simplified Arabic" w:cs="Simplified Arabic"/>
          <w:color w:val="000000" w:themeColor="text1"/>
          <w:kern w:val="0"/>
          <w:sz w:val="28"/>
          <w:szCs w:val="28"/>
          <w14:ligatures w14:val="none"/>
        </w:rPr>
        <w:t>.</w:t>
      </w:r>
    </w:p>
    <w:p w14:paraId="0ADC566A"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ويُحدّد فروليش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Fr</w:t>
      </w:r>
      <w:r w:rsidRPr="008C68C0">
        <w:rPr>
          <w:rFonts w:ascii="Cambria" w:eastAsia="Times New Roman" w:hAnsi="Cambria" w:cs="Cambria"/>
          <w:color w:val="000000" w:themeColor="text1"/>
          <w:kern w:val="0"/>
          <w:sz w:val="28"/>
          <w:szCs w:val="28"/>
          <w14:ligatures w14:val="none"/>
        </w:rPr>
        <w:t>ö</w:t>
      </w:r>
      <w:r w:rsidRPr="008C68C0">
        <w:rPr>
          <w:rFonts w:ascii="Simplified Arabic" w:eastAsia="Times New Roman" w:hAnsi="Simplified Arabic" w:cs="Simplified Arabic"/>
          <w:color w:val="000000" w:themeColor="text1"/>
          <w:kern w:val="0"/>
          <w:sz w:val="28"/>
          <w:szCs w:val="28"/>
          <w14:ligatures w14:val="none"/>
        </w:rPr>
        <w:t>lich</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2025) </w:t>
      </w:r>
      <w:r w:rsidRPr="008C68C0">
        <w:rPr>
          <w:rFonts w:ascii="Simplified Arabic" w:eastAsia="Times New Roman" w:hAnsi="Simplified Arabic" w:cs="Simplified Arabic"/>
          <w:color w:val="000000" w:themeColor="text1"/>
          <w:kern w:val="0"/>
          <w:sz w:val="28"/>
          <w:szCs w:val="28"/>
          <w:rtl/>
          <w14:ligatures w14:val="none"/>
        </w:rPr>
        <w:t>أهدافًا اتصالية، إذ يرَون أن التحول يستهدف: أولًا، بناء خطاب قيادي واضح يُؤطّر مسار التحديث. ثانيًا، تعزيز ثقة العاملين في توجهات القيادة. ثالثًا، تكوين فهم مشترك لأولويات المرحلة. رابعًا، تجاوز التشويش المعلوماتي الذي يُصاحب التحولات الكبرى</w:t>
      </w:r>
      <w:r w:rsidRPr="008C68C0">
        <w:rPr>
          <w:rFonts w:ascii="Simplified Arabic" w:eastAsia="Times New Roman" w:hAnsi="Simplified Arabic" w:cs="Simplified Arabic"/>
          <w:color w:val="000000" w:themeColor="text1"/>
          <w:kern w:val="0"/>
          <w:sz w:val="28"/>
          <w:szCs w:val="28"/>
          <w14:ligatures w14:val="none"/>
        </w:rPr>
        <w:t>.</w:t>
      </w:r>
    </w:p>
    <w:p w14:paraId="41EBC4C6"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ويتقاطع مع ذلك ما يطرحه شومي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Shaumi</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2023) </w:t>
      </w:r>
      <w:r w:rsidRPr="008C68C0">
        <w:rPr>
          <w:rFonts w:ascii="Simplified Arabic" w:eastAsia="Times New Roman" w:hAnsi="Simplified Arabic" w:cs="Simplified Arabic"/>
          <w:color w:val="000000" w:themeColor="text1"/>
          <w:kern w:val="0"/>
          <w:sz w:val="28"/>
          <w:szCs w:val="28"/>
          <w:rtl/>
          <w14:ligatures w14:val="none"/>
        </w:rPr>
        <w:t>من أن أهداف التحول في القطاع الحكومي تتمثل في: أولًا، تحسين الأداء المؤسسي العام. ثانيًا، تعزيز قدرة الأجهزة على تحقيق غايات السياسة العامة. ثالثًا، رفع رضا المستفيدين عن مستوى الخدمات. رابعًا، بناء جهاز إداري قادر على التكيف المستمر</w:t>
      </w:r>
      <w:r w:rsidRPr="008C68C0">
        <w:rPr>
          <w:rFonts w:ascii="Simplified Arabic" w:eastAsia="Times New Roman" w:hAnsi="Simplified Arabic" w:cs="Simplified Arabic"/>
          <w:color w:val="000000" w:themeColor="text1"/>
          <w:kern w:val="0"/>
          <w:sz w:val="28"/>
          <w:szCs w:val="28"/>
          <w14:ligatures w14:val="none"/>
        </w:rPr>
        <w:t>.</w:t>
      </w:r>
    </w:p>
    <w:p w14:paraId="0CE8B67A" w14:textId="1EB1E8E7" w:rsidR="00F965AA" w:rsidRPr="008C68C0" w:rsidRDefault="000B3CAB" w:rsidP="000B3C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212275"/>
      <w:r w:rsidRPr="008C68C0">
        <w:rPr>
          <w:rFonts w:ascii="Simplified Arabic" w:eastAsia="Times New Roman" w:hAnsi="Simplified Arabic" w:cs="Simplified Arabic" w:hint="cs"/>
          <w:b/>
          <w:bCs/>
          <w:color w:val="000000" w:themeColor="text1"/>
          <w:kern w:val="0"/>
          <w:sz w:val="32"/>
          <w:szCs w:val="32"/>
          <w:rtl/>
          <w14:ligatures w14:val="none"/>
        </w:rPr>
        <w:t>5.1.2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أبعاد التحول المؤسسي</w:t>
      </w:r>
      <w:bookmarkEnd w:id="31"/>
    </w:p>
    <w:p w14:paraId="56AD11ED"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تم تحديد أبعاد التحول المؤسسي في الدراسة الحالية بناءً على ما طرحه الحربي (٢٠٢٥) في معالجته للعلاقة بين إدارة التغيير والتحول المؤسسي في ضوء رؤية المملكة ٢٠٣٠، وما أوردته دراسة </w:t>
      </w:r>
      <w:r w:rsidRPr="008C68C0">
        <w:rPr>
          <w:rFonts w:ascii="Simplified Arabic" w:eastAsia="Times New Roman" w:hAnsi="Simplified Arabic" w:cs="Simplified Arabic"/>
          <w:color w:val="000000" w:themeColor="text1"/>
          <w:kern w:val="0"/>
          <w:sz w:val="28"/>
          <w:szCs w:val="28"/>
          <w:rtl/>
          <w14:ligatures w14:val="none"/>
        </w:rPr>
        <w:lastRenderedPageBreak/>
        <w:t>استراتيجيات إدارة التغيير كمدخل للتميز المؤسسي (٢٠٢٣) من معالجة شاملة لأبعاد التحول، إضافة إلى ما قدّمه الجبور والزيديين (٢٠٢٢) في معالجتهم للتحول الرقمي. وقد أسفر هذا التكامل المرجعي عن تحديد أربعة أبعاد رئيسة للتحول المؤسسي تتمثل في: إعادة الهيكلة التنظيمية، والتحول الرقمي، وتطوير الثقافة المؤسسية، وتمكين الموارد البشرية. وفيما يلي شرح موسع لكل بُعد</w:t>
      </w:r>
      <w:r w:rsidRPr="008C68C0">
        <w:rPr>
          <w:rFonts w:ascii="Simplified Arabic" w:eastAsia="Times New Roman" w:hAnsi="Simplified Arabic" w:cs="Simplified Arabic"/>
          <w:color w:val="000000" w:themeColor="text1"/>
          <w:kern w:val="0"/>
          <w:sz w:val="28"/>
          <w:szCs w:val="28"/>
          <w14:ligatures w14:val="none"/>
        </w:rPr>
        <w:t>.</w:t>
      </w:r>
    </w:p>
    <w:p w14:paraId="4895A65C"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البُعد الأول: إعادة الهيكلة التنظيمية</w:t>
      </w:r>
    </w:p>
    <w:p w14:paraId="301BFB87"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تُعدّ إعادة الهيكلة التنظيمية البُعد البنيوي الأعمق في عملية التحول المؤسسي، إذ تتناول الإطار الذي تتحرك في داخله سائر المكونات الأخرى. وتنطوي إعادة الهيكلة على مراجعة شاملة للهيكل التنظيمي للمؤسسة، بما يشمل الوحدات الإدارية، وخطوط السلطة، ونطاقات الإشراف، وآليات التنسيق بين الإدارات. ويُؤكّد الشبلي (٢٠٢٣) أن إعادة الهيكلة لا تعني مجرد إعادة رسم الخريطة التنظيمية، بل تتجاوز ذلك إلى إعادة تصميم العلاقات الوظيفية بحيث تنسجم مع متطلبات المرحلة وأولوياتها</w:t>
      </w:r>
      <w:r w:rsidRPr="008C68C0">
        <w:rPr>
          <w:rFonts w:ascii="Simplified Arabic" w:eastAsia="Times New Roman" w:hAnsi="Simplified Arabic" w:cs="Simplified Arabic"/>
          <w:color w:val="000000" w:themeColor="text1"/>
          <w:kern w:val="0"/>
          <w:sz w:val="28"/>
          <w:szCs w:val="28"/>
          <w14:ligatures w14:val="none"/>
        </w:rPr>
        <w:t>.</w:t>
      </w:r>
    </w:p>
    <w:p w14:paraId="3C8D374B"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وتُسهم إعادة الهيكلة في تخليص المنظمة من مظاهر الترهل الإداري التي تتراكم بمرور الوقت، كازدواجية الاختصاصات، وتشظي القرار، وضعف التنسيق الأفقي. كما تُعيد توجيه الموارد نحو الأنشطة ذات القيمة المضافة المرتفعة، وتُقلّص الاعتماد على الأنشطة الهامشية التي تستنزف الطاقة دون عائد حقيقي. ويرى معمري (٢٠٢٢) أن إعادة الهيكلة تُمثّل الأداة الإدارية الأقدر على إحداث نقلة في كفاءة المؤسسة، لكونها تتعامل مع البنية ذاتها لا مع أعراضها فحسب</w:t>
      </w:r>
      <w:r w:rsidRPr="008C68C0">
        <w:rPr>
          <w:rFonts w:ascii="Simplified Arabic" w:eastAsia="Times New Roman" w:hAnsi="Simplified Arabic" w:cs="Simplified Arabic"/>
          <w:color w:val="000000" w:themeColor="text1"/>
          <w:kern w:val="0"/>
          <w:sz w:val="28"/>
          <w:szCs w:val="28"/>
          <w14:ligatures w14:val="none"/>
        </w:rPr>
        <w:t>.</w:t>
      </w:r>
    </w:p>
    <w:p w14:paraId="108F1C81"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وتمتد إعادة الهيكلة لتشمل إعادة تصميم العمليات الجوهرية في المنظمة، عبر تحديد العمليات الحرجة، وتشخيص نقاط الاختناق فيها، وإعادة هندستها بصورة تُقلّص الزمن وتُحسّن المخرج. كما تشمل مراجعة منظومة الصلاحيات بما يضمن توزيعًا أكثر عدالة وفاعلية للسلطة، يُقلّص المركزية المفرطة، ويُتيح للمستويات التنفيذية هامشًا مناسبًا من المبادرة. ويُضيف الكركي (٢٠٢٢) أن إعادة الهيكلة الناجحة تستلزم تكاملًا بين الجانب الهيكلي الرسمي والجانب البشري، إذ لا قيمة لخريطة تنظيمية محكمة في غياب موارد بشرية قادرة على تفعيلها</w:t>
      </w:r>
      <w:r w:rsidRPr="008C68C0">
        <w:rPr>
          <w:rFonts w:ascii="Simplified Arabic" w:eastAsia="Times New Roman" w:hAnsi="Simplified Arabic" w:cs="Simplified Arabic"/>
          <w:color w:val="000000" w:themeColor="text1"/>
          <w:kern w:val="0"/>
          <w:sz w:val="28"/>
          <w:szCs w:val="28"/>
          <w14:ligatures w14:val="none"/>
        </w:rPr>
        <w:t>.</w:t>
      </w:r>
    </w:p>
    <w:p w14:paraId="5D4535B0"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البُعد الثاني: التحول الرقمي</w:t>
      </w:r>
    </w:p>
    <w:p w14:paraId="43297CF3"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يُمثّل التحول الرقمي البُعد التقني المحوري في منظومة التحول المؤسسي، ويتجاوز كونه مجرد إدخال أنظمة معلوماتية، ليُصبح إعادة تشكيل لطريقة عمل المؤسسة في ضوء إمكانات التقنيات الرقمية المتقدمة. ويُعرّفه الجبور والزيديين (٢٠٢٢) بأنه عملية إعادة بناء شاملة للمؤسسة تستثمر فيها التقنيات الحديثة لتطوير نموذج عملها وتحسين قدرتها على تقديم الخدمة. ويتضمن هذا البُعد جوانب متعددة، أبرزها أتمتة الإجراءات، وبناء قنوات رقمية للتعامل مع المستفيد، وتطوير منظومات إدارة البيانات، وتوظيف تقنيات التحليلات المتقدمة في صناعة القرار</w:t>
      </w:r>
      <w:r w:rsidRPr="008C68C0">
        <w:rPr>
          <w:rFonts w:ascii="Simplified Arabic" w:eastAsia="Times New Roman" w:hAnsi="Simplified Arabic" w:cs="Simplified Arabic"/>
          <w:color w:val="000000" w:themeColor="text1"/>
          <w:kern w:val="0"/>
          <w:sz w:val="28"/>
          <w:szCs w:val="28"/>
          <w14:ligatures w14:val="none"/>
        </w:rPr>
        <w:t>.</w:t>
      </w:r>
    </w:p>
    <w:p w14:paraId="29AB5237"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ويُسهم التحول الرقمي في تقليص أزمنة الإنجاز تقليصًا جوهريًا، عبر استبدال الإجراءات اليدوية بمسارات إلكترونية متكاملة، كما يُتيح للمؤسسة تقديم خدماتها على مدار الساعة دون قيود مكانية أو زمنية. ويُشير لاتوبيريسا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Latupeirissa</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إلى أن مبادرات الرقمنة في القطاع العام أصبحت تُمثّل أحد أبرز محاور التحديث الإداري، لما تُتيحه من إعادة تشكيل جوهرية لتجربة المستفيد وعلاقته بالجهاز الحكومي</w:t>
      </w:r>
      <w:r w:rsidRPr="008C68C0">
        <w:rPr>
          <w:rFonts w:ascii="Simplified Arabic" w:eastAsia="Times New Roman" w:hAnsi="Simplified Arabic" w:cs="Simplified Arabic"/>
          <w:color w:val="000000" w:themeColor="text1"/>
          <w:kern w:val="0"/>
          <w:sz w:val="28"/>
          <w:szCs w:val="28"/>
          <w14:ligatures w14:val="none"/>
        </w:rPr>
        <w:t>.</w:t>
      </w:r>
    </w:p>
    <w:p w14:paraId="2C7DDCF3"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ويُضيف سزدماك</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Szedm</w:t>
      </w:r>
      <w:r w:rsidRPr="008C68C0">
        <w:rPr>
          <w:rFonts w:ascii="Cambria" w:eastAsia="Times New Roman" w:hAnsi="Cambria" w:cs="Cambria"/>
          <w:color w:val="000000" w:themeColor="text1"/>
          <w:kern w:val="0"/>
          <w:sz w:val="28"/>
          <w:szCs w:val="28"/>
          <w14:ligatures w14:val="none"/>
        </w:rPr>
        <w:t>á</w:t>
      </w:r>
      <w:r w:rsidRPr="008C68C0">
        <w:rPr>
          <w:rFonts w:ascii="Simplified Arabic" w:eastAsia="Times New Roman" w:hAnsi="Simplified Arabic" w:cs="Simplified Arabic"/>
          <w:color w:val="000000" w:themeColor="text1"/>
          <w:kern w:val="0"/>
          <w:sz w:val="28"/>
          <w:szCs w:val="28"/>
          <w14:ligatures w14:val="none"/>
        </w:rPr>
        <w:t>k</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2025) </w:t>
      </w:r>
      <w:r w:rsidRPr="008C68C0">
        <w:rPr>
          <w:rFonts w:ascii="Simplified Arabic" w:eastAsia="Times New Roman" w:hAnsi="Simplified Arabic" w:cs="Simplified Arabic"/>
          <w:color w:val="000000" w:themeColor="text1"/>
          <w:kern w:val="0"/>
          <w:sz w:val="28"/>
          <w:szCs w:val="28"/>
          <w:rtl/>
          <w14:ligatures w14:val="none"/>
        </w:rPr>
        <w:t>في معالجته للتحول الرقمي للخدمات العامة أن هذا البُعد يستلزم تكاملًا بين البنية التحتية التقنية، والمنظومة التشريعية، والممارسات الإدارية، وأن أي خلل في أحد هذه الأركان يُضعف القيمة الفعلية للتحول الرقمي. ويُكمل مداس (٢٠٢٥) هذا الطرح بالإشارة إلى أن التحول الرقمي يستلزم استثمارًا متواصلًا في البحث والتطوير، بوصفه الرافد الذي يُغذّي قدرة المؤسسة على تجديد منظوماتها التقنية ومواكبة التحولات المتسارعة</w:t>
      </w:r>
      <w:r w:rsidRPr="008C68C0">
        <w:rPr>
          <w:rFonts w:ascii="Simplified Arabic" w:eastAsia="Times New Roman" w:hAnsi="Simplified Arabic" w:cs="Simplified Arabic"/>
          <w:color w:val="000000" w:themeColor="text1"/>
          <w:kern w:val="0"/>
          <w:sz w:val="28"/>
          <w:szCs w:val="28"/>
          <w14:ligatures w14:val="none"/>
        </w:rPr>
        <w:t>.</w:t>
      </w:r>
    </w:p>
    <w:p w14:paraId="73922F5D"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ويتسع نطاق التحول الرقمي ليشمل تقنيات حديثة كسلسلة الكتل التي تُمثّل، وفق ما يطرحه العواجي والمناخلي (٢٠٢٥)، أداة واعدة لرفع كفاءة الخدمات العامة عبر توفير سجلات لا يمكن العبث بها، وتعزيز الشفافية، وتقليص الاحتكاك بين المستفيد والجهاز الحكومي. كما يمتد ليشمل تقنيات الذكاء الاصطناعي التي يُشير وامبا</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Wamba</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2022) </w:t>
      </w:r>
      <w:r w:rsidRPr="008C68C0">
        <w:rPr>
          <w:rFonts w:ascii="Simplified Arabic" w:eastAsia="Times New Roman" w:hAnsi="Simplified Arabic" w:cs="Simplified Arabic"/>
          <w:color w:val="000000" w:themeColor="text1"/>
          <w:kern w:val="0"/>
          <w:sz w:val="28"/>
          <w:szCs w:val="28"/>
          <w:rtl/>
          <w14:ligatures w14:val="none"/>
        </w:rPr>
        <w:t>إلى أن استيعابها داخل المنظمة يُسهم في بناء قدرات مرنة للاستجابة الديناميكية للتحولات</w:t>
      </w:r>
      <w:r w:rsidRPr="008C68C0">
        <w:rPr>
          <w:rFonts w:ascii="Simplified Arabic" w:eastAsia="Times New Roman" w:hAnsi="Simplified Arabic" w:cs="Simplified Arabic"/>
          <w:color w:val="000000" w:themeColor="text1"/>
          <w:kern w:val="0"/>
          <w:sz w:val="28"/>
          <w:szCs w:val="28"/>
          <w14:ligatures w14:val="none"/>
        </w:rPr>
        <w:t>.</w:t>
      </w:r>
    </w:p>
    <w:p w14:paraId="4A3001DD"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البُعد الثالث: تطوير الثقافة المؤسسية</w:t>
      </w:r>
    </w:p>
    <w:p w14:paraId="2EC45786"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تُمثّل الثقافة المؤسسية البُعد الناعم ولكنه الأشد عمقًا في التحول المؤسسي، إذ تُعدّ المنظومة الضمنية من القيم والاعتقادات والممارسات التي تُشكّل سلوك الأفراد داخل المنظمة. ولا يمكن لأي تحول هيكلي </w:t>
      </w:r>
      <w:r w:rsidRPr="008C68C0">
        <w:rPr>
          <w:rFonts w:ascii="Simplified Arabic" w:eastAsia="Times New Roman" w:hAnsi="Simplified Arabic" w:cs="Simplified Arabic"/>
          <w:color w:val="000000" w:themeColor="text1"/>
          <w:kern w:val="0"/>
          <w:sz w:val="28"/>
          <w:szCs w:val="28"/>
          <w:rtl/>
          <w14:ligatures w14:val="none"/>
        </w:rPr>
        <w:lastRenderedPageBreak/>
        <w:t>أو رقمي أن يحقق غاياته في غياب ثقافة مؤسسية داعمة، إذ سرعان ما تُفرّغ الثقافة المقاومة الإجراءات الجديدة من مضمونها. ويُشير ربيعة وناصر (٢٠٢٥) إلى أن تطوير الثقافة المؤسسية يُمثّل عاملًا حاسمًا في نجاح أي مسار تحويلي، لكونه يُعيد تشكيل المنظومة القيمية التي يحتكم إليها العاملون في تعاملاتهم اليومية</w:t>
      </w:r>
      <w:r w:rsidRPr="008C68C0">
        <w:rPr>
          <w:rFonts w:ascii="Simplified Arabic" w:eastAsia="Times New Roman" w:hAnsi="Simplified Arabic" w:cs="Simplified Arabic"/>
          <w:color w:val="000000" w:themeColor="text1"/>
          <w:kern w:val="0"/>
          <w:sz w:val="28"/>
          <w:szCs w:val="28"/>
          <w14:ligatures w14:val="none"/>
        </w:rPr>
        <w:t>.</w:t>
      </w:r>
    </w:p>
    <w:p w14:paraId="3D5E7A29"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ويتضمن تطوير الثقافة المؤسسية ترسيخ قيم جديدة كالانفتاح على التغيير، وقبول المخاطرة المحسوبة، والاحتفاء بالمبادرة، وتقدير التميز، وتغليب منطق النتائج على منطق الإجراءات. كما يستلزم تفكيك الأنماط الثقافية الجامدة التي قد تكون قد ترسّخت عبر سنوات طويلة، كثقافة التحفّظ المفرط، وثقافة لوم المخطئ بدلًا من تعلّم الدرس، وثقافة الانكفاء على الوحدة الإدارية بمعزل عن سائر الإدارات</w:t>
      </w:r>
      <w:r w:rsidRPr="008C68C0">
        <w:rPr>
          <w:rFonts w:ascii="Simplified Arabic" w:eastAsia="Times New Roman" w:hAnsi="Simplified Arabic" w:cs="Simplified Arabic"/>
          <w:color w:val="000000" w:themeColor="text1"/>
          <w:kern w:val="0"/>
          <w:sz w:val="28"/>
          <w:szCs w:val="28"/>
          <w14:ligatures w14:val="none"/>
        </w:rPr>
        <w:t>.</w:t>
      </w:r>
    </w:p>
    <w:p w14:paraId="6C813F7F"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ويُؤكّد بيرشر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Pircher</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أن البُعد الثقافي يكتسب أهمية مضاعفة في البيئات الحكومية، نظرًا لما يُصاحب التحول من مشاعر متضاربة لدى العاملين تتراوح بين الترقب والقلق والمقاومة، وأن إدارة هذه المشاعر تستلزم بناء ثقافة داعمة تُعزّز الالتزام المعياري بالتغيير. وتُكمل دراسة لو ووانغ</w:t>
      </w:r>
      <w:r w:rsidRPr="008C68C0">
        <w:rPr>
          <w:rFonts w:ascii="Simplified Arabic" w:eastAsia="Times New Roman" w:hAnsi="Simplified Arabic" w:cs="Simplified Arabic"/>
          <w:color w:val="000000" w:themeColor="text1"/>
          <w:kern w:val="0"/>
          <w:sz w:val="28"/>
          <w:szCs w:val="28"/>
          <w14:ligatures w14:val="none"/>
        </w:rPr>
        <w:t xml:space="preserve"> (Lu &amp; Wang, 2023) </w:t>
      </w:r>
      <w:r w:rsidRPr="008C68C0">
        <w:rPr>
          <w:rFonts w:ascii="Simplified Arabic" w:eastAsia="Times New Roman" w:hAnsi="Simplified Arabic" w:cs="Simplified Arabic"/>
          <w:color w:val="000000" w:themeColor="text1"/>
          <w:kern w:val="0"/>
          <w:sz w:val="28"/>
          <w:szCs w:val="28"/>
          <w:rtl/>
          <w14:ligatures w14:val="none"/>
        </w:rPr>
        <w:t>هذه القراءة من زاوية أخرى، إذ تُشير إلى أن الضغوط المؤسسية القسرية المفاجئة قد تُضعف القدرة الثقافية للمنظمة على استيعاب التحول، ما يستلزم تدخلًا واعيًا لإعادة بناء التماسك الثقافي</w:t>
      </w:r>
      <w:r w:rsidRPr="008C68C0">
        <w:rPr>
          <w:rFonts w:ascii="Simplified Arabic" w:eastAsia="Times New Roman" w:hAnsi="Simplified Arabic" w:cs="Simplified Arabic"/>
          <w:color w:val="000000" w:themeColor="text1"/>
          <w:kern w:val="0"/>
          <w:sz w:val="28"/>
          <w:szCs w:val="28"/>
          <w14:ligatures w14:val="none"/>
        </w:rPr>
        <w:t>.</w:t>
      </w:r>
    </w:p>
    <w:p w14:paraId="356DEBB7"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ويتصل بتطوير الثقافة المؤسسية ترسيخ ثقافة التعلم التنظيمي، التي تجعل من المنظمة كيانًا قادرًا على استخلاص الدروس من تجاربه وتجارب غيره، وتحويل المعرفة المتراكمة إلى ممارسات محسّنة. كما يتصل به بناء ثقافة التعاون الأفقي التي تكسر العزلة بين الإدارات وتُعزز تدفق المعلومات والخبرات داخل المنظمة</w:t>
      </w:r>
      <w:r w:rsidRPr="008C68C0">
        <w:rPr>
          <w:rFonts w:ascii="Simplified Arabic" w:eastAsia="Times New Roman" w:hAnsi="Simplified Arabic" w:cs="Simplified Arabic"/>
          <w:color w:val="000000" w:themeColor="text1"/>
          <w:kern w:val="0"/>
          <w:sz w:val="28"/>
          <w:szCs w:val="28"/>
          <w14:ligatures w14:val="none"/>
        </w:rPr>
        <w:t>.</w:t>
      </w:r>
    </w:p>
    <w:p w14:paraId="54F899A1"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البُعد الرابع: تمكين الموارد البشرية</w:t>
      </w:r>
    </w:p>
    <w:p w14:paraId="602AA0A2"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يُمثّل تمكين الموارد البشرية البُعد الإنساني المحوري في التحول المؤسسي، إذ يجعل من العاملين شريكًا فاعلًا في صناعة التحول لا متلقيًا سلبيًا له. ويتضمن التمكين منح العاملين صلاحيات حقيقية في إطار وظائفهم، وتزويدهم بالمعلومات اللازمة لاتخاذ القرار، وتطوير قدراتهم عبر برامج تدريبية مستهدفة، وإشراكهم في صياغة الحلول للمشكلات التي تواجه المنظمة. ويرى الكركي (٢٠٢٢) أن </w:t>
      </w:r>
      <w:r w:rsidRPr="008C68C0">
        <w:rPr>
          <w:rFonts w:ascii="Simplified Arabic" w:eastAsia="Times New Roman" w:hAnsi="Simplified Arabic" w:cs="Simplified Arabic"/>
          <w:color w:val="000000" w:themeColor="text1"/>
          <w:kern w:val="0"/>
          <w:sz w:val="28"/>
          <w:szCs w:val="28"/>
          <w:rtl/>
          <w14:ligatures w14:val="none"/>
        </w:rPr>
        <w:lastRenderedPageBreak/>
        <w:t>تمكين الموارد البشرية يُمثّل العمود الفقري لأي عملية تطوير تنظيمي، لكونه يُحرّر طاقات الأفراد ويُحوّلها إلى رافد رئيس للأداء المؤسسي</w:t>
      </w:r>
      <w:r w:rsidRPr="008C68C0">
        <w:rPr>
          <w:rFonts w:ascii="Simplified Arabic" w:eastAsia="Times New Roman" w:hAnsi="Simplified Arabic" w:cs="Simplified Arabic"/>
          <w:color w:val="000000" w:themeColor="text1"/>
          <w:kern w:val="0"/>
          <w:sz w:val="28"/>
          <w:szCs w:val="28"/>
          <w14:ligatures w14:val="none"/>
        </w:rPr>
        <w:t>.</w:t>
      </w:r>
    </w:p>
    <w:p w14:paraId="5E615D50"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ويرتبط التمكين ارتباطًا وثيقًا بمنظومة الحوافز التي تُكافئ المبادرة والابتكار، وبمنظومة التقييم التي تُقدّر الإسهام الحقيقي للعاملين بصورة عادلة وموضوعية. كما يستلزم تطوير القيادة الإدارية بحيث تنتقل من نمط الإشراف التقليدي إلى نمط القيادة التشاركية التي تُتيح للعاملين المجال الكافي للمبادرة. ويُكمل ذلك تأهيل العاملين تقنيًا ومعرفيًا لاستيعاب متطلبات التحول، فلا قيمة لمنح الصلاحية في غياب القدرة على ممارستها</w:t>
      </w:r>
      <w:r w:rsidRPr="008C68C0">
        <w:rPr>
          <w:rFonts w:ascii="Simplified Arabic" w:eastAsia="Times New Roman" w:hAnsi="Simplified Arabic" w:cs="Simplified Arabic"/>
          <w:color w:val="000000" w:themeColor="text1"/>
          <w:kern w:val="0"/>
          <w:sz w:val="28"/>
          <w:szCs w:val="28"/>
          <w14:ligatures w14:val="none"/>
        </w:rPr>
        <w:t>.</w:t>
      </w:r>
    </w:p>
    <w:p w14:paraId="5845A692"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ويُؤكّد إيمران وراميريز</w:t>
      </w:r>
      <w:r w:rsidRPr="008C68C0">
        <w:rPr>
          <w:rFonts w:ascii="Simplified Arabic" w:eastAsia="Times New Roman" w:hAnsi="Simplified Arabic" w:cs="Simplified Arabic"/>
          <w:color w:val="000000" w:themeColor="text1"/>
          <w:kern w:val="0"/>
          <w:sz w:val="28"/>
          <w:szCs w:val="28"/>
          <w14:ligatures w14:val="none"/>
        </w:rPr>
        <w:t xml:space="preserve"> (Imran &amp; </w:t>
      </w:r>
      <w:proofErr w:type="spellStart"/>
      <w:r w:rsidRPr="008C68C0">
        <w:rPr>
          <w:rFonts w:ascii="Simplified Arabic" w:eastAsia="Times New Roman" w:hAnsi="Simplified Arabic" w:cs="Simplified Arabic"/>
          <w:color w:val="000000" w:themeColor="text1"/>
          <w:kern w:val="0"/>
          <w:sz w:val="28"/>
          <w:szCs w:val="28"/>
          <w14:ligatures w14:val="none"/>
        </w:rPr>
        <w:t>Ram</w:t>
      </w:r>
      <w:r w:rsidRPr="008C68C0">
        <w:rPr>
          <w:rFonts w:ascii="Cambria" w:eastAsia="Times New Roman" w:hAnsi="Cambria" w:cs="Cambria"/>
          <w:color w:val="000000" w:themeColor="text1"/>
          <w:kern w:val="0"/>
          <w:sz w:val="28"/>
          <w:szCs w:val="28"/>
          <w14:ligatures w14:val="none"/>
        </w:rPr>
        <w:t>í</w:t>
      </w:r>
      <w:r w:rsidRPr="008C68C0">
        <w:rPr>
          <w:rFonts w:ascii="Simplified Arabic" w:eastAsia="Times New Roman" w:hAnsi="Simplified Arabic" w:cs="Simplified Arabic"/>
          <w:color w:val="000000" w:themeColor="text1"/>
          <w:kern w:val="0"/>
          <w:sz w:val="28"/>
          <w:szCs w:val="28"/>
          <w14:ligatures w14:val="none"/>
        </w:rPr>
        <w:t>rez</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2022) </w:t>
      </w:r>
      <w:r w:rsidRPr="008C68C0">
        <w:rPr>
          <w:rFonts w:ascii="Simplified Arabic" w:eastAsia="Times New Roman" w:hAnsi="Simplified Arabic" w:cs="Simplified Arabic"/>
          <w:color w:val="000000" w:themeColor="text1"/>
          <w:kern w:val="0"/>
          <w:sz w:val="28"/>
          <w:szCs w:val="28"/>
          <w:rtl/>
          <w14:ligatures w14:val="none"/>
        </w:rPr>
        <w:t>أن العامل البشري يُمثّل المتغير الحاسم في تحسين أداء الخدمة العامة، وأن أي استثمار في التحديث التقني أو الهيكلي لن يبلغ غاياته في غياب موارد بشرية مؤهلة وممكّنة. ويُضيف إينانج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Enang</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2022) </w:t>
      </w:r>
      <w:r w:rsidRPr="008C68C0">
        <w:rPr>
          <w:rFonts w:ascii="Simplified Arabic" w:eastAsia="Times New Roman" w:hAnsi="Simplified Arabic" w:cs="Simplified Arabic"/>
          <w:color w:val="000000" w:themeColor="text1"/>
          <w:kern w:val="0"/>
          <w:sz w:val="28"/>
          <w:szCs w:val="28"/>
          <w:rtl/>
          <w14:ligatures w14:val="none"/>
        </w:rPr>
        <w:t>أن العوامل المرتبطة بالعنصر البشري تأتي في مقدمة العوامل المؤثرة في استدامة التحول في الخدمة العامة، الأمر الذي يجعل تمكين الموارد البشرية شرطًا لا غنى عنه لاستمرارية التحول وعدم تراجعه</w:t>
      </w:r>
      <w:r w:rsidRPr="008C68C0">
        <w:rPr>
          <w:rFonts w:ascii="Simplified Arabic" w:eastAsia="Times New Roman" w:hAnsi="Simplified Arabic" w:cs="Simplified Arabic"/>
          <w:color w:val="000000" w:themeColor="text1"/>
          <w:kern w:val="0"/>
          <w:sz w:val="28"/>
          <w:szCs w:val="28"/>
          <w14:ligatures w14:val="none"/>
        </w:rPr>
        <w:t>.</w:t>
      </w:r>
    </w:p>
    <w:p w14:paraId="03140715" w14:textId="23A578C8" w:rsidR="00F965AA" w:rsidRPr="008C68C0" w:rsidRDefault="000B3CAB" w:rsidP="000B3C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212276"/>
      <w:r w:rsidRPr="008C68C0">
        <w:rPr>
          <w:rFonts w:ascii="Simplified Arabic" w:eastAsia="Times New Roman" w:hAnsi="Simplified Arabic" w:cs="Simplified Arabic" w:hint="cs"/>
          <w:b/>
          <w:bCs/>
          <w:color w:val="000000" w:themeColor="text1"/>
          <w:kern w:val="0"/>
          <w:sz w:val="32"/>
          <w:szCs w:val="32"/>
          <w:rtl/>
          <w14:ligatures w14:val="none"/>
        </w:rPr>
        <w:t>6.1.2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استراتيجيات التحول المؤسسي</w:t>
      </w:r>
      <w:bookmarkEnd w:id="32"/>
    </w:p>
    <w:p w14:paraId="32607484"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تتنوع الاستراتيجيات التي تتبناها المنظمات لإدارة تحوّلها المؤسسي، وتختلف باختلاف طبيعة المنظمة وحجمها وسياقها التشغيلي. وتُشير دراسة استراتيجيات إدارة التغيير كمدخل للتميز المؤسسي (٢٠٢٣) إلى أن نجاح التحول مرهون بحُسن اختيار الاستراتيجية الملائمة، وأن الاستراتيجيات تتدرج من المتدرجة التي تعتمد التحديث التراكمي، إلى الجذرية التي تستهدف نقلة شاملة في زمن قصير</w:t>
      </w:r>
      <w:r w:rsidRPr="008C68C0">
        <w:rPr>
          <w:rFonts w:ascii="Simplified Arabic" w:eastAsia="Times New Roman" w:hAnsi="Simplified Arabic" w:cs="Simplified Arabic"/>
          <w:color w:val="000000" w:themeColor="text1"/>
          <w:kern w:val="0"/>
          <w:sz w:val="28"/>
          <w:szCs w:val="28"/>
          <w14:ligatures w14:val="none"/>
        </w:rPr>
        <w:t>.</w:t>
      </w:r>
    </w:p>
    <w:p w14:paraId="3962B529"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وتتمثل الاستراتيجية الأولى في التحول المتدرج، الذي يقوم على إحداث تغييرات متعاقبة في أبعاد المنظمة المختلفة، مع إتاحة الوقت الكافي لاستيعاب كل تحول قبل الانتقال إلى التالي. وتتميز هذه الاستراتيجية بتقليص المقاومة وإتاحة فرصة التعلم التدريجي، إلا أنها قد تُطيل أمد التحول وتُعرّضه لتراجعات في غياب الاستمرارية القيادية</w:t>
      </w:r>
      <w:r w:rsidRPr="008C68C0">
        <w:rPr>
          <w:rFonts w:ascii="Simplified Arabic" w:eastAsia="Times New Roman" w:hAnsi="Simplified Arabic" w:cs="Simplified Arabic"/>
          <w:color w:val="000000" w:themeColor="text1"/>
          <w:kern w:val="0"/>
          <w:sz w:val="28"/>
          <w:szCs w:val="28"/>
          <w14:ligatures w14:val="none"/>
        </w:rPr>
        <w:t>.</w:t>
      </w:r>
    </w:p>
    <w:p w14:paraId="1ACCC222"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 xml:space="preserve">وتأتي في مقابلها استراتيجية التحول الجذري، التي تستهدف إعادة بناء المنظمة بصورة شاملة في زمن محدد، استجابةً لضغوط قوية أو فرص استراتيجية يصعب اقتناصها بالأنماط التدريجية. ويُشير </w:t>
      </w:r>
      <w:r w:rsidRPr="008C68C0">
        <w:rPr>
          <w:rFonts w:ascii="Simplified Arabic" w:eastAsia="Times New Roman" w:hAnsi="Simplified Arabic" w:cs="Simplified Arabic"/>
          <w:color w:val="000000" w:themeColor="text1"/>
          <w:kern w:val="0"/>
          <w:sz w:val="28"/>
          <w:szCs w:val="28"/>
          <w:rtl/>
          <w14:ligatures w14:val="none"/>
        </w:rPr>
        <w:lastRenderedPageBreak/>
        <w:t>الحربي (٢٠٢٥) إلى أن التحول المرتبط برؤى تنموية وطنية يميل عادةً إلى الطابع الجذري نظرًا لطموح أهدافه وضيق إطاره الزمني</w:t>
      </w:r>
      <w:r w:rsidRPr="008C68C0">
        <w:rPr>
          <w:rFonts w:ascii="Simplified Arabic" w:eastAsia="Times New Roman" w:hAnsi="Simplified Arabic" w:cs="Simplified Arabic"/>
          <w:color w:val="000000" w:themeColor="text1"/>
          <w:kern w:val="0"/>
          <w:sz w:val="28"/>
          <w:szCs w:val="28"/>
          <w14:ligatures w14:val="none"/>
        </w:rPr>
        <w:t>.</w:t>
      </w:r>
    </w:p>
    <w:p w14:paraId="3C405CD5"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وتتمثل الاستراتيجية الثالثة في التحول التشاركي، الذي يقوم على إشراك العاملين وأصحاب المصلحة في صياغة مسار التحول وتنفيذه، بحيث يتحول التحول من قرار فوقي إلى مشروع جماعي. ويرى فروليش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Fr</w:t>
      </w:r>
      <w:r w:rsidRPr="008C68C0">
        <w:rPr>
          <w:rFonts w:ascii="Cambria" w:eastAsia="Times New Roman" w:hAnsi="Cambria" w:cs="Cambria"/>
          <w:color w:val="000000" w:themeColor="text1"/>
          <w:kern w:val="0"/>
          <w:sz w:val="28"/>
          <w:szCs w:val="28"/>
          <w14:ligatures w14:val="none"/>
        </w:rPr>
        <w:t>ö</w:t>
      </w:r>
      <w:r w:rsidRPr="008C68C0">
        <w:rPr>
          <w:rFonts w:ascii="Simplified Arabic" w:eastAsia="Times New Roman" w:hAnsi="Simplified Arabic" w:cs="Simplified Arabic"/>
          <w:color w:val="000000" w:themeColor="text1"/>
          <w:kern w:val="0"/>
          <w:sz w:val="28"/>
          <w:szCs w:val="28"/>
          <w14:ligatures w14:val="none"/>
        </w:rPr>
        <w:t>lich</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2025) </w:t>
      </w:r>
      <w:r w:rsidRPr="008C68C0">
        <w:rPr>
          <w:rFonts w:ascii="Simplified Arabic" w:eastAsia="Times New Roman" w:hAnsi="Simplified Arabic" w:cs="Simplified Arabic"/>
          <w:color w:val="000000" w:themeColor="text1"/>
          <w:kern w:val="0"/>
          <w:sz w:val="28"/>
          <w:szCs w:val="28"/>
          <w:rtl/>
          <w14:ligatures w14:val="none"/>
        </w:rPr>
        <w:t>أن الاستراتيجية التشاركية تُعزّز ثقة العاملين في التحول وتُقلّص فجوة التواصل بين القيادة والقاعدة</w:t>
      </w:r>
      <w:r w:rsidRPr="008C68C0">
        <w:rPr>
          <w:rFonts w:ascii="Simplified Arabic" w:eastAsia="Times New Roman" w:hAnsi="Simplified Arabic" w:cs="Simplified Arabic"/>
          <w:color w:val="000000" w:themeColor="text1"/>
          <w:kern w:val="0"/>
          <w:sz w:val="28"/>
          <w:szCs w:val="28"/>
          <w14:ligatures w14:val="none"/>
        </w:rPr>
        <w:t>.</w:t>
      </w:r>
    </w:p>
    <w:p w14:paraId="0C361FFD"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وتأتي الاستراتيجية الرابعة في صورة التحول المدفوع بالبيانات، الذي يستثمر التحليلات المتقدمة في تشخيص واقع المنظمة وتحديد أولويات التحول وقياس أثره. ويُسهم هذا المدخل، وفق ما يطرحه كولال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Kulal</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w:t>
      </w:r>
      <w:r w:rsidRPr="008C68C0">
        <w:rPr>
          <w:rFonts w:ascii="Simplified Arabic" w:eastAsia="Times New Roman" w:hAnsi="Simplified Arabic" w:cs="Simplified Arabic"/>
          <w:color w:val="000000" w:themeColor="text1"/>
          <w:kern w:val="0"/>
          <w:sz w:val="28"/>
          <w:szCs w:val="28"/>
          <w:rtl/>
          <w14:ligatures w14:val="none"/>
        </w:rPr>
        <w:t>، في رفع موضوعية القرار التحويلي وتقليص المخاطر المرتبطة بالحدس الإداري</w:t>
      </w:r>
      <w:r w:rsidRPr="008C68C0">
        <w:rPr>
          <w:rFonts w:ascii="Simplified Arabic" w:eastAsia="Times New Roman" w:hAnsi="Simplified Arabic" w:cs="Simplified Arabic"/>
          <w:color w:val="000000" w:themeColor="text1"/>
          <w:kern w:val="0"/>
          <w:sz w:val="28"/>
          <w:szCs w:val="28"/>
          <w14:ligatures w14:val="none"/>
        </w:rPr>
        <w:t>.</w:t>
      </w:r>
    </w:p>
    <w:p w14:paraId="1375E0C3" w14:textId="77777777" w:rsidR="00F965AA" w:rsidRPr="008C68C0" w:rsidRDefault="00F965AA" w:rsidP="000B3C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وتتمثل الاستراتيجية الخامسة في التحول المتكامل، الذي يجمع بين البُعد الهيكلي والرقمي والثقافي والبشري في منظومة واحدة، بحيث يُعزّز كل بُعد البُعد الآخر. وهذه هي الاستراتيجية الأقرب إلى منطق الدراسة الحالية، لكونها تجعل من التكامل بين الأبعاد جوهرًا لنجاح التحول</w:t>
      </w:r>
      <w:r w:rsidRPr="008C68C0">
        <w:rPr>
          <w:rFonts w:ascii="Simplified Arabic" w:eastAsia="Times New Roman" w:hAnsi="Simplified Arabic" w:cs="Simplified Arabic"/>
          <w:color w:val="000000" w:themeColor="text1"/>
          <w:kern w:val="0"/>
          <w:sz w:val="28"/>
          <w:szCs w:val="28"/>
          <w14:ligatures w14:val="none"/>
        </w:rPr>
        <w:t>.</w:t>
      </w:r>
    </w:p>
    <w:p w14:paraId="663B83A9" w14:textId="21B05475" w:rsidR="00F965AA" w:rsidRPr="008C68C0" w:rsidRDefault="000B3CAB" w:rsidP="002B0509">
      <w:pPr>
        <w:jc w:val="center"/>
        <w:outlineLvl w:val="1"/>
        <w:rPr>
          <w:rFonts w:ascii="Simplified Arabic" w:eastAsia="Times New Roman" w:hAnsi="Simplified Arabic" w:cs="Simplified Arabic"/>
          <w:b/>
          <w:bCs/>
          <w:color w:val="000000" w:themeColor="text1"/>
          <w:kern w:val="0"/>
          <w:sz w:val="36"/>
          <w:szCs w:val="36"/>
          <w14:ligatures w14:val="none"/>
        </w:rPr>
      </w:pPr>
      <w:r w:rsidRPr="008C68C0">
        <w:rPr>
          <w:rFonts w:ascii="Simplified Arabic" w:eastAsia="Times New Roman" w:hAnsi="Simplified Arabic" w:cs="Simplified Arabic"/>
          <w:b/>
          <w:bCs/>
          <w:color w:val="000000" w:themeColor="text1"/>
          <w:kern w:val="0"/>
          <w:sz w:val="36"/>
          <w:szCs w:val="36"/>
          <w:rtl/>
          <w14:ligatures w14:val="none"/>
        </w:rPr>
        <w:br w:type="page"/>
      </w:r>
      <w:bookmarkStart w:id="33" w:name="_Toc233212277"/>
      <w:r w:rsidR="00F965AA" w:rsidRPr="008C68C0">
        <w:rPr>
          <w:rFonts w:ascii="Simplified Arabic" w:eastAsia="Times New Roman" w:hAnsi="Simplified Arabic" w:cs="Simplified Arabic"/>
          <w:b/>
          <w:bCs/>
          <w:color w:val="000000" w:themeColor="text1"/>
          <w:kern w:val="0"/>
          <w:sz w:val="36"/>
          <w:szCs w:val="36"/>
          <w:rtl/>
          <w14:ligatures w14:val="none"/>
        </w:rPr>
        <w:lastRenderedPageBreak/>
        <w:t>المبحث الثاني: تطوير كفاءة الخدمات العامة</w:t>
      </w:r>
      <w:bookmarkEnd w:id="33"/>
    </w:p>
    <w:p w14:paraId="1436C85C" w14:textId="195CAA6D" w:rsidR="00F965AA" w:rsidRPr="008C68C0" w:rsidRDefault="002B0509" w:rsidP="002B05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212278"/>
      <w:r w:rsidRPr="008C68C0">
        <w:rPr>
          <w:rFonts w:ascii="Simplified Arabic" w:eastAsia="Times New Roman" w:hAnsi="Simplified Arabic" w:cs="Simplified Arabic" w:hint="cs"/>
          <w:b/>
          <w:bCs/>
          <w:color w:val="000000" w:themeColor="text1"/>
          <w:kern w:val="0"/>
          <w:sz w:val="32"/>
          <w:szCs w:val="32"/>
          <w:rtl/>
          <w14:ligatures w14:val="none"/>
        </w:rPr>
        <w:t xml:space="preserve">1.2.2 </w:t>
      </w:r>
      <w:r w:rsidR="00F965AA" w:rsidRPr="008C68C0">
        <w:rPr>
          <w:rFonts w:ascii="Simplified Arabic" w:eastAsia="Times New Roman" w:hAnsi="Simplified Arabic" w:cs="Simplified Arabic"/>
          <w:b/>
          <w:bCs/>
          <w:color w:val="000000" w:themeColor="text1"/>
          <w:kern w:val="0"/>
          <w:sz w:val="32"/>
          <w:szCs w:val="32"/>
          <w:rtl/>
          <w14:ligatures w14:val="none"/>
        </w:rPr>
        <w:t>تمهيد</w:t>
      </w:r>
      <w:bookmarkEnd w:id="34"/>
    </w:p>
    <w:p w14:paraId="14B11C5C"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تحتل كفاءة الخدمات العامة موقعًا متقدمًا في أولويات الأجهزة الحكومية المعاصرة، باعتبارها المعيار الأكثر صدقًا في الحكم على فاعلية الجهاز الإداري للدولة، والمحدِّد الجوهري لقدرة الحكومات على الوفاء بالعقد الاجتماعي مع مواطنيها. فالخدمة العامة لم تعد تُقاس بمجرد توفرها أو إنجازها، بل باتت تُقيَّم وفق معايير دقيقة تتصل بسرعة تقديمها، وجودة مخرجاتها، وعدالة توزيعها، وتكلفتها النسبية، ومدى انسجامها مع توقعات المستفيدين المتنامية. ومن ثمَّ، فإن تطوير كفاءة الخدمات العامة لم يعد ترفًا إداريًا أو هدفًا ثانويًا، بل تحوّل إلى ضرورة استراتيجية تفرضها تحولات البيئة الإدارية المعاصرة، وتُحتّمها متطلبات التنافسية بين الدول، وحاجات المواطن المتجددة</w:t>
      </w:r>
      <w:r w:rsidRPr="008C68C0">
        <w:rPr>
          <w:rFonts w:ascii="Simplified Arabic" w:eastAsia="Times New Roman" w:hAnsi="Simplified Arabic" w:cs="Simplified Arabic"/>
          <w:color w:val="000000" w:themeColor="text1"/>
          <w:kern w:val="0"/>
          <w:sz w:val="28"/>
          <w:szCs w:val="28"/>
          <w14:ligatures w14:val="none"/>
        </w:rPr>
        <w:t>.</w:t>
      </w:r>
    </w:p>
    <w:p w14:paraId="6999ABF8"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وقد أسهم تعاظم الضغوط على الموازنات العامة، وتنامي الوعي الجماهيري بالحقوق المرتبطة بالخدمة، وتسارع الابتكارات التقنية في إعادة تشكيل قنوات تقديم الخدمة، في دفع الأدبيات الإدارية إلى إيلاء كفاءة الخدمات العامة اهتمامًا متصاعدًا</w:t>
      </w:r>
      <w:r w:rsidRPr="008C68C0">
        <w:rPr>
          <w:rFonts w:ascii="Simplified Arabic" w:eastAsia="Times New Roman" w:hAnsi="Simplified Arabic" w:cs="Simplified Arabic"/>
          <w:color w:val="000000" w:themeColor="text1"/>
          <w:kern w:val="0"/>
          <w:sz w:val="28"/>
          <w:szCs w:val="28"/>
          <w14:ligatures w14:val="none"/>
        </w:rPr>
        <w:t xml:space="preserve"> (Imran &amp; </w:t>
      </w:r>
      <w:proofErr w:type="spellStart"/>
      <w:r w:rsidRPr="008C68C0">
        <w:rPr>
          <w:rFonts w:ascii="Simplified Arabic" w:eastAsia="Times New Roman" w:hAnsi="Simplified Arabic" w:cs="Simplified Arabic"/>
          <w:color w:val="000000" w:themeColor="text1"/>
          <w:kern w:val="0"/>
          <w:sz w:val="28"/>
          <w:szCs w:val="28"/>
          <w14:ligatures w14:val="none"/>
        </w:rPr>
        <w:t>Ram</w:t>
      </w:r>
      <w:r w:rsidRPr="008C68C0">
        <w:rPr>
          <w:rFonts w:ascii="Cambria" w:eastAsia="Times New Roman" w:hAnsi="Cambria" w:cs="Cambria"/>
          <w:color w:val="000000" w:themeColor="text1"/>
          <w:kern w:val="0"/>
          <w:sz w:val="28"/>
          <w:szCs w:val="28"/>
          <w14:ligatures w14:val="none"/>
        </w:rPr>
        <w:t>í</w:t>
      </w:r>
      <w:r w:rsidRPr="008C68C0">
        <w:rPr>
          <w:rFonts w:ascii="Simplified Arabic" w:eastAsia="Times New Roman" w:hAnsi="Simplified Arabic" w:cs="Simplified Arabic"/>
          <w:color w:val="000000" w:themeColor="text1"/>
          <w:kern w:val="0"/>
          <w:sz w:val="28"/>
          <w:szCs w:val="28"/>
          <w14:ligatures w14:val="none"/>
        </w:rPr>
        <w:t>rez</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2022). </w:t>
      </w:r>
      <w:r w:rsidRPr="008C68C0">
        <w:rPr>
          <w:rFonts w:ascii="Simplified Arabic" w:eastAsia="Times New Roman" w:hAnsi="Simplified Arabic" w:cs="Simplified Arabic"/>
          <w:color w:val="000000" w:themeColor="text1"/>
          <w:kern w:val="0"/>
          <w:sz w:val="28"/>
          <w:szCs w:val="28"/>
          <w:rtl/>
          <w14:ligatures w14:val="none"/>
        </w:rPr>
        <w:t>كما أسهمت موجة التحول الرقمي العالمية في إعادة صياغة مفاهيم الكفاءة ومؤشراتها، بحيث لم تعد تُقاس بالمنطق التقليدي للمدخلات والمخرجات فحسب، بل امتدت لتشمل تجربة المستفيد، وقابلية الخدمة للتطور، ومرونتها في التكيف مع الظروف الطارئة</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Kulal</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w:t>
      </w:r>
    </w:p>
    <w:p w14:paraId="47672BED"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معمّقة لمتغير تطوير كفاءة الخدمات العامة بوصفه المتغير التابع في الدراسة الحالية، بدءًا من تأصيل مفهومه عبر استعراض الاتجاهات الفكرية المختلفة في تعريفه، مرورًا بإبراز أهميته وأهدافه ومحدداته، فاستعراض المؤشرات والمداخل المعتمدة في تطويره، ووصولًا إلى عرض جملة من العناوين البحثية الحديثة التي عالجت الموضوع من زوايا متعددة</w:t>
      </w:r>
      <w:r w:rsidRPr="008C68C0">
        <w:rPr>
          <w:rFonts w:ascii="Simplified Arabic" w:eastAsia="Times New Roman" w:hAnsi="Simplified Arabic" w:cs="Simplified Arabic"/>
          <w:color w:val="000000" w:themeColor="text1"/>
          <w:kern w:val="0"/>
          <w:sz w:val="28"/>
          <w:szCs w:val="28"/>
          <w14:ligatures w14:val="none"/>
        </w:rPr>
        <w:t>.</w:t>
      </w:r>
    </w:p>
    <w:p w14:paraId="5C0CECFA" w14:textId="0784ADE4" w:rsidR="00F965AA" w:rsidRPr="008C68C0" w:rsidRDefault="002B0509" w:rsidP="002B05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212279"/>
      <w:r w:rsidRPr="008C68C0">
        <w:rPr>
          <w:rFonts w:ascii="Simplified Arabic" w:eastAsia="Times New Roman" w:hAnsi="Simplified Arabic" w:cs="Simplified Arabic" w:hint="cs"/>
          <w:b/>
          <w:bCs/>
          <w:color w:val="000000" w:themeColor="text1"/>
          <w:kern w:val="0"/>
          <w:sz w:val="32"/>
          <w:szCs w:val="32"/>
          <w:rtl/>
          <w14:ligatures w14:val="none"/>
        </w:rPr>
        <w:t>2.2.2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مفهوم تطوير كفاءة الخدمات العامة</w:t>
      </w:r>
      <w:bookmarkEnd w:id="35"/>
    </w:p>
    <w:p w14:paraId="76EC1067"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تتشعّب المعالجات التي قدّمها الباحثون لمفهوم كفاءة الخدمات العامة وتطويرها، وذلك بحسب المداخل النظرية التي تبنّوها والسياقات التطبيقية التي تحرّكوا فيها. ويمكن تمييز عدة اتجاهات رئيسة في تأصيل هذا المفهوم، يكمّل بعضها بعضًا ويُسهم مجموعها في تكوين صورة متكاملة عنه</w:t>
      </w:r>
      <w:r w:rsidRPr="008C68C0">
        <w:rPr>
          <w:rFonts w:ascii="Simplified Arabic" w:eastAsia="Times New Roman" w:hAnsi="Simplified Arabic" w:cs="Simplified Arabic"/>
          <w:color w:val="000000" w:themeColor="text1"/>
          <w:kern w:val="0"/>
          <w:sz w:val="28"/>
          <w:szCs w:val="28"/>
          <w14:ligatures w14:val="none"/>
        </w:rPr>
        <w:t>.</w:t>
      </w:r>
    </w:p>
    <w:p w14:paraId="593E3A99"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يتبنّى الاتجاه الأول مدخلًا اقتصاديًا في تعريف كفاءة الخدمات العامة، إذ يربط الكفاءة بالعلاقة بين الموارد المستثمرة في تقديم الخدمة والمخرجات المتحققة منها. ويُشير هان وهان</w:t>
      </w:r>
      <w:r w:rsidRPr="008C68C0">
        <w:rPr>
          <w:rFonts w:ascii="Simplified Arabic" w:eastAsia="Times New Roman" w:hAnsi="Simplified Arabic" w:cs="Simplified Arabic"/>
          <w:color w:val="000000" w:themeColor="text1"/>
          <w:kern w:val="0"/>
          <w:sz w:val="28"/>
          <w:szCs w:val="28"/>
          <w14:ligatures w14:val="none"/>
        </w:rPr>
        <w:t xml:space="preserve"> (Han &amp; Han, 2021) </w:t>
      </w:r>
      <w:r w:rsidRPr="008C68C0">
        <w:rPr>
          <w:rFonts w:ascii="Simplified Arabic" w:eastAsia="Times New Roman" w:hAnsi="Simplified Arabic" w:cs="Simplified Arabic"/>
          <w:color w:val="000000" w:themeColor="text1"/>
          <w:kern w:val="0"/>
          <w:sz w:val="28"/>
          <w:szCs w:val="28"/>
          <w:rtl/>
          <w14:ligatures w14:val="none"/>
        </w:rPr>
        <w:t>في معالجتهما لكفاءة خدمة التعليم العام إلى أن الكفاءة تتمثل في قدرة المنظومة الخدمية على تحقيق أقصى قدر من المخرجات بأدنى قدر من المدخلات، مع الحفاظ على معايير الجودة المعتمدة. ويستلهم هذا المدخل أصوله من نظريات الاقتصاد المؤسسي التي تنظر إلى الجهاز الحكومي بوصفه منتجًا للخدمات يخضع لمعايير الإنتاجية ذاتها التي يخضع لها القطاع الخاص</w:t>
      </w:r>
      <w:r w:rsidRPr="008C68C0">
        <w:rPr>
          <w:rFonts w:ascii="Simplified Arabic" w:eastAsia="Times New Roman" w:hAnsi="Simplified Arabic" w:cs="Simplified Arabic"/>
          <w:color w:val="000000" w:themeColor="text1"/>
          <w:kern w:val="0"/>
          <w:sz w:val="28"/>
          <w:szCs w:val="28"/>
          <w14:ligatures w14:val="none"/>
        </w:rPr>
        <w:t>.</w:t>
      </w:r>
    </w:p>
    <w:p w14:paraId="435AF119"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ويتبنّى الاتجاه الثاني مدخلًا إداريًا في تعريف الكفاءة، إذ يُركّز على المنظومة الإدارية التي تُنتج الخدمة وتُقدّمها للمستفيد. ويُعرّف ربيعة وناصر (٢٠٢٥) كفاءة الخدمات بوصفها انعكاسًا لجودة التطوير التنظيمي للمؤسسة المقدّمة للخدمة، إذ تتشكّل الكفاءة من تكامل المنظومات الإدارية الداخلية، وانسجام إجراءاتها، وفاعلية أنظمتها الرقابية. ويُكمل هذا الطرح ما يطرحه إيمران وراميريز</w:t>
      </w:r>
      <w:r w:rsidRPr="008C68C0">
        <w:rPr>
          <w:rFonts w:ascii="Simplified Arabic" w:eastAsia="Times New Roman" w:hAnsi="Simplified Arabic" w:cs="Simplified Arabic"/>
          <w:color w:val="000000" w:themeColor="text1"/>
          <w:kern w:val="0"/>
          <w:sz w:val="28"/>
          <w:szCs w:val="28"/>
          <w14:ligatures w14:val="none"/>
        </w:rPr>
        <w:t xml:space="preserve"> (Imran &amp; </w:t>
      </w:r>
      <w:proofErr w:type="spellStart"/>
      <w:r w:rsidRPr="008C68C0">
        <w:rPr>
          <w:rFonts w:ascii="Simplified Arabic" w:eastAsia="Times New Roman" w:hAnsi="Simplified Arabic" w:cs="Simplified Arabic"/>
          <w:color w:val="000000" w:themeColor="text1"/>
          <w:kern w:val="0"/>
          <w:sz w:val="28"/>
          <w:szCs w:val="28"/>
          <w14:ligatures w14:val="none"/>
        </w:rPr>
        <w:t>Ram</w:t>
      </w:r>
      <w:r w:rsidRPr="008C68C0">
        <w:rPr>
          <w:rFonts w:ascii="Cambria" w:eastAsia="Times New Roman" w:hAnsi="Cambria" w:cs="Cambria"/>
          <w:color w:val="000000" w:themeColor="text1"/>
          <w:kern w:val="0"/>
          <w:sz w:val="28"/>
          <w:szCs w:val="28"/>
          <w14:ligatures w14:val="none"/>
        </w:rPr>
        <w:t>í</w:t>
      </w:r>
      <w:r w:rsidRPr="008C68C0">
        <w:rPr>
          <w:rFonts w:ascii="Simplified Arabic" w:eastAsia="Times New Roman" w:hAnsi="Simplified Arabic" w:cs="Simplified Arabic"/>
          <w:color w:val="000000" w:themeColor="text1"/>
          <w:kern w:val="0"/>
          <w:sz w:val="28"/>
          <w:szCs w:val="28"/>
          <w14:ligatures w14:val="none"/>
        </w:rPr>
        <w:t>rez</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2022) </w:t>
      </w:r>
      <w:r w:rsidRPr="008C68C0">
        <w:rPr>
          <w:rFonts w:ascii="Simplified Arabic" w:eastAsia="Times New Roman" w:hAnsi="Simplified Arabic" w:cs="Simplified Arabic"/>
          <w:color w:val="000000" w:themeColor="text1"/>
          <w:kern w:val="0"/>
          <w:sz w:val="28"/>
          <w:szCs w:val="28"/>
          <w:rtl/>
          <w14:ligatures w14:val="none"/>
        </w:rPr>
        <w:t>من أن كفاءة الأداء في الخدمة العامة تتشكّل من تضافر عوامل إدارية متعددة، تتوزع بين البنية التحتية الإدارية، والكفاءات البشرية، ومنظومات الحوكمة، وثقافة المنظمة</w:t>
      </w:r>
      <w:r w:rsidRPr="008C68C0">
        <w:rPr>
          <w:rFonts w:ascii="Simplified Arabic" w:eastAsia="Times New Roman" w:hAnsi="Simplified Arabic" w:cs="Simplified Arabic"/>
          <w:color w:val="000000" w:themeColor="text1"/>
          <w:kern w:val="0"/>
          <w:sz w:val="28"/>
          <w:szCs w:val="28"/>
          <w14:ligatures w14:val="none"/>
        </w:rPr>
        <w:t>.</w:t>
      </w:r>
    </w:p>
    <w:p w14:paraId="12E02D0B"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ويتبنّى الاتجاه الثالث مدخلًا تقنيًا رقميًا في تعريف الكفاءة، إذ يُعيد قراءة الكفاءة في ضوء إمكانات التحول الرقمي. ويُعرّف كولال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Kulal</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كفاءة الخدمة العامة، في ظل التوظيف المتقدم للذكاء الاصطناعي، بأنها قدرة المنظومة الخدمية على توفير الخدمة بصورة فورية ودقيقة ومخصّصة، عبر استثمار التقنيات الذكية في تحليل احتياجات المستفيدين والاستجابة لها. وفي السياق ذاته، يُقدّم لاتوبيريسا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Latupeirissa</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قراءة شاملة للكفاءة في ظل مبادرات الرقمنة، إذ يُعرّفونها بوصفها نتيجة لإعادة تشكيل قنوات الخدمة وإجراءاتها وفق منطق رقمي يُلغي الحواجز الزمنية والمكانية بين المستفيد والجهاز الحكومي</w:t>
      </w:r>
      <w:r w:rsidRPr="008C68C0">
        <w:rPr>
          <w:rFonts w:ascii="Simplified Arabic" w:eastAsia="Times New Roman" w:hAnsi="Simplified Arabic" w:cs="Simplified Arabic"/>
          <w:color w:val="000000" w:themeColor="text1"/>
          <w:kern w:val="0"/>
          <w:sz w:val="28"/>
          <w:szCs w:val="28"/>
          <w14:ligatures w14:val="none"/>
        </w:rPr>
        <w:t>.</w:t>
      </w:r>
    </w:p>
    <w:p w14:paraId="3D2CB41F"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ويتبنّى الاتجاه الرابع مدخلًا تجريبيًا قائمًا على تجربة المستفيد، إذ يُعرّف الكفاءة من زاوية ما يستشعره المتلقي للخدمة لا من زاوية ما يُقدّمه مزوّدها. ويُشير تشين وآخرون</w:t>
      </w:r>
      <w:r w:rsidRPr="008C68C0">
        <w:rPr>
          <w:rFonts w:ascii="Simplified Arabic" w:eastAsia="Times New Roman" w:hAnsi="Simplified Arabic" w:cs="Simplified Arabic"/>
          <w:color w:val="000000" w:themeColor="text1"/>
          <w:kern w:val="0"/>
          <w:sz w:val="28"/>
          <w:szCs w:val="28"/>
          <w14:ligatures w14:val="none"/>
        </w:rPr>
        <w:t xml:space="preserve"> (Chen et al., 2021) </w:t>
      </w:r>
      <w:r w:rsidRPr="008C68C0">
        <w:rPr>
          <w:rFonts w:ascii="Simplified Arabic" w:eastAsia="Times New Roman" w:hAnsi="Simplified Arabic" w:cs="Simplified Arabic"/>
          <w:color w:val="000000" w:themeColor="text1"/>
          <w:kern w:val="0"/>
          <w:sz w:val="28"/>
          <w:szCs w:val="28"/>
          <w:rtl/>
          <w14:ligatures w14:val="none"/>
        </w:rPr>
        <w:t xml:space="preserve">في معالجتهم لتقنيات الخدمة الذاتية المعتمدة على الذكاء الاصطناعي إلى أن كفاءة الخدمة العامة لا تكتمل ما لم تُترجم إلى تجربة إيجابية لدى المستفيد، تجمع بين سهولة الوصول، ووضوح المسار، وسرعة الإنجاز، والاطمئنان إلى دقة المخرَج. ويُعزّز هذا الطرح ما يذهب إليه الجوهر (٢٠٢٤) من </w:t>
      </w:r>
      <w:r w:rsidRPr="008C68C0">
        <w:rPr>
          <w:rFonts w:ascii="Simplified Arabic" w:eastAsia="Times New Roman" w:hAnsi="Simplified Arabic" w:cs="Simplified Arabic"/>
          <w:color w:val="000000" w:themeColor="text1"/>
          <w:kern w:val="0"/>
          <w:sz w:val="28"/>
          <w:szCs w:val="28"/>
          <w:rtl/>
          <w14:ligatures w14:val="none"/>
        </w:rPr>
        <w:lastRenderedPageBreak/>
        <w:t>أن تحسين كفاءة الخدمات الحكومية يقترن بالضرورة بمنظور المستفيد، إذ يُعدّ الابتكار في تصميم الخدمة وتقديمها مدخلًا جوهريًا لرفع جودة التجربة وتعزيز الرضا</w:t>
      </w:r>
      <w:r w:rsidRPr="008C68C0">
        <w:rPr>
          <w:rFonts w:ascii="Simplified Arabic" w:eastAsia="Times New Roman" w:hAnsi="Simplified Arabic" w:cs="Simplified Arabic"/>
          <w:color w:val="000000" w:themeColor="text1"/>
          <w:kern w:val="0"/>
          <w:sz w:val="28"/>
          <w:szCs w:val="28"/>
          <w14:ligatures w14:val="none"/>
        </w:rPr>
        <w:t>.</w:t>
      </w:r>
    </w:p>
    <w:p w14:paraId="7706DAC8"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ويتبنّى الاتجاه الخامس مدخلًا استدامة-تنمويًا في تعريف الكفاءة، إذ ينظر إلى تطوير الخدمة العامة بوصفه عملية مستمرة تستهدف بناء قدرة المنظومة الخدمية على التجدّد الذاتي والصمود في وجه التحولات. ويُشير إينانج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Enang</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2022) </w:t>
      </w:r>
      <w:r w:rsidRPr="008C68C0">
        <w:rPr>
          <w:rFonts w:ascii="Simplified Arabic" w:eastAsia="Times New Roman" w:hAnsi="Simplified Arabic" w:cs="Simplified Arabic"/>
          <w:color w:val="000000" w:themeColor="text1"/>
          <w:kern w:val="0"/>
          <w:sz w:val="28"/>
          <w:szCs w:val="28"/>
          <w:rtl/>
          <w14:ligatures w14:val="none"/>
        </w:rPr>
        <w:t>إلى أن تحول الخدمة العامة المستدام يتطلب توافر عوامل مؤسسية وبيئية وبشرية تتكامل لضمان أن يكون التحسين في الكفاءة دائمًا لا عَرَضيًا. ويُؤكّد هذا المنظور أن الكفاءة ليست حالة ثابتة تُحقَّق وتُختَتم، بل مسار ديناميكي مفتوح على التحسين المتواصل</w:t>
      </w:r>
      <w:r w:rsidRPr="008C68C0">
        <w:rPr>
          <w:rFonts w:ascii="Simplified Arabic" w:eastAsia="Times New Roman" w:hAnsi="Simplified Arabic" w:cs="Simplified Arabic"/>
          <w:color w:val="000000" w:themeColor="text1"/>
          <w:kern w:val="0"/>
          <w:sz w:val="28"/>
          <w:szCs w:val="28"/>
          <w14:ligatures w14:val="none"/>
        </w:rPr>
        <w:t>.</w:t>
      </w:r>
    </w:p>
    <w:p w14:paraId="5D041C79"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ويتبنّى الاتجاه السادس مدخلًا سياسيًا-حوكميًا في تعريف الكفاءة، إذ يربطها بالسياسات العامة التي تُؤطّر الخدمة. ويُعالج لي وآخرون</w:t>
      </w:r>
      <w:r w:rsidRPr="008C68C0">
        <w:rPr>
          <w:rFonts w:ascii="Simplified Arabic" w:eastAsia="Times New Roman" w:hAnsi="Simplified Arabic" w:cs="Simplified Arabic"/>
          <w:color w:val="000000" w:themeColor="text1"/>
          <w:kern w:val="0"/>
          <w:sz w:val="28"/>
          <w:szCs w:val="28"/>
          <w14:ligatures w14:val="none"/>
        </w:rPr>
        <w:t xml:space="preserve"> (Li et al., 2025) </w:t>
      </w:r>
      <w:r w:rsidRPr="008C68C0">
        <w:rPr>
          <w:rFonts w:ascii="Simplified Arabic" w:eastAsia="Times New Roman" w:hAnsi="Simplified Arabic" w:cs="Simplified Arabic"/>
          <w:color w:val="000000" w:themeColor="text1"/>
          <w:kern w:val="0"/>
          <w:sz w:val="28"/>
          <w:szCs w:val="28"/>
          <w:rtl/>
          <w14:ligatures w14:val="none"/>
        </w:rPr>
        <w:t>في دراستهم لسياسة المدن المتحضرة في الصين كفاءة الخدمة العامة الحضرية بوصفها انعكاسًا لتفاعل السياسة العامة مع البنية التحتية الإدارية، مما يُكسب الكفاءة بُعدًا سياقيًا مرتبطًا بالخيارات الكبرى للسلطة العامة. ويُكمل ذلك ما يطرحه برين وآخرون</w:t>
      </w:r>
      <w:r w:rsidRPr="008C68C0">
        <w:rPr>
          <w:rFonts w:ascii="Simplified Arabic" w:eastAsia="Times New Roman" w:hAnsi="Simplified Arabic" w:cs="Simplified Arabic"/>
          <w:color w:val="000000" w:themeColor="text1"/>
          <w:kern w:val="0"/>
          <w:sz w:val="28"/>
          <w:szCs w:val="28"/>
          <w14:ligatures w14:val="none"/>
        </w:rPr>
        <w:t xml:space="preserve"> (Breen et al., 2020) </w:t>
      </w:r>
      <w:r w:rsidRPr="008C68C0">
        <w:rPr>
          <w:rFonts w:ascii="Simplified Arabic" w:eastAsia="Times New Roman" w:hAnsi="Simplified Arabic" w:cs="Simplified Arabic"/>
          <w:color w:val="000000" w:themeColor="text1"/>
          <w:kern w:val="0"/>
          <w:sz w:val="28"/>
          <w:szCs w:val="28"/>
          <w:rtl/>
          <w14:ligatures w14:val="none"/>
        </w:rPr>
        <w:t>من معالجة مقارنة لتحسين الخدمة في القطاع العام الأوروبي، تربط الكفاءة بمنظومة العمليات وأنماط الحوكمة</w:t>
      </w:r>
      <w:r w:rsidRPr="008C68C0">
        <w:rPr>
          <w:rFonts w:ascii="Simplified Arabic" w:eastAsia="Times New Roman" w:hAnsi="Simplified Arabic" w:cs="Simplified Arabic"/>
          <w:color w:val="000000" w:themeColor="text1"/>
          <w:kern w:val="0"/>
          <w:sz w:val="28"/>
          <w:szCs w:val="28"/>
          <w14:ligatures w14:val="none"/>
        </w:rPr>
        <w:t>.</w:t>
      </w:r>
    </w:p>
    <w:p w14:paraId="01C52481"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ويُمكن استخلاص من هذه الاتجاهات أن كفاءة الخدمات العامة تتشكّل من تفاعل ستة محاور متشابكة: المحور الاقتصادي المتصل بالعلاقة بين المدخلات والمخرجات، والمحور الإداري المتصل بالمنظومة المنتجة للخدمة، والمحور التقني المتصل بأدوات التقديم، والمحور التجريبي المتصل بإدراك المستفيد، والمحور الاستدامي المتصل بقدرة التحسين على الدوام، والمحور السياسي المتصل بإطار الحوكمة. وفي ضوء ذلك، يرى الباحث أن تطوير كفاءة الخدمات العامة يمكن تعريفه إجرائيًا بأنه: «عملية إدارية متكاملة ومستمرة تستهدف رفع قدرة المنظومة الخدمية الحكومية على تقديم خدمة عالية الجودة، بأقل التكاليف، وفي أقصر زمن ممكن، عبر تكامل المنظومات الإدارية والتقنية والبشرية، بما يُحقّق رضا المستفيدين، ويستجيب لتطلعاتهم المتجددة، ويُعزّز قدرة الجهاز الحكومي على بلوغ غاياته الاستراتيجية». ويُلاحظ في هذا التعريف أن الباحث يدمج بين المداخل الستة دمجًا منهجيًا، فيتعامل مع الكفاءة بوصفها بنية مركّبة لا أحادية البعد، وهو ما يتسق مع طبيعة المتغير التابع في الدراسة الحالية الذي يُعالج بوصفه محورًا أحاديًا يضم مؤشرات متعددة الأبعاد</w:t>
      </w:r>
      <w:r w:rsidRPr="008C68C0">
        <w:rPr>
          <w:rFonts w:ascii="Simplified Arabic" w:eastAsia="Times New Roman" w:hAnsi="Simplified Arabic" w:cs="Simplified Arabic"/>
          <w:color w:val="000000" w:themeColor="text1"/>
          <w:kern w:val="0"/>
          <w:sz w:val="28"/>
          <w:szCs w:val="28"/>
          <w14:ligatures w14:val="none"/>
        </w:rPr>
        <w:t>.</w:t>
      </w:r>
    </w:p>
    <w:p w14:paraId="0316147A" w14:textId="4B0B836F" w:rsidR="00F965AA" w:rsidRPr="008C68C0" w:rsidRDefault="002B0509" w:rsidP="002B05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212280"/>
      <w:r w:rsidRPr="008C68C0">
        <w:rPr>
          <w:rFonts w:ascii="Simplified Arabic" w:eastAsia="Times New Roman" w:hAnsi="Simplified Arabic" w:cs="Simplified Arabic" w:hint="cs"/>
          <w:b/>
          <w:bCs/>
          <w:color w:val="000000" w:themeColor="text1"/>
          <w:kern w:val="0"/>
          <w:sz w:val="32"/>
          <w:szCs w:val="32"/>
          <w:rtl/>
          <w14:ligatures w14:val="none"/>
        </w:rPr>
        <w:lastRenderedPageBreak/>
        <w:t>3.2.2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أهمية تطوير كفاءة الخدمات العامة</w:t>
      </w:r>
      <w:bookmarkEnd w:id="36"/>
    </w:p>
    <w:p w14:paraId="011C34DD"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تنبع أهمية تطوير كفاءة الخدمات العامة من كونها تُمثّل نقطة التماس المباشرة بين الجهاز الحكومي والمواطن، إذ يستمد المواطن انطباعاته عن الدولة وقدرتها وعدالتها من خلال ما يلمسه يوميًا في تعامله مع مرافق الخدمة العامة. ولذلك أصبح تطوير الكفاءة في هذا المجال يُمثّل أولوية مزدوجة، فهو من جهة هدف إداري داخلي للجهاز الحكومي، ومن جهة أخرى استثمار اجتماعي وسياسي في الثقة العامة بين الدولة ومجتمعها</w:t>
      </w:r>
      <w:r w:rsidRPr="008C68C0">
        <w:rPr>
          <w:rFonts w:ascii="Simplified Arabic" w:eastAsia="Times New Roman" w:hAnsi="Simplified Arabic" w:cs="Simplified Arabic"/>
          <w:color w:val="000000" w:themeColor="text1"/>
          <w:kern w:val="0"/>
          <w:sz w:val="28"/>
          <w:szCs w:val="28"/>
          <w14:ligatures w14:val="none"/>
        </w:rPr>
        <w:t>.</w:t>
      </w:r>
    </w:p>
    <w:p w14:paraId="3224B0AA"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ويُشير الجوهر (٢٠٢٤) إلى أن أهمية تطوير كفاءة الخدمات الحكومية تتجلى في محاور متعددة، أبرزها: أولًا، تحسين تجربة المواطن في تعامله مع الجهات الحكومية، عبر تقليص أزمنة الإنجاز وتبسيط الإجراءات. ثانيًا، تعزيز قدرة الجهاز الحكومي على استيعاب الزيادة المطّردة في الطلب على الخدمة دون أن يترتب على ذلك تراجع في الجودة. ثالثًا، فتح المجال لتوظيف الابتكار في تصميم الخدمة وتقديمها، بما يُحوّل الجهاز الحكومي من جهة تقليدية إلى جهة مبادرة. رابعًا، رفع قدرة الجهاز على الاستجابة للتغيرات المتسارعة في حاجات المستفيدين وتوقعاتهم</w:t>
      </w:r>
      <w:r w:rsidRPr="008C68C0">
        <w:rPr>
          <w:rFonts w:ascii="Simplified Arabic" w:eastAsia="Times New Roman" w:hAnsi="Simplified Arabic" w:cs="Simplified Arabic"/>
          <w:color w:val="000000" w:themeColor="text1"/>
          <w:kern w:val="0"/>
          <w:sz w:val="28"/>
          <w:szCs w:val="28"/>
          <w14:ligatures w14:val="none"/>
        </w:rPr>
        <w:t>.</w:t>
      </w:r>
    </w:p>
    <w:p w14:paraId="449A2651"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ويرى ربيعة وناصر (٢٠٢٥) أن تطوير كفاءة الخدمات يكتسب أهمية متعاظمة في قطاعات الخدمة العامة الحساسة، إذ يُسهم في: أولًا، تحسين جودة المخرجات التي تتلقاها فئات المجتمع المختلفة، بما ينعكس على رفاه المواطن. ثانيًا، تخفيض التكلفة الإجمالية لتقديم الخدمة دون المساس بمعاييرها. ثالثًا، تعزيز الالتزام بالمعايير المهنية والفنية في القطاعات التخصصية. رابعًا، توسيع نطاق الاستفادة من الخدمة لتشمل فئات أوسع من المجتمع</w:t>
      </w:r>
      <w:r w:rsidRPr="008C68C0">
        <w:rPr>
          <w:rFonts w:ascii="Simplified Arabic" w:eastAsia="Times New Roman" w:hAnsi="Simplified Arabic" w:cs="Simplified Arabic"/>
          <w:color w:val="000000" w:themeColor="text1"/>
          <w:kern w:val="0"/>
          <w:sz w:val="28"/>
          <w:szCs w:val="28"/>
          <w14:ligatures w14:val="none"/>
        </w:rPr>
        <w:t>.</w:t>
      </w:r>
    </w:p>
    <w:p w14:paraId="68BCBE4D"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ويُكمل العواجي والمناخلي (٢٠٢٥) هذه القراءة بإبراز أهمية رفع كفاءة الخدمات العامة من زاوية تقنية وحوكمية، إذ يُسهم ذلك في: أولًا، تعزيز الشفافية في تقديم الخدمة عبر توفير سجلات موثوقة لا يمكن العبث بها. ثانيًا، تقليص فرص الفساد الإداري الناتج عن غموض الإجراءات. ثالثًا، تحسين القدرة على تتبّع الخدمة من بدايتها إلى انتهائها. رابعًا، بناء ثقة متجددة بين المستفيد والجهاز الحكومي على أسس موثقة</w:t>
      </w:r>
      <w:r w:rsidRPr="008C68C0">
        <w:rPr>
          <w:rFonts w:ascii="Simplified Arabic" w:eastAsia="Times New Roman" w:hAnsi="Simplified Arabic" w:cs="Simplified Arabic"/>
          <w:color w:val="000000" w:themeColor="text1"/>
          <w:kern w:val="0"/>
          <w:sz w:val="28"/>
          <w:szCs w:val="28"/>
          <w14:ligatures w14:val="none"/>
        </w:rPr>
        <w:t>.</w:t>
      </w:r>
    </w:p>
    <w:p w14:paraId="2BDD77C0"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ويُشير إيمران وراميريز</w:t>
      </w:r>
      <w:r w:rsidRPr="008C68C0">
        <w:rPr>
          <w:rFonts w:ascii="Simplified Arabic" w:eastAsia="Times New Roman" w:hAnsi="Simplified Arabic" w:cs="Simplified Arabic"/>
          <w:color w:val="000000" w:themeColor="text1"/>
          <w:kern w:val="0"/>
          <w:sz w:val="28"/>
          <w:szCs w:val="28"/>
          <w14:ligatures w14:val="none"/>
        </w:rPr>
        <w:t xml:space="preserve"> (Imran &amp; </w:t>
      </w:r>
      <w:proofErr w:type="spellStart"/>
      <w:r w:rsidRPr="008C68C0">
        <w:rPr>
          <w:rFonts w:ascii="Simplified Arabic" w:eastAsia="Times New Roman" w:hAnsi="Simplified Arabic" w:cs="Simplified Arabic"/>
          <w:color w:val="000000" w:themeColor="text1"/>
          <w:kern w:val="0"/>
          <w:sz w:val="28"/>
          <w:szCs w:val="28"/>
          <w14:ligatures w14:val="none"/>
        </w:rPr>
        <w:t>Ram</w:t>
      </w:r>
      <w:r w:rsidRPr="008C68C0">
        <w:rPr>
          <w:rFonts w:ascii="Cambria" w:eastAsia="Times New Roman" w:hAnsi="Cambria" w:cs="Cambria"/>
          <w:color w:val="000000" w:themeColor="text1"/>
          <w:kern w:val="0"/>
          <w:sz w:val="28"/>
          <w:szCs w:val="28"/>
          <w14:ligatures w14:val="none"/>
        </w:rPr>
        <w:t>í</w:t>
      </w:r>
      <w:r w:rsidRPr="008C68C0">
        <w:rPr>
          <w:rFonts w:ascii="Simplified Arabic" w:eastAsia="Times New Roman" w:hAnsi="Simplified Arabic" w:cs="Simplified Arabic"/>
          <w:color w:val="000000" w:themeColor="text1"/>
          <w:kern w:val="0"/>
          <w:sz w:val="28"/>
          <w:szCs w:val="28"/>
          <w14:ligatures w14:val="none"/>
        </w:rPr>
        <w:t>rez</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2022) </w:t>
      </w:r>
      <w:r w:rsidRPr="008C68C0">
        <w:rPr>
          <w:rFonts w:ascii="Simplified Arabic" w:eastAsia="Times New Roman" w:hAnsi="Simplified Arabic" w:cs="Simplified Arabic"/>
          <w:color w:val="000000" w:themeColor="text1"/>
          <w:kern w:val="0"/>
          <w:sz w:val="28"/>
          <w:szCs w:val="28"/>
          <w:rtl/>
          <w14:ligatures w14:val="none"/>
        </w:rPr>
        <w:t xml:space="preserve">إلى أن أهمية تطوير أداء الخدمة العامة تتمثل في: أولًا، رفع إنتاجية الجهاز الحكومي بصورة تخفّف الضغط على الموازنات العامة. ثانيًا، تعزيز </w:t>
      </w:r>
      <w:r w:rsidRPr="008C68C0">
        <w:rPr>
          <w:rFonts w:ascii="Simplified Arabic" w:eastAsia="Times New Roman" w:hAnsi="Simplified Arabic" w:cs="Simplified Arabic"/>
          <w:color w:val="000000" w:themeColor="text1"/>
          <w:kern w:val="0"/>
          <w:sz w:val="28"/>
          <w:szCs w:val="28"/>
          <w:rtl/>
          <w14:ligatures w14:val="none"/>
        </w:rPr>
        <w:lastRenderedPageBreak/>
        <w:t>قدرة الدولة على تحقيق أهدافها التنموية عبر منظومة خدمية فاعلة. ثالثًا، تحسين موقع الدولة في المؤشرات الدولية المتصلة بكفاءة الجهاز الحكومي. رابعًا، بناء قاعدة معرفية متراكمة عن واقع الخدمة تُغذّي السياسات المستقبلية</w:t>
      </w:r>
      <w:r w:rsidRPr="008C68C0">
        <w:rPr>
          <w:rFonts w:ascii="Simplified Arabic" w:eastAsia="Times New Roman" w:hAnsi="Simplified Arabic" w:cs="Simplified Arabic"/>
          <w:color w:val="000000" w:themeColor="text1"/>
          <w:kern w:val="0"/>
          <w:sz w:val="28"/>
          <w:szCs w:val="28"/>
          <w14:ligatures w14:val="none"/>
        </w:rPr>
        <w:t>.</w:t>
      </w:r>
    </w:p>
    <w:p w14:paraId="6A47CA2D"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ويرى كولال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Kulal</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أن أهمية رفع الكفاءة في ظل التوظيف المتقدم للتقنيات الذكية تتمثل في: أولًا، إتاحة الخدمة على مدار الساعة دون قيود زمنية. ثانيًا، تخصيص الخدمة وفق حاجة المستفيد الفردية بدلًا من النمط الموحَّد. ثالثًا، استثمار البيانات المتراكمة في تحسين تصميم الخدمة باستمرار. رابعًا، تقليص الأخطاء الإجرائية الناتجة عن العامل البشري في المراحل التشغيلية</w:t>
      </w:r>
      <w:r w:rsidRPr="008C68C0">
        <w:rPr>
          <w:rFonts w:ascii="Simplified Arabic" w:eastAsia="Times New Roman" w:hAnsi="Simplified Arabic" w:cs="Simplified Arabic"/>
          <w:color w:val="000000" w:themeColor="text1"/>
          <w:kern w:val="0"/>
          <w:sz w:val="28"/>
          <w:szCs w:val="28"/>
          <w14:ligatures w14:val="none"/>
        </w:rPr>
        <w:t>.</w:t>
      </w:r>
    </w:p>
    <w:p w14:paraId="5F2420D9"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ويُضيف لي وآخرون</w:t>
      </w:r>
      <w:r w:rsidRPr="008C68C0">
        <w:rPr>
          <w:rFonts w:ascii="Simplified Arabic" w:eastAsia="Times New Roman" w:hAnsi="Simplified Arabic" w:cs="Simplified Arabic"/>
          <w:color w:val="000000" w:themeColor="text1"/>
          <w:kern w:val="0"/>
          <w:sz w:val="28"/>
          <w:szCs w:val="28"/>
          <w14:ligatures w14:val="none"/>
        </w:rPr>
        <w:t xml:space="preserve"> (Li et al., 2025) </w:t>
      </w:r>
      <w:r w:rsidRPr="008C68C0">
        <w:rPr>
          <w:rFonts w:ascii="Simplified Arabic" w:eastAsia="Times New Roman" w:hAnsi="Simplified Arabic" w:cs="Simplified Arabic"/>
          <w:color w:val="000000" w:themeColor="text1"/>
          <w:kern w:val="0"/>
          <w:sz w:val="28"/>
          <w:szCs w:val="28"/>
          <w:rtl/>
          <w14:ligatures w14:val="none"/>
        </w:rPr>
        <w:t>أهمية حضرية وتنموية لتطوير كفاءة الخدمة العامة، تتمثل في: أولًا، تعزيز جاذبية المدن للاستثمار والإقامة. ثانيًا، تحقيق التوازن في توزيع الخدمات بين المناطق الجغرافية المختلفة. ثالثًا، دعم خطط التنمية الحضرية المستدامة. رابعًا، تعزيز التنافسية الاقتصادية للمدن في الإطار الإقليمي والعالمي</w:t>
      </w:r>
      <w:r w:rsidRPr="008C68C0">
        <w:rPr>
          <w:rFonts w:ascii="Simplified Arabic" w:eastAsia="Times New Roman" w:hAnsi="Simplified Arabic" w:cs="Simplified Arabic"/>
          <w:color w:val="000000" w:themeColor="text1"/>
          <w:kern w:val="0"/>
          <w:sz w:val="28"/>
          <w:szCs w:val="28"/>
          <w14:ligatures w14:val="none"/>
        </w:rPr>
        <w:t>.</w:t>
      </w:r>
    </w:p>
    <w:p w14:paraId="080D1262"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وفي السياق نفسه، يُشير برين وآخرون</w:t>
      </w:r>
      <w:r w:rsidRPr="008C68C0">
        <w:rPr>
          <w:rFonts w:ascii="Simplified Arabic" w:eastAsia="Times New Roman" w:hAnsi="Simplified Arabic" w:cs="Simplified Arabic"/>
          <w:color w:val="000000" w:themeColor="text1"/>
          <w:kern w:val="0"/>
          <w:sz w:val="28"/>
          <w:szCs w:val="28"/>
          <w14:ligatures w14:val="none"/>
        </w:rPr>
        <w:t xml:space="preserve"> (Breen et al., 2020) </w:t>
      </w:r>
      <w:r w:rsidRPr="008C68C0">
        <w:rPr>
          <w:rFonts w:ascii="Simplified Arabic" w:eastAsia="Times New Roman" w:hAnsi="Simplified Arabic" w:cs="Simplified Arabic"/>
          <w:color w:val="000000" w:themeColor="text1"/>
          <w:kern w:val="0"/>
          <w:sz w:val="28"/>
          <w:szCs w:val="28"/>
          <w:rtl/>
          <w14:ligatures w14:val="none"/>
        </w:rPr>
        <w:t>إلى أهمية تطوير الخدمة في القطاع العام من زاوية المقارنة الدولية، إذ يُسهم في: أولًا، استلهام أفضل الممارسات من تجارب الدول المتقدمة. ثانيًا، بناء قدرة تنافسية بين الأجهزة الحكومية تُحفّز على التحسين المستمر. ثالثًا، تطوير منظومات قياس متقدمة تُتيح المقارنة الموضوعية. رابعًا، نقل المعرفة الإدارية بين السياقات المختلفة بصورة مدروسة</w:t>
      </w:r>
      <w:r w:rsidRPr="008C68C0">
        <w:rPr>
          <w:rFonts w:ascii="Simplified Arabic" w:eastAsia="Times New Roman" w:hAnsi="Simplified Arabic" w:cs="Simplified Arabic"/>
          <w:color w:val="000000" w:themeColor="text1"/>
          <w:kern w:val="0"/>
          <w:sz w:val="28"/>
          <w:szCs w:val="28"/>
          <w14:ligatures w14:val="none"/>
        </w:rPr>
        <w:t>.</w:t>
      </w:r>
    </w:p>
    <w:p w14:paraId="7886DC24" w14:textId="3DC8E92D" w:rsidR="00F965AA" w:rsidRPr="008C68C0" w:rsidRDefault="002B0509" w:rsidP="002B05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212281"/>
      <w:r w:rsidRPr="008C68C0">
        <w:rPr>
          <w:rFonts w:ascii="Simplified Arabic" w:eastAsia="Times New Roman" w:hAnsi="Simplified Arabic" w:cs="Simplified Arabic" w:hint="cs"/>
          <w:b/>
          <w:bCs/>
          <w:color w:val="000000" w:themeColor="text1"/>
          <w:kern w:val="0"/>
          <w:sz w:val="32"/>
          <w:szCs w:val="32"/>
          <w:rtl/>
          <w14:ligatures w14:val="none"/>
        </w:rPr>
        <w:t>4.2.2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أهداف تطوير كفاءة الخدمات العامة</w:t>
      </w:r>
      <w:bookmarkEnd w:id="37"/>
    </w:p>
    <w:p w14:paraId="68B8472A"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تتعدد الأهداف التي يسعى تطوير كفاءة الخدمات العامة إلى تحقيقها، وتتوزع على مستويات ثلاثة: مستوى المستفيد، ومستوى المنظمة المقدِّمة للخدمة، ومستوى المنظومة الحكومية العامة. ويُحدّد لاتوبيريسا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Latupeirissa</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جملة من الأهداف الرئيسة لتطوير الخدمة العامة في إطار الرقمنة، تتمثل في: أولًا، إعادة تشكيل قنوات الخدمة بحيث تتكامل القناة الإلكترونية مع القناة التقليدية. ثانيًا، تقليص الأعباء الإدارية على المستفيد عبر بناء منظومات بيانات موحّدة تُغني عن تكرار تقديم المعلومات. ثالثًا، رفع قدرة الجهاز الحكومي على تتبّع أداء الخدمة لحظيًا والتدخل لتحسينه. رابعًا، تعزيز الشفافية في إجراءات الخدمة عبر توثيق رقمي شامل لمراحلها</w:t>
      </w:r>
      <w:r w:rsidRPr="008C68C0">
        <w:rPr>
          <w:rFonts w:ascii="Simplified Arabic" w:eastAsia="Times New Roman" w:hAnsi="Simplified Arabic" w:cs="Simplified Arabic"/>
          <w:color w:val="000000" w:themeColor="text1"/>
          <w:kern w:val="0"/>
          <w:sz w:val="28"/>
          <w:szCs w:val="28"/>
          <w14:ligatures w14:val="none"/>
        </w:rPr>
        <w:t>.</w:t>
      </w:r>
    </w:p>
    <w:p w14:paraId="008EFA4B"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ويُحدّد سزدماك</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Szedm</w:t>
      </w:r>
      <w:r w:rsidRPr="008C68C0">
        <w:rPr>
          <w:rFonts w:ascii="Cambria" w:eastAsia="Times New Roman" w:hAnsi="Cambria" w:cs="Cambria"/>
          <w:color w:val="000000" w:themeColor="text1"/>
          <w:kern w:val="0"/>
          <w:sz w:val="28"/>
          <w:szCs w:val="28"/>
          <w14:ligatures w14:val="none"/>
        </w:rPr>
        <w:t>á</w:t>
      </w:r>
      <w:r w:rsidRPr="008C68C0">
        <w:rPr>
          <w:rFonts w:ascii="Simplified Arabic" w:eastAsia="Times New Roman" w:hAnsi="Simplified Arabic" w:cs="Simplified Arabic"/>
          <w:color w:val="000000" w:themeColor="text1"/>
          <w:kern w:val="0"/>
          <w:sz w:val="28"/>
          <w:szCs w:val="28"/>
          <w14:ligatures w14:val="none"/>
        </w:rPr>
        <w:t>k</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2025) </w:t>
      </w:r>
      <w:r w:rsidRPr="008C68C0">
        <w:rPr>
          <w:rFonts w:ascii="Simplified Arabic" w:eastAsia="Times New Roman" w:hAnsi="Simplified Arabic" w:cs="Simplified Arabic"/>
          <w:color w:val="000000" w:themeColor="text1"/>
          <w:kern w:val="0"/>
          <w:sz w:val="28"/>
          <w:szCs w:val="28"/>
          <w:rtl/>
          <w14:ligatures w14:val="none"/>
        </w:rPr>
        <w:t>أهدافًا تشغيلية لتطوير الخدمة الرقمية، تتمثل في: أولًا، أتمتة إدارة الوثائق وتقليص الاعتماد على المعالجة الورقية. ثانيًا، رفع دقة البيانات المتداولة بين الإدارات. ثالثًا، تسريع تدفق المعلومات داخل الجهاز الحكومي. رابعًا، تقليص فرص فقدان الوثائق أو تأخّر تداولها</w:t>
      </w:r>
      <w:r w:rsidRPr="008C68C0">
        <w:rPr>
          <w:rFonts w:ascii="Simplified Arabic" w:eastAsia="Times New Roman" w:hAnsi="Simplified Arabic" w:cs="Simplified Arabic"/>
          <w:color w:val="000000" w:themeColor="text1"/>
          <w:kern w:val="0"/>
          <w:sz w:val="28"/>
          <w:szCs w:val="28"/>
          <w14:ligatures w14:val="none"/>
        </w:rPr>
        <w:t>.</w:t>
      </w:r>
    </w:p>
    <w:p w14:paraId="0824AF2B"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ويرى مداس (٢٠٢٥) أن من أبرز أهداف تطوير الخدمة من زاوية البحث والتطوير: أولًا، بناء قدرة مؤسسية على الابتكار المستمر في تصميم الخدمة. ثانيًا، توفير حلول جديدة للتحديات المتكررة في تقديم الخدمة. ثالثًا، تجديد منظومات الخدمة بصورة دورية تواكب التحولات التقنية. رابعًا، تعزيز الميزة التنافسية للجهة المقدِّمة للخدمة في القطاعات الخدمية</w:t>
      </w:r>
      <w:r w:rsidRPr="008C68C0">
        <w:rPr>
          <w:rFonts w:ascii="Simplified Arabic" w:eastAsia="Times New Roman" w:hAnsi="Simplified Arabic" w:cs="Simplified Arabic"/>
          <w:color w:val="000000" w:themeColor="text1"/>
          <w:kern w:val="0"/>
          <w:sz w:val="28"/>
          <w:szCs w:val="28"/>
          <w14:ligatures w14:val="none"/>
        </w:rPr>
        <w:t>.</w:t>
      </w:r>
    </w:p>
    <w:p w14:paraId="0260C6A3"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ويُحدّد تشين وآخرون</w:t>
      </w:r>
      <w:r w:rsidRPr="008C68C0">
        <w:rPr>
          <w:rFonts w:ascii="Simplified Arabic" w:eastAsia="Times New Roman" w:hAnsi="Simplified Arabic" w:cs="Simplified Arabic"/>
          <w:color w:val="000000" w:themeColor="text1"/>
          <w:kern w:val="0"/>
          <w:sz w:val="28"/>
          <w:szCs w:val="28"/>
          <w14:ligatures w14:val="none"/>
        </w:rPr>
        <w:t xml:space="preserve"> (Chen et al., 2021) </w:t>
      </w:r>
      <w:r w:rsidRPr="008C68C0">
        <w:rPr>
          <w:rFonts w:ascii="Simplified Arabic" w:eastAsia="Times New Roman" w:hAnsi="Simplified Arabic" w:cs="Simplified Arabic"/>
          <w:color w:val="000000" w:themeColor="text1"/>
          <w:kern w:val="0"/>
          <w:sz w:val="28"/>
          <w:szCs w:val="28"/>
          <w:rtl/>
          <w14:ligatures w14:val="none"/>
        </w:rPr>
        <w:t>أهدافًا متصلة بتجربة المستفيد، تتمثل في: أولًا، تبسيط واجهات التعامل بين المستفيد ومنظومة الخدمة. ثانيًا، تخصيص الخدمة وفق سمات المستفيد وحاجاته الفردية. ثالثًا، تقليص الجهد المعرفي المطلوب من المستفيد لفهم إجراءات الخدمة. رابعًا، بناء ثقة المستفيد بالخدمة الذاتية بوصفها بديلًا فاعلًا للخدمة التقليدية</w:t>
      </w:r>
      <w:r w:rsidRPr="008C68C0">
        <w:rPr>
          <w:rFonts w:ascii="Simplified Arabic" w:eastAsia="Times New Roman" w:hAnsi="Simplified Arabic" w:cs="Simplified Arabic"/>
          <w:color w:val="000000" w:themeColor="text1"/>
          <w:kern w:val="0"/>
          <w:sz w:val="28"/>
          <w:szCs w:val="28"/>
          <w14:ligatures w14:val="none"/>
        </w:rPr>
        <w:t>.</w:t>
      </w:r>
    </w:p>
    <w:p w14:paraId="55B11B2A"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ويُكمل وامبا</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Wamba</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2022) </w:t>
      </w:r>
      <w:r w:rsidRPr="008C68C0">
        <w:rPr>
          <w:rFonts w:ascii="Simplified Arabic" w:eastAsia="Times New Roman" w:hAnsi="Simplified Arabic" w:cs="Simplified Arabic"/>
          <w:color w:val="000000" w:themeColor="text1"/>
          <w:kern w:val="0"/>
          <w:sz w:val="28"/>
          <w:szCs w:val="28"/>
          <w:rtl/>
          <w14:ligatures w14:val="none"/>
        </w:rPr>
        <w:t>هذه القراءة بإبراز أهداف تنظيمية أعمق، تتمثل في: أولًا، بناء مرونة تنظيمية تُمكّن المنظمة من إعادة تشكيل خدماتها سريعًا. ثانيًا، تعزيز المرونة في التعامل مع المستفيدين بحيث تتكيف الخدمة مع متطلباتهم المتغيرة. ثالثًا، تطوير قدرة المنظمة على دمج التقنيات الذكية في عملياتها الجوهرية. رابعًا، توظيف البيانات في تحسين الأداء عبر دورات تطوير متتابعة</w:t>
      </w:r>
      <w:r w:rsidRPr="008C68C0">
        <w:rPr>
          <w:rFonts w:ascii="Simplified Arabic" w:eastAsia="Times New Roman" w:hAnsi="Simplified Arabic" w:cs="Simplified Arabic"/>
          <w:color w:val="000000" w:themeColor="text1"/>
          <w:kern w:val="0"/>
          <w:sz w:val="28"/>
          <w:szCs w:val="28"/>
          <w14:ligatures w14:val="none"/>
        </w:rPr>
        <w:t>.</w:t>
      </w:r>
    </w:p>
    <w:p w14:paraId="066C0872"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ويُضيف لو ووانغ</w:t>
      </w:r>
      <w:r w:rsidRPr="008C68C0">
        <w:rPr>
          <w:rFonts w:ascii="Simplified Arabic" w:eastAsia="Times New Roman" w:hAnsi="Simplified Arabic" w:cs="Simplified Arabic"/>
          <w:color w:val="000000" w:themeColor="text1"/>
          <w:kern w:val="0"/>
          <w:sz w:val="28"/>
          <w:szCs w:val="28"/>
          <w14:ligatures w14:val="none"/>
        </w:rPr>
        <w:t xml:space="preserve"> (Lu &amp; Wang, 2023) </w:t>
      </w:r>
      <w:r w:rsidRPr="008C68C0">
        <w:rPr>
          <w:rFonts w:ascii="Simplified Arabic" w:eastAsia="Times New Roman" w:hAnsi="Simplified Arabic" w:cs="Simplified Arabic"/>
          <w:color w:val="000000" w:themeColor="text1"/>
          <w:kern w:val="0"/>
          <w:sz w:val="28"/>
          <w:szCs w:val="28"/>
          <w:rtl/>
          <w14:ligatures w14:val="none"/>
        </w:rPr>
        <w:t>أهدافًا متصلة بالاستجابة للضغوط المؤسسية، تتمثل في: أولًا، بناء قدرة استيعابية للتعامل مع التحولات المفاجئة. ثانيًا، تطوير منظومات داخلية مرنة قادرة على التكيف مع الضغوط الخارجية. ثالثًا، تحويل الضغوط القسرية إلى فرص للتطوير. رابعًا، تعزيز قدرة المنظمة على المحافظة على مستوى الخدمة في الظروف الاستثنائية</w:t>
      </w:r>
      <w:r w:rsidRPr="008C68C0">
        <w:rPr>
          <w:rFonts w:ascii="Simplified Arabic" w:eastAsia="Times New Roman" w:hAnsi="Simplified Arabic" w:cs="Simplified Arabic"/>
          <w:color w:val="000000" w:themeColor="text1"/>
          <w:kern w:val="0"/>
          <w:sz w:val="28"/>
          <w:szCs w:val="28"/>
          <w14:ligatures w14:val="none"/>
        </w:rPr>
        <w:t>.</w:t>
      </w:r>
    </w:p>
    <w:p w14:paraId="798CB89B" w14:textId="5A9BD189" w:rsidR="00F965AA" w:rsidRPr="008C68C0" w:rsidRDefault="002B0509" w:rsidP="002B05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212282"/>
      <w:r w:rsidRPr="008C68C0">
        <w:rPr>
          <w:rFonts w:ascii="Simplified Arabic" w:eastAsia="Times New Roman" w:hAnsi="Simplified Arabic" w:cs="Simplified Arabic" w:hint="cs"/>
          <w:b/>
          <w:bCs/>
          <w:color w:val="000000" w:themeColor="text1"/>
          <w:kern w:val="0"/>
          <w:sz w:val="32"/>
          <w:szCs w:val="32"/>
          <w:rtl/>
          <w14:ligatures w14:val="none"/>
        </w:rPr>
        <w:t>5.2.2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أبعاد تطوير كفاءة الخدمات العامة ومؤشراته</w:t>
      </w:r>
      <w:bookmarkEnd w:id="38"/>
    </w:p>
    <w:p w14:paraId="2692FF2E"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نظرًا لكون المتغير التابع في الدراسة الحالية يُعالَج بوصفه محورًا أحاديًا يضم عشر فقرات قياس، فإن المعالجة النظرية له تنصرف إلى استعراض المؤشرات والمحددات التي اعتمدها الباحثون في قياسه، بدلًا من تقسيمه إلى أبعاد فرعية. وقد تم تحديد هذه المؤشرات بناءً على ما طرحه إيمران وراميريز</w:t>
      </w:r>
      <w:r w:rsidRPr="008C68C0">
        <w:rPr>
          <w:rFonts w:ascii="Simplified Arabic" w:eastAsia="Times New Roman" w:hAnsi="Simplified Arabic" w:cs="Simplified Arabic"/>
          <w:color w:val="000000" w:themeColor="text1"/>
          <w:kern w:val="0"/>
          <w:sz w:val="28"/>
          <w:szCs w:val="28"/>
          <w14:ligatures w14:val="none"/>
        </w:rPr>
        <w:t xml:space="preserve"> </w:t>
      </w:r>
      <w:r w:rsidRPr="008C68C0">
        <w:rPr>
          <w:rFonts w:ascii="Simplified Arabic" w:eastAsia="Times New Roman" w:hAnsi="Simplified Arabic" w:cs="Simplified Arabic"/>
          <w:color w:val="000000" w:themeColor="text1"/>
          <w:kern w:val="0"/>
          <w:sz w:val="28"/>
          <w:szCs w:val="28"/>
          <w14:ligatures w14:val="none"/>
        </w:rPr>
        <w:lastRenderedPageBreak/>
        <w:t xml:space="preserve">(Imran &amp; </w:t>
      </w:r>
      <w:proofErr w:type="spellStart"/>
      <w:r w:rsidRPr="008C68C0">
        <w:rPr>
          <w:rFonts w:ascii="Simplified Arabic" w:eastAsia="Times New Roman" w:hAnsi="Simplified Arabic" w:cs="Simplified Arabic"/>
          <w:color w:val="000000" w:themeColor="text1"/>
          <w:kern w:val="0"/>
          <w:sz w:val="28"/>
          <w:szCs w:val="28"/>
          <w14:ligatures w14:val="none"/>
        </w:rPr>
        <w:t>Ram</w:t>
      </w:r>
      <w:r w:rsidRPr="008C68C0">
        <w:rPr>
          <w:rFonts w:ascii="Cambria" w:eastAsia="Times New Roman" w:hAnsi="Cambria" w:cs="Cambria"/>
          <w:color w:val="000000" w:themeColor="text1"/>
          <w:kern w:val="0"/>
          <w:sz w:val="28"/>
          <w:szCs w:val="28"/>
          <w14:ligatures w14:val="none"/>
        </w:rPr>
        <w:t>í</w:t>
      </w:r>
      <w:r w:rsidRPr="008C68C0">
        <w:rPr>
          <w:rFonts w:ascii="Simplified Arabic" w:eastAsia="Times New Roman" w:hAnsi="Simplified Arabic" w:cs="Simplified Arabic"/>
          <w:color w:val="000000" w:themeColor="text1"/>
          <w:kern w:val="0"/>
          <w:sz w:val="28"/>
          <w:szCs w:val="28"/>
          <w14:ligatures w14:val="none"/>
        </w:rPr>
        <w:t>rez</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2022) </w:t>
      </w:r>
      <w:r w:rsidRPr="008C68C0">
        <w:rPr>
          <w:rFonts w:ascii="Simplified Arabic" w:eastAsia="Times New Roman" w:hAnsi="Simplified Arabic" w:cs="Simplified Arabic"/>
          <w:color w:val="000000" w:themeColor="text1"/>
          <w:kern w:val="0"/>
          <w:sz w:val="28"/>
          <w:szCs w:val="28"/>
          <w:rtl/>
          <w14:ligatures w14:val="none"/>
        </w:rPr>
        <w:t>في معالجتهما التجريبية لعوامل تحسين أداء الخدمة العامة، وما قدّمه لاتوبيريسا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Latupeirissa</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من إطار شامل لتحول الخدمة العامة، إضافة إلى المعالجات المتممة من سائر المراجع، ويمكن تصنيفها في خمسة محددات رئيسة على النحو الآتي</w:t>
      </w:r>
      <w:r w:rsidRPr="008C68C0">
        <w:rPr>
          <w:rFonts w:ascii="Simplified Arabic" w:eastAsia="Times New Roman" w:hAnsi="Simplified Arabic" w:cs="Simplified Arabic"/>
          <w:color w:val="000000" w:themeColor="text1"/>
          <w:kern w:val="0"/>
          <w:sz w:val="28"/>
          <w:szCs w:val="28"/>
          <w14:ligatures w14:val="none"/>
        </w:rPr>
        <w:t>.</w:t>
      </w:r>
    </w:p>
    <w:p w14:paraId="70545EB3"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المحدد الأول: جودة المخرَج الخدمي</w:t>
      </w:r>
    </w:p>
    <w:p w14:paraId="6FC1F4CE"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يُمثّل جودة المخرَج المحدد الأكثر مباشرة في قياس كفاءة الخدمة، إذ يُترجم النتيجة الفعلية التي يتلقاها المستفيد. وتنطوي جودة المخرَج على عناصر متعددة، منها دقة الخدمة المقدَّمة، وخلوها من الأخطاء، ومطابقتها للمعايير المهنية، واستجابتها للمواصفات المعتمدة. ويُشير ربيعة وناصر (٢٠٢٥) إلى أن تحسين جودة الخدمة يستلزم منظومة متكاملة من المراجعة والتدقيق تضمن أن يكون كل مخرَج خدمي مطابقًا للمعايير قبل تسليمه للمستفيد. وتمتد جودة المخرَج لتشمل ملاءمته للسياق الذي يُقدَّم فيه، فالخدمة الجيدة في سياق قد لا تكون كذلك في سياق آخر، مما يستلزم تكييفًا واعيًا للخدمة وفق خصوصيات المستفيدين</w:t>
      </w:r>
      <w:r w:rsidRPr="008C68C0">
        <w:rPr>
          <w:rFonts w:ascii="Simplified Arabic" w:eastAsia="Times New Roman" w:hAnsi="Simplified Arabic" w:cs="Simplified Arabic"/>
          <w:color w:val="000000" w:themeColor="text1"/>
          <w:kern w:val="0"/>
          <w:sz w:val="28"/>
          <w:szCs w:val="28"/>
          <w14:ligatures w14:val="none"/>
        </w:rPr>
        <w:t>.</w:t>
      </w:r>
    </w:p>
    <w:p w14:paraId="7ED985BB"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ويتصل بجودة المخرَج موضوع الاتساق، إذ لا يكفي أن تكون الخدمة جيدة في تقديم واحد، بل يجب أن تحافظ على مستواها في كل مرة تُقدَّم فيها، وفي كل وحدة من وحدات تقديمها. ويُمثّل الاتساق تحديًا حقيقيًا للأجهزة الحكومية ذات الانتشار الجغرافي الواسع، إذ يستلزم بناء منظومات معيارية تضمن توحيد المستوى عبر المواقع المختلفة</w:t>
      </w:r>
      <w:r w:rsidRPr="008C68C0">
        <w:rPr>
          <w:rFonts w:ascii="Simplified Arabic" w:eastAsia="Times New Roman" w:hAnsi="Simplified Arabic" w:cs="Simplified Arabic"/>
          <w:color w:val="000000" w:themeColor="text1"/>
          <w:kern w:val="0"/>
          <w:sz w:val="28"/>
          <w:szCs w:val="28"/>
          <w14:ligatures w14:val="none"/>
        </w:rPr>
        <w:t>.</w:t>
      </w:r>
    </w:p>
    <w:p w14:paraId="79EC63B8"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المحدد الثاني: زمن إنجاز الخدمة</w:t>
      </w:r>
    </w:p>
    <w:p w14:paraId="7CBA95BB"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يُعدّ الزمن من أبرز محددات الكفاءة وأكثرها حساسية لدى المستفيد، إذ يقترن في إدراكه ارتباطًا مباشرًا بجودة التجربة. ويتضمن هذا المحدد عناصر متعددة، منها زمن الانتظار قبل بدء تقديم الخدمة، وزمن المعالجة الفعلي، وزمن الانتقال بين مراحل الخدمة، والزمن الإجمالي من تقديم الطلب إلى استلام المخرَج. ويُشير الجوهر (٢٠٢٤) إلى أن تقليص أزمنة الإنجاز يُمثّل من أبرز ثمار الابتكار في تصميم الخدمة الحكومية، إذ تُسهم إعادة هندسة الإجراءات وأتمتتها في اختصار أزمنة كانت تستغرق أيامًا إلى دقائق معدودة</w:t>
      </w:r>
      <w:r w:rsidRPr="008C68C0">
        <w:rPr>
          <w:rFonts w:ascii="Simplified Arabic" w:eastAsia="Times New Roman" w:hAnsi="Simplified Arabic" w:cs="Simplified Arabic"/>
          <w:color w:val="000000" w:themeColor="text1"/>
          <w:kern w:val="0"/>
          <w:sz w:val="28"/>
          <w:szCs w:val="28"/>
          <w14:ligatures w14:val="none"/>
        </w:rPr>
        <w:t>.</w:t>
      </w:r>
    </w:p>
    <w:p w14:paraId="1D0F2BEF"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ويرتبط زمن الإنجاز ارتباطًا وثيقًا بقدرة الجهاز الحكومي على إدارة الذروة، أي القدرة على الحفاظ على الزمن المعياري للخدمة في أوقات الضغط الكثيف. ويُمثّل ذلك تحديًا تشغيليًا متقدمًا يستلزم بنية تحتية مرنة قادرة على التوسع والانكماش بحسب حجم الطلب</w:t>
      </w:r>
      <w:r w:rsidRPr="008C68C0">
        <w:rPr>
          <w:rFonts w:ascii="Simplified Arabic" w:eastAsia="Times New Roman" w:hAnsi="Simplified Arabic" w:cs="Simplified Arabic"/>
          <w:color w:val="000000" w:themeColor="text1"/>
          <w:kern w:val="0"/>
          <w:sz w:val="28"/>
          <w:szCs w:val="28"/>
          <w14:ligatures w14:val="none"/>
        </w:rPr>
        <w:t>.</w:t>
      </w:r>
    </w:p>
    <w:p w14:paraId="6A15332F"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المحدد الثالث: تكلفة تقديم الخدمة</w:t>
      </w:r>
    </w:p>
    <w:p w14:paraId="4A59773A"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تُمثّل التكلفة المحدد الاقتصادي للكفاءة، وتنطوي على بُعدين: التكلفة من منظور الجهة المقدِّمة، والتكلفة من منظور المستفيد. ومن منظور الجهة المقدّمة، تشمل التكلفة الموارد البشرية والتقنية واللوجستية المستثمرة في إنتاج الخدمة. ومن منظور المستفيد، تشمل التكلفة المباشرة كالرسوم، والتكلفة غير المباشرة كالجهد المبذول والوقت المستهلك في التنقل والمتابعة. ويُشير برين وآخرون</w:t>
      </w:r>
      <w:r w:rsidRPr="008C68C0">
        <w:rPr>
          <w:rFonts w:ascii="Simplified Arabic" w:eastAsia="Times New Roman" w:hAnsi="Simplified Arabic" w:cs="Simplified Arabic"/>
          <w:color w:val="000000" w:themeColor="text1"/>
          <w:kern w:val="0"/>
          <w:sz w:val="28"/>
          <w:szCs w:val="28"/>
          <w14:ligatures w14:val="none"/>
        </w:rPr>
        <w:t xml:space="preserve"> (Breen et al., 2020) </w:t>
      </w:r>
      <w:r w:rsidRPr="008C68C0">
        <w:rPr>
          <w:rFonts w:ascii="Simplified Arabic" w:eastAsia="Times New Roman" w:hAnsi="Simplified Arabic" w:cs="Simplified Arabic"/>
          <w:color w:val="000000" w:themeColor="text1"/>
          <w:kern w:val="0"/>
          <w:sz w:val="28"/>
          <w:szCs w:val="28"/>
          <w:rtl/>
          <w14:ligatures w14:val="none"/>
        </w:rPr>
        <w:t>في معالجتهم المقارنة لتحسين الخدمة في القطاع العام الأوروبي إلى أن تخفيض التكلفة دون المساس بالجودة يُمثّل محور المساعي التحسينية في الإدارة العامة المعاصرة</w:t>
      </w:r>
      <w:r w:rsidRPr="008C68C0">
        <w:rPr>
          <w:rFonts w:ascii="Simplified Arabic" w:eastAsia="Times New Roman" w:hAnsi="Simplified Arabic" w:cs="Simplified Arabic"/>
          <w:color w:val="000000" w:themeColor="text1"/>
          <w:kern w:val="0"/>
          <w:sz w:val="28"/>
          <w:szCs w:val="28"/>
          <w14:ligatures w14:val="none"/>
        </w:rPr>
        <w:t>.</w:t>
      </w:r>
    </w:p>
    <w:p w14:paraId="653FCE26"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ويتصل بمحدد التكلفة موضوع الكفاءة الاقتصادية النسبية، التي تُقاس بمقارنة الموارد المستثمرة في تقديم الخدمة بالمخرجات المتحققة. وقد طوّر هان وهان</w:t>
      </w:r>
      <w:r w:rsidRPr="008C68C0">
        <w:rPr>
          <w:rFonts w:ascii="Simplified Arabic" w:eastAsia="Times New Roman" w:hAnsi="Simplified Arabic" w:cs="Simplified Arabic"/>
          <w:color w:val="000000" w:themeColor="text1"/>
          <w:kern w:val="0"/>
          <w:sz w:val="28"/>
          <w:szCs w:val="28"/>
          <w14:ligatures w14:val="none"/>
        </w:rPr>
        <w:t xml:space="preserve"> (Han &amp; Han, 2021) </w:t>
      </w:r>
      <w:r w:rsidRPr="008C68C0">
        <w:rPr>
          <w:rFonts w:ascii="Simplified Arabic" w:eastAsia="Times New Roman" w:hAnsi="Simplified Arabic" w:cs="Simplified Arabic"/>
          <w:color w:val="000000" w:themeColor="text1"/>
          <w:kern w:val="0"/>
          <w:sz w:val="28"/>
          <w:szCs w:val="28"/>
          <w:rtl/>
          <w14:ligatures w14:val="none"/>
        </w:rPr>
        <w:t>في معالجتهما لكفاءة التعليم العام نموذج تحليل المغلف للبيانات بصيغته الموجهة بمنطق الشبكات العصبية، لقياس الكفاءة الاقتصادية للخدمة بصورة موضوعية. ويُتيح مثل هذا النموذج للأجهزة الحكومية تقييم أدائها مقارنة بالمعايير المرجعية، وتحديد الفجوات التي يتعين سدّها</w:t>
      </w:r>
      <w:r w:rsidRPr="008C68C0">
        <w:rPr>
          <w:rFonts w:ascii="Simplified Arabic" w:eastAsia="Times New Roman" w:hAnsi="Simplified Arabic" w:cs="Simplified Arabic"/>
          <w:color w:val="000000" w:themeColor="text1"/>
          <w:kern w:val="0"/>
          <w:sz w:val="28"/>
          <w:szCs w:val="28"/>
          <w14:ligatures w14:val="none"/>
        </w:rPr>
        <w:t>.</w:t>
      </w:r>
    </w:p>
    <w:p w14:paraId="5BD47F17"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المحدد الرابع: تجربة المستفيد ورضاه</w:t>
      </w:r>
    </w:p>
    <w:p w14:paraId="021C75CB"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يُمثّل هذا المحدد البُعد الإدراكي للكفاءة، إذ يُترجم استشعار المستفيد لما تلقاه من خدمة. وتنطوي تجربة المستفيد على عناصر متعددة، منها سهولة الوصول إلى الخدمة، ووضوح المسار الإجرائي، وحسن المعاملة، والاطمئنان إلى دقة المخرَج، والقدرة على المتابعة والاستفسار. ويُشير تشين وآخرون</w:t>
      </w:r>
      <w:r w:rsidRPr="008C68C0">
        <w:rPr>
          <w:rFonts w:ascii="Simplified Arabic" w:eastAsia="Times New Roman" w:hAnsi="Simplified Arabic" w:cs="Simplified Arabic"/>
          <w:color w:val="000000" w:themeColor="text1"/>
          <w:kern w:val="0"/>
          <w:sz w:val="28"/>
          <w:szCs w:val="28"/>
          <w14:ligatures w14:val="none"/>
        </w:rPr>
        <w:t xml:space="preserve"> (Chen et al., 2021) </w:t>
      </w:r>
      <w:r w:rsidRPr="008C68C0">
        <w:rPr>
          <w:rFonts w:ascii="Simplified Arabic" w:eastAsia="Times New Roman" w:hAnsi="Simplified Arabic" w:cs="Simplified Arabic"/>
          <w:color w:val="000000" w:themeColor="text1"/>
          <w:kern w:val="0"/>
          <w:sz w:val="28"/>
          <w:szCs w:val="28"/>
          <w:rtl/>
          <w14:ligatures w14:val="none"/>
        </w:rPr>
        <w:t>إلى أن تجربة المستفيد في الخدمات الذاتية المعتمدة على الذكاء الاصطناعي تتشكّل من تفاعل عدة عوامل، تتراوح بين الجوانب التقنية للواجهة المستخدمة، والجوانب النفسية المتصلة بثقة المستفيد بالخدمة، والجوانب المعرفية المتصلة بقدرته على فهم آلية التعامل</w:t>
      </w:r>
      <w:r w:rsidRPr="008C68C0">
        <w:rPr>
          <w:rFonts w:ascii="Simplified Arabic" w:eastAsia="Times New Roman" w:hAnsi="Simplified Arabic" w:cs="Simplified Arabic"/>
          <w:color w:val="000000" w:themeColor="text1"/>
          <w:kern w:val="0"/>
          <w:sz w:val="28"/>
          <w:szCs w:val="28"/>
          <w14:ligatures w14:val="none"/>
        </w:rPr>
        <w:t>.</w:t>
      </w:r>
    </w:p>
    <w:p w14:paraId="18DF9775"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ويُعزّز هذا الطرح ما يطرحه كولال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Kulal</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من أن تجربة المستفيد في الخدمات الحكومية الذكية تتأثر بمستوى تخصيص الخدمة، أي مدى انسجامها مع حاجات المستفيد الفردية بدلًا من تقديمها بنمط موحّد. ويتطلب التخصيص استثمار البيانات استثمارًا واعيًا في تحليل أنماط الاستخدام واستباق الحاجات</w:t>
      </w:r>
      <w:r w:rsidRPr="008C68C0">
        <w:rPr>
          <w:rFonts w:ascii="Simplified Arabic" w:eastAsia="Times New Roman" w:hAnsi="Simplified Arabic" w:cs="Simplified Arabic"/>
          <w:color w:val="000000" w:themeColor="text1"/>
          <w:kern w:val="0"/>
          <w:sz w:val="28"/>
          <w:szCs w:val="28"/>
          <w14:ligatures w14:val="none"/>
        </w:rPr>
        <w:t>.</w:t>
      </w:r>
    </w:p>
    <w:p w14:paraId="54C22B83"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ويرتبط رضا المستفيد ارتباطًا وثيقًا بمدى مطابقة الخدمة لتوقعاته، وهي توقعات متجددة تتشكّل من تجارب المستفيد السابقة، ومن ممارسات القطاع الخاص التي اعتاد عليها، ومن ما يطّلع عليه من تجارب في سياقات أخرى. ولذلك فإن إدارة التوقعات تُمثّل عنصرًا أساسيًا في إدارة الرضا</w:t>
      </w:r>
      <w:r w:rsidRPr="008C68C0">
        <w:rPr>
          <w:rFonts w:ascii="Simplified Arabic" w:eastAsia="Times New Roman" w:hAnsi="Simplified Arabic" w:cs="Simplified Arabic"/>
          <w:color w:val="000000" w:themeColor="text1"/>
          <w:kern w:val="0"/>
          <w:sz w:val="28"/>
          <w:szCs w:val="28"/>
          <w14:ligatures w14:val="none"/>
        </w:rPr>
        <w:t>.</w:t>
      </w:r>
    </w:p>
    <w:p w14:paraId="380C206D"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المحدد الخامس: الشفافية والمساءلة</w:t>
      </w:r>
    </w:p>
    <w:p w14:paraId="4444B549"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يُمثّل هذا المحدد البُعد الحوكمي للكفاءة، إذ لا تكتمل الكفاءة في مفهومها الحديث بمعزل عن الشفافية في تقديم الخدمة، والقدرة على محاسبة المخل بمعاييرها. ويُشير العواجي والمناخلي (٢٠٢٥) إلى أن تقنيات سلسلة الكتل تُمثّل أداة واعدة لتعزيز الشفافية، إذ تُتيح بناء سجلات لا يمكن العبث بها لكل مرحلة من مراحل الخدمة، مما يُعزّز ثقة المستفيد ويُقلّص فرص الفساد الإداري</w:t>
      </w:r>
      <w:r w:rsidRPr="008C68C0">
        <w:rPr>
          <w:rFonts w:ascii="Simplified Arabic" w:eastAsia="Times New Roman" w:hAnsi="Simplified Arabic" w:cs="Simplified Arabic"/>
          <w:color w:val="000000" w:themeColor="text1"/>
          <w:kern w:val="0"/>
          <w:sz w:val="28"/>
          <w:szCs w:val="28"/>
          <w14:ligatures w14:val="none"/>
        </w:rPr>
        <w:t>.</w:t>
      </w:r>
    </w:p>
    <w:p w14:paraId="1AEB9A7F"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وتمتد الشفافية لتشمل وضوح المعايير التي تُقدَّم بها الخدمة، ووضوح الإجراءات، ووضوح الجهة المسؤولة، ووضوح آليات التظلم. ويُمثّل ذلك تحولًا من ثقافة الغموض الإداري إلى ثقافة الإفصاح المنظّم</w:t>
      </w:r>
      <w:r w:rsidRPr="008C68C0">
        <w:rPr>
          <w:rFonts w:ascii="Simplified Arabic" w:eastAsia="Times New Roman" w:hAnsi="Simplified Arabic" w:cs="Simplified Arabic"/>
          <w:color w:val="000000" w:themeColor="text1"/>
          <w:kern w:val="0"/>
          <w:sz w:val="28"/>
          <w:szCs w:val="28"/>
          <w14:ligatures w14:val="none"/>
        </w:rPr>
        <w:t>.</w:t>
      </w:r>
    </w:p>
    <w:p w14:paraId="5B92BFF8" w14:textId="61B5C962" w:rsidR="00F965AA" w:rsidRPr="008C68C0" w:rsidRDefault="002B0509" w:rsidP="002B05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212283"/>
      <w:r w:rsidRPr="008C68C0">
        <w:rPr>
          <w:rFonts w:ascii="Simplified Arabic" w:eastAsia="Times New Roman" w:hAnsi="Simplified Arabic" w:cs="Simplified Arabic" w:hint="cs"/>
          <w:b/>
          <w:bCs/>
          <w:color w:val="000000" w:themeColor="text1"/>
          <w:kern w:val="0"/>
          <w:sz w:val="32"/>
          <w:szCs w:val="32"/>
          <w:rtl/>
          <w14:ligatures w14:val="none"/>
        </w:rPr>
        <w:t>6.2.2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مداخل تطوير كفاءة الخدمات العامة</w:t>
      </w:r>
      <w:bookmarkEnd w:id="39"/>
    </w:p>
    <w:p w14:paraId="27DB7206"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تتعدد المداخل التي اعتمدتها الأدبيات الإدارية في تطوير كفاءة الخدمات العامة، وفيما يلي عرض لأبرزها</w:t>
      </w:r>
      <w:r w:rsidRPr="008C68C0">
        <w:rPr>
          <w:rFonts w:ascii="Simplified Arabic" w:eastAsia="Times New Roman" w:hAnsi="Simplified Arabic" w:cs="Simplified Arabic"/>
          <w:color w:val="000000" w:themeColor="text1"/>
          <w:kern w:val="0"/>
          <w:sz w:val="28"/>
          <w:szCs w:val="28"/>
          <w14:ligatures w14:val="none"/>
        </w:rPr>
        <w:t>.</w:t>
      </w:r>
    </w:p>
    <w:p w14:paraId="28B21D5C"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المدخل الأول: المدخل الرقمي</w:t>
      </w:r>
    </w:p>
    <w:p w14:paraId="541D0958"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يُمثّل التحول الرقمي المدخل الأوسع تأثيرًا في تطوير الخدمة العامة المعاصرة. ويُشير لاتوبيريسا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Latupeirissa</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 xml:space="preserve">إلى أن مبادرات الرقمنة لا تقتصر على نقل الخدمة من الورق إلى الشاشة، بل تتضمن إعادة تصميم جوهرية للخدمة في ضوء إمكانات التقنية. ويُكمل ذلك ما </w:t>
      </w:r>
      <w:r w:rsidRPr="008C68C0">
        <w:rPr>
          <w:rFonts w:ascii="Simplified Arabic" w:eastAsia="Times New Roman" w:hAnsi="Simplified Arabic" w:cs="Simplified Arabic"/>
          <w:color w:val="000000" w:themeColor="text1"/>
          <w:kern w:val="0"/>
          <w:sz w:val="28"/>
          <w:szCs w:val="28"/>
          <w:rtl/>
          <w14:ligatures w14:val="none"/>
        </w:rPr>
        <w:lastRenderedPageBreak/>
        <w:t>يطرحه سزدماك</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Szedm</w:t>
      </w:r>
      <w:r w:rsidRPr="008C68C0">
        <w:rPr>
          <w:rFonts w:ascii="Cambria" w:eastAsia="Times New Roman" w:hAnsi="Cambria" w:cs="Cambria"/>
          <w:color w:val="000000" w:themeColor="text1"/>
          <w:kern w:val="0"/>
          <w:sz w:val="28"/>
          <w:szCs w:val="28"/>
          <w14:ligatures w14:val="none"/>
        </w:rPr>
        <w:t>á</w:t>
      </w:r>
      <w:r w:rsidRPr="008C68C0">
        <w:rPr>
          <w:rFonts w:ascii="Simplified Arabic" w:eastAsia="Times New Roman" w:hAnsi="Simplified Arabic" w:cs="Simplified Arabic"/>
          <w:color w:val="000000" w:themeColor="text1"/>
          <w:kern w:val="0"/>
          <w:sz w:val="28"/>
          <w:szCs w:val="28"/>
          <w14:ligatures w14:val="none"/>
        </w:rPr>
        <w:t>k</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2025) </w:t>
      </w:r>
      <w:r w:rsidRPr="008C68C0">
        <w:rPr>
          <w:rFonts w:ascii="Simplified Arabic" w:eastAsia="Times New Roman" w:hAnsi="Simplified Arabic" w:cs="Simplified Arabic"/>
          <w:color w:val="000000" w:themeColor="text1"/>
          <w:kern w:val="0"/>
          <w:sz w:val="28"/>
          <w:szCs w:val="28"/>
          <w:rtl/>
          <w14:ligatures w14:val="none"/>
        </w:rPr>
        <w:t>من أن إدارة الوثائق الرقمية تُمثّل لبنة أساسية في تحديث الخدمة، إذ تُعيد تشكيل تدفق المعلومات داخل الجهاز الحكومي</w:t>
      </w:r>
      <w:r w:rsidRPr="008C68C0">
        <w:rPr>
          <w:rFonts w:ascii="Simplified Arabic" w:eastAsia="Times New Roman" w:hAnsi="Simplified Arabic" w:cs="Simplified Arabic"/>
          <w:color w:val="000000" w:themeColor="text1"/>
          <w:kern w:val="0"/>
          <w:sz w:val="28"/>
          <w:szCs w:val="28"/>
          <w14:ligatures w14:val="none"/>
        </w:rPr>
        <w:t>.</w:t>
      </w:r>
    </w:p>
    <w:p w14:paraId="78FC5446"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المدخل الثاني: مدخل الذكاء الاصطناعي</w:t>
      </w:r>
    </w:p>
    <w:p w14:paraId="033A036F"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يُمثّل توظيف الذكاء الاصطناعي مدخلًا متقدمًا لرفع كفاءة الخدمة، إذ يُتيح أتمتة المهام المعرفية، وتقديم خدمات ذاتية ذكية، وتحليل بيانات المستفيدين لاستباق حاجاتهم. ويُشير كولال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Kulal</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2024) </w:t>
      </w:r>
      <w:r w:rsidRPr="008C68C0">
        <w:rPr>
          <w:rFonts w:ascii="Simplified Arabic" w:eastAsia="Times New Roman" w:hAnsi="Simplified Arabic" w:cs="Simplified Arabic"/>
          <w:color w:val="000000" w:themeColor="text1"/>
          <w:kern w:val="0"/>
          <w:sz w:val="28"/>
          <w:szCs w:val="28"/>
          <w:rtl/>
          <w14:ligatures w14:val="none"/>
        </w:rPr>
        <w:t>إلى أن الذكاء الاصطناعي يُعيد تشكيل منظومة تقديم الخدمة عبر تقنيات الدردشة الآلية، والتنبؤ بالحاجات، والتخصيص الديناميكي. ويُكمل ذلك وامبا</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Wamba</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2022) </w:t>
      </w:r>
      <w:r w:rsidRPr="008C68C0">
        <w:rPr>
          <w:rFonts w:ascii="Simplified Arabic" w:eastAsia="Times New Roman" w:hAnsi="Simplified Arabic" w:cs="Simplified Arabic"/>
          <w:color w:val="000000" w:themeColor="text1"/>
          <w:kern w:val="0"/>
          <w:sz w:val="28"/>
          <w:szCs w:val="28"/>
          <w:rtl/>
          <w14:ligatures w14:val="none"/>
        </w:rPr>
        <w:t>بالإشارة إلى أن استيعاب الذكاء الاصطناعي داخل المنظمة يُعزّز مرونتها التشغيلية وقدرتها على التكيف</w:t>
      </w:r>
      <w:r w:rsidRPr="008C68C0">
        <w:rPr>
          <w:rFonts w:ascii="Simplified Arabic" w:eastAsia="Times New Roman" w:hAnsi="Simplified Arabic" w:cs="Simplified Arabic"/>
          <w:color w:val="000000" w:themeColor="text1"/>
          <w:kern w:val="0"/>
          <w:sz w:val="28"/>
          <w:szCs w:val="28"/>
          <w14:ligatures w14:val="none"/>
        </w:rPr>
        <w:t>.</w:t>
      </w:r>
    </w:p>
    <w:p w14:paraId="63A2727E"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المدخل الثالث: مدخل سلسلة الكتل</w:t>
      </w:r>
    </w:p>
    <w:p w14:paraId="6A0F3C51"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يُمثّل توظيف تقنية سلسلة الكتل مدخلًا حديثًا لرفع كفاءة الخدمة، يُركّز على الشفافية والموثوقية. ويُقدّم العواجي والمناخلي (٢٠٢٥) في معالجتهما إطارًا مقترحًا لتوظيف هذه التقنية في القطاع العام المصري، يقوم على بناء سجلات لا مركزية تُعزز الثقة وتُقلّص الاحتكاك بين المستفيد والجهاز الحكومي</w:t>
      </w:r>
      <w:r w:rsidRPr="008C68C0">
        <w:rPr>
          <w:rFonts w:ascii="Simplified Arabic" w:eastAsia="Times New Roman" w:hAnsi="Simplified Arabic" w:cs="Simplified Arabic"/>
          <w:color w:val="000000" w:themeColor="text1"/>
          <w:kern w:val="0"/>
          <w:sz w:val="28"/>
          <w:szCs w:val="28"/>
          <w14:ligatures w14:val="none"/>
        </w:rPr>
        <w:t>.</w:t>
      </w:r>
    </w:p>
    <w:p w14:paraId="6589D986"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المدخل الرابع: مدخل التطوير التنظيمي</w:t>
      </w:r>
    </w:p>
    <w:p w14:paraId="746ACB4F"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يُمثّل التطوير التنظيمي المدخل الإداري الجوهري لرفع كفاءة الخدمة، إذ يُركّز على إعادة بناء المنظومة الإدارية المنتجة للخدمة. ويُشير ربيعة وناصر (٢٠٢٥) إلى أن التطوير التنظيمي يُمثّل الرافد الأساسي لتحسين جودة الخدمة في قطاعات الأشغال العامة، عبر إعادة تصميم الإجراءات وتطوير الكفاءات</w:t>
      </w:r>
      <w:r w:rsidRPr="008C68C0">
        <w:rPr>
          <w:rFonts w:ascii="Simplified Arabic" w:eastAsia="Times New Roman" w:hAnsi="Simplified Arabic" w:cs="Simplified Arabic"/>
          <w:color w:val="000000" w:themeColor="text1"/>
          <w:kern w:val="0"/>
          <w:sz w:val="28"/>
          <w:szCs w:val="28"/>
          <w14:ligatures w14:val="none"/>
        </w:rPr>
        <w:t>.</w:t>
      </w:r>
    </w:p>
    <w:p w14:paraId="4006898A"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المدخل الخامس: مدخل البحث والتطوير</w:t>
      </w:r>
    </w:p>
    <w:p w14:paraId="55D74614"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يُمثّل الاستثمار في البحث والتطوير مدخلًا استراتيجيًا طويل الأمد لرفع كفاءة الخدمة. ويُشير مداس (٢٠٢٥) إلى أن تمويل البحث والتطوير يُعدّ رافدًا أساسيًا لتجديد الخدمة وابتكار حلول لتحدياتها المتكررة</w:t>
      </w:r>
      <w:r w:rsidRPr="008C68C0">
        <w:rPr>
          <w:rFonts w:ascii="Simplified Arabic" w:eastAsia="Times New Roman" w:hAnsi="Simplified Arabic" w:cs="Simplified Arabic"/>
          <w:color w:val="000000" w:themeColor="text1"/>
          <w:kern w:val="0"/>
          <w:sz w:val="28"/>
          <w:szCs w:val="28"/>
          <w14:ligatures w14:val="none"/>
        </w:rPr>
        <w:t>.</w:t>
      </w:r>
    </w:p>
    <w:p w14:paraId="3EA84A07" w14:textId="77777777" w:rsidR="00F965AA" w:rsidRPr="008C68C0" w:rsidRDefault="00F965AA" w:rsidP="0081569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C68C0">
        <w:rPr>
          <w:rFonts w:ascii="Simplified Arabic" w:eastAsia="Times New Roman" w:hAnsi="Simplified Arabic" w:cs="Simplified Arabic"/>
          <w:b/>
          <w:bCs/>
          <w:color w:val="000000" w:themeColor="text1"/>
          <w:kern w:val="0"/>
          <w:sz w:val="28"/>
          <w:szCs w:val="28"/>
          <w:rtl/>
          <w14:ligatures w14:val="none"/>
        </w:rPr>
        <w:t>المدخل السادس: مدخل السياسة العامة</w:t>
      </w:r>
    </w:p>
    <w:p w14:paraId="592CC36F"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lastRenderedPageBreak/>
        <w:t>يُمثّل المدخل السياسي إطارًا كليًا لتطوير الخدمة، إذ تتشكّل كفاءتها في إطار السياسات العامة التي تُؤطّرها. ويُشير لي وآخرون</w:t>
      </w:r>
      <w:r w:rsidRPr="008C68C0">
        <w:rPr>
          <w:rFonts w:ascii="Simplified Arabic" w:eastAsia="Times New Roman" w:hAnsi="Simplified Arabic" w:cs="Simplified Arabic"/>
          <w:color w:val="000000" w:themeColor="text1"/>
          <w:kern w:val="0"/>
          <w:sz w:val="28"/>
          <w:szCs w:val="28"/>
          <w14:ligatures w14:val="none"/>
        </w:rPr>
        <w:t xml:space="preserve"> (Li et al., 2025) </w:t>
      </w:r>
      <w:r w:rsidRPr="008C68C0">
        <w:rPr>
          <w:rFonts w:ascii="Simplified Arabic" w:eastAsia="Times New Roman" w:hAnsi="Simplified Arabic" w:cs="Simplified Arabic"/>
          <w:color w:val="000000" w:themeColor="text1"/>
          <w:kern w:val="0"/>
          <w:sz w:val="28"/>
          <w:szCs w:val="28"/>
          <w:rtl/>
          <w14:ligatures w14:val="none"/>
        </w:rPr>
        <w:t>في معالجتهم لسياسة المدن المتحضرة الصينية إلى أن السياسات العامة الكبرى تُمارس تأثيرًا جوهريًا في كفاءة الخدمة الحضرية عبر ما تُحدّده من أولويات وما تُوفّره من حوافز</w:t>
      </w:r>
      <w:r w:rsidRPr="008C68C0">
        <w:rPr>
          <w:rFonts w:ascii="Simplified Arabic" w:eastAsia="Times New Roman" w:hAnsi="Simplified Arabic" w:cs="Simplified Arabic"/>
          <w:color w:val="000000" w:themeColor="text1"/>
          <w:kern w:val="0"/>
          <w:sz w:val="28"/>
          <w:szCs w:val="28"/>
          <w14:ligatures w14:val="none"/>
        </w:rPr>
        <w:t>.</w:t>
      </w:r>
    </w:p>
    <w:p w14:paraId="77B30821" w14:textId="0298C620" w:rsidR="00F965AA" w:rsidRPr="008C68C0" w:rsidRDefault="002B0509" w:rsidP="002B05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212284"/>
      <w:r w:rsidRPr="008C68C0">
        <w:rPr>
          <w:rFonts w:ascii="Simplified Arabic" w:eastAsia="Times New Roman" w:hAnsi="Simplified Arabic" w:cs="Simplified Arabic" w:hint="cs"/>
          <w:b/>
          <w:bCs/>
          <w:color w:val="000000" w:themeColor="text1"/>
          <w:kern w:val="0"/>
          <w:sz w:val="32"/>
          <w:szCs w:val="32"/>
          <w:rtl/>
          <w14:ligatures w14:val="none"/>
        </w:rPr>
        <w:t>7.2.2</w:t>
      </w:r>
      <w:r w:rsidR="00F965AA" w:rsidRPr="008C68C0">
        <w:rPr>
          <w:rFonts w:ascii="Simplified Arabic" w:eastAsia="Times New Roman" w:hAnsi="Simplified Arabic" w:cs="Simplified Arabic"/>
          <w:b/>
          <w:bCs/>
          <w:color w:val="000000" w:themeColor="text1"/>
          <w:kern w:val="0"/>
          <w:sz w:val="32"/>
          <w:szCs w:val="32"/>
          <w:rtl/>
          <w14:ligatures w14:val="none"/>
        </w:rPr>
        <w:t xml:space="preserve"> محددات نجاح تطوير كفاءة الخدمات العامة</w:t>
      </w:r>
      <w:bookmarkEnd w:id="40"/>
    </w:p>
    <w:p w14:paraId="2A4BCE5B"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تتشكّل محددات نجاح تطوير الخدمة من تكامل جملة من العوامل المؤسسية والبيئية والبشرية. ويُحدّد إينانج وآخرون</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Enang</w:t>
      </w:r>
      <w:proofErr w:type="spellEnd"/>
      <w:r w:rsidRPr="008C68C0">
        <w:rPr>
          <w:rFonts w:ascii="Simplified Arabic" w:eastAsia="Times New Roman" w:hAnsi="Simplified Arabic" w:cs="Simplified Arabic"/>
          <w:color w:val="000000" w:themeColor="text1"/>
          <w:kern w:val="0"/>
          <w:sz w:val="28"/>
          <w:szCs w:val="28"/>
          <w14:ligatures w14:val="none"/>
        </w:rPr>
        <w:t xml:space="preserve"> et al., 2022) </w:t>
      </w:r>
      <w:r w:rsidRPr="008C68C0">
        <w:rPr>
          <w:rFonts w:ascii="Simplified Arabic" w:eastAsia="Times New Roman" w:hAnsi="Simplified Arabic" w:cs="Simplified Arabic"/>
          <w:color w:val="000000" w:themeColor="text1"/>
          <w:kern w:val="0"/>
          <w:sz w:val="28"/>
          <w:szCs w:val="28"/>
          <w:rtl/>
          <w14:ligatures w14:val="none"/>
        </w:rPr>
        <w:t>جملة من العوامل المؤثرة في استدامة تحول الخدمة العامة، تتمثل في وضوح الرؤية الاستراتيجية للتحول، وتوافر الموارد المالية والبشرية، ودعم القيادة العليا، وثقافة المنظمة الداعمة، ومشاركة أصحاب المصلحة، ومرونة الإطار التشريعي</w:t>
      </w:r>
      <w:r w:rsidRPr="008C68C0">
        <w:rPr>
          <w:rFonts w:ascii="Simplified Arabic" w:eastAsia="Times New Roman" w:hAnsi="Simplified Arabic" w:cs="Simplified Arabic"/>
          <w:color w:val="000000" w:themeColor="text1"/>
          <w:kern w:val="0"/>
          <w:sz w:val="28"/>
          <w:szCs w:val="28"/>
          <w14:ligatures w14:val="none"/>
        </w:rPr>
        <w:t>.</w:t>
      </w:r>
    </w:p>
    <w:p w14:paraId="39382FFB"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ويُكمل لو ووانغ</w:t>
      </w:r>
      <w:r w:rsidRPr="008C68C0">
        <w:rPr>
          <w:rFonts w:ascii="Simplified Arabic" w:eastAsia="Times New Roman" w:hAnsi="Simplified Arabic" w:cs="Simplified Arabic"/>
          <w:color w:val="000000" w:themeColor="text1"/>
          <w:kern w:val="0"/>
          <w:sz w:val="28"/>
          <w:szCs w:val="28"/>
          <w14:ligatures w14:val="none"/>
        </w:rPr>
        <w:t xml:space="preserve"> (Lu &amp; Wang, 2023) </w:t>
      </w:r>
      <w:r w:rsidRPr="008C68C0">
        <w:rPr>
          <w:rFonts w:ascii="Simplified Arabic" w:eastAsia="Times New Roman" w:hAnsi="Simplified Arabic" w:cs="Simplified Arabic"/>
          <w:color w:val="000000" w:themeColor="text1"/>
          <w:kern w:val="0"/>
          <w:sz w:val="28"/>
          <w:szCs w:val="28"/>
          <w:rtl/>
          <w14:ligatures w14:val="none"/>
        </w:rPr>
        <w:t>ذلك بالإشارة إلى أن الضغوط المؤسسية القسرية المفاجئة قد تُمثّل محددًا حاسمًا في مسار التحول، إذ تستلزم قدرة استيعابية مرنة من المنظمة. ويُضيف وامبا</w:t>
      </w:r>
      <w:r w:rsidRPr="008C68C0">
        <w:rPr>
          <w:rFonts w:ascii="Simplified Arabic" w:eastAsia="Times New Roman" w:hAnsi="Simplified Arabic" w:cs="Simplified Arabic"/>
          <w:color w:val="000000" w:themeColor="text1"/>
          <w:kern w:val="0"/>
          <w:sz w:val="28"/>
          <w:szCs w:val="28"/>
          <w14:ligatures w14:val="none"/>
        </w:rPr>
        <w:t xml:space="preserve"> (</w:t>
      </w:r>
      <w:proofErr w:type="spellStart"/>
      <w:r w:rsidRPr="008C68C0">
        <w:rPr>
          <w:rFonts w:ascii="Simplified Arabic" w:eastAsia="Times New Roman" w:hAnsi="Simplified Arabic" w:cs="Simplified Arabic"/>
          <w:color w:val="000000" w:themeColor="text1"/>
          <w:kern w:val="0"/>
          <w:sz w:val="28"/>
          <w:szCs w:val="28"/>
          <w14:ligatures w14:val="none"/>
        </w:rPr>
        <w:t>Wamba</w:t>
      </w:r>
      <w:proofErr w:type="spellEnd"/>
      <w:r w:rsidRPr="008C68C0">
        <w:rPr>
          <w:rFonts w:ascii="Simplified Arabic" w:eastAsia="Times New Roman" w:hAnsi="Simplified Arabic" w:cs="Simplified Arabic"/>
          <w:color w:val="000000" w:themeColor="text1"/>
          <w:kern w:val="0"/>
          <w:sz w:val="28"/>
          <w:szCs w:val="28"/>
          <w14:ligatures w14:val="none"/>
        </w:rPr>
        <w:t xml:space="preserve">, 2022) </w:t>
      </w:r>
      <w:r w:rsidRPr="008C68C0">
        <w:rPr>
          <w:rFonts w:ascii="Simplified Arabic" w:eastAsia="Times New Roman" w:hAnsi="Simplified Arabic" w:cs="Simplified Arabic"/>
          <w:color w:val="000000" w:themeColor="text1"/>
          <w:kern w:val="0"/>
          <w:sz w:val="28"/>
          <w:szCs w:val="28"/>
          <w:rtl/>
          <w14:ligatures w14:val="none"/>
        </w:rPr>
        <w:t>أن المرونة التنظيمية ومرونة التعامل مع المستفيدين تُمثّلان وسيطًا جوهريًا بين توظيف التقنيات المتقدمة وبلوغ الكفاءة المنشودة</w:t>
      </w:r>
      <w:r w:rsidRPr="008C68C0">
        <w:rPr>
          <w:rFonts w:ascii="Simplified Arabic" w:eastAsia="Times New Roman" w:hAnsi="Simplified Arabic" w:cs="Simplified Arabic"/>
          <w:color w:val="000000" w:themeColor="text1"/>
          <w:kern w:val="0"/>
          <w:sz w:val="28"/>
          <w:szCs w:val="28"/>
          <w14:ligatures w14:val="none"/>
        </w:rPr>
        <w:t>.</w:t>
      </w:r>
    </w:p>
    <w:p w14:paraId="3B958F7E" w14:textId="77777777" w:rsidR="00F965AA" w:rsidRPr="008C68C0" w:rsidRDefault="00F965AA" w:rsidP="002B05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C68C0">
        <w:rPr>
          <w:rFonts w:ascii="Simplified Arabic" w:eastAsia="Times New Roman" w:hAnsi="Simplified Arabic" w:cs="Simplified Arabic"/>
          <w:color w:val="000000" w:themeColor="text1"/>
          <w:kern w:val="0"/>
          <w:sz w:val="28"/>
          <w:szCs w:val="28"/>
          <w:rtl/>
          <w14:ligatures w14:val="none"/>
        </w:rPr>
        <w:t>ويُمكن استخلاص من تكامل هذه المعالجات أن نجاح تطوير الكفاءة مرهون بتوافر منظومة متكاملة من العوامل، تشمل: قيادة استراتيجية واعية، وموارد كافية، وثقافة داعمة، ومنظومة تقنية متطورة، وكفاءات بشرية مؤهلة، وإطار حوكمي يُعزّز الشفافية والمساءلة</w:t>
      </w:r>
      <w:r w:rsidRPr="008C68C0">
        <w:rPr>
          <w:rFonts w:ascii="Simplified Arabic" w:eastAsia="Times New Roman" w:hAnsi="Simplified Arabic" w:cs="Simplified Arabic"/>
          <w:color w:val="000000" w:themeColor="text1"/>
          <w:kern w:val="0"/>
          <w:sz w:val="28"/>
          <w:szCs w:val="28"/>
          <w14:ligatures w14:val="none"/>
        </w:rPr>
        <w:t>.</w:t>
      </w:r>
    </w:p>
    <w:p w14:paraId="051D997D" w14:textId="172E3231" w:rsidR="009F7A6D" w:rsidRPr="008C68C0" w:rsidRDefault="002B0509" w:rsidP="00DF0C5D">
      <w:pPr>
        <w:jc w:val="center"/>
        <w:outlineLvl w:val="0"/>
        <w:rPr>
          <w:rFonts w:ascii="Simplified Arabic" w:hAnsi="Simplified Arabic" w:cs="Simplified Arabic"/>
          <w:b/>
          <w:bCs/>
          <w:color w:val="000000" w:themeColor="text1"/>
          <w:szCs w:val="28"/>
          <w:rtl/>
        </w:rPr>
        <w:sectPr w:rsidR="009F7A6D" w:rsidRPr="008C68C0" w:rsidSect="00815695">
          <w:footerReference w:type="default" r:id="rId11"/>
          <w:pgSz w:w="11906" w:h="16838" w:code="9"/>
          <w:pgMar w:top="1134" w:right="1701" w:bottom="1134" w:left="1134" w:header="720" w:footer="720" w:gutter="0"/>
          <w:pgNumType w:start="1"/>
          <w:cols w:space="708"/>
          <w:bidi/>
          <w:rtlGutter/>
          <w:docGrid w:linePitch="360"/>
        </w:sectPr>
      </w:pPr>
      <w:r w:rsidRPr="008C68C0">
        <w:rPr>
          <w:rFonts w:ascii="Simplified Arabic" w:eastAsia="Times New Roman" w:hAnsi="Simplified Arabic" w:cs="Simplified Arabic"/>
          <w:b/>
          <w:bCs/>
          <w:color w:val="000000" w:themeColor="text1"/>
          <w:kern w:val="0"/>
          <w:sz w:val="40"/>
          <w:szCs w:val="40"/>
          <w:rtl/>
          <w14:ligatures w14:val="none"/>
        </w:rPr>
        <w:br w:type="page"/>
      </w:r>
      <w:bookmarkStart w:id="41" w:name="_GoBack"/>
      <w:bookmarkEnd w:id="17"/>
      <w:bookmarkEnd w:id="18"/>
      <w:bookmarkEnd w:id="41"/>
    </w:p>
    <w:p w14:paraId="29D4231B" w14:textId="5692A5E0" w:rsidR="0081623B" w:rsidRPr="008C68C0" w:rsidRDefault="00E27D3B" w:rsidP="0081569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C68C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5FD8FF9">
            <wp:simplePos x="0" y="0"/>
            <wp:positionH relativeFrom="column">
              <wp:posOffset>4080510</wp:posOffset>
            </wp:positionH>
            <wp:positionV relativeFrom="paragraph">
              <wp:posOffset>0</wp:posOffset>
            </wp:positionV>
            <wp:extent cx="1560195" cy="1444625"/>
            <wp:effectExtent l="0" t="0" r="1905" b="3175"/>
            <wp:wrapTight wrapText="bothSides">
              <wp:wrapPolygon edited="0">
                <wp:start x="0" y="0"/>
                <wp:lineTo x="0" y="21363"/>
                <wp:lineTo x="21363" y="21363"/>
                <wp:lineTo x="2136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0195" cy="14446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8C68C0">
        <w:rPr>
          <w:rFonts w:asciiTheme="majorBidi" w:eastAsia="Calibri" w:hAnsiTheme="majorBidi" w:cstheme="majorBidi"/>
          <w:b/>
          <w:bCs/>
          <w:color w:val="000000" w:themeColor="text1"/>
          <w:kern w:val="0"/>
          <w:sz w:val="32"/>
          <w:szCs w:val="32"/>
          <w:lang w:bidi="ar-EG"/>
          <w14:ligatures w14:val="none"/>
        </w:rPr>
        <w:t>Mid</w:t>
      </w:r>
      <w:r w:rsidR="000D353F" w:rsidRPr="008C68C0">
        <w:rPr>
          <w:rFonts w:asciiTheme="majorBidi" w:eastAsia="Calibri" w:hAnsiTheme="majorBidi" w:cstheme="majorBidi"/>
          <w:b/>
          <w:bCs/>
          <w:color w:val="000000" w:themeColor="text1"/>
          <w:kern w:val="0"/>
          <w:sz w:val="32"/>
          <w:szCs w:val="32"/>
          <w:lang w:bidi="ar-EG"/>
          <w14:ligatures w14:val="none"/>
        </w:rPr>
        <w:t xml:space="preserve"> </w:t>
      </w:r>
      <w:r w:rsidR="0081623B" w:rsidRPr="008C68C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8C68C0" w:rsidRDefault="0081623B" w:rsidP="0081569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C68C0">
        <w:rPr>
          <w:rFonts w:asciiTheme="majorBidi" w:eastAsia="Calibri" w:hAnsiTheme="majorBidi" w:cstheme="majorBidi"/>
          <w:b/>
          <w:bCs/>
          <w:color w:val="000000" w:themeColor="text1"/>
          <w:kern w:val="0"/>
          <w:sz w:val="32"/>
          <w:szCs w:val="32"/>
          <w:lang w:bidi="ar-EG"/>
          <w14:ligatures w14:val="none"/>
        </w:rPr>
        <w:t>College of Management</w:t>
      </w:r>
    </w:p>
    <w:p w14:paraId="0942BC16" w14:textId="12BCDC14" w:rsidR="001B46EC" w:rsidRPr="008C68C0" w:rsidRDefault="00857739" w:rsidP="0081569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8C68C0">
        <w:rPr>
          <w:rFonts w:asciiTheme="majorBidi" w:eastAsia="Calibri" w:hAnsiTheme="majorBidi" w:cstheme="majorBidi"/>
          <w:b/>
          <w:bCs/>
          <w:color w:val="000000" w:themeColor="text1"/>
          <w:kern w:val="0"/>
          <w:sz w:val="32"/>
          <w:szCs w:val="32"/>
          <w:lang w:bidi="ar-EG"/>
          <w14:ligatures w14:val="none"/>
        </w:rPr>
        <w:t xml:space="preserve">Department of </w:t>
      </w:r>
      <w:r w:rsidR="00823CF5" w:rsidRPr="008C68C0">
        <w:rPr>
          <w:rFonts w:asciiTheme="majorBidi" w:eastAsia="Calibri" w:hAnsiTheme="majorBidi" w:cstheme="majorBidi"/>
          <w:b/>
          <w:bCs/>
          <w:color w:val="000000" w:themeColor="text1"/>
          <w:kern w:val="0"/>
          <w:sz w:val="32"/>
          <w:szCs w:val="32"/>
          <w14:ligatures w14:val="none"/>
        </w:rPr>
        <w:t xml:space="preserve">project management </w:t>
      </w:r>
    </w:p>
    <w:p w14:paraId="552EB943" w14:textId="3B500E56" w:rsidR="00AF20BD" w:rsidRPr="008C68C0" w:rsidRDefault="003E0E80" w:rsidP="00815695">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r w:rsidRPr="008C68C0">
        <w:rPr>
          <w:rFonts w:asciiTheme="majorBidi" w:eastAsia="Calibri" w:hAnsiTheme="majorBidi" w:cstheme="majorBidi"/>
          <w:color w:val="000000" w:themeColor="text1"/>
          <w:kern w:val="0"/>
          <w:sz w:val="28"/>
          <w:szCs w:val="28"/>
          <w14:ligatures w14:val="none"/>
        </w:rPr>
        <w:t xml:space="preserve"> </w:t>
      </w:r>
    </w:p>
    <w:p w14:paraId="1EC2AD3F" w14:textId="77777777" w:rsidR="001B46EC" w:rsidRPr="008C68C0" w:rsidRDefault="001B46EC" w:rsidP="009F7A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8C68C0">
        <w:rPr>
          <w:rFonts w:asciiTheme="majorBidi" w:eastAsia="Calibri" w:hAnsiTheme="majorBidi" w:cstheme="majorBidi"/>
          <w:b/>
          <w:bCs/>
          <w:color w:val="000000" w:themeColor="text1"/>
          <w:kern w:val="0"/>
          <w:sz w:val="40"/>
          <w:szCs w:val="40"/>
          <w:lang w:bidi="ar-EG"/>
          <w14:ligatures w14:val="none"/>
        </w:rPr>
        <w:t>The Impact of Institutional Transformation on Developing Public Service Efficiency in Light of Organizational Changes: A Field Study on a Government Entity in the Kingdom of Saudi Arabia</w:t>
      </w:r>
    </w:p>
    <w:p w14:paraId="60F1CEDF" w14:textId="6C24F3F4" w:rsidR="0025395E" w:rsidRPr="008C68C0" w:rsidRDefault="0025395E" w:rsidP="00815695">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03C60462" w14:textId="77777777" w:rsidR="0025395E" w:rsidRPr="008C68C0" w:rsidRDefault="0025395E" w:rsidP="009F7A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C68C0">
        <w:rPr>
          <w:rFonts w:asciiTheme="majorBidi" w:eastAsia="Calibri" w:hAnsiTheme="majorBidi" w:cstheme="majorBidi"/>
          <w:b/>
          <w:bCs/>
          <w:color w:val="000000" w:themeColor="text1"/>
          <w:kern w:val="0"/>
          <w:sz w:val="36"/>
          <w:szCs w:val="36"/>
          <w:lang w:bidi="ar-EG"/>
          <w14:ligatures w14:val="none"/>
        </w:rPr>
        <w:t>Prepared by</w:t>
      </w:r>
    </w:p>
    <w:p w14:paraId="6CA18842" w14:textId="77777777" w:rsidR="00823CF5" w:rsidRPr="008C68C0" w:rsidRDefault="00823CF5" w:rsidP="009F7A6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8C68C0">
        <w:rPr>
          <w:rFonts w:asciiTheme="majorBidi" w:eastAsia="Calibri" w:hAnsiTheme="majorBidi" w:cstheme="majorBidi"/>
          <w:color w:val="000000" w:themeColor="text1"/>
          <w:kern w:val="0"/>
          <w:sz w:val="36"/>
          <w:szCs w:val="36"/>
          <w:lang w:bidi="ar-EG"/>
          <w14:ligatures w14:val="none"/>
        </w:rPr>
        <w:t>Sara Abdullah Al-</w:t>
      </w:r>
      <w:proofErr w:type="spellStart"/>
      <w:r w:rsidRPr="008C68C0">
        <w:rPr>
          <w:rFonts w:asciiTheme="majorBidi" w:eastAsia="Calibri" w:hAnsiTheme="majorBidi" w:cstheme="majorBidi"/>
          <w:color w:val="000000" w:themeColor="text1"/>
          <w:kern w:val="0"/>
          <w:sz w:val="36"/>
          <w:szCs w:val="36"/>
          <w:lang w:bidi="ar-EG"/>
          <w14:ligatures w14:val="none"/>
        </w:rPr>
        <w:t>Shalawi</w:t>
      </w:r>
      <w:proofErr w:type="spellEnd"/>
    </w:p>
    <w:p w14:paraId="0BF543A4" w14:textId="77777777" w:rsidR="00823CF5" w:rsidRPr="008C68C0" w:rsidRDefault="00823CF5" w:rsidP="009F7A6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8C68C0">
        <w:rPr>
          <w:rFonts w:asciiTheme="majorBidi" w:eastAsia="Calibri" w:hAnsiTheme="majorBidi" w:cstheme="majorBidi"/>
          <w:color w:val="000000" w:themeColor="text1"/>
          <w:kern w:val="0"/>
          <w:sz w:val="36"/>
          <w:szCs w:val="36"/>
          <w:lang w:bidi="ar-EG"/>
          <w14:ligatures w14:val="none"/>
        </w:rPr>
        <w:t>253002550</w:t>
      </w:r>
    </w:p>
    <w:p w14:paraId="3034B50D" w14:textId="77777777" w:rsidR="009F7A6D" w:rsidRPr="008C68C0" w:rsidRDefault="009F7A6D" w:rsidP="009F7A6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F7A6D" w:rsidRPr="008C68C0" w14:paraId="638CA047" w14:textId="77777777" w:rsidTr="009F7A6D">
        <w:tc>
          <w:tcPr>
            <w:tcW w:w="4530" w:type="dxa"/>
          </w:tcPr>
          <w:p w14:paraId="46CAAF0C" w14:textId="77777777" w:rsidR="009F7A6D" w:rsidRPr="008C68C0" w:rsidRDefault="009F7A6D" w:rsidP="009F7A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C68C0">
              <w:rPr>
                <w:rFonts w:asciiTheme="majorBidi" w:eastAsia="Calibri" w:hAnsiTheme="majorBidi" w:cstheme="majorBidi"/>
                <w:b/>
                <w:bCs/>
                <w:color w:val="000000" w:themeColor="text1"/>
                <w:kern w:val="0"/>
                <w:sz w:val="36"/>
                <w:szCs w:val="36"/>
                <w:lang w:bidi="ar-EG"/>
                <w14:ligatures w14:val="none"/>
              </w:rPr>
              <w:t>Main supervisor</w:t>
            </w:r>
            <w:r w:rsidRPr="008C68C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8AA2CFC" w14:textId="77777777" w:rsidR="009F7A6D" w:rsidRPr="008C68C0" w:rsidRDefault="009F7A6D" w:rsidP="009F7A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C68C0">
              <w:rPr>
                <w:rFonts w:asciiTheme="majorBidi" w:eastAsia="Calibri" w:hAnsiTheme="majorBidi" w:cstheme="majorBidi"/>
                <w:b/>
                <w:bCs/>
                <w:color w:val="000000" w:themeColor="text1"/>
                <w:kern w:val="0"/>
                <w:sz w:val="36"/>
                <w:szCs w:val="36"/>
                <w:lang w:bidi="ar-EG"/>
                <w14:ligatures w14:val="none"/>
              </w:rPr>
              <w:t>Second supervisor</w:t>
            </w:r>
            <w:r w:rsidRPr="008C68C0">
              <w:rPr>
                <w:rFonts w:asciiTheme="majorBidi" w:eastAsia="Calibri" w:hAnsiTheme="majorBidi" w:cstheme="majorBidi"/>
                <w:b/>
                <w:bCs/>
                <w:color w:val="000000" w:themeColor="text1"/>
                <w:kern w:val="0"/>
                <w:sz w:val="36"/>
                <w:szCs w:val="36"/>
                <w:rtl/>
                <w:lang w:bidi="ar-EG"/>
                <w14:ligatures w14:val="none"/>
              </w:rPr>
              <w:t>/</w:t>
            </w:r>
          </w:p>
        </w:tc>
      </w:tr>
      <w:tr w:rsidR="009F7A6D" w:rsidRPr="008C68C0" w14:paraId="5FC76530" w14:textId="77777777" w:rsidTr="009F7A6D">
        <w:tc>
          <w:tcPr>
            <w:tcW w:w="4530" w:type="dxa"/>
          </w:tcPr>
          <w:p w14:paraId="24EDB0BE" w14:textId="77777777" w:rsidR="009F7A6D" w:rsidRPr="008C68C0" w:rsidRDefault="009F7A6D" w:rsidP="009F7A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C68C0">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8C68C0">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4DA2208B" w14:textId="77777777" w:rsidR="009F7A6D" w:rsidRPr="008C68C0" w:rsidRDefault="009F7A6D" w:rsidP="009F7A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C68C0">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8C68C0">
              <w:rPr>
                <w:rFonts w:asciiTheme="majorBidi" w:eastAsia="Calibri" w:hAnsiTheme="majorBidi" w:cstheme="majorBidi"/>
                <w:color w:val="000000" w:themeColor="text1"/>
                <w:kern w:val="0"/>
                <w:sz w:val="36"/>
                <w:szCs w:val="36"/>
                <w:lang w:bidi="ar-EG"/>
                <w14:ligatures w14:val="none"/>
              </w:rPr>
              <w:t>Jarad</w:t>
            </w:r>
            <w:proofErr w:type="spellEnd"/>
          </w:p>
        </w:tc>
      </w:tr>
    </w:tbl>
    <w:p w14:paraId="7F81C377" w14:textId="77777777" w:rsidR="009F7A6D" w:rsidRPr="008C68C0" w:rsidRDefault="009F7A6D" w:rsidP="009F7A6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8C68C0">
        <w:rPr>
          <w:rFonts w:asciiTheme="majorBidi" w:eastAsia="Calibri" w:hAnsiTheme="majorBidi" w:cstheme="majorBidi"/>
          <w:color w:val="000000" w:themeColor="text1"/>
          <w:kern w:val="0"/>
          <w:sz w:val="36"/>
          <w:szCs w:val="36"/>
          <w:rtl/>
          <w:lang w:bidi="ar-EG"/>
          <w14:ligatures w14:val="none"/>
        </w:rPr>
        <w:t>1448 – 2026</w:t>
      </w:r>
    </w:p>
    <w:p w14:paraId="6577FA50" w14:textId="77777777" w:rsidR="009F7A6D" w:rsidRPr="008C68C0" w:rsidRDefault="009F7A6D" w:rsidP="009F7A6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E52896B" w14:textId="54565368" w:rsidR="009125CE" w:rsidRPr="008C68C0" w:rsidRDefault="009125CE" w:rsidP="00815695">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8C68C0" w:rsidSect="00815695">
      <w:footerReference w:type="default" r:id="rId1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914B87" w14:textId="77777777" w:rsidR="00013F4D" w:rsidRDefault="00013F4D" w:rsidP="009125CE">
      <w:pPr>
        <w:spacing w:after="0" w:line="240" w:lineRule="auto"/>
      </w:pPr>
      <w:r>
        <w:separator/>
      </w:r>
    </w:p>
  </w:endnote>
  <w:endnote w:type="continuationSeparator" w:id="0">
    <w:p w14:paraId="47C566FF" w14:textId="77777777" w:rsidR="00013F4D" w:rsidRDefault="00013F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78655369"/>
      <w:docPartObj>
        <w:docPartGallery w:val="Page Numbers (Bottom of Page)"/>
        <w:docPartUnique/>
      </w:docPartObj>
    </w:sdtPr>
    <w:sdtEndPr>
      <w:rPr>
        <w:noProof/>
      </w:rPr>
    </w:sdtEndPr>
    <w:sdtContent>
      <w:p w14:paraId="6F3775CC" w14:textId="4DBC13A6" w:rsidR="009F7A6D" w:rsidRDefault="009F7A6D">
        <w:pPr>
          <w:pStyle w:val="Footer"/>
          <w:jc w:val="center"/>
        </w:pPr>
      </w:p>
      <w:p w14:paraId="134A24D7" w14:textId="38E0FB20" w:rsidR="009F7A6D" w:rsidRDefault="009F7A6D" w:rsidP="00815695">
        <w:pPr>
          <w:pStyle w:val="Foo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09336670"/>
      <w:docPartObj>
        <w:docPartGallery w:val="Page Numbers (Bottom of Page)"/>
        <w:docPartUnique/>
      </w:docPartObj>
    </w:sdtPr>
    <w:sdtEndPr>
      <w:rPr>
        <w:noProof/>
      </w:rPr>
    </w:sdtEndPr>
    <w:sdtContent>
      <w:p w14:paraId="5F1A8124" w14:textId="26C821BA" w:rsidR="009F7A6D" w:rsidRDefault="009F7A6D">
        <w:pPr>
          <w:pStyle w:val="Footer"/>
          <w:jc w:val="center"/>
        </w:pPr>
        <w:r>
          <w:fldChar w:fldCharType="begin"/>
        </w:r>
        <w:r>
          <w:instrText xml:space="preserve"> PAGE   \* MERGEFORMAT </w:instrText>
        </w:r>
        <w:r>
          <w:fldChar w:fldCharType="separate"/>
        </w:r>
        <w:r>
          <w:rPr>
            <w:noProof/>
            <w:rtl/>
          </w:rPr>
          <w:t>2</w:t>
        </w:r>
        <w:r>
          <w:rPr>
            <w:noProof/>
          </w:rPr>
          <w:fldChar w:fldCharType="end"/>
        </w:r>
      </w:p>
    </w:sdtContent>
  </w:sdt>
  <w:p w14:paraId="13047AE1" w14:textId="77777777" w:rsidR="009F7A6D" w:rsidRDefault="009F7A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53025652"/>
      <w:docPartObj>
        <w:docPartGallery w:val="Page Numbers (Bottom of Page)"/>
        <w:docPartUnique/>
      </w:docPartObj>
    </w:sdtPr>
    <w:sdtEndPr>
      <w:rPr>
        <w:rFonts w:ascii="Simplified Arabic" w:hAnsi="Simplified Arabic" w:cs="Simplified Arabic"/>
        <w:b/>
        <w:bCs/>
        <w:noProof/>
        <w:sz w:val="24"/>
        <w:szCs w:val="24"/>
      </w:rPr>
    </w:sdtEndPr>
    <w:sdtContent>
      <w:p w14:paraId="5E21F751" w14:textId="77777777" w:rsidR="009F7A6D" w:rsidRDefault="009F7A6D">
        <w:pPr>
          <w:pStyle w:val="Footer"/>
          <w:jc w:val="center"/>
        </w:pPr>
        <w:r>
          <w:rPr>
            <w:noProof/>
          </w:rPr>
          <mc:AlternateContent>
            <mc:Choice Requires="wps">
              <w:drawing>
                <wp:inline distT="0" distB="0" distL="0" distR="0" wp14:anchorId="6FB02400" wp14:editId="5361FD59">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D59893B"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5819C53A" w14:textId="77777777" w:rsidR="009F7A6D" w:rsidRPr="00815695" w:rsidRDefault="009F7A6D" w:rsidP="00815695">
        <w:pPr>
          <w:pStyle w:val="Footer"/>
          <w:tabs>
            <w:tab w:val="left" w:pos="4439"/>
            <w:tab w:val="center" w:pos="4535"/>
          </w:tabs>
          <w:rPr>
            <w:rFonts w:ascii="Simplified Arabic" w:hAnsi="Simplified Arabic" w:cs="Simplified Arabic"/>
            <w:b/>
            <w:bCs/>
            <w:sz w:val="24"/>
            <w:szCs w:val="24"/>
          </w:rPr>
        </w:pPr>
        <w:r w:rsidRPr="00815695">
          <w:rPr>
            <w:rFonts w:ascii="Simplified Arabic" w:hAnsi="Simplified Arabic" w:cs="Simplified Arabic"/>
            <w:b/>
            <w:bCs/>
            <w:sz w:val="24"/>
            <w:szCs w:val="24"/>
          </w:rPr>
          <w:tab/>
        </w:r>
        <w:r w:rsidRPr="00815695">
          <w:rPr>
            <w:rFonts w:ascii="Simplified Arabic" w:hAnsi="Simplified Arabic" w:cs="Simplified Arabic"/>
            <w:b/>
            <w:bCs/>
            <w:sz w:val="24"/>
            <w:szCs w:val="24"/>
          </w:rPr>
          <w:tab/>
        </w:r>
        <w:r w:rsidRPr="00815695">
          <w:rPr>
            <w:rFonts w:ascii="Simplified Arabic" w:hAnsi="Simplified Arabic" w:cs="Simplified Arabic"/>
            <w:b/>
            <w:bCs/>
            <w:sz w:val="24"/>
            <w:szCs w:val="24"/>
          </w:rPr>
          <w:tab/>
        </w:r>
        <w:r w:rsidRPr="00815695">
          <w:rPr>
            <w:rFonts w:ascii="Simplified Arabic" w:hAnsi="Simplified Arabic" w:cs="Simplified Arabic"/>
            <w:b/>
            <w:bCs/>
            <w:sz w:val="24"/>
            <w:szCs w:val="24"/>
          </w:rPr>
          <w:fldChar w:fldCharType="begin"/>
        </w:r>
        <w:r w:rsidRPr="00815695">
          <w:rPr>
            <w:rFonts w:ascii="Simplified Arabic" w:hAnsi="Simplified Arabic" w:cs="Simplified Arabic"/>
            <w:b/>
            <w:bCs/>
            <w:sz w:val="24"/>
            <w:szCs w:val="24"/>
          </w:rPr>
          <w:instrText xml:space="preserve"> PAGE    \* MERGEFORMAT </w:instrText>
        </w:r>
        <w:r w:rsidRPr="00815695">
          <w:rPr>
            <w:rFonts w:ascii="Simplified Arabic" w:hAnsi="Simplified Arabic" w:cs="Simplified Arabic"/>
            <w:b/>
            <w:bCs/>
            <w:sz w:val="24"/>
            <w:szCs w:val="24"/>
          </w:rPr>
          <w:fldChar w:fldCharType="separate"/>
        </w:r>
        <w:r w:rsidR="00DF0C5D">
          <w:rPr>
            <w:rFonts w:ascii="Simplified Arabic" w:hAnsi="Simplified Arabic" w:cs="Simplified Arabic"/>
            <w:b/>
            <w:bCs/>
            <w:noProof/>
            <w:sz w:val="24"/>
            <w:szCs w:val="24"/>
            <w:rtl/>
          </w:rPr>
          <w:t>42</w:t>
        </w:r>
        <w:r w:rsidRPr="00815695">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8926775"/>
      <w:docPartObj>
        <w:docPartGallery w:val="Page Numbers (Bottom of Page)"/>
        <w:docPartUnique/>
      </w:docPartObj>
    </w:sdtPr>
    <w:sdtEndPr>
      <w:rPr>
        <w:rFonts w:ascii="Simplified Arabic" w:hAnsi="Simplified Arabic" w:cs="Simplified Arabic"/>
        <w:b/>
        <w:bCs/>
        <w:noProof/>
        <w:sz w:val="24"/>
        <w:szCs w:val="24"/>
      </w:rPr>
    </w:sdtEndPr>
    <w:sdtContent>
      <w:p w14:paraId="70225E12" w14:textId="06C3279C" w:rsidR="009F7A6D" w:rsidRDefault="009F7A6D">
        <w:pPr>
          <w:pStyle w:val="Footer"/>
          <w:jc w:val="center"/>
        </w:pPr>
      </w:p>
      <w:p w14:paraId="717FDECF" w14:textId="473E79EF" w:rsidR="009F7A6D" w:rsidRPr="00815695" w:rsidRDefault="009F7A6D" w:rsidP="009F7A6D">
        <w:pPr>
          <w:pStyle w:val="Footer"/>
          <w:tabs>
            <w:tab w:val="left" w:pos="4439"/>
            <w:tab w:val="center" w:pos="4535"/>
          </w:tabs>
          <w:rPr>
            <w:rFonts w:ascii="Simplified Arabic" w:hAnsi="Simplified Arabic" w:cs="Simplified Arabic"/>
            <w:b/>
            <w:bCs/>
            <w:sz w:val="24"/>
            <w:szCs w:val="24"/>
          </w:rPr>
        </w:pPr>
        <w:r w:rsidRPr="00815695">
          <w:rPr>
            <w:rFonts w:ascii="Simplified Arabic" w:hAnsi="Simplified Arabic" w:cs="Simplified Arabic"/>
            <w:b/>
            <w:bCs/>
            <w:sz w:val="24"/>
            <w:szCs w:val="24"/>
          </w:rPr>
          <w:tab/>
        </w:r>
        <w:r w:rsidRPr="00815695">
          <w:rPr>
            <w:rFonts w:ascii="Simplified Arabic" w:hAnsi="Simplified Arabic" w:cs="Simplified Arabic"/>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9762A" w14:textId="77777777" w:rsidR="00013F4D" w:rsidRDefault="00013F4D" w:rsidP="009125CE">
      <w:pPr>
        <w:spacing w:after="0" w:line="240" w:lineRule="auto"/>
      </w:pPr>
      <w:r>
        <w:separator/>
      </w:r>
    </w:p>
  </w:footnote>
  <w:footnote w:type="continuationSeparator" w:id="0">
    <w:p w14:paraId="4E172C69" w14:textId="77777777" w:rsidR="00013F4D" w:rsidRDefault="00013F4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1628"/>
    <w:multiLevelType w:val="multilevel"/>
    <w:tmpl w:val="7AC2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E02855"/>
    <w:multiLevelType w:val="multilevel"/>
    <w:tmpl w:val="FAAE8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D52BAD"/>
    <w:multiLevelType w:val="multilevel"/>
    <w:tmpl w:val="7DC0CA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700AD1"/>
    <w:multiLevelType w:val="multilevel"/>
    <w:tmpl w:val="7DC0CA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E6029F"/>
    <w:multiLevelType w:val="hybridMultilevel"/>
    <w:tmpl w:val="87A89F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5D1959"/>
    <w:multiLevelType w:val="multilevel"/>
    <w:tmpl w:val="752C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4E0C59"/>
    <w:multiLevelType w:val="hybridMultilevel"/>
    <w:tmpl w:val="DFE88D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DE08E8"/>
    <w:multiLevelType w:val="hybridMultilevel"/>
    <w:tmpl w:val="A30C95F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3EC4591"/>
    <w:multiLevelType w:val="hybridMultilevel"/>
    <w:tmpl w:val="34BA5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D00E3C"/>
    <w:multiLevelType w:val="hybridMultilevel"/>
    <w:tmpl w:val="E9AE5A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F31D2F"/>
    <w:multiLevelType w:val="multilevel"/>
    <w:tmpl w:val="9188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F81CF1"/>
    <w:multiLevelType w:val="multilevel"/>
    <w:tmpl w:val="4DDE9356"/>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614515"/>
    <w:multiLevelType w:val="multilevel"/>
    <w:tmpl w:val="CE84178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D71DC9"/>
    <w:multiLevelType w:val="hybridMultilevel"/>
    <w:tmpl w:val="5DC6F9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F41DE6"/>
    <w:multiLevelType w:val="multilevel"/>
    <w:tmpl w:val="5782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21612DC"/>
    <w:multiLevelType w:val="hybridMultilevel"/>
    <w:tmpl w:val="9266E2B4"/>
    <w:lvl w:ilvl="0" w:tplc="04DCC48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8A66CF"/>
    <w:multiLevelType w:val="hybridMultilevel"/>
    <w:tmpl w:val="D5D030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F55564"/>
    <w:multiLevelType w:val="multilevel"/>
    <w:tmpl w:val="6F90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8C53AA8"/>
    <w:multiLevelType w:val="multilevel"/>
    <w:tmpl w:val="2268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2D69F7"/>
    <w:multiLevelType w:val="hybridMultilevel"/>
    <w:tmpl w:val="F4669C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3C285F"/>
    <w:multiLevelType w:val="multilevel"/>
    <w:tmpl w:val="752C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C7070A5"/>
    <w:multiLevelType w:val="multilevel"/>
    <w:tmpl w:val="752C9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D5269A7"/>
    <w:multiLevelType w:val="hybridMultilevel"/>
    <w:tmpl w:val="05EC6B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654469"/>
    <w:multiLevelType w:val="multilevel"/>
    <w:tmpl w:val="752C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EA07C7"/>
    <w:multiLevelType w:val="hybridMultilevel"/>
    <w:tmpl w:val="14F2DD6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DD4153"/>
    <w:multiLevelType w:val="hybridMultilevel"/>
    <w:tmpl w:val="7908A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5411B9"/>
    <w:multiLevelType w:val="hybridMultilevel"/>
    <w:tmpl w:val="339EB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CC06392"/>
    <w:multiLevelType w:val="multilevel"/>
    <w:tmpl w:val="32B00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225432E"/>
    <w:multiLevelType w:val="multilevel"/>
    <w:tmpl w:val="E0D2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6E0383"/>
    <w:multiLevelType w:val="multilevel"/>
    <w:tmpl w:val="BB043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5B2302"/>
    <w:multiLevelType w:val="multilevel"/>
    <w:tmpl w:val="752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D306761"/>
    <w:multiLevelType w:val="multilevel"/>
    <w:tmpl w:val="9A449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40"/>
  </w:num>
  <w:num w:numId="3">
    <w:abstractNumId w:val="34"/>
  </w:num>
  <w:num w:numId="4">
    <w:abstractNumId w:val="36"/>
  </w:num>
  <w:num w:numId="5">
    <w:abstractNumId w:val="6"/>
  </w:num>
  <w:num w:numId="6">
    <w:abstractNumId w:val="44"/>
  </w:num>
  <w:num w:numId="7">
    <w:abstractNumId w:val="11"/>
  </w:num>
  <w:num w:numId="8">
    <w:abstractNumId w:val="12"/>
  </w:num>
  <w:num w:numId="9">
    <w:abstractNumId w:val="41"/>
  </w:num>
  <w:num w:numId="10">
    <w:abstractNumId w:val="10"/>
  </w:num>
  <w:num w:numId="11">
    <w:abstractNumId w:val="23"/>
  </w:num>
  <w:num w:numId="12">
    <w:abstractNumId w:val="25"/>
  </w:num>
  <w:num w:numId="13">
    <w:abstractNumId w:val="46"/>
  </w:num>
  <w:num w:numId="14">
    <w:abstractNumId w:val="33"/>
  </w:num>
  <w:num w:numId="15">
    <w:abstractNumId w:val="45"/>
  </w:num>
  <w:num w:numId="16">
    <w:abstractNumId w:val="24"/>
  </w:num>
  <w:num w:numId="17">
    <w:abstractNumId w:val="39"/>
  </w:num>
  <w:num w:numId="18">
    <w:abstractNumId w:val="3"/>
  </w:num>
  <w:num w:numId="19">
    <w:abstractNumId w:val="26"/>
  </w:num>
  <w:num w:numId="20">
    <w:abstractNumId w:val="15"/>
  </w:num>
  <w:num w:numId="21">
    <w:abstractNumId w:val="29"/>
  </w:num>
  <w:num w:numId="22">
    <w:abstractNumId w:val="1"/>
  </w:num>
  <w:num w:numId="23">
    <w:abstractNumId w:val="43"/>
  </w:num>
  <w:num w:numId="24">
    <w:abstractNumId w:val="2"/>
  </w:num>
  <w:num w:numId="25">
    <w:abstractNumId w:val="28"/>
  </w:num>
  <w:num w:numId="26">
    <w:abstractNumId w:val="5"/>
  </w:num>
  <w:num w:numId="27">
    <w:abstractNumId w:val="31"/>
  </w:num>
  <w:num w:numId="28">
    <w:abstractNumId w:val="47"/>
  </w:num>
  <w:num w:numId="29">
    <w:abstractNumId w:val="17"/>
  </w:num>
  <w:num w:numId="30">
    <w:abstractNumId w:val="16"/>
  </w:num>
  <w:num w:numId="31">
    <w:abstractNumId w:val="19"/>
  </w:num>
  <w:num w:numId="32">
    <w:abstractNumId w:val="0"/>
  </w:num>
  <w:num w:numId="33">
    <w:abstractNumId w:val="42"/>
  </w:num>
  <w:num w:numId="34">
    <w:abstractNumId w:val="4"/>
  </w:num>
  <w:num w:numId="35">
    <w:abstractNumId w:val="38"/>
  </w:num>
  <w:num w:numId="36">
    <w:abstractNumId w:val="37"/>
  </w:num>
  <w:num w:numId="37">
    <w:abstractNumId w:val="27"/>
  </w:num>
  <w:num w:numId="38">
    <w:abstractNumId w:val="32"/>
  </w:num>
  <w:num w:numId="39">
    <w:abstractNumId w:val="14"/>
  </w:num>
  <w:num w:numId="40">
    <w:abstractNumId w:val="8"/>
  </w:num>
  <w:num w:numId="41">
    <w:abstractNumId w:val="30"/>
  </w:num>
  <w:num w:numId="42">
    <w:abstractNumId w:val="9"/>
  </w:num>
  <w:num w:numId="43">
    <w:abstractNumId w:val="22"/>
  </w:num>
  <w:num w:numId="44">
    <w:abstractNumId w:val="21"/>
  </w:num>
  <w:num w:numId="45">
    <w:abstractNumId w:val="18"/>
  </w:num>
  <w:num w:numId="46">
    <w:abstractNumId w:val="7"/>
  </w:num>
  <w:num w:numId="47">
    <w:abstractNumId w:val="13"/>
  </w:num>
  <w:num w:numId="48">
    <w:abstractNumId w:val="3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3F4D"/>
    <w:rsid w:val="000146E6"/>
    <w:rsid w:val="00014C60"/>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3CAB"/>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1718D"/>
    <w:rsid w:val="00217ADA"/>
    <w:rsid w:val="0022009F"/>
    <w:rsid w:val="00223AE0"/>
    <w:rsid w:val="002304C2"/>
    <w:rsid w:val="00234450"/>
    <w:rsid w:val="00244894"/>
    <w:rsid w:val="00250D99"/>
    <w:rsid w:val="00251BCA"/>
    <w:rsid w:val="0025395E"/>
    <w:rsid w:val="00256363"/>
    <w:rsid w:val="00260558"/>
    <w:rsid w:val="0026283D"/>
    <w:rsid w:val="00270FB5"/>
    <w:rsid w:val="00274BDE"/>
    <w:rsid w:val="002766BC"/>
    <w:rsid w:val="00276887"/>
    <w:rsid w:val="00280068"/>
    <w:rsid w:val="002828EF"/>
    <w:rsid w:val="00286958"/>
    <w:rsid w:val="0029680E"/>
    <w:rsid w:val="002A32D6"/>
    <w:rsid w:val="002A337C"/>
    <w:rsid w:val="002A365A"/>
    <w:rsid w:val="002A76B5"/>
    <w:rsid w:val="002B0509"/>
    <w:rsid w:val="002B1274"/>
    <w:rsid w:val="002C205F"/>
    <w:rsid w:val="002C21BB"/>
    <w:rsid w:val="002C5EE0"/>
    <w:rsid w:val="002D0190"/>
    <w:rsid w:val="002D30A7"/>
    <w:rsid w:val="002D3120"/>
    <w:rsid w:val="002D5C0C"/>
    <w:rsid w:val="002E36BC"/>
    <w:rsid w:val="002E4629"/>
    <w:rsid w:val="002F5968"/>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C034D"/>
    <w:rsid w:val="005C0751"/>
    <w:rsid w:val="005D0E3A"/>
    <w:rsid w:val="005D25AE"/>
    <w:rsid w:val="005D2620"/>
    <w:rsid w:val="005D5DB7"/>
    <w:rsid w:val="005E37C2"/>
    <w:rsid w:val="005E4AF3"/>
    <w:rsid w:val="005F2722"/>
    <w:rsid w:val="006020A6"/>
    <w:rsid w:val="006044AD"/>
    <w:rsid w:val="006112DD"/>
    <w:rsid w:val="0061146E"/>
    <w:rsid w:val="00617C5B"/>
    <w:rsid w:val="00620DAB"/>
    <w:rsid w:val="00625CAD"/>
    <w:rsid w:val="0062761F"/>
    <w:rsid w:val="00633F50"/>
    <w:rsid w:val="006344B4"/>
    <w:rsid w:val="006352B0"/>
    <w:rsid w:val="00642229"/>
    <w:rsid w:val="006450DB"/>
    <w:rsid w:val="00647482"/>
    <w:rsid w:val="00660AB1"/>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419"/>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95"/>
    <w:rsid w:val="008156EA"/>
    <w:rsid w:val="0081623B"/>
    <w:rsid w:val="00821534"/>
    <w:rsid w:val="00823CF5"/>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68C0"/>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6C92"/>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9F7A6D"/>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0C5D"/>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965AA"/>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F965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
    <w:name w:val="Grid Table 6 Colorful"/>
    <w:basedOn w:val="TableNormal"/>
    <w:uiPriority w:val="51"/>
    <w:rsid w:val="00815695"/>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15695"/>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9F7A6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5A8ADA-A274-495C-8A56-FA27EE1C5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11398</Words>
  <Characters>64974</Characters>
  <Application>Microsoft Office Word</Application>
  <DocSecurity>0</DocSecurity>
  <Lines>541</Lines>
  <Paragraphs>152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2026-06-24T13:54:00Z</cp:lastPrinted>
  <dcterms:created xsi:type="dcterms:W3CDTF">2026-06-24T14:24:00Z</dcterms:created>
  <dcterms:modified xsi:type="dcterms:W3CDTF">2026-06-24T14:24:00Z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