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bidiVisual/>
        <w:tblW w:w="5000" w:type="pct"/>
        <w:tblLook w:val="04A0" w:firstRow="1" w:lastRow="0" w:firstColumn="1" w:lastColumn="0" w:noHBand="0" w:noVBand="1"/>
      </w:tblPr>
      <w:tblGrid>
        <w:gridCol w:w="1056"/>
        <w:gridCol w:w="2720"/>
        <w:gridCol w:w="1560"/>
        <w:gridCol w:w="4014"/>
      </w:tblGrid>
      <w:tr w:rsidR="00774DE9" w:rsidRPr="00774DE9" w:rsidTr="007D1B92">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رقم الملاحظة</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نص الملاحظة</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موقع الملاحظة في الرسالة</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التعديل الذي تم إجراؤه لمعالجة الملاحظة</w:t>
            </w:r>
          </w:p>
        </w:tc>
      </w:tr>
      <w:tr w:rsidR="00774DE9" w:rsidRPr="00774DE9" w:rsidTr="007D1B92">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Pr>
              <w:t>1</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التوسع الإنشائي في مقدمة الفصل دون إضافة منهجية فعلية، حيث جاءت المقدمة طويلة نسبيًا وتعتمد على عبارات عامة حول أهمية المنهجية</w:t>
            </w:r>
            <w:r w:rsidRPr="00774DE9">
              <w:rPr>
                <w:rFonts w:ascii="Simplified Arabic" w:eastAsia="Times New Roman" w:hAnsi="Simplified Arabic" w:cs="Simplified Arabic"/>
                <w:sz w:val="28"/>
                <w:szCs w:val="28"/>
              </w:rPr>
              <w:t>.</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مقدمة الفصل الثالث – فقرة</w:t>
            </w:r>
            <w:r w:rsidRPr="00774DE9">
              <w:rPr>
                <w:rFonts w:ascii="Simplified Arabic" w:eastAsia="Times New Roman" w:hAnsi="Simplified Arabic" w:cs="Simplified Arabic"/>
                <w:sz w:val="28"/>
                <w:szCs w:val="28"/>
              </w:rPr>
              <w:t xml:space="preserve"> (3-1)</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تم اختصار مقدمة الفصل الثالث وحذف بعض العبارات العامة المتعلقة بأهمية المنهجية، مع التركيز على عرض عناصر الفصل وإجراءاته المنهجية بشكل مباشر، بما يشمل منهج الدراسة، مجتمعها وعينتها، أداة الدراسة، وأساليب التحليل الإحصائي المستخدمة</w:t>
            </w:r>
            <w:r w:rsidRPr="00774DE9">
              <w:rPr>
                <w:rFonts w:ascii="Simplified Arabic" w:eastAsia="Times New Roman" w:hAnsi="Simplified Arabic" w:cs="Simplified Arabic"/>
                <w:sz w:val="28"/>
                <w:szCs w:val="28"/>
              </w:rPr>
              <w:t>.</w:t>
            </w:r>
          </w:p>
        </w:tc>
      </w:tr>
      <w:tr w:rsidR="00774DE9" w:rsidRPr="00774DE9" w:rsidTr="007D1B92">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Pr>
              <w:t>2</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عدم وجود مرجع علمي لتعريف المنهج الوصفي التحليلي، حيث تم شرح المنهج بطريقة وصفية عامة دون الاستناد إلى مرجع منهجي معتمد</w:t>
            </w:r>
            <w:r w:rsidRPr="00774DE9">
              <w:rPr>
                <w:rFonts w:ascii="Simplified Arabic" w:eastAsia="Times New Roman" w:hAnsi="Simplified Arabic" w:cs="Simplified Arabic"/>
                <w:sz w:val="28"/>
                <w:szCs w:val="28"/>
              </w:rPr>
              <w:t>.</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قسم منهج الدراسة – فقرة</w:t>
            </w:r>
            <w:r w:rsidRPr="00774DE9">
              <w:rPr>
                <w:rFonts w:ascii="Simplified Arabic" w:eastAsia="Times New Roman" w:hAnsi="Simplified Arabic" w:cs="Simplified Arabic"/>
                <w:sz w:val="28"/>
                <w:szCs w:val="28"/>
              </w:rPr>
              <w:t xml:space="preserve"> (3-2)</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تم تعديل الفقرة الخاصة بتعريف المنهج الوصفي التحليلي وإضافة مرجع علمي منهجي معتمد يدعم التعريف، مثل</w:t>
            </w:r>
            <w:r w:rsidRPr="00774DE9">
              <w:rPr>
                <w:rFonts w:ascii="Simplified Arabic" w:eastAsia="Times New Roman" w:hAnsi="Simplified Arabic" w:cs="Simplified Arabic"/>
                <w:sz w:val="28"/>
                <w:szCs w:val="28"/>
              </w:rPr>
              <w:t xml:space="preserve"> (Creswell, 2014) </w:t>
            </w:r>
            <w:r w:rsidRPr="00774DE9">
              <w:rPr>
                <w:rFonts w:ascii="Simplified Arabic" w:eastAsia="Times New Roman" w:hAnsi="Simplified Arabic" w:cs="Simplified Arabic"/>
                <w:sz w:val="28"/>
                <w:szCs w:val="28"/>
                <w:rtl/>
              </w:rPr>
              <w:t>و</w:t>
            </w:r>
            <w:r w:rsidRPr="00774DE9">
              <w:rPr>
                <w:rFonts w:ascii="Simplified Arabic" w:eastAsia="Times New Roman" w:hAnsi="Simplified Arabic" w:cs="Simplified Arabic"/>
                <w:sz w:val="28"/>
                <w:szCs w:val="28"/>
              </w:rPr>
              <w:t>(Saunders et al., 2019)</w:t>
            </w:r>
            <w:r w:rsidRPr="00774DE9">
              <w:rPr>
                <w:rFonts w:ascii="Simplified Arabic" w:eastAsia="Times New Roman" w:hAnsi="Simplified Arabic" w:cs="Simplified Arabic"/>
                <w:sz w:val="28"/>
                <w:szCs w:val="28"/>
                <w:rtl/>
              </w:rPr>
              <w:t>، مع إعادة صياغة التعريف بما يتوافق مع الأدبيات المنهجية في البحث العلمي</w:t>
            </w:r>
            <w:r w:rsidRPr="00774DE9">
              <w:rPr>
                <w:rFonts w:ascii="Simplified Arabic" w:eastAsia="Times New Roman" w:hAnsi="Simplified Arabic" w:cs="Simplified Arabic"/>
                <w:sz w:val="28"/>
                <w:szCs w:val="28"/>
              </w:rPr>
              <w:t>.</w:t>
            </w:r>
          </w:p>
        </w:tc>
      </w:tr>
      <w:tr w:rsidR="00774DE9" w:rsidRPr="00774DE9" w:rsidTr="007D1B92">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Pr>
              <w:t>3</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عدم التمييز بوضوح بين طبيعة الدراسة (تحليل علاقة أم قياس تأثير)، حيث استخدم النص مصطلحي العلاقة والأثر دون توضيح التصميم البحثي بشكل صريح</w:t>
            </w:r>
            <w:r w:rsidRPr="00774DE9">
              <w:rPr>
                <w:rFonts w:ascii="Simplified Arabic" w:eastAsia="Times New Roman" w:hAnsi="Simplified Arabic" w:cs="Simplified Arabic"/>
                <w:sz w:val="28"/>
                <w:szCs w:val="28"/>
              </w:rPr>
              <w:t>.</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قسم تصميم الدراسة والمعالجة الإحصائية – فقرة</w:t>
            </w:r>
            <w:r w:rsidRPr="00774DE9">
              <w:rPr>
                <w:rFonts w:ascii="Simplified Arabic" w:eastAsia="Times New Roman" w:hAnsi="Simplified Arabic" w:cs="Simplified Arabic"/>
                <w:sz w:val="28"/>
                <w:szCs w:val="28"/>
              </w:rPr>
              <w:t xml:space="preserve"> (3-7)</w:t>
            </w:r>
          </w:p>
        </w:tc>
        <w:tc>
          <w:tcPr>
            <w:tcW w:w="0" w:type="auto"/>
            <w:vAlign w:val="center"/>
            <w:hideMark/>
          </w:tcPr>
          <w:p w:rsidR="00774DE9" w:rsidRPr="00774DE9" w:rsidRDefault="00774DE9" w:rsidP="00774DE9">
            <w:pPr>
              <w:jc w:val="center"/>
              <w:rPr>
                <w:rFonts w:ascii="Simplified Arabic" w:eastAsia="Times New Roman" w:hAnsi="Simplified Arabic" w:cs="Simplified Arabic"/>
                <w:sz w:val="28"/>
                <w:szCs w:val="28"/>
              </w:rPr>
            </w:pPr>
            <w:r w:rsidRPr="00774DE9">
              <w:rPr>
                <w:rFonts w:ascii="Simplified Arabic" w:eastAsia="Times New Roman" w:hAnsi="Simplified Arabic" w:cs="Simplified Arabic"/>
                <w:sz w:val="28"/>
                <w:szCs w:val="28"/>
                <w:rtl/>
              </w:rPr>
              <w:t>تم تعديل صياغة الفقرات الخاصة بتصميم الدراسة لتوضيح أن الدراسة تعتمد على تصميم بحثي كمي يهدف إلى قياس أثر تطبيق مبادئ الاستدامة على أداء المشاريع الإنشائية، مع تحليل العلاقات الإحصائية بين المتغيرات باستخدام معامل الارتباط وتحليل الانحدار الخطي، بما يوضح طبيعة العلاقة السببية المفترضة بين المتغيرات</w:t>
            </w:r>
            <w:r w:rsidRPr="00774DE9">
              <w:rPr>
                <w:rFonts w:ascii="Simplified Arabic" w:eastAsia="Times New Roman" w:hAnsi="Simplified Arabic" w:cs="Simplified Arabic"/>
                <w:sz w:val="28"/>
                <w:szCs w:val="28"/>
              </w:rPr>
              <w:t>.</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Pr>
            </w:pPr>
            <w:r w:rsidRPr="00774DE9">
              <w:rPr>
                <w:rFonts w:ascii="Simplified Arabic" w:eastAsia="Calibri" w:hAnsi="Simplified Arabic" w:cs="Simplified Arabic"/>
                <w:color w:val="000000"/>
                <w:sz w:val="28"/>
                <w:szCs w:val="28"/>
                <w:lang w:val="en-GB"/>
              </w:rPr>
              <w:t>4</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 xml:space="preserve">عدم تحديد حجم مجتمع الدراسة الفعلي، حيث تم تعريف المجتمع بأنه جميع </w:t>
            </w:r>
            <w:r w:rsidRPr="00774DE9">
              <w:rPr>
                <w:rFonts w:ascii="Simplified Arabic" w:eastAsia="Calibri" w:hAnsi="Simplified Arabic" w:cs="Simplified Arabic"/>
                <w:color w:val="000000"/>
                <w:sz w:val="28"/>
                <w:szCs w:val="28"/>
                <w:rtl/>
                <w:lang w:val="en-GB"/>
              </w:rPr>
              <w:lastRenderedPageBreak/>
              <w:t>العاملين في المشاريع الإنشائية في الشركات داخل مدينة جدة دون ذكر العدد التقريبي للمجتمع أو مصدر هذا التقدير.</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lastRenderedPageBreak/>
              <w:t>قسم مجتمع الدراسة – فقرة (3-3)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تعديل فقرة مجتمع الدراسة بإضافة تقدير تقريبي لحجم مجتمع الدراسة استنادًا إلى بيانات وتقارير قطاع البناء في المملكة </w:t>
            </w:r>
            <w:r w:rsidRPr="00774DE9">
              <w:rPr>
                <w:rFonts w:ascii="Simplified Arabic" w:eastAsia="Calibri" w:hAnsi="Simplified Arabic" w:cs="Simplified Arabic"/>
                <w:color w:val="000000"/>
                <w:sz w:val="28"/>
                <w:szCs w:val="28"/>
                <w:rtl/>
                <w:lang w:val="en-GB"/>
              </w:rPr>
              <w:lastRenderedPageBreak/>
              <w:t xml:space="preserve">العربية السعودية، مع الإشارة إلى أن المجتمع يشمل العاملين في المشاريع الإنشائية في الشركات العاملة بمدينة جدة، وتوضيح أن اختيار حجم العينة (297) تم بالاعتماد على جدول </w:t>
            </w:r>
            <w:proofErr w:type="spellStart"/>
            <w:r w:rsidRPr="00774DE9">
              <w:rPr>
                <w:rFonts w:ascii="Simplified Arabic" w:eastAsia="Calibri" w:hAnsi="Simplified Arabic" w:cs="Simplified Arabic"/>
                <w:color w:val="000000"/>
                <w:sz w:val="28"/>
                <w:szCs w:val="28"/>
                <w:lang w:val="en-GB"/>
              </w:rPr>
              <w:t>Krejcie</w:t>
            </w:r>
            <w:proofErr w:type="spellEnd"/>
            <w:r w:rsidRPr="00774DE9">
              <w:rPr>
                <w:rFonts w:ascii="Simplified Arabic" w:eastAsia="Calibri" w:hAnsi="Simplified Arabic" w:cs="Simplified Arabic"/>
                <w:color w:val="000000"/>
                <w:sz w:val="28"/>
                <w:szCs w:val="28"/>
                <w:rtl/>
                <w:lang w:val="en-GB"/>
              </w:rPr>
              <w:t xml:space="preserve"> &amp; </w:t>
            </w:r>
            <w:r w:rsidRPr="00774DE9">
              <w:rPr>
                <w:rFonts w:ascii="Simplified Arabic" w:eastAsia="Calibri" w:hAnsi="Simplified Arabic" w:cs="Simplified Arabic"/>
                <w:color w:val="000000"/>
                <w:sz w:val="28"/>
                <w:szCs w:val="28"/>
                <w:lang w:val="en-GB"/>
              </w:rPr>
              <w:t>Morgan</w:t>
            </w:r>
            <w:r w:rsidRPr="00774DE9">
              <w:rPr>
                <w:rFonts w:ascii="Simplified Arabic" w:eastAsia="Calibri" w:hAnsi="Simplified Arabic" w:cs="Simplified Arabic"/>
                <w:color w:val="000000"/>
                <w:sz w:val="28"/>
                <w:szCs w:val="28"/>
                <w:rtl/>
                <w:lang w:val="en-GB"/>
              </w:rPr>
              <w:t xml:space="preserve"> للمجتمعات الكبيرة.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lastRenderedPageBreak/>
              <w:t>5</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غياب الإطار الإحصائي لمجتمع الدراسة (</w:t>
            </w:r>
            <w:r w:rsidRPr="00774DE9">
              <w:rPr>
                <w:rFonts w:ascii="Simplified Arabic" w:eastAsia="Calibri" w:hAnsi="Simplified Arabic" w:cs="Simplified Arabic"/>
                <w:color w:val="000000"/>
                <w:sz w:val="28"/>
                <w:szCs w:val="28"/>
                <w:lang w:val="en-GB"/>
              </w:rPr>
              <w:t>Sampling Frame)</w:t>
            </w:r>
            <w:r w:rsidRPr="00774DE9">
              <w:rPr>
                <w:rFonts w:ascii="Simplified Arabic" w:eastAsia="Calibri" w:hAnsi="Simplified Arabic" w:cs="Simplified Arabic"/>
                <w:color w:val="000000"/>
                <w:sz w:val="28"/>
                <w:szCs w:val="28"/>
                <w:rtl/>
                <w:lang w:val="en-GB"/>
              </w:rPr>
              <w:t>، حيث لم يتم توضيح كيفية تحديد الشركات أو الوصول إلى العاملين داخلها.</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مجتمع وعينة الدراسة – فقرة (3-3)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فقرة توضح الإطار الإحصائي لمجتمع الدراسة، حيث تم تحديد الشركات الإنشائية العاملة في مدينة جدة من خلال الأدلة المهنية وقوائم الشركات المسجلة لدى الجهات المختصة، ثم تم التواصل مع العاملين في هذه الشركات عبر الوسائل المهنية والبريد الإلكتروني ومنصات التواصل المهنية لتوزيع الاستبانة الإلكترونية على الفئات المستهدفة.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6</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التبرير الجغرافي لاختيار مدينة جدة ضعيف علميًا، حيث تم الاكتفاء بذكر أهميتها الاقتصادية دون دعم ذلك ببيانات أو إحصاءات عن قطاع البناء فيها.</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مجتمع الدراسة – فقرة (3-3)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تعديل الفقرة الخاصة بتبرير اختيار مدينة جدة بإضافة توضيح علمي مدعوم بالإشارة إلى التقارير الوطنية المتعلقة بقطاع البناء والتطوير العمراني في المملكة العربية السعودية، والتي تشير إلى أن مدينة جدة تعد من المدن التي تشهد نشاطًا عمرانيًا وتنمويًا كبيرًا في إطار مشروعات التنمية المرتبطة برؤية المملكة 2030، مما يجعلها بيئة مناسبة لدراسة تطبيق مبادئ الاستدامة في المشاريع الإنشائية.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Pr>
            </w:pPr>
            <w:r w:rsidRPr="00774DE9">
              <w:rPr>
                <w:rFonts w:ascii="Simplified Arabic" w:eastAsia="Calibri" w:hAnsi="Simplified Arabic" w:cs="Simplified Arabic"/>
                <w:color w:val="000000"/>
                <w:sz w:val="28"/>
                <w:szCs w:val="28"/>
                <w:lang w:val="en-GB"/>
              </w:rPr>
              <w:lastRenderedPageBreak/>
              <w:t>7</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توضيح حجم مجتمع الدراسة قبل استخدام معادلة كريجسي ومورغان، حيث تم ذكر أن حجم العينة (297) مفردة دون بيان حجم المجتمع الذي استندت إليه المعادلة.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عينة الدراسة – فقرة (3-3)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تعديل الفقرة الخاصة بحجم العينة بإضافة توضيح لحجم مجتمع الدراسة التقديري قبل تطبيق جدول </w:t>
            </w:r>
            <w:proofErr w:type="spellStart"/>
            <w:r w:rsidRPr="00774DE9">
              <w:rPr>
                <w:rFonts w:ascii="Simplified Arabic" w:eastAsia="Calibri" w:hAnsi="Simplified Arabic" w:cs="Simplified Arabic"/>
                <w:color w:val="000000"/>
                <w:sz w:val="28"/>
                <w:szCs w:val="28"/>
                <w:lang w:val="en-GB"/>
              </w:rPr>
              <w:t>Krejcie</w:t>
            </w:r>
            <w:proofErr w:type="spellEnd"/>
            <w:r w:rsidRPr="00774DE9">
              <w:rPr>
                <w:rFonts w:ascii="Simplified Arabic" w:eastAsia="Calibri" w:hAnsi="Simplified Arabic" w:cs="Simplified Arabic"/>
                <w:color w:val="000000"/>
                <w:sz w:val="28"/>
                <w:szCs w:val="28"/>
                <w:rtl/>
                <w:lang w:val="en-GB"/>
              </w:rPr>
              <w:t xml:space="preserve"> &amp; </w:t>
            </w:r>
            <w:r w:rsidRPr="00774DE9">
              <w:rPr>
                <w:rFonts w:ascii="Simplified Arabic" w:eastAsia="Calibri" w:hAnsi="Simplified Arabic" w:cs="Simplified Arabic"/>
                <w:color w:val="000000"/>
                <w:sz w:val="28"/>
                <w:szCs w:val="28"/>
                <w:lang w:val="en-GB"/>
              </w:rPr>
              <w:t>Morgan</w:t>
            </w:r>
            <w:r w:rsidRPr="00774DE9">
              <w:rPr>
                <w:rFonts w:ascii="Simplified Arabic" w:eastAsia="Calibri" w:hAnsi="Simplified Arabic" w:cs="Simplified Arabic"/>
                <w:color w:val="000000"/>
                <w:sz w:val="28"/>
                <w:szCs w:val="28"/>
                <w:rtl/>
                <w:lang w:val="en-GB"/>
              </w:rPr>
              <w:t>، مع الإشارة إلى أن اختيار حجم العينة (297) جاء استنادًا إلى الجدول الإحصائي المناسب للمجتمعات الكبيرة، وذلك بما يتوافق مع الأدبيات المنهجية في تحديد أحجام العينات.</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8</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توضيح طريقة توزيع العينة الطبقية عمليًا، حيث لم يتم تحديد عدد الطبقات أو نسبة كل طبقة أو حجم العينة الممثل لكل فئة.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عينة الدراسة – فقرة (3-3)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توسيع فقرة العينة بإضافة توضيح لطبقات العينة التي شملت: مديري المشاريع، المهندسين المدنيين والمعماريين، الاستشاريين الفنيين، ومختصي الجودة والاستدامة. كما تم إضافة جدول يوضح توزيع العينة على هذه الفئات الوظيفية بما يضمن تمثيلها داخل مجتمع الدراسة.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9</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ذكر معدل الاستجابة المتوقع أو الفعلي، وعدم توضيح عدد الاستبانات الموزعة أو المسترجعة.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إجراءات تنفيذ الدراسة – فقرة (3-6)</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تعديل فقرة جمع البيانات بإضافة توضيح لعدد الاستبانات التي تم توزيعها إلكترونيًا، وعدد الاستبانات المسترجعة الصالحة للتحليل، إضافة إلى حساب معدل الاستجابة الكلي للعينة.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Pr>
            </w:pPr>
            <w:r w:rsidRPr="00774DE9">
              <w:rPr>
                <w:rFonts w:ascii="Simplified Arabic" w:eastAsia="Calibri" w:hAnsi="Simplified Arabic" w:cs="Simplified Arabic"/>
                <w:color w:val="000000"/>
                <w:sz w:val="28"/>
                <w:szCs w:val="28"/>
                <w:lang w:val="en-GB"/>
              </w:rPr>
              <w:t>10</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ذكر المصدر العلمي لفقرات الاستبانة، حيث تم الاكتفاء بالإشارة إلى أنها مبنية على الأدبيات السابقة دون تحديد الدراسات أو النماذج النظرية التي استندت إليها.</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أداة الدراسة – فقرة (3-4)</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تعديل فقرة أداة الدراسة بإضافة توضيح أن فقرات الاستبانة تم بناؤها استنادًا إلى الأدبيات العلمية والدراسات السابقة المتعلقة بالاستدامة وأداء المشاريع الإنشائية، مع الإشارة إلى بعض النماذج النظرية والدراسات التي تناولت أبعاد الاستدامة </w:t>
            </w:r>
            <w:r w:rsidRPr="00774DE9">
              <w:rPr>
                <w:rFonts w:ascii="Simplified Arabic" w:eastAsia="Calibri" w:hAnsi="Simplified Arabic" w:cs="Simplified Arabic"/>
                <w:color w:val="000000"/>
                <w:sz w:val="28"/>
                <w:szCs w:val="28"/>
                <w:rtl/>
                <w:lang w:val="en-GB"/>
              </w:rPr>
              <w:lastRenderedPageBreak/>
              <w:t>الثلاثة (البيئي، الاقتصادي، الاجتماعي) وأداء المشاريع في قطاع البناء.</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lastRenderedPageBreak/>
              <w:t>11</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توضيح عدد فقرات كل محور في هذا القسم، حيث تم ذكر محاور الاستبانة دون تحديد عدد الفقرات المكونة لكل محور.</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أداة الدراسة – فقرة (3-4)</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تعديل وصف أداة الدراسة بإضافة جدول يوضح محاور الاستبانة وعدد الفقرات الخاصة بكل محور، بما يشمل محور تطبيق مبادئ الاستدامة، ومحور أداء المشاريع الإنشائية، ومحور البيئة الداعمة، إضافة إلى فقرات البيانات الديموغرافية.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12</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تحديد طريقة تفسير مقياس ليكرت، حيث لم يتم توضيح حدود المتوسطات الحسابية المستخدمة في تفسير النتائج (منخفض، متوسط، مرتفع).</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أداة الدراسة – فقرة (3-4)</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فقرة توضح طريقة تفسير المتوسطات الحسابية لمقياس ليكرت الخماسي، مع إدراج جدول يبين حدود الفئات التفسيرية (منخفض، متوسط، مرتفع) استنادًا إلى المدى الحسابي للمقياس.</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Pr>
            </w:pPr>
            <w:r w:rsidRPr="00774DE9">
              <w:rPr>
                <w:rFonts w:ascii="Simplified Arabic" w:eastAsia="Calibri" w:hAnsi="Simplified Arabic" w:cs="Simplified Arabic"/>
                <w:color w:val="000000"/>
                <w:sz w:val="28"/>
                <w:szCs w:val="28"/>
                <w:lang w:val="en-GB"/>
              </w:rPr>
              <w:t>13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وجود خلط بين المتغير الوسيط والمتغير السياقي؛ حيث اعتُبرت "خصائص المشروع" (الحجم، النوع) ضمن المتغير الوسيط، بينما تُعد غالبًا متغيرات ضابطة أو وصفية.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متغيرات الدراسة – فقرة (3-5-3)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تعديل تصنيف المتغيرات؛ حيث أُعيد تعريف البيئة الداعمة لتطبيق الاستدامة كمتغير وسيط، بينما نُقلت خصائص المشروع (الحجم، النوع) إلى متغيرات ضابطة/وصفية تُستخدم للتحكم في التحليل الإحصائي. كما تم تعديل صياغة الفقرات المرتبطة بذلك.</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14</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توضيح النموذج البحثي بصريًا؛ لا يوجد شكل يوضح العلاقة بين المتغيرات.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نهاية قسم متغيرات الدراسة – قبل قسم إجراءات التنفيذ</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إضافة شكل (3-1): النموذج البحثي للدراسة يوضح العلاقة بين المتغير المستقل (تطبيق مبادئ الاستدامة بأبعاده الثلاثة) والمتغير التابع (أداء المشاريع بأبعاده الأربعة) مع البيئة الداعمة كمتغير وسيط، </w:t>
            </w:r>
            <w:r w:rsidRPr="00774DE9">
              <w:rPr>
                <w:rFonts w:ascii="Simplified Arabic" w:eastAsia="Calibri" w:hAnsi="Simplified Arabic" w:cs="Simplified Arabic"/>
                <w:color w:val="000000"/>
                <w:sz w:val="28"/>
                <w:szCs w:val="28"/>
                <w:rtl/>
                <w:lang w:val="en-GB"/>
              </w:rPr>
              <w:lastRenderedPageBreak/>
              <w:t>وإدراج خصائص المشروع كمتغيرات ضابطة.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lastRenderedPageBreak/>
              <w:t>15</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تحديد فرضيات الوساطة بوضوح.</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نهاية قسم متغيرات الدراسة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فقرة لصياغة فرضيات الوساطة التي تختبر دور البيئة الداعمة في تعزيز/تخفيف أثر تطبيق مبادئ الاستدامة على أداء المشاريع، مع ربطها باختبار الوساطة إحصائيًا (</w:t>
            </w:r>
            <w:r w:rsidRPr="00774DE9">
              <w:rPr>
                <w:rFonts w:ascii="Simplified Arabic" w:eastAsia="Calibri" w:hAnsi="Simplified Arabic" w:cs="Simplified Arabic"/>
                <w:color w:val="000000"/>
                <w:sz w:val="28"/>
                <w:szCs w:val="28"/>
                <w:lang w:val="en-GB"/>
              </w:rPr>
              <w:t>Baron</w:t>
            </w:r>
            <w:r w:rsidRPr="00774DE9">
              <w:rPr>
                <w:rFonts w:ascii="Simplified Arabic" w:eastAsia="Calibri" w:hAnsi="Simplified Arabic" w:cs="Simplified Arabic"/>
                <w:color w:val="000000"/>
                <w:sz w:val="28"/>
                <w:szCs w:val="28"/>
                <w:rtl/>
                <w:lang w:val="en-GB"/>
              </w:rPr>
              <w:t xml:space="preserve"> &amp; </w:t>
            </w:r>
            <w:r w:rsidRPr="00774DE9">
              <w:rPr>
                <w:rFonts w:ascii="Simplified Arabic" w:eastAsia="Calibri" w:hAnsi="Simplified Arabic" w:cs="Simplified Arabic"/>
                <w:color w:val="000000"/>
                <w:sz w:val="28"/>
                <w:szCs w:val="28"/>
                <w:lang w:val="en-GB"/>
              </w:rPr>
              <w:t>Kenny</w:t>
            </w:r>
            <w:r w:rsidRPr="00774DE9">
              <w:rPr>
                <w:rFonts w:ascii="Simplified Arabic" w:eastAsia="Calibri" w:hAnsi="Simplified Arabic" w:cs="Simplified Arabic"/>
                <w:color w:val="000000"/>
                <w:sz w:val="28"/>
                <w:szCs w:val="28"/>
                <w:rtl/>
                <w:lang w:val="en-GB"/>
              </w:rPr>
              <w:t xml:space="preserve"> أو </w:t>
            </w:r>
            <w:r w:rsidRPr="00774DE9">
              <w:rPr>
                <w:rFonts w:ascii="Simplified Arabic" w:eastAsia="Calibri" w:hAnsi="Simplified Arabic" w:cs="Simplified Arabic"/>
                <w:color w:val="000000"/>
                <w:sz w:val="28"/>
                <w:szCs w:val="28"/>
                <w:lang w:val="en-GB"/>
              </w:rPr>
              <w:t>Bootstrap).</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16</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الخطوات الإجرائية عامة جدًا ولا تُبرز خصوصية الدراسة.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إجراءات تنفيذ الدراسة – فقرة (3-6)</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إعادة صياغة خطوات التنفيذ لتكون أكثر تحديدًا، مع بيان مراحل: بناء الأداة اعتمادًا على الأدبيات، التحكيم العلمي، التجربة الاستطلاعية (إن وجدت)، تحديد العينة الطبقية من الشركات الإنشائية في جدة، توزيع الاستبانة إلكترونيًا، ثم جمع البيانات وتحليلها باستخدام </w:t>
            </w:r>
            <w:r w:rsidRPr="00774DE9">
              <w:rPr>
                <w:rFonts w:ascii="Simplified Arabic" w:eastAsia="Calibri" w:hAnsi="Simplified Arabic" w:cs="Simplified Arabic"/>
                <w:color w:val="000000"/>
                <w:sz w:val="28"/>
                <w:szCs w:val="28"/>
                <w:lang w:val="en-GB"/>
              </w:rPr>
              <w:t>SPSS.</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17</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ذكر مدة جمع البيانات.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إجراءات تنفيذ الدراسة – فقرة (3-6)</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الفترة الزمنية التي تم خلالها توزيع الاستبانة وجمع الاستجابات (مثل: من 1 مارس 2025 إلى 30 أبريل 2025).</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18</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توضيح آلية توزيع الاستبانة الإلكترونية.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إجراءات تنفيذ الدراسة – فقرة (3-6)</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توضيح أن الاستبانة أُعدّت بصيغة </w:t>
            </w:r>
            <w:r w:rsidRPr="00774DE9">
              <w:rPr>
                <w:rFonts w:ascii="Simplified Arabic" w:eastAsia="Calibri" w:hAnsi="Simplified Arabic" w:cs="Simplified Arabic"/>
                <w:color w:val="000000"/>
                <w:sz w:val="28"/>
                <w:szCs w:val="28"/>
                <w:lang w:val="en-GB"/>
              </w:rPr>
              <w:t>Google Forms</w:t>
            </w:r>
            <w:r w:rsidRPr="00774DE9">
              <w:rPr>
                <w:rFonts w:ascii="Simplified Arabic" w:eastAsia="Calibri" w:hAnsi="Simplified Arabic" w:cs="Simplified Arabic"/>
                <w:color w:val="000000"/>
                <w:sz w:val="28"/>
                <w:szCs w:val="28"/>
                <w:rtl/>
                <w:lang w:val="en-GB"/>
              </w:rPr>
              <w:t xml:space="preserve"> وتم توزيع رابطها عبر البريد الإلكتروني ومنصات التواصل المهنية (مثل </w:t>
            </w:r>
            <w:r w:rsidRPr="00774DE9">
              <w:rPr>
                <w:rFonts w:ascii="Simplified Arabic" w:eastAsia="Calibri" w:hAnsi="Simplified Arabic" w:cs="Simplified Arabic"/>
                <w:color w:val="000000"/>
                <w:sz w:val="28"/>
                <w:szCs w:val="28"/>
                <w:lang w:val="en-GB"/>
              </w:rPr>
              <w:t>LinkedIn</w:t>
            </w:r>
            <w:r w:rsidRPr="00774DE9">
              <w:rPr>
                <w:rFonts w:ascii="Simplified Arabic" w:eastAsia="Calibri" w:hAnsi="Simplified Arabic" w:cs="Simplified Arabic"/>
                <w:color w:val="000000"/>
                <w:sz w:val="28"/>
                <w:szCs w:val="28"/>
                <w:rtl/>
                <w:lang w:val="en-GB"/>
              </w:rPr>
              <w:t xml:space="preserve"> و</w:t>
            </w:r>
            <w:r w:rsidRPr="00774DE9">
              <w:rPr>
                <w:rFonts w:ascii="Simplified Arabic" w:eastAsia="Calibri" w:hAnsi="Simplified Arabic" w:cs="Simplified Arabic"/>
                <w:color w:val="000000"/>
                <w:sz w:val="28"/>
                <w:szCs w:val="28"/>
                <w:lang w:val="en-GB"/>
              </w:rPr>
              <w:t>WhatsApp</w:t>
            </w:r>
            <w:r w:rsidRPr="00774DE9">
              <w:rPr>
                <w:rFonts w:ascii="Simplified Arabic" w:eastAsia="Calibri" w:hAnsi="Simplified Arabic" w:cs="Simplified Arabic"/>
                <w:color w:val="000000"/>
                <w:sz w:val="28"/>
                <w:szCs w:val="28"/>
                <w:rtl/>
                <w:lang w:val="en-GB"/>
              </w:rPr>
              <w:t xml:space="preserve"> المهني) للوصول إلى العاملين في الشركات الإنشائية في مدينة جدة.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Pr>
            </w:pPr>
            <w:r w:rsidRPr="00774DE9">
              <w:rPr>
                <w:rFonts w:ascii="Simplified Arabic" w:eastAsia="Calibri" w:hAnsi="Simplified Arabic" w:cs="Simplified Arabic"/>
                <w:color w:val="000000"/>
                <w:sz w:val="28"/>
                <w:szCs w:val="28"/>
                <w:lang w:val="en-GB"/>
              </w:rPr>
              <w:t>19</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 xml:space="preserve">عدم الربط بين الفرضيات والأساليب الإحصائية؛ حيث تم ذكر الاختبارات </w:t>
            </w:r>
            <w:r w:rsidRPr="00774DE9">
              <w:rPr>
                <w:rFonts w:ascii="Simplified Arabic" w:eastAsia="Calibri" w:hAnsi="Simplified Arabic" w:cs="Simplified Arabic"/>
                <w:color w:val="000000"/>
                <w:sz w:val="28"/>
                <w:szCs w:val="28"/>
                <w:rtl/>
                <w:lang w:val="en-GB"/>
              </w:rPr>
              <w:lastRenderedPageBreak/>
              <w:t>الإحصائية بشكل عام دون توضيح الاختبار المستخدم لكل فرضية.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lastRenderedPageBreak/>
              <w:t>قسم التحليل الإحصائي – فقرة (3-7)</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إضافة جدول يوضح العلاقة بين فرضيات الدراسة والأساليب الإحصائية المستخدمة لاختبار كل فرضية، مثل </w:t>
            </w:r>
            <w:r w:rsidRPr="00774DE9">
              <w:rPr>
                <w:rFonts w:ascii="Simplified Arabic" w:eastAsia="Calibri" w:hAnsi="Simplified Arabic" w:cs="Simplified Arabic"/>
                <w:color w:val="000000"/>
                <w:sz w:val="28"/>
                <w:szCs w:val="28"/>
                <w:rtl/>
                <w:lang w:val="en-GB"/>
              </w:rPr>
              <w:lastRenderedPageBreak/>
              <w:t>استخدام معامل ارتباط بيرسون لدراسة العلاقات بين المتغيرات، وتحليل الانحدار المتعدد لاختبار تأثير تطبيق مبادئ الاستدامة على أداء المشاريع.</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lastRenderedPageBreak/>
              <w:t>20</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توضيح اختبار الافتراضات الإحصائية للانحدار مثل التعدد الخطي والتوزيع الطبيعي والاستقلالية.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التحليل الإحصائي</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فقرة توضح إجراءات فحص الافتراضات الإحصائية قبل إجراء تحليل الانحدار، بما يشمل اختبار التعدد الخطي باستخدام معامل تضخم التباين (</w:t>
            </w:r>
            <w:r w:rsidRPr="00774DE9">
              <w:rPr>
                <w:rFonts w:ascii="Simplified Arabic" w:eastAsia="Calibri" w:hAnsi="Simplified Arabic" w:cs="Simplified Arabic"/>
                <w:color w:val="000000"/>
                <w:sz w:val="28"/>
                <w:szCs w:val="28"/>
                <w:lang w:val="en-GB"/>
              </w:rPr>
              <w:t xml:space="preserve">VIF) </w:t>
            </w:r>
            <w:r w:rsidRPr="00774DE9">
              <w:rPr>
                <w:rFonts w:ascii="Simplified Arabic" w:eastAsia="Calibri" w:hAnsi="Simplified Arabic" w:cs="Simplified Arabic"/>
                <w:color w:val="000000"/>
                <w:sz w:val="28"/>
                <w:szCs w:val="28"/>
                <w:rtl/>
                <w:lang w:val="en-GB"/>
              </w:rPr>
              <w:t xml:space="preserve">وقيم </w:t>
            </w:r>
            <w:r w:rsidRPr="00774DE9">
              <w:rPr>
                <w:rFonts w:ascii="Simplified Arabic" w:eastAsia="Calibri" w:hAnsi="Simplified Arabic" w:cs="Simplified Arabic"/>
                <w:color w:val="000000"/>
                <w:sz w:val="28"/>
                <w:szCs w:val="28"/>
                <w:lang w:val="en-GB"/>
              </w:rPr>
              <w:t>Tolerance</w:t>
            </w:r>
            <w:r w:rsidRPr="00774DE9">
              <w:rPr>
                <w:rFonts w:ascii="Simplified Arabic" w:eastAsia="Calibri" w:hAnsi="Simplified Arabic" w:cs="Simplified Arabic"/>
                <w:color w:val="000000"/>
                <w:sz w:val="28"/>
                <w:szCs w:val="28"/>
                <w:rtl/>
                <w:lang w:val="en-GB"/>
              </w:rPr>
              <w:t xml:space="preserve">، وفحص التوزيع الطبيعي للبيانات باستخدام معامل الالتواء والتفرطح، بالإضافة إلى اختبار استقلالية الأخطاء باستخدام إحصائية </w:t>
            </w:r>
            <w:r w:rsidRPr="00774DE9">
              <w:rPr>
                <w:rFonts w:ascii="Simplified Arabic" w:eastAsia="Calibri" w:hAnsi="Simplified Arabic" w:cs="Simplified Arabic"/>
                <w:color w:val="000000"/>
                <w:sz w:val="28"/>
                <w:szCs w:val="28"/>
                <w:lang w:val="en-GB"/>
              </w:rPr>
              <w:t>Durbin–Watson.</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21</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 xml:space="preserve">عدم توضيح نوع الانحدار المستخدم في اختبار الوساطة؛ حيث تم ذكر </w:t>
            </w:r>
            <w:r w:rsidRPr="00774DE9">
              <w:rPr>
                <w:rFonts w:ascii="Simplified Arabic" w:eastAsia="Calibri" w:hAnsi="Simplified Arabic" w:cs="Simplified Arabic"/>
                <w:color w:val="000000"/>
                <w:sz w:val="28"/>
                <w:szCs w:val="28"/>
                <w:lang w:val="en-GB"/>
              </w:rPr>
              <w:t>Baron</w:t>
            </w:r>
            <w:r w:rsidRPr="00774DE9">
              <w:rPr>
                <w:rFonts w:ascii="Simplified Arabic" w:eastAsia="Calibri" w:hAnsi="Simplified Arabic" w:cs="Simplified Arabic"/>
                <w:color w:val="000000"/>
                <w:sz w:val="28"/>
                <w:szCs w:val="28"/>
                <w:rtl/>
                <w:lang w:val="en-GB"/>
              </w:rPr>
              <w:t xml:space="preserve"> &amp; </w:t>
            </w:r>
            <w:r w:rsidRPr="00774DE9">
              <w:rPr>
                <w:rFonts w:ascii="Simplified Arabic" w:eastAsia="Calibri" w:hAnsi="Simplified Arabic" w:cs="Simplified Arabic"/>
                <w:color w:val="000000"/>
                <w:sz w:val="28"/>
                <w:szCs w:val="28"/>
                <w:lang w:val="en-GB"/>
              </w:rPr>
              <w:t>Kenny</w:t>
            </w:r>
            <w:r w:rsidRPr="00774DE9">
              <w:rPr>
                <w:rFonts w:ascii="Simplified Arabic" w:eastAsia="Calibri" w:hAnsi="Simplified Arabic" w:cs="Simplified Arabic"/>
                <w:color w:val="000000"/>
                <w:sz w:val="28"/>
                <w:szCs w:val="28"/>
                <w:rtl/>
                <w:lang w:val="en-GB"/>
              </w:rPr>
              <w:t xml:space="preserve"> أو </w:t>
            </w:r>
            <w:r w:rsidRPr="00774DE9">
              <w:rPr>
                <w:rFonts w:ascii="Simplified Arabic" w:eastAsia="Calibri" w:hAnsi="Simplified Arabic" w:cs="Simplified Arabic"/>
                <w:color w:val="000000"/>
                <w:sz w:val="28"/>
                <w:szCs w:val="28"/>
                <w:lang w:val="en-GB"/>
              </w:rPr>
              <w:t>Bootstrap</w:t>
            </w:r>
            <w:r w:rsidRPr="00774DE9">
              <w:rPr>
                <w:rFonts w:ascii="Simplified Arabic" w:eastAsia="Calibri" w:hAnsi="Simplified Arabic" w:cs="Simplified Arabic"/>
                <w:color w:val="000000"/>
                <w:sz w:val="28"/>
                <w:szCs w:val="28"/>
                <w:rtl/>
                <w:lang w:val="en-GB"/>
              </w:rPr>
              <w:t xml:space="preserve"> دون تحديد أيهما سيستخدم.</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التحليل الإحصائي</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تحديد استخدام تحليل الوساطة باستخدام أسلوب </w:t>
            </w:r>
            <w:r w:rsidRPr="00774DE9">
              <w:rPr>
                <w:rFonts w:ascii="Simplified Arabic" w:eastAsia="Calibri" w:hAnsi="Simplified Arabic" w:cs="Simplified Arabic"/>
                <w:color w:val="000000"/>
                <w:sz w:val="28"/>
                <w:szCs w:val="28"/>
                <w:lang w:val="en-GB"/>
              </w:rPr>
              <w:t>Bootstrap</w:t>
            </w:r>
            <w:r w:rsidRPr="00774DE9">
              <w:rPr>
                <w:rFonts w:ascii="Simplified Arabic" w:eastAsia="Calibri" w:hAnsi="Simplified Arabic" w:cs="Simplified Arabic"/>
                <w:color w:val="000000"/>
                <w:sz w:val="28"/>
                <w:szCs w:val="28"/>
                <w:rtl/>
                <w:lang w:val="en-GB"/>
              </w:rPr>
              <w:t xml:space="preserve"> وفق نموذج </w:t>
            </w:r>
            <w:r w:rsidRPr="00774DE9">
              <w:rPr>
                <w:rFonts w:ascii="Simplified Arabic" w:eastAsia="Calibri" w:hAnsi="Simplified Arabic" w:cs="Simplified Arabic"/>
                <w:color w:val="000000"/>
                <w:sz w:val="28"/>
                <w:szCs w:val="28"/>
                <w:lang w:val="en-GB"/>
              </w:rPr>
              <w:t>PROCESS Macro (Hayes)</w:t>
            </w:r>
            <w:r w:rsidRPr="00774DE9">
              <w:rPr>
                <w:rFonts w:ascii="Simplified Arabic" w:eastAsia="Calibri" w:hAnsi="Simplified Arabic" w:cs="Simplified Arabic"/>
                <w:color w:val="000000"/>
                <w:sz w:val="28"/>
                <w:szCs w:val="28"/>
                <w:rtl/>
                <w:lang w:val="en-GB"/>
              </w:rPr>
              <w:t>، نظرًا لدقته الإحصائية واعتماده في العديد من الدراسات الحديثة لاختبار تأثير المتغير الوسيط.</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22</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ذكر عدد المحكمين الذين قاموا بتحكيم الاستبانة.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صدق الأداة</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تعديل النص ليشمل عدد المحكمين وتخصصاتهم، حيث تم عرض الاستبانة على مجموعة من الخبراء والمتخصصين في مجالات إدارة المشاريع والهندسة الإنشائية والإدارة، وبلغ عددهم (7 محكمين) بهدف التأكد من ملاءمة الفقرات ووضوحها.</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23</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ذكر حجم العينة المستخدمة لاختبار الصدق والثبات.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الصدق والثبات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 xml:space="preserve">تم توضيح أن اختبار الصدق والثبات تم تطبيقه على عينة استطلاعية من مجتمع الدراسة قبل تطبيق الأداة بشكل نهائي، وبلغ </w:t>
            </w:r>
            <w:r w:rsidRPr="00774DE9">
              <w:rPr>
                <w:rFonts w:ascii="Simplified Arabic" w:eastAsia="Calibri" w:hAnsi="Simplified Arabic" w:cs="Simplified Arabic"/>
                <w:color w:val="000000"/>
                <w:sz w:val="28"/>
                <w:szCs w:val="28"/>
                <w:rtl/>
                <w:lang w:val="en-GB"/>
              </w:rPr>
              <w:lastRenderedPageBreak/>
              <w:t>حجمها (مثلاً: 30 مفردة)، وذلك للتحقق من وضوح الفقرات وملاءمتها للتحليل الإحصائي.</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lastRenderedPageBreak/>
              <w:t>24</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عرض جدول معاملات الارتباط لكل فقرة؛ حيث تم عرض نطاق القيم فقط.</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صدق الاتساق الداخلي</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جدول تفصيلي يوضح معاملات ارتباط كل فقرة بالدرجة الكلية للمحور الذي تنتمي إليه، مع بيان دلالة هذه المعاملات إحصائيًا.</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25</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ارتفاع معامل كرونباخ ألفا الكلي (0.95) قد يشير إلى تكرار مفاهيمي بين بعض الفقرات.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الثبات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تفسير علمي لقيمة معامل كرونباخ ألفا المرتفعة، مع الإشارة إلى أن ارتفاع القيمة يدل على مستوى عالٍ من الاتساق الداخلي للأداة، كما تمت مراجعة الفقرات للتأكد من عدم وجود تكرار مباشر بينها.</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Pr>
            </w:pPr>
            <w:r w:rsidRPr="00774DE9">
              <w:rPr>
                <w:rFonts w:ascii="Simplified Arabic" w:eastAsia="Calibri" w:hAnsi="Simplified Arabic" w:cs="Simplified Arabic"/>
                <w:color w:val="000000"/>
                <w:sz w:val="28"/>
                <w:szCs w:val="28"/>
                <w:lang w:val="en-GB"/>
              </w:rPr>
              <w:t>26</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وجود ترقيم واضح للجداول في بعض المواضع، حيث يظهر الجدول مباشرة دون تمهيد كافٍ في النص.</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مواضع عرض الجداول في قسم الصدق والثبات وقسم التحليل الإحصائي</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مراجعة جميع الجداول الواردة في الفصل الثالث والتأكد من ترقيمها وفق تسلسل الجداول في الفصل (مثل: جدول 3-1، جدول 3-2...). كما تم إضافة جمل تمهيدية قبل كل جدول توضح الهدف من عرضه ومحتواه.</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t>27</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وجود بعض التكرار في شرح نتائج الجداول؛ حيث يكرر النص ما هو موجود في الجدول دون إضافة تحليل علمي.</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فقرات تفسير الجداول في قسم الصدق والثبات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إعادة صياغة فقرات تفسير الجداول بحيث لا تقتصر على إعادة قراءة القيم الرقمية، بل تتضمن تفسيرًا علميًا يوضح دلالات النتائج ومدى توافقها مع معايير القياس الإحصائي المتعارف عليها في الدراسات العلمية.</w:t>
            </w:r>
          </w:p>
        </w:tc>
      </w:tr>
      <w:tr w:rsidR="00774DE9" w:rsidRPr="00774DE9" w:rsidTr="007D1B92">
        <w:tc>
          <w:tcPr>
            <w:tcW w:w="0" w:type="auto"/>
            <w:vAlign w:val="center"/>
          </w:tcPr>
          <w:p w:rsidR="00774DE9" w:rsidRPr="00774DE9" w:rsidRDefault="00774DE9" w:rsidP="00774DE9">
            <w:pPr>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lang w:val="en-GB"/>
              </w:rPr>
              <w:lastRenderedPageBreak/>
              <w:t>28</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lang w:val="en-GB"/>
              </w:rPr>
            </w:pPr>
            <w:r w:rsidRPr="00774DE9">
              <w:rPr>
                <w:rFonts w:ascii="Simplified Arabic" w:eastAsia="Calibri" w:hAnsi="Simplified Arabic" w:cs="Simplified Arabic"/>
                <w:color w:val="000000"/>
                <w:sz w:val="28"/>
                <w:szCs w:val="28"/>
                <w:rtl/>
                <w:lang w:val="en-GB"/>
              </w:rPr>
              <w:t>عدم ربط نتائج الصدق والثبات بالإطار النظري للمتغيرات.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قسم الصدق والثبات</w:t>
            </w:r>
          </w:p>
        </w:tc>
        <w:tc>
          <w:tcPr>
            <w:tcW w:w="0" w:type="auto"/>
            <w:vAlign w:val="center"/>
          </w:tcPr>
          <w:p w:rsidR="00774DE9" w:rsidRPr="00774DE9" w:rsidRDefault="00774DE9" w:rsidP="00774DE9">
            <w:pPr>
              <w:bidi/>
              <w:jc w:val="center"/>
              <w:rPr>
                <w:rFonts w:ascii="Simplified Arabic" w:eastAsia="Calibri" w:hAnsi="Simplified Arabic" w:cs="Simplified Arabic"/>
                <w:color w:val="000000"/>
                <w:sz w:val="28"/>
                <w:szCs w:val="28"/>
                <w:rtl/>
                <w:lang w:val="en-GB"/>
              </w:rPr>
            </w:pPr>
            <w:r w:rsidRPr="00774DE9">
              <w:rPr>
                <w:rFonts w:ascii="Simplified Arabic" w:eastAsia="Calibri" w:hAnsi="Simplified Arabic" w:cs="Simplified Arabic"/>
                <w:color w:val="000000"/>
                <w:sz w:val="28"/>
                <w:szCs w:val="28"/>
                <w:rtl/>
                <w:lang w:val="en-GB"/>
              </w:rPr>
              <w:t>تم إضافة فقرة تفسيرية تربط نتائج الصدق والثبات بالمفاهيم النظرية لمتغيرات الدراسة، مع الإشارة إلى أن القيم المرتفعة لمعاملات الارتباط ومعامل كرونباخ ألفا تعكس اتساق الفقرات في قياس الأبعاد النظرية المرتبطة بتطبيق مبادئ الاستدامة وأداء المشاريع الإنشائية.</w:t>
            </w:r>
          </w:p>
        </w:tc>
      </w:tr>
    </w:tbl>
    <w:p w:rsidR="00D17BA6" w:rsidRDefault="00774DE9">
      <w:bookmarkStart w:id="0" w:name="_GoBack"/>
      <w:bookmarkEnd w:id="0"/>
    </w:p>
    <w:sectPr w:rsidR="00D17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25F"/>
    <w:rsid w:val="000E5C33"/>
    <w:rsid w:val="0013025F"/>
    <w:rsid w:val="002A4FDF"/>
    <w:rsid w:val="00774DE9"/>
    <w:rsid w:val="00B94C3B"/>
    <w:rsid w:val="00C361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2DFC4B-93D7-47E6-9A5B-BF2B8CFB2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74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74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1542</Words>
  <Characters>8795</Characters>
  <Application>Microsoft Office Word</Application>
  <DocSecurity>0</DocSecurity>
  <Lines>73</Lines>
  <Paragraphs>20</Paragraphs>
  <ScaleCrop>false</ScaleCrop>
  <Company>Ahmed-Under</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2026-03-12T20:45:00Z</dcterms:created>
  <dcterms:modified xsi:type="dcterms:W3CDTF">2026-03-12T20:45:00Z</dcterms:modified>
</cp:coreProperties>
</file>