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left"/>
      </w:pPr>
      <w:r>
        <w:drawing>
          <wp:inline xmlns:a="http://schemas.openxmlformats.org/drawingml/2006/main" xmlns:pic="http://schemas.openxmlformats.org/drawingml/2006/picture">
            <wp:extent cx="1440000" cy="1335224"/>
            <wp:docPr id="1" name="Picture 1"/>
            <wp:cNvGraphicFramePr>
              <a:graphicFrameLocks noChangeAspect="1"/>
            </wp:cNvGraphicFramePr>
            <a:graphic>
              <a:graphicData uri="http://schemas.openxmlformats.org/drawingml/2006/picture">
                <pic:pic>
                  <pic:nvPicPr>
                    <pic:cNvPr id="0" name="image.png"/>
                    <pic:cNvPicPr/>
                  </pic:nvPicPr>
                  <pic:blipFill>
                    <a:blip r:embed="rId10"/>
                    <a:stretch>
                      <a:fillRect/>
                    </a:stretch>
                  </pic:blipFill>
                  <pic:spPr>
                    <a:xfrm>
                      <a:off x="0" y="0"/>
                      <a:ext cx="1440000" cy="1335224"/>
                    </a:xfrm>
                    <a:prstGeom prst="rect"/>
                  </pic:spPr>
                </pic:pic>
              </a:graphicData>
            </a:graphic>
          </wp:inline>
        </w:drawing>
      </w:r>
    </w:p>
    <w:p>
      <w:pPr>
        <w:spacing w:line="240" w:lineRule="auto" w:after="120" w:before="0"/>
        <w:ind w:firstLine="0"/>
        <w:jc w:val="center"/>
        <w:keepNext w:val="0"/>
        <w:bidi/>
      </w:pPr>
      <w:r>
        <w:rPr>
          <w:rFonts w:ascii="Simplified Arabic" w:hAnsi="Simplified Arabic" w:eastAsia="Simplified Arabic" w:cs="Simplified Arabic"/>
          <w:b/>
          <w:i w:val="0"/>
          <w:sz w:val="32"/>
          <w:lang w:val="ar-SA" w:eastAsia="ar-SA" w:bidi="ar-SA"/>
          <w:rtl/>
        </w:rPr>
        <w:t>جامعة ميدأوشن</w:t>
      </w:r>
    </w:p>
    <w:p>
      <w:pPr>
        <w:spacing w:line="240" w:lineRule="auto" w:after="120" w:before="0"/>
        <w:ind w:firstLine="0"/>
        <w:jc w:val="center"/>
        <w:keepNext w:val="0"/>
        <w:bidi/>
      </w:pPr>
      <w:r>
        <w:rPr>
          <w:rFonts w:ascii="Simplified Arabic" w:hAnsi="Simplified Arabic" w:eastAsia="Simplified Arabic" w:cs="Simplified Arabic"/>
          <w:b/>
          <w:i w:val="0"/>
          <w:sz w:val="30"/>
          <w:lang w:val="ar-SA" w:eastAsia="ar-SA" w:bidi="ar-SA"/>
          <w:rtl/>
        </w:rPr>
        <w:t>كلية الإدارة</w:t>
      </w:r>
    </w:p>
    <w:p>
      <w:pPr>
        <w:spacing w:line="240" w:lineRule="auto" w:after="120" w:before="0"/>
        <w:ind w:firstLine="0"/>
        <w:jc w:val="center"/>
        <w:keepNext w:val="0"/>
        <w:bidi/>
      </w:pPr>
      <w:r>
        <w:rPr>
          <w:rFonts w:ascii="Simplified Arabic" w:hAnsi="Simplified Arabic" w:eastAsia="Simplified Arabic" w:cs="Simplified Arabic"/>
          <w:b w:val="0"/>
          <w:i w:val="0"/>
          <w:sz w:val="28"/>
          <w:lang w:val="ar-SA" w:eastAsia="ar-SA" w:bidi="ar-SA"/>
          <w:rtl/>
        </w:rPr>
        <w:t>تخصص إدارة الأعمال</w:t>
      </w:r>
    </w:p>
    <w:p/>
    <w:p>
      <w:pPr>
        <w:spacing w:line="240" w:lineRule="auto" w:after="480" w:before="0"/>
        <w:ind w:firstLine="0"/>
        <w:jc w:val="center"/>
        <w:keepNext w:val="0"/>
        <w:bidi/>
      </w:pPr>
      <w:r>
        <w:rPr>
          <w:rFonts w:ascii="Simplified Arabic" w:hAnsi="Simplified Arabic" w:eastAsia="Simplified Arabic" w:cs="Simplified Arabic"/>
          <w:b/>
          <w:i w:val="0"/>
          <w:color w:val="1F4E79"/>
          <w:sz w:val="40"/>
          <w:lang w:val="ar-SA" w:eastAsia="ar-SA" w:bidi="ar-SA"/>
          <w:rtl/>
        </w:rPr>
        <w:t>أثر إدارة التغيير على نجاح التحول الرقمي في المنظمات السعودية: دراسة ميدانية على موظفي القطاعين العام والخاص</w:t>
      </w:r>
    </w:p>
    <w:p>
      <w:pPr>
        <w:spacing w:line="240" w:lineRule="auto" w:after="120" w:before="0"/>
        <w:ind w:firstLine="0"/>
        <w:jc w:val="center"/>
        <w:keepNext w:val="0"/>
        <w:bidi/>
      </w:pPr>
      <w:r>
        <w:rPr>
          <w:rFonts w:ascii="Simplified Arabic" w:hAnsi="Simplified Arabic" w:eastAsia="Simplified Arabic" w:cs="Simplified Arabic"/>
          <w:b/>
          <w:i w:val="0"/>
          <w:sz w:val="30"/>
          <w:lang w:val="ar-SA" w:eastAsia="ar-SA" w:bidi="ar-SA"/>
          <w:rtl/>
        </w:rPr>
        <w:t>إعداد الطالب: محمد الحربي</w:t>
      </w:r>
    </w:p>
    <w:p>
      <w:pPr>
        <w:spacing w:line="240" w:lineRule="auto" w:after="120" w:before="0"/>
        <w:ind w:firstLine="0"/>
        <w:jc w:val="center"/>
        <w:keepNext w:val="0"/>
        <w:bidi/>
      </w:pPr>
      <w:r>
        <w:rPr>
          <w:rFonts w:ascii="Simplified Arabic" w:hAnsi="Simplified Arabic" w:eastAsia="Simplified Arabic" w:cs="Simplified Arabic"/>
          <w:b w:val="0"/>
          <w:i w:val="0"/>
          <w:sz w:val="28"/>
          <w:lang w:val="ar-SA" w:eastAsia="ar-SA" w:bidi="ar-SA"/>
          <w:rtl/>
        </w:rPr>
        <w:t>إشراف: د. الفيصل عبد الحميد     د. فايز جراد</w:t>
      </w:r>
    </w:p>
    <w:p>
      <w:pPr>
        <w:spacing w:line="240" w:lineRule="auto" w:after="120" w:before="0"/>
        <w:ind w:firstLine="0"/>
        <w:jc w:val="center"/>
        <w:keepNext w:val="0"/>
        <w:bidi/>
      </w:pPr>
      <w:r>
        <w:rPr>
          <w:rFonts w:ascii="Simplified Arabic" w:hAnsi="Simplified Arabic" w:eastAsia="Simplified Arabic" w:cs="Simplified Arabic"/>
          <w:b w:val="0"/>
          <w:i w:val="0"/>
          <w:sz w:val="28"/>
          <w:lang w:val="ar-SA" w:eastAsia="ar-SA" w:bidi="ar-SA"/>
          <w:rtl/>
        </w:rPr>
        <w:t>العام الدراسي: 2026</w:t>
      </w:r>
    </w:p>
    <w:p>
      <w:r>
        <w:br w:type="page"/>
      </w:r>
    </w:p>
    <w:p>
      <w:pPr>
        <w:pStyle w:val="Heading1"/>
        <w:spacing w:before="360" w:after="160"/>
        <w:jc w:val="center"/>
        <w:keepNext/>
        <w:bidi/>
      </w:pPr>
      <w:r>
        <w:rPr>
          <w:rFonts w:ascii="Simplified Arabic" w:hAnsi="Simplified Arabic" w:eastAsia="Simplified Arabic" w:cs="Simplified Arabic"/>
          <w:b/>
          <w:i w:val="0"/>
          <w:color w:val="1F4E79"/>
          <w:sz w:val="40"/>
          <w:lang w:val="ar-SA" w:eastAsia="ar-SA" w:bidi="ar-SA"/>
          <w:rtl/>
        </w:rPr>
        <w:t>الفصل الأول: الإطار العام للدراسة</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1.1 المقدمة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أصبحت التحولات الرقمية عنصرًا محوريًا في إعادة تشكيل طرق العمل وتقديم الخدمات واتخاذ القرار داخل المنظمات. ولا تقتصر هذه التحولات على استبدال إجراء ورقي بنظام إلكتروني، بل تمتد إلى إعادة تصميم العمليات، وتطوير القدرات، وتعديل الهياكل والأدوار، وتبنّي ثقافة قائمة على البيانات والتعلم المستمر. ويعرّف Vial (2019) التحول الرقمي بوصفه عملية تستجيب فيها المنظمة للاضطرابات التي تخلقها التقنيات الرقمية من خلال تغييرات جوهرية في مسارات خلق القيمة، بينما يوضح Verhoef et al. (2021) أن التحول الرقمي مرحلة أعمق من الرقمنة؛ لأنه يعيد تشكيل نموذج العمل والقدرات التنظيمية ومقاييس الأداء.</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ويتطلب هذا النوع من التحول استجابة بشرية وتنظيمية موازية للاستثمار التقني. فالتقنيات لا تنتج أثرها تلقائيًا إذا لم يفهم الموظفون غاية التغيير، ويحصلوا على التدريب والدعم، ويشاركوا في معالجة الآثار التي تمس مهامهم اليومية. وتشير مراجعة Hanelt et al. (2021) إلى أن التحول الرقمي يدفع المنظمات نحو تصميمات أكثر مرونة وقدرة على التكيف المستمر، وهو ما يجعل إدارة التغيير عملية ممتدة لا حدثًا عابرًا.</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في المملكة العربية السعودية، يرتبط التحول الرقمي ببرامج رؤية السعودية 2030 وبجهود رفع كفاءة الحكومة والاقتصاد وتحسين تجربة المستفيد. وقد سجلت الجهات الحكومية في قياس التحول الرقمي لعام 2025 درجة 88.30% وفق هيئة الحكومة الرقمية، مقابل 87.14% في دورة 2024، بما يعكس تقدمًا مؤسسيًا متواصلًا. ومع ذلك، فإن ارتفاع مؤشرات النضج على المستوى الكلي لا يلغي التفاوت بين المنظمات أو بين خبرات الموظفين داخلها، ولا يوضح بمفرده مدى تأثير ممارسات إدارة التغيير في نجاح المبادرات.</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تقدم البيئة السعودية سياقًا مهمًا لدراسة هذه العلاقة؛ لأن القطاع العام يعمل ضمن أطر تنظيمية ومؤشرات مركزية للتحول، بينما يتأثر القطاع الخاص بالمنافسة وسرعة السوق وحاجته إلى الابتكار. وقد أظهرت دراسة Al-Kahtani et al. (2022) فروقًا في مؤشرات الجاهزية الرقمية بين مرافق صحية عامة وخاصة، كما أكدت دراسة Rouissi (2025) في منظمات صناعية سعودية أهمية القيادة، والتواصل الشفاف، ومشاركة الموظفين، والتدريب الموجه في دعم الانخراط والأداء أثناء التغيير.</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بناءً على ذلك، تسعى الدراسة الحالية إلى تقديم اختبار ميداني مباشر لأثر إدارة التغيير في نجاح التحول الرقمي من منظور الموظفين، مع تغطية القطاعين العام والخاص. وتنطلق من أن نجاح التحول لا يقاس بمجرد تشغيل الأنظمة، بل بمدى تحسن الكفاءة والجودة، ودرجة التبني والتكامل، وقدرة المنظمة على الحفاظ على القيمة المتحققة والاستمرار في التطوير.</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1.2 مشكلة الدراسة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تواجه مبادرات التحول الرقمي خطر التركيز على الجوانب التقنية وإغفال جانب الأفراد والثقافة والقيادة. وقد تتمكن المنظمة من شراء نظام متقدم دون أن تحقق منه قيمة تشغيلية إذا لم تتغير الممارسات، أو إذا قاوم الموظفون الاستخدام، أو كانت الرسائل والتدريب والدعم غير كافية. ويرى Warner and Wäger (2019) أن بناء القدرات الديناميكية للتحول عملية تجدد استراتيجي مستمرة تتطلب الاستشعار والاقتناص وإعادة التشكيل، وهي عمليات تعتمد على القيادة والتعلم والمرونة أكثر من اعتمادها على التقنية وحدها.</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ورغم التطور الرقمي المتسارع في المملكة، تظل الأدلة الميدانية التي تربط ممارسات إدارة التغيير مباشرةً بمؤشرات نجاح التحول عبر القطاعين محدودة. فبعض الدراسات السعودية ركزت على قطاعات بعينها، مثل الصحة أو الصناعة أو الحكومة الرقمية، في حين تحتاج المنظمات إلى فهم أشمل للممارسات التي يلمسها الموظف ويمكن أن تفسر تفاوت نجاح التحول.</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ومن ثم تتمثل المشكلة البحثية في عدم وضوح مقدار تأثير ممارسات إدارة التغيير - وبخاصة القيادة والتواصل، والمشاركة والاستعداد، والتدريب والدعم - في نجاح التحول الرقمي داخل المنظمات السعودية، ومدى اختلاف هذه العلاقة باختلاف القطاع.</w:t>
      </w:r>
    </w:p>
    <w:p>
      <w:pPr>
        <w:spacing w:line="240" w:lineRule="auto" w:after="120" w:before="0"/>
        <w:ind w:firstLine="0"/>
        <w:jc w:val="both"/>
        <w:keepNext w:val="0"/>
        <w:bidi/>
      </w:pPr>
      <w:r>
        <w:rPr>
          <w:rFonts w:ascii="Simplified Arabic" w:hAnsi="Simplified Arabic" w:eastAsia="Simplified Arabic" w:cs="Simplified Arabic"/>
          <w:b/>
          <w:i w:val="0"/>
          <w:color w:val="1F4E79"/>
          <w:sz w:val="28"/>
          <w:lang w:val="ar-SA" w:eastAsia="ar-SA" w:bidi="ar-SA"/>
          <w:rtl/>
        </w:rPr>
        <w:t>السؤال الرئيس: ما أثر إدارة التغيير على نجاح التحول الرقمي في المنظمات السعودية من وجهة نظر موظفي القطاعين العام والخاص؟</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1.3 تساؤلات الدراسة</w:t>
      </w:r>
    </w:p>
    <w:p>
      <w:pPr>
        <w:spacing w:after="80" w:line="240" w:lineRule="auto"/>
        <w:ind w:right="0"/>
        <w:jc w:val="right"/>
        <w:bidi/>
        <w:numPr>
          <w:ilvl w:val="0"/>
          <w:numId w:val="10"/>
        </w:numPr>
      </w:pPr>
      <w:r>
        <w:rPr>
          <w:rFonts w:ascii="Simplified Arabic" w:hAnsi="Simplified Arabic" w:eastAsia="Simplified Arabic" w:cs="Simplified Arabic"/>
          <w:b w:val="0"/>
          <w:i w:val="0"/>
          <w:sz w:val="28"/>
          <w:lang w:val="ar-SA" w:eastAsia="ar-SA" w:bidi="ar-SA"/>
          <w:rtl/>
        </w:rPr>
        <w:t>ما مستوى تطبيق ممارسات إدارة التغيير في المنظمات السعودية من وجهة نظر الموظفين؟</w:t>
      </w:r>
    </w:p>
    <w:p>
      <w:pPr>
        <w:spacing w:after="80" w:line="240" w:lineRule="auto"/>
        <w:ind w:right="0"/>
        <w:jc w:val="right"/>
        <w:bidi/>
        <w:numPr>
          <w:ilvl w:val="0"/>
          <w:numId w:val="10"/>
        </w:numPr>
      </w:pPr>
      <w:r>
        <w:rPr>
          <w:rFonts w:ascii="Simplified Arabic" w:hAnsi="Simplified Arabic" w:eastAsia="Simplified Arabic" w:cs="Simplified Arabic"/>
          <w:b w:val="0"/>
          <w:i w:val="0"/>
          <w:sz w:val="28"/>
          <w:lang w:val="ar-SA" w:eastAsia="ar-SA" w:bidi="ar-SA"/>
          <w:rtl/>
        </w:rPr>
        <w:t>ما مستوى نجاح التحول الرقمي في المنظمات السعودية من وجهة نظر الموظفين؟</w:t>
      </w:r>
    </w:p>
    <w:p>
      <w:pPr>
        <w:spacing w:after="80" w:line="240" w:lineRule="auto"/>
        <w:ind w:right="0"/>
        <w:jc w:val="right"/>
        <w:bidi/>
        <w:numPr>
          <w:ilvl w:val="0"/>
          <w:numId w:val="10"/>
        </w:numPr>
      </w:pPr>
      <w:r>
        <w:rPr>
          <w:rFonts w:ascii="Simplified Arabic" w:hAnsi="Simplified Arabic" w:eastAsia="Simplified Arabic" w:cs="Simplified Arabic"/>
          <w:b w:val="0"/>
          <w:i w:val="0"/>
          <w:sz w:val="28"/>
          <w:lang w:val="ar-SA" w:eastAsia="ar-SA" w:bidi="ar-SA"/>
          <w:rtl/>
        </w:rPr>
        <w:t>ما أثر القيادة والتواصل في نجاح التحول الرقمي؟</w:t>
      </w:r>
    </w:p>
    <w:p>
      <w:pPr>
        <w:spacing w:after="80" w:line="240" w:lineRule="auto"/>
        <w:ind w:right="0"/>
        <w:jc w:val="right"/>
        <w:bidi/>
        <w:numPr>
          <w:ilvl w:val="0"/>
          <w:numId w:val="10"/>
        </w:numPr>
      </w:pPr>
      <w:r>
        <w:rPr>
          <w:rFonts w:ascii="Simplified Arabic" w:hAnsi="Simplified Arabic" w:eastAsia="Simplified Arabic" w:cs="Simplified Arabic"/>
          <w:b w:val="0"/>
          <w:i w:val="0"/>
          <w:sz w:val="28"/>
          <w:lang w:val="ar-SA" w:eastAsia="ar-SA" w:bidi="ar-SA"/>
          <w:rtl/>
        </w:rPr>
        <w:t>ما أثر مشاركة الموظفين واستعدادهم للتغيير في نجاح التحول الرقمي؟</w:t>
      </w:r>
    </w:p>
    <w:p>
      <w:pPr>
        <w:spacing w:after="80" w:line="240" w:lineRule="auto"/>
        <w:ind w:right="0"/>
        <w:jc w:val="right"/>
        <w:bidi/>
        <w:numPr>
          <w:ilvl w:val="0"/>
          <w:numId w:val="10"/>
        </w:numPr>
      </w:pPr>
      <w:r>
        <w:rPr>
          <w:rFonts w:ascii="Simplified Arabic" w:hAnsi="Simplified Arabic" w:eastAsia="Simplified Arabic" w:cs="Simplified Arabic"/>
          <w:b w:val="0"/>
          <w:i w:val="0"/>
          <w:sz w:val="28"/>
          <w:lang w:val="ar-SA" w:eastAsia="ar-SA" w:bidi="ar-SA"/>
          <w:rtl/>
        </w:rPr>
        <w:t>ما أثر التدريب والدعم في نجاح التحول الرقمي؟</w:t>
      </w:r>
    </w:p>
    <w:p>
      <w:pPr>
        <w:spacing w:after="80" w:line="240" w:lineRule="auto"/>
        <w:ind w:right="0"/>
        <w:jc w:val="right"/>
        <w:bidi/>
        <w:numPr>
          <w:ilvl w:val="0"/>
          <w:numId w:val="10"/>
        </w:numPr>
      </w:pPr>
      <w:r>
        <w:rPr>
          <w:rFonts w:ascii="Simplified Arabic" w:hAnsi="Simplified Arabic" w:eastAsia="Simplified Arabic" w:cs="Simplified Arabic"/>
          <w:b w:val="0"/>
          <w:i w:val="0"/>
          <w:sz w:val="28"/>
          <w:lang w:val="ar-SA" w:eastAsia="ar-SA" w:bidi="ar-SA"/>
          <w:rtl/>
        </w:rPr>
        <w:t>هل توجد فروق في تقديرات الموظفين لنجاح التحول الرقمي تُعزى إلى نوع القطاع؟</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1.4 أهداف الدراسة</w:t>
      </w:r>
    </w:p>
    <w:p>
      <w:pPr>
        <w:spacing w:after="80" w:line="240" w:lineRule="auto"/>
        <w:ind w:right="0"/>
        <w:jc w:val="right"/>
        <w:bidi/>
        <w:numPr>
          <w:ilvl w:val="0"/>
          <w:numId w:val="11"/>
        </w:numPr>
      </w:pPr>
      <w:r>
        <w:rPr>
          <w:rFonts w:ascii="Simplified Arabic" w:hAnsi="Simplified Arabic" w:eastAsia="Simplified Arabic" w:cs="Simplified Arabic"/>
          <w:b w:val="0"/>
          <w:i w:val="0"/>
          <w:sz w:val="28"/>
          <w:lang w:val="ar-SA" w:eastAsia="ar-SA" w:bidi="ar-SA"/>
          <w:rtl/>
        </w:rPr>
        <w:t>قياس مستوى تطبيق إدارة التغيير في المنظمات السعودية.</w:t>
      </w:r>
    </w:p>
    <w:p>
      <w:pPr>
        <w:spacing w:after="80" w:line="240" w:lineRule="auto"/>
        <w:ind w:right="0"/>
        <w:jc w:val="right"/>
        <w:bidi/>
        <w:numPr>
          <w:ilvl w:val="0"/>
          <w:numId w:val="11"/>
        </w:numPr>
      </w:pPr>
      <w:r>
        <w:rPr>
          <w:rFonts w:ascii="Simplified Arabic" w:hAnsi="Simplified Arabic" w:eastAsia="Simplified Arabic" w:cs="Simplified Arabic"/>
          <w:b w:val="0"/>
          <w:i w:val="0"/>
          <w:sz w:val="28"/>
          <w:lang w:val="ar-SA" w:eastAsia="ar-SA" w:bidi="ar-SA"/>
          <w:rtl/>
        </w:rPr>
        <w:t>قياس مستوى نجاح التحول الرقمي وفق مؤشرات الكفاءة والتبني والاستدامة.</w:t>
      </w:r>
    </w:p>
    <w:p>
      <w:pPr>
        <w:spacing w:after="80" w:line="240" w:lineRule="auto"/>
        <w:ind w:right="0"/>
        <w:jc w:val="right"/>
        <w:bidi/>
        <w:numPr>
          <w:ilvl w:val="0"/>
          <w:numId w:val="11"/>
        </w:numPr>
      </w:pPr>
      <w:r>
        <w:rPr>
          <w:rFonts w:ascii="Simplified Arabic" w:hAnsi="Simplified Arabic" w:eastAsia="Simplified Arabic" w:cs="Simplified Arabic"/>
          <w:b w:val="0"/>
          <w:i w:val="0"/>
          <w:sz w:val="28"/>
          <w:lang w:val="ar-SA" w:eastAsia="ar-SA" w:bidi="ar-SA"/>
          <w:rtl/>
        </w:rPr>
        <w:t>اختبار أثر القيادة والتواصل في نجاح التحول الرقمي.</w:t>
      </w:r>
    </w:p>
    <w:p>
      <w:pPr>
        <w:spacing w:after="80" w:line="240" w:lineRule="auto"/>
        <w:ind w:right="0"/>
        <w:jc w:val="right"/>
        <w:bidi/>
        <w:numPr>
          <w:ilvl w:val="0"/>
          <w:numId w:val="11"/>
        </w:numPr>
      </w:pPr>
      <w:r>
        <w:rPr>
          <w:rFonts w:ascii="Simplified Arabic" w:hAnsi="Simplified Arabic" w:eastAsia="Simplified Arabic" w:cs="Simplified Arabic"/>
          <w:b w:val="0"/>
          <w:i w:val="0"/>
          <w:sz w:val="28"/>
          <w:lang w:val="ar-SA" w:eastAsia="ar-SA" w:bidi="ar-SA"/>
          <w:rtl/>
        </w:rPr>
        <w:t>اختبار أثر المشاركة والاستعداد في نجاح التحول الرقمي.</w:t>
      </w:r>
    </w:p>
    <w:p>
      <w:pPr>
        <w:spacing w:after="80" w:line="240" w:lineRule="auto"/>
        <w:ind w:right="0"/>
        <w:jc w:val="right"/>
        <w:bidi/>
        <w:numPr>
          <w:ilvl w:val="0"/>
          <w:numId w:val="11"/>
        </w:numPr>
      </w:pPr>
      <w:r>
        <w:rPr>
          <w:rFonts w:ascii="Simplified Arabic" w:hAnsi="Simplified Arabic" w:eastAsia="Simplified Arabic" w:cs="Simplified Arabic"/>
          <w:b w:val="0"/>
          <w:i w:val="0"/>
          <w:sz w:val="28"/>
          <w:lang w:val="ar-SA" w:eastAsia="ar-SA" w:bidi="ar-SA"/>
          <w:rtl/>
        </w:rPr>
        <w:t>اختبار أثر التدريب والدعم في نجاح التحول الرقمي.</w:t>
      </w:r>
    </w:p>
    <w:p>
      <w:pPr>
        <w:spacing w:after="80" w:line="240" w:lineRule="auto"/>
        <w:ind w:right="0"/>
        <w:jc w:val="right"/>
        <w:bidi/>
        <w:numPr>
          <w:ilvl w:val="0"/>
          <w:numId w:val="11"/>
        </w:numPr>
      </w:pPr>
      <w:r>
        <w:rPr>
          <w:rFonts w:ascii="Simplified Arabic" w:hAnsi="Simplified Arabic" w:eastAsia="Simplified Arabic" w:cs="Simplified Arabic"/>
          <w:b w:val="0"/>
          <w:i w:val="0"/>
          <w:sz w:val="28"/>
          <w:lang w:val="ar-SA" w:eastAsia="ar-SA" w:bidi="ar-SA"/>
          <w:rtl/>
        </w:rPr>
        <w:t>مقارنة تصورات موظفي القطاعين العام والخاص.</w:t>
      </w:r>
    </w:p>
    <w:p>
      <w:pPr>
        <w:spacing w:after="80" w:line="240" w:lineRule="auto"/>
        <w:ind w:right="0"/>
        <w:jc w:val="right"/>
        <w:bidi/>
        <w:numPr>
          <w:ilvl w:val="0"/>
          <w:numId w:val="11"/>
        </w:numPr>
      </w:pPr>
      <w:r>
        <w:rPr>
          <w:rFonts w:ascii="Simplified Arabic" w:hAnsi="Simplified Arabic" w:eastAsia="Simplified Arabic" w:cs="Simplified Arabic"/>
          <w:b w:val="0"/>
          <w:i w:val="0"/>
          <w:sz w:val="28"/>
          <w:lang w:val="ar-SA" w:eastAsia="ar-SA" w:bidi="ar-SA"/>
          <w:rtl/>
        </w:rPr>
        <w:t>اقتراح توصيات عملية تساعد المنظمات السعودية على إدارة الجانب البشري للتحول.</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1.5 أهمية الدراسة</w:t>
      </w:r>
    </w:p>
    <w:p>
      <w:pPr>
        <w:pStyle w:val="Heading3"/>
        <w:spacing w:before="240" w:after="160"/>
        <w:jc w:val="right"/>
        <w:keepNext/>
        <w:bidi/>
      </w:pPr>
      <w:r>
        <w:rPr>
          <w:rFonts w:ascii="Simplified Arabic" w:hAnsi="Simplified Arabic" w:eastAsia="Simplified Arabic" w:cs="Simplified Arabic"/>
          <w:b/>
          <w:i w:val="0"/>
          <w:color w:val="1F4E79"/>
          <w:sz w:val="32"/>
          <w:lang w:val="ar-SA" w:eastAsia="ar-SA" w:bidi="ar-SA"/>
          <w:rtl/>
        </w:rPr>
        <w:t>1.5.1 الأهمية العلمية</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تضيف دليلًا ميدانيًا في السياق السعودي حول العلاقة بين إدارة التغيير ونجاح التحول الرقمي.</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تجمع في نموذج واحد ثلاثة أبعاد سلوكية وتنظيمية يمكن قياسها من منظور الموظف.</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تقارن بين القطاعين العام والخاص بدل الاقتصار على قطاع أو منظمة واحدة.</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تقدم أداة عربية قصيرة يمكن إخضاعها للتحكيم والاختبار التجريبي في دراسات لاحقة.</w:t>
      </w:r>
    </w:p>
    <w:p>
      <w:pPr>
        <w:pStyle w:val="Heading3"/>
        <w:spacing w:before="240" w:after="160"/>
        <w:jc w:val="right"/>
        <w:keepNext/>
        <w:bidi/>
      </w:pPr>
      <w:r>
        <w:rPr>
          <w:rFonts w:ascii="Simplified Arabic" w:hAnsi="Simplified Arabic" w:eastAsia="Simplified Arabic" w:cs="Simplified Arabic"/>
          <w:b/>
          <w:i w:val="0"/>
          <w:color w:val="1F4E79"/>
          <w:sz w:val="32"/>
          <w:lang w:val="ar-SA" w:eastAsia="ar-SA" w:bidi="ar-SA"/>
          <w:rtl/>
        </w:rPr>
        <w:t>1.5.2 الأهمية العملية</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تساعد القيادات في تحديد نقاط الضعف المرتبطة بالتواصل أو المشاركة أو التدريب.</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توفر مؤشرات قابلة للمتابعة عند تصميم مبادرات التحول وتقييمها.</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تدعم توجيه الموارد نحو الممارسات البشرية الأكثر ارتباطًا بالتبني وتحقيق القيمة.</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تسهم في مواءمة مبادرات المنظمات مع مستهدفات التحول الرقمي في المملكة.</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1.6 فرضيات الدراسة</w:t>
      </w:r>
    </w:p>
    <w:p>
      <w:pPr>
        <w:spacing w:after="80" w:line="240" w:lineRule="auto"/>
        <w:ind w:right="0"/>
        <w:jc w:val="right"/>
        <w:bidi/>
        <w:numPr>
          <w:ilvl w:val="0"/>
          <w:numId w:val="12"/>
        </w:numPr>
      </w:pPr>
      <w:r>
        <w:rPr>
          <w:rFonts w:ascii="Simplified Arabic" w:hAnsi="Simplified Arabic" w:eastAsia="Simplified Arabic" w:cs="Simplified Arabic"/>
          <w:b w:val="0"/>
          <w:i w:val="0"/>
          <w:sz w:val="28"/>
          <w:lang w:val="ar-SA" w:eastAsia="ar-SA" w:bidi="ar-SA"/>
          <w:rtl/>
        </w:rPr>
        <w:t>H1: يوجد أثر إيجابي ذو دلالة إحصائية لإدارة التغيير في نجاح التحول الرقمي عند مستوى دلالة (α ≤ 0.05).</w:t>
      </w:r>
    </w:p>
    <w:p>
      <w:pPr>
        <w:spacing w:after="80" w:line="240" w:lineRule="auto"/>
        <w:ind w:right="0"/>
        <w:jc w:val="right"/>
        <w:bidi/>
        <w:numPr>
          <w:ilvl w:val="0"/>
          <w:numId w:val="12"/>
        </w:numPr>
      </w:pPr>
      <w:r>
        <w:rPr>
          <w:rFonts w:ascii="Simplified Arabic" w:hAnsi="Simplified Arabic" w:eastAsia="Simplified Arabic" w:cs="Simplified Arabic"/>
          <w:b w:val="0"/>
          <w:i w:val="0"/>
          <w:sz w:val="28"/>
          <w:lang w:val="ar-SA" w:eastAsia="ar-SA" w:bidi="ar-SA"/>
          <w:rtl/>
        </w:rPr>
        <w:t>H1a: يوجد أثر إيجابي ذو دلالة إحصائية للقيادة والتواصل في نجاح التحول الرقمي.</w:t>
      </w:r>
    </w:p>
    <w:p>
      <w:pPr>
        <w:spacing w:after="80" w:line="240" w:lineRule="auto"/>
        <w:ind w:right="0"/>
        <w:jc w:val="right"/>
        <w:bidi/>
        <w:numPr>
          <w:ilvl w:val="0"/>
          <w:numId w:val="12"/>
        </w:numPr>
      </w:pPr>
      <w:r>
        <w:rPr>
          <w:rFonts w:ascii="Simplified Arabic" w:hAnsi="Simplified Arabic" w:eastAsia="Simplified Arabic" w:cs="Simplified Arabic"/>
          <w:b w:val="0"/>
          <w:i w:val="0"/>
          <w:sz w:val="28"/>
          <w:lang w:val="ar-SA" w:eastAsia="ar-SA" w:bidi="ar-SA"/>
          <w:rtl/>
        </w:rPr>
        <w:t>H1b: يوجد أثر إيجابي ذو دلالة إحصائية للمشاركة والاستعداد في نجاح التحول الرقمي.</w:t>
      </w:r>
    </w:p>
    <w:p>
      <w:pPr>
        <w:spacing w:after="80" w:line="240" w:lineRule="auto"/>
        <w:ind w:right="0"/>
        <w:jc w:val="right"/>
        <w:bidi/>
        <w:numPr>
          <w:ilvl w:val="0"/>
          <w:numId w:val="12"/>
        </w:numPr>
      </w:pPr>
      <w:r>
        <w:rPr>
          <w:rFonts w:ascii="Simplified Arabic" w:hAnsi="Simplified Arabic" w:eastAsia="Simplified Arabic" w:cs="Simplified Arabic"/>
          <w:b w:val="0"/>
          <w:i w:val="0"/>
          <w:sz w:val="28"/>
          <w:lang w:val="ar-SA" w:eastAsia="ar-SA" w:bidi="ar-SA"/>
          <w:rtl/>
        </w:rPr>
        <w:t>H1c: يوجد أثر إيجابي ذو دلالة إحصائية للتدريب والدعم في نجاح التحول الرقمي.</w:t>
      </w:r>
    </w:p>
    <w:p>
      <w:pPr>
        <w:spacing w:after="80" w:line="240" w:lineRule="auto"/>
        <w:ind w:right="0"/>
        <w:jc w:val="right"/>
        <w:bidi/>
        <w:numPr>
          <w:ilvl w:val="0"/>
          <w:numId w:val="12"/>
        </w:numPr>
      </w:pPr>
      <w:r>
        <w:rPr>
          <w:rFonts w:ascii="Simplified Arabic" w:hAnsi="Simplified Arabic" w:eastAsia="Simplified Arabic" w:cs="Simplified Arabic"/>
          <w:b w:val="0"/>
          <w:i w:val="0"/>
          <w:sz w:val="28"/>
          <w:lang w:val="ar-SA" w:eastAsia="ar-SA" w:bidi="ar-SA"/>
          <w:rtl/>
        </w:rPr>
        <w:t>H2: توجد فروق ذات دلالة إحصائية في تقديرات نجاح التحول الرقمي تُعزى إلى نوع القطاع (عام/خاص).</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1.7 النموذج المفاهيمي والمتغيرات</w:t>
      </w:r>
    </w:p>
    <w:p>
      <w:pPr>
        <w:spacing w:line="240" w:lineRule="auto" w:after="80" w:before="0"/>
        <w:ind w:firstLine="0"/>
        <w:jc w:val="center"/>
        <w:keepNext/>
        <w:bidi/>
      </w:pPr>
      <w:r>
        <w:rPr>
          <w:rFonts w:ascii="Simplified Arabic" w:hAnsi="Simplified Arabic" w:eastAsia="Simplified Arabic" w:cs="Simplified Arabic"/>
          <w:b/>
          <w:i w:val="0"/>
          <w:sz w:val="24"/>
          <w:lang w:val="ar-SA" w:eastAsia="ar-SA" w:bidi="ar-SA"/>
          <w:rtl/>
        </w:rPr>
        <w:t>جدول (‎1-1‎): المتغيرات والأبعاد التشغيلية للدراسة</w:t>
      </w:r>
    </w:p>
    <w:tbl>
      <w:tblPr>
        <w:tblStyle w:val="TableGrid"/>
        <w:tblW w:type="dxa" w:w="9072"/>
        <w:jc w:val="center"/>
        <w:tblLayout w:type="fixed"/>
        <w:tblLook w:firstColumn="1" w:firstRow="1" w:lastColumn="0" w:lastRow="0" w:noHBand="0" w:noVBand="1" w:val="04A0"/>
        <w:tblInd w:w="120" w:type="dxa"/>
      </w:tblPr>
      <w:tblGrid>
        <w:gridCol w:w="1701"/>
        <w:gridCol w:w="2835"/>
        <w:gridCol w:w="4536"/>
      </w:tblGrid>
      <w:tr>
        <w:trPr>
          <w:cantSplit/>
          <w:tblHeader/>
          <w:cantSplit/>
        </w:trPr>
        <w:tc>
          <w:tcPr>
            <w:tcW w:type="dxa" w:w="1701"/>
            <w:shd w:fill="1F4E79"/>
            <w:vAlign w:val="center"/>
            <w:tcMar>
              <w:top w:w="80" w:type="dxa"/>
              <w:start w:w="120" w:type="dxa"/>
              <w:bottom w:w="80" w:type="dxa"/>
              <w:end w:w="120" w:type="dxa"/>
            </w:tcMar>
          </w:tcPr>
          <w:p>
            <w:pPr>
              <w:jc w:val="center"/>
              <w:bidi/>
            </w:pPr>
            <w:r>
              <w:rPr>
                <w:rFonts w:ascii="Simplified Arabic" w:hAnsi="Simplified Arabic" w:eastAsia="Simplified Arabic" w:cs="Simplified Arabic"/>
                <w:b/>
                <w:i w:val="0"/>
                <w:color w:val="FFFFFF"/>
                <w:sz w:val="22"/>
                <w:lang w:val="ar-SA" w:eastAsia="ar-SA" w:bidi="ar-SA"/>
                <w:rtl/>
              </w:rPr>
              <w:t>نوع المتغير</w:t>
            </w:r>
          </w:p>
        </w:tc>
        <w:tc>
          <w:tcPr>
            <w:tcW w:type="dxa" w:w="2835"/>
            <w:shd w:fill="1F4E79"/>
            <w:vAlign w:val="center"/>
            <w:tcMar>
              <w:top w:w="80" w:type="dxa"/>
              <w:start w:w="120" w:type="dxa"/>
              <w:bottom w:w="80" w:type="dxa"/>
              <w:end w:w="120" w:type="dxa"/>
            </w:tcMar>
          </w:tcPr>
          <w:p>
            <w:pPr>
              <w:jc w:val="center"/>
              <w:bidi/>
            </w:pPr>
            <w:r>
              <w:rPr>
                <w:rFonts w:ascii="Simplified Arabic" w:hAnsi="Simplified Arabic" w:eastAsia="Simplified Arabic" w:cs="Simplified Arabic"/>
                <w:b/>
                <w:i w:val="0"/>
                <w:color w:val="FFFFFF"/>
                <w:sz w:val="22"/>
                <w:lang w:val="ar-SA" w:eastAsia="ar-SA" w:bidi="ar-SA"/>
                <w:rtl/>
              </w:rPr>
              <w:t>المتغير</w:t>
            </w:r>
          </w:p>
        </w:tc>
        <w:tc>
          <w:tcPr>
            <w:tcW w:type="dxa" w:w="4536"/>
            <w:shd w:fill="1F4E79"/>
            <w:vAlign w:val="center"/>
            <w:tcMar>
              <w:top w:w="80" w:type="dxa"/>
              <w:start w:w="120" w:type="dxa"/>
              <w:bottom w:w="80" w:type="dxa"/>
              <w:end w:w="120" w:type="dxa"/>
            </w:tcMar>
          </w:tcPr>
          <w:p>
            <w:pPr>
              <w:jc w:val="center"/>
              <w:bidi/>
            </w:pPr>
            <w:r>
              <w:rPr>
                <w:rFonts w:ascii="Simplified Arabic" w:hAnsi="Simplified Arabic" w:eastAsia="Simplified Arabic" w:cs="Simplified Arabic"/>
                <w:b/>
                <w:i w:val="0"/>
                <w:color w:val="FFFFFF"/>
                <w:sz w:val="22"/>
                <w:lang w:val="ar-SA" w:eastAsia="ar-SA" w:bidi="ar-SA"/>
                <w:rtl/>
              </w:rPr>
              <w:t>الأبعاد</w:t>
            </w:r>
          </w:p>
        </w:tc>
      </w:tr>
      <w:tr>
        <w:trPr>
          <w:cantSplit/>
          <w:cantSplit/>
        </w:trPr>
        <w:tc>
          <w:tcPr>
            <w:tcW w:type="dxa" w:w="1701"/>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22"/>
                <w:lang w:val="ar-SA" w:eastAsia="ar-SA" w:bidi="ar-SA"/>
                <w:rtl/>
              </w:rPr>
              <w:t>مستقل</w:t>
            </w:r>
          </w:p>
        </w:tc>
        <w:tc>
          <w:tcPr>
            <w:tcW w:type="dxa" w:w="2835"/>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22"/>
                <w:lang w:val="ar-SA" w:eastAsia="ar-SA" w:bidi="ar-SA"/>
                <w:rtl/>
              </w:rPr>
              <w:t>إدارة التغيير</w:t>
            </w:r>
          </w:p>
        </w:tc>
        <w:tc>
          <w:tcPr>
            <w:tcW w:type="dxa" w:w="4536"/>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22"/>
                <w:lang w:val="ar-SA" w:eastAsia="ar-SA" w:bidi="ar-SA"/>
                <w:rtl/>
              </w:rPr>
              <w:t>القيادة والتواصل؛ المشاركة والاستعداد؛ التدريب والدعم</w:t>
            </w:r>
          </w:p>
        </w:tc>
      </w:tr>
      <w:tr>
        <w:trPr>
          <w:cantSplit/>
          <w:cantSplit/>
        </w:trPr>
        <w:tc>
          <w:tcPr>
            <w:tcW w:type="dxa" w:w="1701"/>
            <w:shd w:fill="EDF4F9"/>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22"/>
                <w:lang w:val="ar-SA" w:eastAsia="ar-SA" w:bidi="ar-SA"/>
                <w:rtl/>
              </w:rPr>
              <w:t>تابع</w:t>
            </w:r>
          </w:p>
        </w:tc>
        <w:tc>
          <w:tcPr>
            <w:tcW w:type="dxa" w:w="2835"/>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22"/>
                <w:lang w:val="ar-SA" w:eastAsia="ar-SA" w:bidi="ar-SA"/>
                <w:rtl/>
              </w:rPr>
              <w:t>نجاح التحول الرقمي</w:t>
            </w:r>
          </w:p>
        </w:tc>
        <w:tc>
          <w:tcPr>
            <w:tcW w:type="dxa" w:w="4536"/>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22"/>
                <w:lang w:val="ar-SA" w:eastAsia="ar-SA" w:bidi="ar-SA"/>
                <w:rtl/>
              </w:rPr>
              <w:t>الكفاءة والجودة؛ التبني والتكامل؛ الاستدامة والقيمة</w:t>
            </w:r>
          </w:p>
        </w:tc>
      </w:tr>
      <w:tr>
        <w:trPr>
          <w:cantSplit/>
          <w:cantSplit/>
        </w:trPr>
        <w:tc>
          <w:tcPr>
            <w:tcW w:type="dxa" w:w="1701"/>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22"/>
                <w:lang w:val="ar-SA" w:eastAsia="ar-SA" w:bidi="ar-SA"/>
                <w:rtl/>
              </w:rPr>
              <w:t>تصنيفي</w:t>
            </w:r>
          </w:p>
        </w:tc>
        <w:tc>
          <w:tcPr>
            <w:tcW w:type="dxa" w:w="2835"/>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22"/>
                <w:lang w:val="ar-SA" w:eastAsia="ar-SA" w:bidi="ar-SA"/>
                <w:rtl/>
              </w:rPr>
              <w:t>نوع القطاع</w:t>
            </w:r>
          </w:p>
        </w:tc>
        <w:tc>
          <w:tcPr>
            <w:tcW w:type="dxa" w:w="4536"/>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22"/>
                <w:lang w:val="ar-SA" w:eastAsia="ar-SA" w:bidi="ar-SA"/>
                <w:rtl/>
              </w:rPr>
              <w:t>عام؛ خاص</w:t>
            </w:r>
          </w:p>
        </w:tc>
      </w:tr>
    </w:tbl>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يفترض النموذج أن ارتفاع جودة ممارسات إدارة التغيير يرفع قدرة المنظمة على تحقيق نتائج رقمية أفضل، مع اختبار الفروق بين القطاعين بوصفها مقارنة سياقية.</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1.8 التعريفات الإجرائية</w:t>
      </w:r>
    </w:p>
    <w:p>
      <w:pPr>
        <w:spacing w:line="240" w:lineRule="auto" w:after="120" w:before="0"/>
        <w:ind w:firstLine="283"/>
        <w:jc w:val="both"/>
        <w:keepNext w:val="0"/>
        <w:bidi/>
      </w:pPr>
      <w:r>
        <w:rPr>
          <w:rFonts w:ascii="Simplified Arabic" w:hAnsi="Simplified Arabic" w:eastAsia="Simplified Arabic" w:cs="Simplified Arabic"/>
          <w:b/>
          <w:i w:val="0"/>
          <w:color w:val="1F4E79"/>
          <w:sz w:val="28"/>
          <w:lang w:val="ar-SA" w:eastAsia="ar-SA" w:bidi="ar-SA"/>
          <w:rtl/>
        </w:rPr>
        <w:t xml:space="preserve">إدارة التغيير: </w:t>
      </w:r>
      <w:r>
        <w:rPr>
          <w:rFonts w:ascii="Simplified Arabic" w:hAnsi="Simplified Arabic" w:eastAsia="Simplified Arabic" w:cs="Simplified Arabic"/>
          <w:b w:val="0"/>
          <w:i w:val="0"/>
          <w:sz w:val="28"/>
          <w:lang w:val="ar-SA" w:eastAsia="ar-SA" w:bidi="ar-SA"/>
          <w:rtl/>
        </w:rPr>
        <w:t>ممارسات منظمة لتوجيه الانتقال من الوضع الحالي إلى وضع رقمي مستهدف، وتقاس بمتوسط 12 عبارة.</w:t>
      </w:r>
    </w:p>
    <w:p>
      <w:pPr>
        <w:spacing w:line="240" w:lineRule="auto" w:after="120" w:before="0"/>
        <w:ind w:firstLine="283"/>
        <w:jc w:val="both"/>
        <w:keepNext w:val="0"/>
        <w:bidi/>
      </w:pPr>
      <w:r>
        <w:rPr>
          <w:rFonts w:ascii="Simplified Arabic" w:hAnsi="Simplified Arabic" w:eastAsia="Simplified Arabic" w:cs="Simplified Arabic"/>
          <w:b/>
          <w:i w:val="0"/>
          <w:color w:val="1F4E79"/>
          <w:sz w:val="28"/>
          <w:lang w:val="ar-SA" w:eastAsia="ar-SA" w:bidi="ar-SA"/>
          <w:rtl/>
        </w:rPr>
        <w:t xml:space="preserve">القيادة والتواصل: </w:t>
      </w:r>
      <w:r>
        <w:rPr>
          <w:rFonts w:ascii="Simplified Arabic" w:hAnsi="Simplified Arabic" w:eastAsia="Simplified Arabic" w:cs="Simplified Arabic"/>
          <w:b w:val="0"/>
          <w:i w:val="0"/>
          <w:sz w:val="28"/>
          <w:lang w:val="ar-SA" w:eastAsia="ar-SA" w:bidi="ar-SA"/>
          <w:rtl/>
        </w:rPr>
        <w:t>وضوح الرؤية ودعم القيادة وانتظام الرسائل وتحديد الأدوار أثناء التحول.</w:t>
      </w:r>
    </w:p>
    <w:p>
      <w:pPr>
        <w:spacing w:line="240" w:lineRule="auto" w:after="120" w:before="0"/>
        <w:ind w:firstLine="283"/>
        <w:jc w:val="both"/>
        <w:keepNext w:val="0"/>
        <w:bidi/>
      </w:pPr>
      <w:r>
        <w:rPr>
          <w:rFonts w:ascii="Simplified Arabic" w:hAnsi="Simplified Arabic" w:eastAsia="Simplified Arabic" w:cs="Simplified Arabic"/>
          <w:b/>
          <w:i w:val="0"/>
          <w:color w:val="1F4E79"/>
          <w:sz w:val="28"/>
          <w:lang w:val="ar-SA" w:eastAsia="ar-SA" w:bidi="ar-SA"/>
          <w:rtl/>
        </w:rPr>
        <w:t xml:space="preserve">المشاركة والاستعداد: </w:t>
      </w:r>
      <w:r>
        <w:rPr>
          <w:rFonts w:ascii="Simplified Arabic" w:hAnsi="Simplified Arabic" w:eastAsia="Simplified Arabic" w:cs="Simplified Arabic"/>
          <w:b w:val="0"/>
          <w:i w:val="0"/>
          <w:sz w:val="28"/>
          <w:lang w:val="ar-SA" w:eastAsia="ar-SA" w:bidi="ar-SA"/>
          <w:rtl/>
        </w:rPr>
        <w:t>إشراك الموظفين، والاستماع لملاحظاتهم، وبناء القناعة والقدرة على التكيف.</w:t>
      </w:r>
    </w:p>
    <w:p>
      <w:pPr>
        <w:spacing w:line="240" w:lineRule="auto" w:after="120" w:before="0"/>
        <w:ind w:firstLine="283"/>
        <w:jc w:val="both"/>
        <w:keepNext w:val="0"/>
        <w:bidi/>
      </w:pPr>
      <w:r>
        <w:rPr>
          <w:rFonts w:ascii="Simplified Arabic" w:hAnsi="Simplified Arabic" w:eastAsia="Simplified Arabic" w:cs="Simplified Arabic"/>
          <w:b/>
          <w:i w:val="0"/>
          <w:color w:val="1F4E79"/>
          <w:sz w:val="28"/>
          <w:lang w:val="ar-SA" w:eastAsia="ar-SA" w:bidi="ar-SA"/>
          <w:rtl/>
        </w:rPr>
        <w:t xml:space="preserve">التدريب والدعم: </w:t>
      </w:r>
      <w:r>
        <w:rPr>
          <w:rFonts w:ascii="Simplified Arabic" w:hAnsi="Simplified Arabic" w:eastAsia="Simplified Arabic" w:cs="Simplified Arabic"/>
          <w:b w:val="0"/>
          <w:i w:val="0"/>
          <w:sz w:val="28"/>
          <w:lang w:val="ar-SA" w:eastAsia="ar-SA" w:bidi="ar-SA"/>
          <w:rtl/>
        </w:rPr>
        <w:t>توفير التدريب والموارد والمساندة والمتابعة اللازمة لتبنّي الأنظمة والممارسات الجديدة.</w:t>
      </w:r>
    </w:p>
    <w:p>
      <w:pPr>
        <w:spacing w:line="240" w:lineRule="auto" w:after="120" w:before="0"/>
        <w:ind w:firstLine="283"/>
        <w:jc w:val="both"/>
        <w:keepNext w:val="0"/>
        <w:bidi/>
      </w:pPr>
      <w:r>
        <w:rPr>
          <w:rFonts w:ascii="Simplified Arabic" w:hAnsi="Simplified Arabic" w:eastAsia="Simplified Arabic" w:cs="Simplified Arabic"/>
          <w:b/>
          <w:i w:val="0"/>
          <w:color w:val="1F4E79"/>
          <w:sz w:val="28"/>
          <w:lang w:val="ar-SA" w:eastAsia="ar-SA" w:bidi="ar-SA"/>
          <w:rtl/>
        </w:rPr>
        <w:t xml:space="preserve">نجاح التحول الرقمي: </w:t>
      </w:r>
      <w:r>
        <w:rPr>
          <w:rFonts w:ascii="Simplified Arabic" w:hAnsi="Simplified Arabic" w:eastAsia="Simplified Arabic" w:cs="Simplified Arabic"/>
          <w:b w:val="0"/>
          <w:i w:val="0"/>
          <w:sz w:val="28"/>
          <w:lang w:val="ar-SA" w:eastAsia="ar-SA" w:bidi="ar-SA"/>
          <w:rtl/>
        </w:rPr>
        <w:t>مدى تحسن الكفاءة والجودة والتكامل والتبني والمرونة والقيمة المتحققة من المبادرات الرقمية، ويقاس بمتوسط 8 عبارات.</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1.9 حدود الدراسة</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الحدود الموضوعية: أثر إدارة التغيير بأبعادها المحددة في نجاح التحول الرقمي.</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الحدود البشرية: موظفون بالغون يعملون في منظمات سعودية عامة أو خاصة شهدت مبادرات تحول رقمي.</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الحدود المكانية: المملكة العربية السعودية.</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الحدود الزمانية: فترة جمع البيانات خلال عام 2026.</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الحدود المنهجية: دراسة مقطعية تعتمد على استجابات ذاتية عبر استبانة إلكترونية.</w:t>
      </w:r>
    </w:p>
    <w:p>
      <w:pPr>
        <w:pStyle w:val="Heading1"/>
        <w:spacing w:before="360" w:after="160"/>
        <w:jc w:val="center"/>
        <w:keepNext/>
        <w:pageBreakBefore/>
        <w:bidi/>
      </w:pPr>
      <w:r>
        <w:rPr>
          <w:rFonts w:ascii="Simplified Arabic" w:hAnsi="Simplified Arabic" w:eastAsia="Simplified Arabic" w:cs="Simplified Arabic"/>
          <w:b/>
          <w:i w:val="0"/>
          <w:color w:val="1F4E79"/>
          <w:sz w:val="40"/>
          <w:lang w:val="ar-SA" w:eastAsia="ar-SA" w:bidi="ar-SA"/>
          <w:rtl/>
        </w:rPr>
        <w:t>الفصل الثاني: الدراسات السابقة والإطار النظري</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2.1 مقدمة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يعرض هذا الفصل الأسس النظرية لمتغيري الدراسة، ثم يراجع عددًا من الدراسات الدولية والسعودية ذات الصلة، ويستخلص الفجوة التي يعالجها البحث. ويُنظر إلى إدارة التغيير باعتبارها الآلية التي تنظّم انتقال الأفراد والعمليات، وإلى التحول الرقمي باعتباره تغييرًا استراتيجيًا واجتماعيًا-تقنيًا يتجاوز تركيب الأنظمة.</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2.2 إدارة التغيير</w:t>
      </w:r>
    </w:p>
    <w:p>
      <w:pPr>
        <w:pStyle w:val="Heading3"/>
        <w:spacing w:before="240" w:after="160"/>
        <w:jc w:val="right"/>
        <w:keepNext/>
        <w:bidi/>
      </w:pPr>
      <w:r>
        <w:rPr>
          <w:rFonts w:ascii="Simplified Arabic" w:hAnsi="Simplified Arabic" w:eastAsia="Simplified Arabic" w:cs="Simplified Arabic"/>
          <w:b/>
          <w:i w:val="0"/>
          <w:color w:val="1F4E79"/>
          <w:sz w:val="32"/>
          <w:lang w:val="ar-SA" w:eastAsia="ar-SA" w:bidi="ar-SA"/>
          <w:rtl/>
        </w:rPr>
        <w:t>2.2.1 المفهوم والأهمية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إدارة التغيير هي نهج منظم لتخطيط الانتقال وتنفيذه وتثبيته، مع التعامل مع آثار التغيير في الأفراد والعمليات والثقافة. وتؤكد أدبيات الاستعداد للتغيير أن قبول الموظف لا يعتمد على اقتناعه بالحاجة إلى التغيير فقط، بل أيضًا على ملاءمة الحل، ودعم الإدارة، والثقة في القدرة على التنفيذ، وإدراك المنفعة الشخصية والتنظيمية (Holt et al., 2007).</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وطور Bouckenooghe et al. (2009) أداة تقيس مناخ التغيير وعملياته والاستعداد له، وأظهرت عملية التحقق التي شملت مشاركين من منظمات عامة وخاصة أن التواصل، والمشاركة، ودعم الإدارة، والموقف من التغيير أبعاد مترابطة ينبغي النظر إليها معًا. لذلك لا يُختزل نجاح إدارة التغيير في إعلان القرار أو تقديم تدريب تقني منفرد.</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في البيئة الرقمية، تتزايد أهمية إدارة التغيير بسبب سرعة التطور، وتعدد أصحاب المصلحة، واعتماد قيمة التقنية على الاستخدام الفعلي. ويشير Mavunda (2025) إلى أن القيادة في العصر الرقمي تحتاج إلى الجمع بين اتجاه واضح ومرونة في التنفيذ وقدرة على إشراك العاملين في التعلم والتجريب.</w:t>
      </w:r>
    </w:p>
    <w:p>
      <w:pPr>
        <w:pStyle w:val="Heading3"/>
        <w:spacing w:before="240" w:after="160"/>
        <w:jc w:val="right"/>
        <w:keepNext/>
        <w:bidi/>
      </w:pPr>
      <w:r>
        <w:rPr>
          <w:rFonts w:ascii="Simplified Arabic" w:hAnsi="Simplified Arabic" w:eastAsia="Simplified Arabic" w:cs="Simplified Arabic"/>
          <w:b/>
          <w:i w:val="0"/>
          <w:color w:val="1F4E79"/>
          <w:sz w:val="32"/>
          <w:lang w:val="ar-SA" w:eastAsia="ar-SA" w:bidi="ar-SA"/>
          <w:rtl/>
        </w:rPr>
        <w:t>2.2.2 نموذج كوتر لإدارة التغيير</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يتخذ البحث من نموذج كوتر إطارًا تفسيريًا عامًا. ويتضمن النموذج ثماني خطوات: إيجاد الإحساس بالإلحاح، وتكوين ائتلاف قيادي، وصياغة الرؤية، وتوصيلها، وتمكين العاملين، وتحقيق مكاسب قصيرة المدى، وتسريع التغيير، وترسيخه في الثقافة (Kotter, 2012). ولا تستخدم الدراسة الخطوات الثماني كمقاييس مستقلة، بل تجمع جوهرها في ثلاثة أبعاد تشغيلية تناسب استبانة قصيرة.</w:t>
      </w:r>
    </w:p>
    <w:p>
      <w:pPr>
        <w:pStyle w:val="Heading3"/>
        <w:spacing w:before="240" w:after="160"/>
        <w:jc w:val="right"/>
        <w:keepNext/>
        <w:bidi/>
      </w:pPr>
      <w:r>
        <w:rPr>
          <w:rFonts w:ascii="Simplified Arabic" w:hAnsi="Simplified Arabic" w:eastAsia="Simplified Arabic" w:cs="Simplified Arabic"/>
          <w:b/>
          <w:i w:val="0"/>
          <w:color w:val="1F4E79"/>
          <w:sz w:val="32"/>
          <w:lang w:val="ar-SA" w:eastAsia="ar-SA" w:bidi="ar-SA"/>
          <w:rtl/>
        </w:rPr>
        <w:t>2.2.3 أبعاد إدارة التغيير في الدراسة</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القيادة والتواصل: وضوح الرؤية، الدعم الظاهر، انتظام المعلومات وتحديد الأدوار.</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المشاركة والاستعداد: إشراك الموظفين، الاستماع إليهم، بناء القناعة والقدرة على التكيف.</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التدريب والدعم: تطوير المهارات، توفير المساندة، معالجة المقاومة ومتابعة التطبيق.</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2.3 التحول الرقمي</w:t>
      </w:r>
    </w:p>
    <w:p>
      <w:pPr>
        <w:pStyle w:val="Heading3"/>
        <w:spacing w:before="240" w:after="160"/>
        <w:jc w:val="right"/>
        <w:keepNext/>
        <w:bidi/>
      </w:pPr>
      <w:r>
        <w:rPr>
          <w:rFonts w:ascii="Simplified Arabic" w:hAnsi="Simplified Arabic" w:eastAsia="Simplified Arabic" w:cs="Simplified Arabic"/>
          <w:b/>
          <w:i w:val="0"/>
          <w:color w:val="1F4E79"/>
          <w:sz w:val="32"/>
          <w:lang w:val="ar-SA" w:eastAsia="ar-SA" w:bidi="ar-SA"/>
          <w:rtl/>
        </w:rPr>
        <w:t>2.3.1 المفهوم والمراحل</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يميّز Verhoef et al. (2021) بين الرقمنة بوصفها تحويل المعلومات إلى صيغة رقمية، والرقمنة التشغيلية بوصفها توظيف التقنية لتحسين العمليات، والتحول الرقمي بوصفه تغييرًا أوسع في طريقة خلق القيمة وتنظيم العمل. ويمنع هذا التمييز مساواة نجاح المشروع بمجرد تشغيل منصة أو تطبيق.</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ويرى Vial (2019) أن التحول الرقمي ينشأ من تفاعل التقنيات مع الاضطرابات والاستجابات الاستراتيجية والتغييرات الهيكلية والحواجز والنتائج الإيجابية أو السلبية. ومن ثم فإن تقييم النجاح يجب أن يشمل النتائج التشغيلية والتنظيمية، لا المؤشرات التقنية فقط.</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كما خلصت مراجعة Plekhanov et al. (2023) إلى أن التحول الرقمي عملية متعددة المستويات تعيد توزيع الموارد والصلاحيات وتغيّر حدود المنظمة. وتبرز هنا الحاجة إلى إدارة واضحة للأدوار والتواصل والتعلم حتى لا يتحول التغيير التقني إلى مصدر غموض أو مقاومة.</w:t>
      </w:r>
    </w:p>
    <w:p>
      <w:pPr>
        <w:pStyle w:val="Heading3"/>
        <w:spacing w:before="240" w:after="160"/>
        <w:jc w:val="right"/>
        <w:keepNext/>
        <w:bidi/>
      </w:pPr>
      <w:r>
        <w:rPr>
          <w:rFonts w:ascii="Simplified Arabic" w:hAnsi="Simplified Arabic" w:eastAsia="Simplified Arabic" w:cs="Simplified Arabic"/>
          <w:b/>
          <w:i w:val="0"/>
          <w:color w:val="1F4E79"/>
          <w:sz w:val="32"/>
          <w:lang w:val="ar-SA" w:eastAsia="ar-SA" w:bidi="ar-SA"/>
          <w:rtl/>
        </w:rPr>
        <w:t>2.3.2 مؤشرات نجاح التحول الرقمي</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الكفاءة والجودة: سرعة الإجراءات، تقليل التكرار والأخطاء وتحسين جودة المخرجات.</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التبني والتكامل: استخدام الموظفين للحلول الرقمية وتكاملها مع العمليات والأنظمة.</w:t>
      </w:r>
    </w:p>
    <w:p>
      <w:pPr>
        <w:pStyle w:val="ListBullet"/>
        <w:spacing w:after="80" w:line="240" w:lineRule="auto"/>
        <w:jc w:val="right"/>
        <w:bidi/>
      </w:pPr>
      <w:r>
        <w:rPr>
          <w:rFonts w:ascii="Simplified Arabic" w:hAnsi="Simplified Arabic" w:eastAsia="Simplified Arabic" w:cs="Simplified Arabic"/>
          <w:b w:val="0"/>
          <w:i w:val="0"/>
          <w:sz w:val="28"/>
          <w:lang w:val="ar-SA" w:eastAsia="ar-SA" w:bidi="ar-SA"/>
          <w:rtl/>
        </w:rPr>
        <w:t>الاستدامة والقيمة: دعم القرار، والمرونة، واستمرار التحسين وتحقيق قيمة للمستفيد والمنظمة.</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2.4 العلاقة بين إدارة التغيير ونجاح التحول الرقمي</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تتأسس العلاقة على أن التحول الرقمي يعتمد على تغيير السلوكيات والعمليات والقدرات. وتساعد القيادة والتواصل في تفسير لماذا يحدث التحول وما المتوقع من الموظف، بينما تخفف المشاركة الغموض وتزيد الملكية النفسية للحل، ويحول التدريب والدعم المعرفة إلى استخدام فعلي. لذلك يتوقع أن ترتبط هذه الأبعاد بتحسن التبني والكفاءة والاستدامة.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وجد AlNuaimi et al. (2022) أن القيادة التحويلية الرقمية والرشاقة التنظيمية ترتبطان إيجابيًا بالتحول الرقمي، وأن القيادة تسهم في تعزيز الرشاقة. وتدعم هذه النتيجة افتراض الدراسة بأن الممارسات القيادية والتنظيمية تهيئ المنظمة للاستفادة من التقنية.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وفي السياق الخليجي، أظهرت دراسة Alhinaai (2023) أن تطبيق منطق ADKAR يساعد على فهم جاهزية القيادات التعليمية للتحول، مع بروز الحاجة إلى تعزيز المعرفة والدعم. وفي السعودية، وجدت Rouissi (2025) أن التواصل والمشاركة والتدريب والقيادة عوامل حرجة أثناء التغيير، وهو ما ينسجم مباشرة مع أبعاد المتغير المستقل في الدراسة الحالية.</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2.5 سياق التحول الرقمي في المملكة العربية السعودية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أصبحت الحكومة الرقمية أحد المسارات الرئيسة لبناء حكومة فعالة وشفافة ومتمحورة حول المستفيد. ويُظهر قياس التحول الرقمي الصادر عن هيئة الحكومة الرقمية تقدم الجهات الحكومية وارتباط القياس بمعايير مؤسسية تشمل الاستراتيجية والقدرات والخدمات والبيانات والتقنيات.</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ومع أن القطاع العام يستفيد من الأطر الوطنية الموحدة، فإن منظماته تختلف في مستوى النضج وفي قدرتها على التنسيق وتكامل البيانات. وتبرز دراسة Alkorbi and Alrwais (2025) أهمية التنسيق المؤسسي، وآليات متابعة التقدم، والاستثمار المستمر في المهارات والبنية التحتية في تجربة الحكومة الرقمية السعودية.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أما القطاع الخاص فيتأثر بسرعة المنافسة وتوقعات العملاء والحاجة إلى نماذج عمل أكثر مرونة. وقد تظهر فروق بين القطاعين في سرعة القرار، والموارد، والحوافز، ومستوى التنظيم. لذلك تضيف المقارنة بين الموظفين في القطاعين بعدًا عمليًا لتفسير تفاوت نجاح التحول.</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2.6 الدراسات السابقة</w:t>
      </w:r>
    </w:p>
    <w:p>
      <w:pPr>
        <w:spacing w:line="240" w:lineRule="auto" w:after="80" w:before="0"/>
        <w:ind w:firstLine="0"/>
        <w:jc w:val="center"/>
        <w:keepNext/>
        <w:bidi/>
      </w:pPr>
      <w:r>
        <w:rPr>
          <w:rFonts w:ascii="Simplified Arabic" w:hAnsi="Simplified Arabic" w:eastAsia="Simplified Arabic" w:cs="Simplified Arabic"/>
          <w:b/>
          <w:i w:val="0"/>
          <w:sz w:val="24"/>
          <w:lang w:val="ar-SA" w:eastAsia="ar-SA" w:bidi="ar-SA"/>
          <w:rtl/>
        </w:rPr>
        <w:t>جدول (‎2-1‎): خلاصة الدراسات السابقة</w:t>
      </w:r>
    </w:p>
    <w:tbl>
      <w:tblPr>
        <w:tblStyle w:val="TableGrid"/>
        <w:tblW w:type="dxa" w:w="9072"/>
        <w:jc w:val="center"/>
        <w:tblLayout w:type="fixed"/>
        <w:tblLook w:firstColumn="1" w:firstRow="1" w:lastColumn="0" w:lastRow="0" w:noHBand="0" w:noVBand="1" w:val="04A0"/>
        <w:tblInd w:w="120" w:type="dxa"/>
      </w:tblPr>
      <w:tblGrid>
        <w:gridCol w:w="1701"/>
        <w:gridCol w:w="2268"/>
        <w:gridCol w:w="2552"/>
        <w:gridCol w:w="2551"/>
      </w:tblGrid>
      <w:tr>
        <w:trPr>
          <w:cantSplit/>
          <w:tblHeader/>
          <w:cantSplit/>
        </w:trPr>
        <w:tc>
          <w:tcPr>
            <w:tcW w:type="dxa" w:w="1701"/>
            <w:shd w:fill="1F4E79"/>
            <w:vAlign w:val="center"/>
            <w:tcMar>
              <w:top w:w="80" w:type="dxa"/>
              <w:start w:w="120" w:type="dxa"/>
              <w:bottom w:w="80" w:type="dxa"/>
              <w:end w:w="120" w:type="dxa"/>
            </w:tcMar>
          </w:tcPr>
          <w:p>
            <w:pPr>
              <w:jc w:val="center"/>
              <w:bidi/>
            </w:pPr>
            <w:r>
              <w:rPr>
                <w:rFonts w:ascii="Simplified Arabic" w:hAnsi="Simplified Arabic" w:eastAsia="Simplified Arabic" w:cs="Simplified Arabic"/>
                <w:b/>
                <w:i w:val="0"/>
                <w:color w:val="FFFFFF"/>
                <w:sz w:val="18"/>
                <w:lang w:val="ar-SA" w:eastAsia="ar-SA" w:bidi="ar-SA"/>
                <w:rtl/>
              </w:rPr>
              <w:t>الدراسة</w:t>
            </w:r>
          </w:p>
        </w:tc>
        <w:tc>
          <w:tcPr>
            <w:tcW w:type="dxa" w:w="2268"/>
            <w:shd w:fill="1F4E79"/>
            <w:vAlign w:val="center"/>
            <w:tcMar>
              <w:top w:w="80" w:type="dxa"/>
              <w:start w:w="120" w:type="dxa"/>
              <w:bottom w:w="80" w:type="dxa"/>
              <w:end w:w="120" w:type="dxa"/>
            </w:tcMar>
          </w:tcPr>
          <w:p>
            <w:pPr>
              <w:jc w:val="center"/>
              <w:bidi/>
            </w:pPr>
            <w:r>
              <w:rPr>
                <w:rFonts w:ascii="Simplified Arabic" w:hAnsi="Simplified Arabic" w:eastAsia="Simplified Arabic" w:cs="Simplified Arabic"/>
                <w:b/>
                <w:i w:val="0"/>
                <w:color w:val="FFFFFF"/>
                <w:sz w:val="18"/>
                <w:lang w:val="ar-SA" w:eastAsia="ar-SA" w:bidi="ar-SA"/>
                <w:rtl/>
              </w:rPr>
              <w:t>المنهج/الهدف</w:t>
            </w:r>
          </w:p>
        </w:tc>
        <w:tc>
          <w:tcPr>
            <w:tcW w:type="dxa" w:w="2552"/>
            <w:shd w:fill="1F4E79"/>
            <w:vAlign w:val="center"/>
            <w:tcMar>
              <w:top w:w="80" w:type="dxa"/>
              <w:start w:w="120" w:type="dxa"/>
              <w:bottom w:w="80" w:type="dxa"/>
              <w:end w:w="120" w:type="dxa"/>
            </w:tcMar>
          </w:tcPr>
          <w:p>
            <w:pPr>
              <w:jc w:val="center"/>
              <w:bidi/>
            </w:pPr>
            <w:r>
              <w:rPr>
                <w:rFonts w:ascii="Simplified Arabic" w:hAnsi="Simplified Arabic" w:eastAsia="Simplified Arabic" w:cs="Simplified Arabic"/>
                <w:b/>
                <w:i w:val="0"/>
                <w:color w:val="FFFFFF"/>
                <w:sz w:val="18"/>
                <w:lang w:val="ar-SA" w:eastAsia="ar-SA" w:bidi="ar-SA"/>
                <w:rtl/>
              </w:rPr>
              <w:t>أبرز النتيجة</w:t>
            </w:r>
          </w:p>
        </w:tc>
        <w:tc>
          <w:tcPr>
            <w:tcW w:type="dxa" w:w="2551"/>
            <w:shd w:fill="1F4E79"/>
            <w:vAlign w:val="center"/>
            <w:tcMar>
              <w:top w:w="80" w:type="dxa"/>
              <w:start w:w="120" w:type="dxa"/>
              <w:bottom w:w="80" w:type="dxa"/>
              <w:end w:w="120" w:type="dxa"/>
            </w:tcMar>
          </w:tcPr>
          <w:p>
            <w:pPr>
              <w:jc w:val="center"/>
              <w:bidi/>
            </w:pPr>
            <w:r>
              <w:rPr>
                <w:rFonts w:ascii="Simplified Arabic" w:hAnsi="Simplified Arabic" w:eastAsia="Simplified Arabic" w:cs="Simplified Arabic"/>
                <w:b/>
                <w:i w:val="0"/>
                <w:color w:val="FFFFFF"/>
                <w:sz w:val="18"/>
                <w:lang w:val="ar-SA" w:eastAsia="ar-SA" w:bidi="ar-SA"/>
                <w:rtl/>
              </w:rPr>
              <w:t>صلة الدراسة الحالية</w:t>
            </w:r>
          </w:p>
        </w:tc>
      </w:tr>
      <w:tr>
        <w:trPr>
          <w:cantSplit/>
          <w:cantSplit/>
        </w:trPr>
        <w:tc>
          <w:tcPr>
            <w:tcW w:type="dxa" w:w="1701"/>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Holt et al. (2007)</w:t>
            </w:r>
          </w:p>
        </w:tc>
        <w:tc>
          <w:tcPr>
            <w:tcW w:type="dxa" w:w="2268"/>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تطوير مقياس للاستعداد للتغيير</w:t>
            </w:r>
          </w:p>
        </w:tc>
        <w:tc>
          <w:tcPr>
            <w:tcW w:type="dxa" w:w="2552"/>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أربعة مكونات: الملاءمة، دعم الإدارة، الكفاءة الذاتية والمنفعة الشخصية</w:t>
            </w:r>
          </w:p>
        </w:tc>
        <w:tc>
          <w:tcPr>
            <w:tcW w:type="dxa" w:w="2551"/>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يوفر أساسًا لقياس استعداد الموظف.</w:t>
            </w:r>
          </w:p>
        </w:tc>
      </w:tr>
      <w:tr>
        <w:trPr>
          <w:cantSplit/>
          <w:cantSplit/>
        </w:trPr>
        <w:tc>
          <w:tcPr>
            <w:tcW w:type="dxa" w:w="1701"/>
            <w:shd w:fill="EDF4F9"/>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Bouckenooghe et al. (2009)</w:t>
            </w:r>
          </w:p>
        </w:tc>
        <w:tc>
          <w:tcPr>
            <w:tcW w:type="dxa" w:w="2268"/>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تطوير أداة لمناخ التغيير وعملياته والاستعداد</w:t>
            </w:r>
          </w:p>
        </w:tc>
        <w:tc>
          <w:tcPr>
            <w:tcW w:type="dxa" w:w="2552"/>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تحقق واسع في منظمات عامة وخاصة</w:t>
            </w:r>
          </w:p>
        </w:tc>
        <w:tc>
          <w:tcPr>
            <w:tcW w:type="dxa" w:w="2551"/>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يدعم أبعاد التواصل والمشاركة والاستعداد.</w:t>
            </w:r>
          </w:p>
        </w:tc>
      </w:tr>
      <w:tr>
        <w:trPr>
          <w:cantSplit/>
          <w:cantSplit/>
        </w:trPr>
        <w:tc>
          <w:tcPr>
            <w:tcW w:type="dxa" w:w="1701"/>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Warner &amp; Wäger (2019)</w:t>
            </w:r>
          </w:p>
        </w:tc>
        <w:tc>
          <w:tcPr>
            <w:tcW w:type="dxa" w:w="2268"/>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دراسة كيفية للقدرات الديناميكية</w:t>
            </w:r>
          </w:p>
        </w:tc>
        <w:tc>
          <w:tcPr>
            <w:tcW w:type="dxa" w:w="2552"/>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الرشاقة والتجدد الاستراتيجي جوهر التحول</w:t>
            </w:r>
          </w:p>
        </w:tc>
        <w:tc>
          <w:tcPr>
            <w:tcW w:type="dxa" w:w="2551"/>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يربط القيادة والقدرات بنجاح التحول.</w:t>
            </w:r>
          </w:p>
        </w:tc>
      </w:tr>
      <w:tr>
        <w:trPr>
          <w:cantSplit/>
          <w:cantSplit/>
        </w:trPr>
        <w:tc>
          <w:tcPr>
            <w:tcW w:type="dxa" w:w="1701"/>
            <w:shd w:fill="EDF4F9"/>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Vial (2019)</w:t>
            </w:r>
          </w:p>
        </w:tc>
        <w:tc>
          <w:tcPr>
            <w:tcW w:type="dxa" w:w="2268"/>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مراجعة 282 عملًا</w:t>
            </w:r>
          </w:p>
        </w:tc>
        <w:tc>
          <w:tcPr>
            <w:tcW w:type="dxa" w:w="2552"/>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إطار متكامل للتحول الرقمي ومحركاته وآثاره</w:t>
            </w:r>
          </w:p>
        </w:tc>
        <w:tc>
          <w:tcPr>
            <w:tcW w:type="dxa" w:w="2551"/>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يؤسس تعريف المتغير التابع.</w:t>
            </w:r>
          </w:p>
        </w:tc>
      </w:tr>
      <w:tr>
        <w:trPr>
          <w:cantSplit/>
          <w:cantSplit/>
        </w:trPr>
        <w:tc>
          <w:tcPr>
            <w:tcW w:type="dxa" w:w="1701"/>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Hanelt et al. (2021)</w:t>
            </w:r>
          </w:p>
        </w:tc>
        <w:tc>
          <w:tcPr>
            <w:tcW w:type="dxa" w:w="2268"/>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مراجعة منهجية لـ279 مقالًا</w:t>
            </w:r>
          </w:p>
        </w:tc>
        <w:tc>
          <w:tcPr>
            <w:tcW w:type="dxa" w:w="2552"/>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التحول يقود لتصميمات مرنة وتكيف مستمر</w:t>
            </w:r>
          </w:p>
        </w:tc>
        <w:tc>
          <w:tcPr>
            <w:tcW w:type="dxa" w:w="2551"/>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يدعم النظر للتحول كتغيير تنظيمي.</w:t>
            </w:r>
          </w:p>
        </w:tc>
      </w:tr>
      <w:tr>
        <w:trPr>
          <w:cantSplit/>
          <w:cantSplit/>
        </w:trPr>
        <w:tc>
          <w:tcPr>
            <w:tcW w:type="dxa" w:w="1701"/>
            <w:shd w:fill="EDF4F9"/>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Verhoef et al. (2021)</w:t>
            </w:r>
          </w:p>
        </w:tc>
        <w:tc>
          <w:tcPr>
            <w:tcW w:type="dxa" w:w="2268"/>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مراجعة متعددة التخصصات</w:t>
            </w:r>
          </w:p>
        </w:tc>
        <w:tc>
          <w:tcPr>
            <w:tcW w:type="dxa" w:w="2552"/>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تمييز الرقمنة والرقمنة التشغيلية والتحول</w:t>
            </w:r>
          </w:p>
        </w:tc>
        <w:tc>
          <w:tcPr>
            <w:tcW w:type="dxa" w:w="2551"/>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يدعم مؤشرات النجاح والقيمة.</w:t>
            </w:r>
          </w:p>
        </w:tc>
      </w:tr>
      <w:tr>
        <w:trPr>
          <w:cantSplit/>
          <w:cantSplit/>
        </w:trPr>
        <w:tc>
          <w:tcPr>
            <w:tcW w:type="dxa" w:w="1701"/>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AlNuaimi et al. (2022)</w:t>
            </w:r>
          </w:p>
        </w:tc>
        <w:tc>
          <w:tcPr>
            <w:tcW w:type="dxa" w:w="2268"/>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دراسة كمية في القطاع العام</w:t>
            </w:r>
          </w:p>
        </w:tc>
        <w:tc>
          <w:tcPr>
            <w:tcW w:type="dxa" w:w="2552"/>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أثر إيجابي للقيادة الرقمية والرشاقة</w:t>
            </w:r>
          </w:p>
        </w:tc>
        <w:tc>
          <w:tcPr>
            <w:tcW w:type="dxa" w:w="2551"/>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دليل مباشر على أهمية القيادة.</w:t>
            </w:r>
          </w:p>
        </w:tc>
      </w:tr>
      <w:tr>
        <w:trPr>
          <w:cantSplit/>
          <w:cantSplit/>
        </w:trPr>
        <w:tc>
          <w:tcPr>
            <w:tcW w:type="dxa" w:w="1701"/>
            <w:shd w:fill="EDF4F9"/>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Al-Kahtani et al. (2022)</w:t>
            </w:r>
          </w:p>
        </w:tc>
        <w:tc>
          <w:tcPr>
            <w:tcW w:type="dxa" w:w="2268"/>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دراسة مقطعية في 10 مرافق صحية سعودية</w:t>
            </w:r>
          </w:p>
        </w:tc>
        <w:tc>
          <w:tcPr>
            <w:tcW w:type="dxa" w:w="2552"/>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فروق في الجاهزية بين العام والخاص</w:t>
            </w:r>
          </w:p>
        </w:tc>
        <w:tc>
          <w:tcPr>
            <w:tcW w:type="dxa" w:w="2551"/>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تبرر المقارنة القطاعية.</w:t>
            </w:r>
          </w:p>
        </w:tc>
      </w:tr>
      <w:tr>
        <w:trPr>
          <w:cantSplit/>
          <w:cantSplit/>
        </w:trPr>
        <w:tc>
          <w:tcPr>
            <w:tcW w:type="dxa" w:w="1701"/>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Alhinaai (2023)</w:t>
            </w:r>
          </w:p>
        </w:tc>
        <w:tc>
          <w:tcPr>
            <w:tcW w:type="dxa" w:w="2268"/>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استبانة وفق ADKAR في سلطنة عمان</w:t>
            </w:r>
          </w:p>
        </w:tc>
        <w:tc>
          <w:tcPr>
            <w:tcW w:type="dxa" w:w="2552"/>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الحاجة إلى تعزيز المعرفة والدعم</w:t>
            </w:r>
          </w:p>
        </w:tc>
        <w:tc>
          <w:tcPr>
            <w:tcW w:type="dxa" w:w="2551"/>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تدعم بعد التدريب والاستعداد.</w:t>
            </w:r>
          </w:p>
        </w:tc>
      </w:tr>
      <w:tr>
        <w:trPr>
          <w:cantSplit/>
          <w:cantSplit/>
        </w:trPr>
        <w:tc>
          <w:tcPr>
            <w:tcW w:type="dxa" w:w="1701"/>
            <w:shd w:fill="EDF4F9"/>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Plekhanov et al. (2023)</w:t>
            </w:r>
          </w:p>
        </w:tc>
        <w:tc>
          <w:tcPr>
            <w:tcW w:type="dxa" w:w="2268"/>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مراجعة بحثية واسعة</w:t>
            </w:r>
          </w:p>
        </w:tc>
        <w:tc>
          <w:tcPr>
            <w:tcW w:type="dxa" w:w="2552"/>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التحول متعدد المستويات ويعيد توزيع الموارد</w:t>
            </w:r>
          </w:p>
        </w:tc>
        <w:tc>
          <w:tcPr>
            <w:tcW w:type="dxa" w:w="2551"/>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يدعم معالجة الأدوار والتكامل.</w:t>
            </w:r>
          </w:p>
        </w:tc>
      </w:tr>
      <w:tr>
        <w:trPr>
          <w:cantSplit/>
          <w:cantSplit/>
        </w:trPr>
        <w:tc>
          <w:tcPr>
            <w:tcW w:type="dxa" w:w="1701"/>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Rouissi (2025)</w:t>
            </w:r>
          </w:p>
        </w:tc>
        <w:tc>
          <w:tcPr>
            <w:tcW w:type="dxa" w:w="2268"/>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477 موظفًا في منظمات صناعية سعودية</w:t>
            </w:r>
          </w:p>
        </w:tc>
        <w:tc>
          <w:tcPr>
            <w:tcW w:type="dxa" w:w="2552"/>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أهمية القيادة والتواصل والمشاركة والتدريب</w:t>
            </w:r>
          </w:p>
        </w:tc>
        <w:tc>
          <w:tcPr>
            <w:tcW w:type="dxa" w:w="2551"/>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أقرب دليل سعودي لأبعاد الدراسة.</w:t>
            </w:r>
          </w:p>
        </w:tc>
      </w:tr>
      <w:tr>
        <w:trPr>
          <w:cantSplit/>
          <w:cantSplit/>
        </w:trPr>
        <w:tc>
          <w:tcPr>
            <w:tcW w:type="dxa" w:w="1701"/>
            <w:shd w:fill="EDF4F9"/>
            <w:vAlign w:val="center"/>
            <w:tcMar>
              <w:top w:w="80" w:type="dxa"/>
              <w:start w:w="120" w:type="dxa"/>
              <w:bottom w:w="80" w:type="dxa"/>
              <w:end w:w="120" w:type="dxa"/>
            </w:tcMar>
          </w:tcPr>
          <w:p>
            <w:pPr>
              <w:spacing w:after="0"/>
              <w:jc w:val="center"/>
              <w:bidi/>
            </w:pPr>
            <w:r>
              <w:rPr>
                <w:rFonts w:ascii="Simplified Arabic" w:hAnsi="Simplified Arabic" w:eastAsia="Simplified Arabic" w:cs="Simplified Arabic"/>
                <w:b w:val="0"/>
                <w:i w:val="0"/>
                <w:sz w:val="18"/>
                <w:lang w:val="ar-SA" w:eastAsia="ar-SA" w:bidi="ar-SA"/>
                <w:rtl/>
              </w:rPr>
              <w:t>Alkorbi &amp; Alrwais (2025)</w:t>
            </w:r>
          </w:p>
        </w:tc>
        <w:tc>
          <w:tcPr>
            <w:tcW w:type="dxa" w:w="2268"/>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دراسة حالة للحكومة الرقمية السعودية</w:t>
            </w:r>
          </w:p>
        </w:tc>
        <w:tc>
          <w:tcPr>
            <w:tcW w:type="dxa" w:w="2552"/>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التنسيق والمتابعة والمهارات عوامل أساسية</w:t>
            </w:r>
          </w:p>
        </w:tc>
        <w:tc>
          <w:tcPr>
            <w:tcW w:type="dxa" w:w="2551"/>
            <w:shd w:fill="EDF4F9"/>
            <w:vAlign w:val="center"/>
            <w:tcMar>
              <w:top w:w="80" w:type="dxa"/>
              <w:start w:w="120" w:type="dxa"/>
              <w:bottom w:w="80" w:type="dxa"/>
              <w:end w:w="120" w:type="dxa"/>
            </w:tcMar>
          </w:tcPr>
          <w:p>
            <w:pPr>
              <w:spacing w:after="0"/>
              <w:jc w:val="right"/>
              <w:bidi/>
            </w:pPr>
            <w:r>
              <w:rPr>
                <w:rFonts w:ascii="Simplified Arabic" w:hAnsi="Simplified Arabic" w:eastAsia="Simplified Arabic" w:cs="Simplified Arabic"/>
                <w:b w:val="0"/>
                <w:i w:val="0"/>
                <w:sz w:val="18"/>
                <w:lang w:val="ar-SA" w:eastAsia="ar-SA" w:bidi="ar-SA"/>
                <w:rtl/>
              </w:rPr>
              <w:t>يدعم تفسير نتائج القطاع العام.</w:t>
            </w:r>
          </w:p>
        </w:tc>
      </w:tr>
    </w:tbl>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2.7 مناقشة الدراسات السابقة والفجوة البحثية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تتفق الدراسات السابقة على أن التحول الرقمي ظاهرة تنظيمية لا تقنية فقط، وأن القيادة والرشاقة والاستعداد والتواصل والتدريب عوامل متكررة في تفسير النتائج. كما توضح الأدلة السعودية أهمية الثقافة والسياق التنظيمي ووجود فروق محتملة بين الجهات.</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لكن الدراسات تختلف في وحدات التحليل والقطاعات والمخرجات المقاسة؛ فبعضها يركز على الجاهزية، وبعضها على الأداء أو الاندماج، وبعضها على حكومة رقمية أو قطاع صحي محدد. كما أن الدراسات التي تختبر بصورة مباشرة أثر حزمة مختصرة من ممارسات إدارة التغيير على نجاح التحول لدى موظفي القطاعين العام والخاص في السعودية ما زالت محدودة.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تعالج الدراسة الحالية هذه الفجوة من خلال نموذج قابل للاختبار يجمع ثلاثة أبعاد لإدارة التغيير وثلاثة أبعاد لنجاح التحول، ويستخدم أداة قصيرة تسهل الوصول إلى موظفين من قطاعين مختلفين، مع خطة تحليل تسمح بتقدير الأثر والمقارنة القطاعية.</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2.8 الإطار النظري للدراسة</w:t>
      </w:r>
    </w:p>
    <w:p>
      <w:pPr>
        <w:spacing w:line="240" w:lineRule="auto" w:after="120" w:before="0"/>
        <w:ind w:firstLine="283"/>
        <w:jc w:val="both"/>
        <w:keepNext w:val="0"/>
        <w:bidi/>
      </w:pPr>
      <w:r>
        <w:rPr>
          <w:rFonts w:ascii="Simplified Arabic" w:hAnsi="Simplified Arabic" w:eastAsia="Simplified Arabic" w:cs="Simplified Arabic"/>
          <w:b w:val="0"/>
          <w:i w:val="0"/>
          <w:sz w:val="28"/>
          <w:lang w:val="ar-SA" w:eastAsia="ar-SA" w:bidi="ar-SA"/>
          <w:rtl/>
        </w:rPr>
        <w:t>يرتكز الإطار النظري على نموذج كوتر في تفسير كيفية قيادة التغيير وترسيخه، ويستفيد من أدبيات الاستعداد للتغيير في تفسير موقف الموظف، ومن منظور القدرات الديناميكية في تفسير قدرة المنظمة على إعادة تشكيل مواردها وعملياتها. ويؤدي التكامل بين هذه المنظورات إلى توقع أن القيادة والتواصل يبنيان الاتجاه، وأن المشاركة والاستعداد يقللان المقاومة، وأن التدريب والدعم يرفعان القدرة الفعلية، فتتحسن الكفاءة والتبني والتكامل والاستدامة.</w:t>
      </w:r>
    </w:p>
    <w:p>
      <w:pPr>
        <w:pStyle w:val="Heading1"/>
        <w:spacing w:before="360" w:after="160"/>
        <w:jc w:val="center"/>
        <w:keepNext/>
        <w:pageBreakBefore/>
        <w:bidi/>
      </w:pPr>
      <w:r>
        <w:rPr>
          <w:rFonts w:ascii="Simplified Arabic" w:hAnsi="Simplified Arabic" w:eastAsia="Simplified Arabic" w:cs="Simplified Arabic"/>
          <w:b/>
          <w:i w:val="0"/>
          <w:color w:val="1F4E79"/>
          <w:sz w:val="40"/>
          <w:lang w:val="ar-SA" w:eastAsia="ar-SA" w:bidi="ar-SA"/>
          <w:rtl/>
        </w:rPr>
        <w:t>المراجع</w:t>
      </w:r>
    </w:p>
    <w:p>
      <w:pPr>
        <w:pStyle w:val="Heading2"/>
        <w:spacing w:before="240" w:after="160"/>
        <w:jc w:val="right"/>
        <w:keepNext/>
        <w:bidi/>
      </w:pPr>
      <w:r>
        <w:rPr>
          <w:rFonts w:ascii="Simplified Arabic" w:hAnsi="Simplified Arabic" w:eastAsia="Simplified Arabic" w:cs="Simplified Arabic"/>
          <w:b/>
          <w:i w:val="0"/>
          <w:color w:val="1F4E79"/>
          <w:sz w:val="36"/>
          <w:lang w:val="ar-SA" w:eastAsia="ar-SA" w:bidi="ar-SA"/>
          <w:rtl/>
        </w:rPr>
        <w:t>المراجع الإنجليزية والرسمية</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Alhinaai, S. (2023). Change management in digital transformation. International Conference on the Leadership and Management of Projects in the Digital Age, Kingdom of Bahrain.</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Al-Kahtani, N., Alrawiai, S., Al-Zahrani, B. M., Abumadini, R. A., Aljaffary, A., Hariri, B., Alissa, K., Alakrawi, Z., &amp; Alumran, A. (2022). Digital health transformation in Saudi Arabia: A cross-sectional analysis using Healthcare Information and Management Systems Society’s digital health indicators. Digital Health, 8, 20552076221117742. https://doi.org/10.1177/20552076221117742</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Alkorbi, S., &amp; Alrwais, O. (2025). An empirical case study of digital government transformation in Saudi Arabia. Information, 16(12), 1110. https://doi.org/10.3390/info16121110</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AlNuaimi, B. K., Kumar Singh, S., Ren, S., Budhwar, P., &amp; Vorobyev, D. (2022). Mastering digital transformation: The nexus between leadership, agility, and digital strategy. Journal of Business Research, 145, 636–648. https://doi.org/10.1016/j.jbusres.2022.03.038</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Bouckenooghe, D., Devos, G., &amp; Van Den Broeck, H. (2009). Organizational change questionnaire–Climate of change, processes, and readiness: Development of a new instrument. The Journal of Psychology, 143(6), 559–599. https://doi.org/10.1080/00223980903218216</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Creswell, J. W., &amp; Creswell, J. D. (2018). Research design: Qualitative, quantitative, and mixed methods approaches (5th ed.). SAGE.</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Digital Government Authority. (2026). Digital Transformation Measurement 2025. https://dga.gov.sa/en/indicators/qiyas/Qiyas-digital-transformation-index-2025</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Hanelt, A., Bohnsack, R., Marz, D., &amp; Marante, C. A. (2021). A systematic review of the literature on digital transformation: Insights and implications for strategy and organizational change. Journal of Management Studies, 58(5), 1159–1197. https://doi.org/10.1111/joms.12639</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Hiatt, J. M. (2006). ADKAR: A model for change in business, government and our community. Prosci Research.</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Holt, D. T., Armenakis, A. A., Feild, H. S., &amp; Harris, S. G. (2007). Readiness for organizational change: The systematic development of a scale. The Journal of Applied Behavioral Science, 43(2), 232–255. https://doi.org/10.1177/0021886306295295</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Kotter, J. P. (2012). Leading change. Harvard Business Review Press.</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Mavunda, N. A. (2025). Organisational change in the digital era. International Journal of Human Capital and Information Technology Professionals, 16(1), 1–15. https://doi.org/10.4018/IJHCITP.382133</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Plekhanov, D., Franke, H., &amp; Netland, T. H. (2023). Digital transformation: A review and research agenda. European Management Journal, 41(6), 821–844. https://doi.org/10.1016/j.emj.2022.09.007</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Rouissi, C. M. (2025). Navigating change: The role of change management strategies and cultural factors in Saudi Arabian organizations. Frontiers in Psychology, 16, 1551902. https://doi.org/10.3389/fpsyg.2025.1551902</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Saudi Vision 2030. (2025). Vision 2030 annual report 2024. https://www.vision2030.gov.sa/media/r3ij40wu/en-annual-report-vision2030-2024.pdf</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Verhoef, P. C., Broekhuizen, T., Bart, Y., Bhattacharya, A., Dong, J. Q., Fabian, N., &amp; Haenlein, M. (2021). Digital transformation: A multidisciplinary reflection and research agenda. Journal of Business Research, 122, 889–901. https://doi.org/10.1016/j.jbusres.2019.09.022</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Vial, G. (2019). Understanding digital transformation: A review and a research agenda. The Journal of Strategic Information Systems, 28(2), 118–144. https://doi.org/10.1016/j.jsis.2019.01.003</w:t>
      </w:r>
    </w:p>
    <w:p>
      <w:pPr>
        <w:spacing w:line="240" w:lineRule="auto" w:after="200"/>
        <w:ind w:left="425" w:hanging="425"/>
        <w:jc w:val="left"/>
      </w:pPr>
      <w:r>
        <w:rPr>
          <w:rFonts w:ascii="Times New Roman" w:hAnsi="Times New Roman" w:eastAsia="Times New Roman" w:cs="Times New Roman"/>
          <w:b w:val="0"/>
          <w:i w:val="0"/>
          <w:sz w:val="24"/>
          <w:lang w:val="en-US" w:eastAsia="en-US" w:bidi="en-US"/>
        </w:rPr>
        <w:t>Warner, K. S. R., &amp; Wäger, M. (2019). Building dynamic capabilities for digital transformation: An ongoing process of strategic renewal. Long Range Planning, 52(3), 326–349. https://doi.org/10.1016/j.lrp.2018.12.001</w:t>
      </w:r>
    </w:p>
    <w:sectPr w:rsidR="00FC693F" w:rsidRPr="0006063C" w:rsidSect="00034616">
      <w:footerReference w:type="default" r:id="rId9"/>
      <w:pgSz w:w="11906" w:h="16838"/>
      <w:pgMar w:top="1134" w:right="1701" w:bottom="1134" w:left="1134" w:header="454"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pPr>
    <w:r>
      <w:rPr>
        <w:rFonts w:ascii="Simplified Arabic" w:hAnsi="Simplified Arabic" w:eastAsia="Simplified Arabic" w:cs="Simplified Arabic"/>
        <w:b w:val="0"/>
        <w:i w:val="0"/>
        <w:sz w:val="24"/>
        <w:lang w:val="ar-SA" w:eastAsia="ar-SA" w:bidi="ar-SA"/>
        <w:rtl/>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abstractNum w:abstractNumId="9">
    <w:multiLevelType w:val="singleLevel"/>
    <w:lvl w:ilvl="0">
      <w:start w:val="1"/>
      <w:numFmt w:val="decimal"/>
      <w:lvlText w:val="%1."/>
      <w:suff w:val="space"/>
      <w:lvlJc w:val="right"/>
      <w:pPr>
        <w:tabs>
          <w:tab w:val="num" w:pos="720"/>
        </w:tabs>
        <w:ind w:right="720" w:hanging="360"/>
      </w:pPr>
    </w:lvl>
  </w:abstractNum>
  <w:num w:numId="10">
    <w:abstractNumId w:val="9"/>
  </w:num>
  <w:abstractNum w:abstractNumId="10">
    <w:multiLevelType w:val="singleLevel"/>
    <w:lvl w:ilvl="0">
      <w:start w:val="1"/>
      <w:numFmt w:val="decimal"/>
      <w:lvlText w:val="%1."/>
      <w:suff w:val="space"/>
      <w:lvlJc w:val="right"/>
      <w:pPr>
        <w:tabs>
          <w:tab w:val="num" w:pos="720"/>
        </w:tabs>
        <w:ind w:right="720" w:hanging="360"/>
      </w:pPr>
    </w:lvl>
  </w:abstractNum>
  <w:num w:numId="11">
    <w:abstractNumId w:val="10"/>
  </w:num>
  <w:abstractNum w:abstractNumId="11">
    <w:multiLevelType w:val="singleLevel"/>
    <w:lvl w:ilvl="0">
      <w:start w:val="1"/>
      <w:numFmt w:val="decimal"/>
      <w:lvlText w:val="%1."/>
      <w:suff w:val="space"/>
      <w:lvlJc w:val="right"/>
      <w:pPr>
        <w:tabs>
          <w:tab w:val="num" w:pos="720"/>
        </w:tabs>
        <w:ind w:right="720" w:hanging="360"/>
      </w:pPr>
    </w:lvl>
  </w:abstract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ar-SA" w:eastAsia="ar-SA"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40" w:lineRule="auto" w:after="120"/>
    </w:pPr>
    <w:rPr>
      <w:rFonts w:ascii="Simplified Arabic" w:hAnsi="Simplified Arabic" w:cs="Simplified Arabic"/>
      <w:sz w:val="28"/>
      <w:lang w:val="ar-SA" w:eastAsia="ar-SA" w:bidi="ar-SA"/>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Simplified Arabic" w:hAnsi="Simplified Arabic" w:cs="Simplified Arabic"/>
      <w:b/>
      <w:bCs/>
      <w:color w:val="1F4E79"/>
      <w:sz w:val="40"/>
      <w:szCs w:val="28"/>
      <w:lang w:val="ar-SA" w:eastAsia="ar-SA" w:bidi="ar-SA"/>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Simplified Arabic" w:hAnsi="Simplified Arabic" w:cs="Simplified Arabic"/>
      <w:b/>
      <w:bCs/>
      <w:color w:val="1F4E79"/>
      <w:sz w:val="36"/>
      <w:szCs w:val="26"/>
      <w:lang w:val="ar-SA" w:eastAsia="ar-SA" w:bidi="ar-SA"/>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Simplified Arabic" w:hAnsi="Simplified Arabic" w:cs="Simplified Arabic"/>
      <w:b/>
      <w:bCs/>
      <w:color w:val="1F4E79"/>
      <w:sz w:val="32"/>
      <w:lang w:val="ar-SA" w:eastAsia="ar-SA" w:bidi="ar-SA"/>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Simplified Arabic" w:hAnsi="Simplified Arabic" w:cs="Simplified Arabic"/>
      <w:b/>
      <w:bCs/>
      <w:i/>
      <w:iCs/>
      <w:color w:val="1F4E79"/>
      <w:sz w:val="28"/>
      <w:lang w:val="ar-SA" w:eastAsia="ar-SA" w:bidi="ar-SA"/>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الفصلان الأول والثاني - أثر إدارة التغيير على نجاح التحول الرقمي في المنظمات السعودية: دراسة ميدانية على موظفي القطاعين العام والخاص</dc:title>
  <dc:subject>مشروع تخرج ماجستير إدارة الأعمال</dc:subject>
  <dc:creator>محمد الحربي</dc:creator>
  <cp:keywords>إدارة التغيير، التحول الرقمي، السعودية</cp:keywords>
  <dc:description>الإطار النظري: الفصل الأول والثاني لفحص الاقتباس</dc:description>
  <cp:lastModifiedBy/>
  <cp:revision>1</cp:revision>
  <dcterms:created xsi:type="dcterms:W3CDTF">2013-12-23T23:15:00Z</dcterms:created>
  <dcterms:modified xsi:type="dcterms:W3CDTF">2013-12-23T23:15:00Z</dcterms:modified>
  <cp:category/>
</cp:coreProperties>
</file>